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7645D" w14:textId="77777777" w:rsidR="00C6173C" w:rsidRDefault="00C6173C" w:rsidP="00C6173C">
      <w:pPr>
        <w:spacing w:before="212"/>
        <w:jc w:val="center"/>
        <w:rPr>
          <w:rFonts w:ascii="Arial"/>
          <w:b/>
          <w:sz w:val="56"/>
        </w:rPr>
      </w:pPr>
      <w:r>
        <w:rPr>
          <w:rFonts w:ascii="Arial"/>
          <w:b/>
          <w:noProof/>
          <w:sz w:val="56"/>
        </w:rPr>
        <w:drawing>
          <wp:inline distT="0" distB="0" distL="0" distR="0" wp14:anchorId="6C1B9C46" wp14:editId="507AA7F5">
            <wp:extent cx="3524324" cy="1404938"/>
            <wp:effectExtent l="0" t="0" r="0" b="5080"/>
            <wp:docPr id="4" name="Picture 4"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文本&#10;&#10;描述已自动生成"/>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4992341B" w14:textId="77777777" w:rsidR="00C6173C" w:rsidRPr="0066224E" w:rsidRDefault="00C6173C" w:rsidP="00C6173C">
      <w:pPr>
        <w:spacing w:before="212"/>
        <w:jc w:val="center"/>
        <w:rPr>
          <w:rFonts w:ascii="Arial"/>
          <w:b/>
          <w:sz w:val="36"/>
          <w:szCs w:val="36"/>
        </w:rPr>
      </w:pPr>
    </w:p>
    <w:p w14:paraId="08E5B977" w14:textId="77777777" w:rsidR="00C6173C" w:rsidRDefault="00C6173C" w:rsidP="00C6173C">
      <w:pPr>
        <w:spacing w:before="212"/>
        <w:rPr>
          <w:rFonts w:ascii="Arial"/>
          <w:b/>
          <w:sz w:val="56"/>
        </w:rPr>
      </w:pPr>
    </w:p>
    <w:p w14:paraId="7008D2E9" w14:textId="4AC60134" w:rsidR="00C6173C" w:rsidRDefault="00C6173C" w:rsidP="00C6173C">
      <w:pPr>
        <w:spacing w:before="212"/>
        <w:rPr>
          <w:rFonts w:ascii="Arial"/>
          <w:b/>
          <w:sz w:val="48"/>
          <w:szCs w:val="48"/>
        </w:rPr>
      </w:pPr>
      <w:r w:rsidRPr="00DD5969">
        <w:rPr>
          <w:rFonts w:ascii="Arial"/>
          <w:b/>
          <w:sz w:val="48"/>
          <w:szCs w:val="48"/>
        </w:rPr>
        <w:t>MODULE CODE:</w:t>
      </w:r>
      <w:r>
        <w:rPr>
          <w:rFonts w:ascii="Arial"/>
          <w:b/>
          <w:sz w:val="48"/>
          <w:szCs w:val="48"/>
        </w:rPr>
        <w:t xml:space="preserve"> ECDE</w:t>
      </w:r>
      <w:r>
        <w:rPr>
          <w:rFonts w:ascii="Arial" w:hint="eastAsia"/>
          <w:b/>
          <w:sz w:val="48"/>
          <w:szCs w:val="48"/>
        </w:rPr>
        <w:t>701</w:t>
      </w:r>
      <w:r>
        <w:rPr>
          <w:rFonts w:ascii="Arial"/>
          <w:b/>
          <w:sz w:val="48"/>
          <w:szCs w:val="48"/>
        </w:rPr>
        <w:t>7</w:t>
      </w:r>
    </w:p>
    <w:p w14:paraId="1D9015D4" w14:textId="77777777" w:rsidR="00C6173C" w:rsidRPr="00F57B05" w:rsidRDefault="00C6173C" w:rsidP="00C6173C">
      <w:pPr>
        <w:spacing w:before="212"/>
        <w:rPr>
          <w:rFonts w:ascii="Arial"/>
          <w:b/>
          <w:sz w:val="48"/>
          <w:szCs w:val="48"/>
          <w:lang w:val="en-GB"/>
        </w:rPr>
      </w:pPr>
    </w:p>
    <w:p w14:paraId="3BA2301F" w14:textId="62D6B3D5" w:rsidR="00C6173C" w:rsidRPr="00DD5969" w:rsidRDefault="00C6173C" w:rsidP="00C6173C">
      <w:pPr>
        <w:spacing w:before="212"/>
        <w:rPr>
          <w:rFonts w:ascii="Arial"/>
          <w:b/>
          <w:sz w:val="48"/>
          <w:szCs w:val="48"/>
        </w:rPr>
      </w:pPr>
      <w:r>
        <w:rPr>
          <w:rFonts w:ascii="Arial"/>
          <w:b/>
          <w:sz w:val="48"/>
          <w:szCs w:val="48"/>
        </w:rPr>
        <w:t>ASSESSMENT COMPONENT: 3</w:t>
      </w:r>
    </w:p>
    <w:p w14:paraId="581CE163" w14:textId="77777777" w:rsidR="00C6173C" w:rsidRDefault="00C6173C" w:rsidP="00C6173C">
      <w:pPr>
        <w:spacing w:before="7"/>
        <w:jc w:val="center"/>
        <w:rPr>
          <w:rFonts w:ascii="Arial"/>
          <w:b/>
          <w:sz w:val="44"/>
        </w:rPr>
      </w:pPr>
    </w:p>
    <w:p w14:paraId="66FF81C8" w14:textId="77777777" w:rsidR="00C6173C" w:rsidRPr="00DD5969" w:rsidRDefault="00C6173C" w:rsidP="00C6173C">
      <w:pPr>
        <w:spacing w:before="3"/>
        <w:rPr>
          <w:rFonts w:ascii="Arial"/>
          <w:b/>
          <w:sz w:val="48"/>
          <w:szCs w:val="48"/>
        </w:rPr>
      </w:pPr>
      <w:r w:rsidRPr="00DD5969">
        <w:rPr>
          <w:rFonts w:ascii="Arial"/>
          <w:b/>
          <w:sz w:val="48"/>
          <w:szCs w:val="48"/>
        </w:rPr>
        <w:t>STUDENT NAME:</w:t>
      </w:r>
      <w:r>
        <w:rPr>
          <w:rFonts w:ascii="Arial"/>
          <w:b/>
          <w:sz w:val="48"/>
          <w:szCs w:val="48"/>
        </w:rPr>
        <w:t xml:space="preserve"> Yuhao</w:t>
      </w:r>
      <w:r>
        <w:rPr>
          <w:rFonts w:ascii="Arial" w:hint="eastAsia"/>
          <w:b/>
          <w:sz w:val="48"/>
          <w:szCs w:val="48"/>
        </w:rPr>
        <w:t xml:space="preserve"> Qiu</w:t>
      </w:r>
    </w:p>
    <w:p w14:paraId="7322C84B" w14:textId="77777777" w:rsidR="00C6173C" w:rsidRPr="00DD5969" w:rsidRDefault="00C6173C" w:rsidP="00C6173C">
      <w:pPr>
        <w:spacing w:before="3"/>
        <w:rPr>
          <w:rFonts w:ascii="Arial"/>
          <w:b/>
          <w:sz w:val="48"/>
          <w:szCs w:val="48"/>
        </w:rPr>
      </w:pPr>
    </w:p>
    <w:p w14:paraId="186AE201" w14:textId="77777777" w:rsidR="00C6173C" w:rsidRPr="00DD5969" w:rsidRDefault="00C6173C" w:rsidP="00C6173C">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hint="eastAsia"/>
          <w:b/>
          <w:sz w:val="48"/>
          <w:szCs w:val="48"/>
        </w:rPr>
        <w:t xml:space="preserve"> 2406427</w:t>
      </w:r>
    </w:p>
    <w:p w14:paraId="576D0479" w14:textId="77777777" w:rsidR="00C6173C" w:rsidRDefault="00C6173C" w:rsidP="00C6173C">
      <w:pPr>
        <w:rPr>
          <w:rFonts w:ascii="Arial"/>
          <w:b/>
          <w:sz w:val="47"/>
        </w:rPr>
      </w:pPr>
    </w:p>
    <w:p w14:paraId="2BDE8F69" w14:textId="77777777" w:rsidR="00C6173C" w:rsidRDefault="00C6173C" w:rsidP="00C6173C">
      <w:pPr>
        <w:rPr>
          <w:rFonts w:ascii="Arial"/>
          <w:b/>
          <w:sz w:val="47"/>
        </w:rPr>
      </w:pPr>
    </w:p>
    <w:p w14:paraId="4D2E085C" w14:textId="77777777" w:rsidR="004321C1" w:rsidRDefault="004321C1" w:rsidP="00C6173C">
      <w:pPr>
        <w:ind w:left="100"/>
        <w:rPr>
          <w:rFonts w:ascii="Arial"/>
          <w:b/>
          <w:sz w:val="47"/>
        </w:rPr>
      </w:pPr>
    </w:p>
    <w:p w14:paraId="6AE8DC33" w14:textId="02FD498D" w:rsidR="0046546A" w:rsidRPr="004321C1" w:rsidRDefault="00C6173C" w:rsidP="004321C1">
      <w:pPr>
        <w:ind w:left="100"/>
        <w:rPr>
          <w:rFonts w:ascii="Arial"/>
          <w:b/>
          <w:sz w:val="47"/>
        </w:rPr>
      </w:pPr>
      <w:r w:rsidRPr="00192D3C">
        <w:rPr>
          <w:rFonts w:ascii="Arial"/>
          <w:b/>
          <w:sz w:val="47"/>
        </w:rPr>
        <w:t>Doctorate in Education (EdD)</w:t>
      </w:r>
    </w:p>
    <w:p w14:paraId="3A160967" w14:textId="77777777" w:rsidR="0046546A" w:rsidRPr="001C3DEB" w:rsidRDefault="0046546A" w:rsidP="0046546A">
      <w:pPr>
        <w:spacing w:after="0" w:line="480" w:lineRule="auto"/>
        <w:rPr>
          <w:rFonts w:ascii="Times New Roman" w:hAnsi="Times New Roman" w:cs="Times New Roman"/>
          <w:sz w:val="24"/>
          <w:szCs w:val="24"/>
        </w:rPr>
      </w:pPr>
    </w:p>
    <w:p w14:paraId="44C30683" w14:textId="3E83DC21" w:rsidR="008521ED" w:rsidRDefault="0046546A" w:rsidP="008521ED">
      <w:pPr>
        <w:spacing w:after="0" w:line="480" w:lineRule="auto"/>
        <w:jc w:val="center"/>
        <w:rPr>
          <w:rFonts w:ascii="Times New Roman" w:hAnsi="Times New Roman" w:cs="Times New Roman"/>
          <w:b/>
          <w:bCs/>
          <w:sz w:val="24"/>
          <w:szCs w:val="24"/>
        </w:rPr>
      </w:pPr>
      <w:r w:rsidRPr="001C3DEB">
        <w:rPr>
          <w:rStyle w:val="af0"/>
          <w:rFonts w:ascii="Times New Roman" w:hAnsi="Times New Roman" w:cs="Times New Roman"/>
          <w:sz w:val="24"/>
          <w:szCs w:val="24"/>
        </w:rPr>
        <w:br w:type="page"/>
      </w:r>
      <w:r w:rsidR="00451504" w:rsidRPr="00451504">
        <w:rPr>
          <w:rFonts w:ascii="Times New Roman" w:hAnsi="Times New Roman" w:cs="Times New Roman"/>
          <w:b/>
          <w:bCs/>
          <w:sz w:val="24"/>
          <w:szCs w:val="24"/>
        </w:rPr>
        <w:lastRenderedPageBreak/>
        <w:t>Balancing Academic Pressure and Equity: A Critical Policy Review of China's 'Double Reduction' Strategy in Education</w:t>
      </w:r>
    </w:p>
    <w:p w14:paraId="20F5E9C3" w14:textId="77777777" w:rsidR="008521ED" w:rsidRDefault="008521ED" w:rsidP="008521ED">
      <w:pPr>
        <w:spacing w:after="0" w:line="480" w:lineRule="auto"/>
        <w:jc w:val="center"/>
        <w:rPr>
          <w:rFonts w:ascii="Times New Roman" w:hAnsi="Times New Roman" w:cs="Times New Roman"/>
          <w:b/>
          <w:bCs/>
          <w:sz w:val="24"/>
          <w:szCs w:val="24"/>
        </w:rPr>
      </w:pPr>
    </w:p>
    <w:p w14:paraId="35344857" w14:textId="2C38FAB0" w:rsidR="008521ED" w:rsidRPr="008521ED" w:rsidRDefault="008521ED" w:rsidP="008521ED">
      <w:pPr>
        <w:spacing w:after="0" w:line="480" w:lineRule="auto"/>
        <w:jc w:val="center"/>
        <w:rPr>
          <w:rFonts w:ascii="Times New Roman" w:hAnsi="Times New Roman" w:cs="Times New Roman"/>
          <w:b/>
          <w:bCs/>
          <w:sz w:val="24"/>
          <w:szCs w:val="24"/>
        </w:rPr>
      </w:pPr>
      <w:r w:rsidRPr="008521ED">
        <w:rPr>
          <w:rFonts w:ascii="Times New Roman" w:hAnsi="Times New Roman" w:cs="Times New Roman"/>
          <w:b/>
          <w:bCs/>
          <w:sz w:val="24"/>
          <w:szCs w:val="24"/>
        </w:rPr>
        <w:t>Introduction</w:t>
      </w:r>
    </w:p>
    <w:p w14:paraId="6DFA9DDA" w14:textId="7615FE20" w:rsidR="008521ED" w:rsidRDefault="0046546A" w:rsidP="008521ED">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 xml:space="preserve">In the last couple of years, students' mental health in China has received increased attention, as the high academic pressure and fierce competition have had serious impacts on the well-being of students. To that end, the Chinese government implemented the “Double Reduction” policy in July 2021 to reduce excessive academic burdens on primary and secondary school students (Qian et al., 2024). This policy targets two key areas, namely, homework load reduction and the regulation of off-campus tutorial services. That is, this policy aims at offering a balanced educational environment with reduced levels of stress, greater focus on students' all-round development, and curbs on the private tutoring sector that has contributed to piling on greater levels of academic anxiety on students and their families. Accordingly, the policy aims to reorient the focus from mere academic achievement to personal development. It was also meant to help reduce the time students had put into academics out of school and instead improve mental health through better engagement in other activities while bridging the gap in educational outcomes caused by inequity in private tuition. Therefore, the policy was birthed into a highly competitive education system where families invested heavily in private tutoring to guarantee success for their children. </w:t>
      </w:r>
    </w:p>
    <w:p w14:paraId="50C73CA9" w14:textId="066F1017" w:rsidR="008521ED" w:rsidRDefault="008521ED" w:rsidP="008521ED">
      <w:pPr>
        <w:spacing w:after="0" w:line="480" w:lineRule="auto"/>
        <w:jc w:val="center"/>
        <w:rPr>
          <w:rFonts w:ascii="Times New Roman" w:hAnsi="Times New Roman" w:cs="Times New Roman"/>
          <w:sz w:val="24"/>
          <w:szCs w:val="24"/>
        </w:rPr>
      </w:pPr>
      <w:r w:rsidRPr="001C3DEB">
        <w:rPr>
          <w:rFonts w:ascii="Times New Roman" w:hAnsi="Times New Roman" w:cs="Times New Roman"/>
          <w:b/>
          <w:bCs/>
          <w:sz w:val="24"/>
          <w:szCs w:val="24"/>
        </w:rPr>
        <w:t>Context</w:t>
      </w:r>
    </w:p>
    <w:p w14:paraId="78ED4C9E" w14:textId="6D3F4F2B" w:rsidR="0046546A" w:rsidRPr="008521ED" w:rsidRDefault="0046546A" w:rsidP="008521ED">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Policy Context and Background</w:t>
      </w:r>
    </w:p>
    <w:p w14:paraId="0D1DA0B8" w14:textId="77777777" w:rsidR="00686877" w:rsidRDefault="0046546A" w:rsidP="00686877">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 xml:space="preserve">The Double Reduction policy by the Chinese government, effective in 2021, addresses the increasingly surmounting pressures on students' academics and mental health exacerbated by </w:t>
      </w:r>
      <w:r w:rsidRPr="001C3DEB">
        <w:rPr>
          <w:rFonts w:ascii="Times New Roman" w:hAnsi="Times New Roman" w:cs="Times New Roman"/>
          <w:sz w:val="24"/>
          <w:szCs w:val="24"/>
        </w:rPr>
        <w:lastRenderedPageBreak/>
        <w:t>the repute of private tutoring. The education system in China has been highly exam-oriented, and the entrance to institutions was heavily dependent on the Gaokao, which, therefore, acted as a serious determinant of further success. Therefore, families resorted to private tutoring to have an edge over others, giving rise to a multi-billion-dollar industry</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Zhou, 2023). This created a deeper inequality in education wherein rich families could afford better tutoring services, widening the achievement gap. The policy of Double Reduction has two-fold targets: it lessens the overemphasis on high achievement in academics, thereby decreasing students' stress in ensuring equal opportunity for education; it also acts against the growing power of private tutoring companies to control their exploitative tendencies</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Weng, 2024). The policy furthers a host of wider social intentions: it reduces mental health problems and enhances long-term productivity. The major actors are students, parents, educators, and private tutoring companies in concert with government bodies. All these have different priorities: the government occupies the central position to strike a balance between reform in education and social stability. It represents how education will be holistic and not so stressful for future generations.</w:t>
      </w:r>
    </w:p>
    <w:p w14:paraId="3ED3F597" w14:textId="5978DF5C" w:rsidR="0046546A" w:rsidRPr="00686877" w:rsidRDefault="0046546A" w:rsidP="00686877">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Policy Analysis Framework</w:t>
      </w:r>
    </w:p>
    <w:p w14:paraId="3F278E31" w14:textId="77777777" w:rsidR="001F5DAF" w:rsidRDefault="0046546A" w:rsidP="001F5DAF">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The analysis of the Double Reduction policy can also be located within the theories identified for educational equity and mental health. Indeed, the social determinants of health framework identifies the interconnectedness of education and mental health: reducing the stressors associated with learning is essential. Educational equity theories also involve policy that seeks to bridge the resource gap regarding access to opportunity via private tutoring regulation. The key conceptual underpinnings in this analysis are academic pressure, mental health, and educational reform</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 xml:space="preserve">Chen and Ning, 2024). Academic pressure is the stress placed upon students to achieve well because of societal demands. Mental health describes states of </w:t>
      </w:r>
      <w:r w:rsidRPr="001C3DEB">
        <w:rPr>
          <w:rFonts w:ascii="Times New Roman" w:hAnsi="Times New Roman" w:cs="Times New Roman"/>
          <w:sz w:val="24"/>
          <w:szCs w:val="24"/>
        </w:rPr>
        <w:lastRenderedPageBreak/>
        <w:t>mind that the policy is attempting to enhance. Educational reform refers to changes in policy and practice designed to enhance learning outcomes and remedy system-wide issues within the education system.</w:t>
      </w:r>
    </w:p>
    <w:p w14:paraId="57B7FEB9" w14:textId="66D61D1B" w:rsidR="0046546A" w:rsidRPr="001F5DAF" w:rsidRDefault="0046546A" w:rsidP="001F5DAF">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Policy Goals and Objectives</w:t>
      </w:r>
    </w:p>
    <w:p w14:paraId="3C135ADE" w14:textId="77777777" w:rsidR="008521ED" w:rsidRDefault="0046546A" w:rsidP="008521ED">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The Double Reduction policy is designed to realize multiple goals, with most of them harnessed around relieving students' academic workload and making educational opportunities fairer. The announced goals include reducing homework time, placing restrictions on off-campus tutoring, and promoting the all-round development of students. These are targeted at bringing a fairer balance between education and the mental well-being of students. The goals are quite clear because the government has pointed out some clear measures that are supposed to be adopted by schools and tutoring companies, respectively</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Zhang et al., 2024). However, potential contradictions can be identified, particularly in balancing reduced academic workload with the need to keep the quality of education high. Parents and teachers fear that restricting tutoring opportunities would render children at a disadvantage when they take national exams that continue to be a critical gateway to higher education. Such contradictions indicate the challenge of instituting broad reforms in a system traditionally hinged on academic performance as the passport to success.</w:t>
      </w:r>
    </w:p>
    <w:p w14:paraId="6C46109C" w14:textId="56F81287" w:rsidR="008521ED" w:rsidRDefault="008521ED" w:rsidP="008521ED">
      <w:pPr>
        <w:spacing w:after="0" w:line="480" w:lineRule="auto"/>
        <w:jc w:val="center"/>
        <w:rPr>
          <w:rFonts w:ascii="Times New Roman" w:hAnsi="Times New Roman" w:cs="Times New Roman"/>
          <w:sz w:val="24"/>
          <w:szCs w:val="24"/>
        </w:rPr>
      </w:pPr>
      <w:r w:rsidRPr="001C3DEB">
        <w:rPr>
          <w:rFonts w:ascii="Times New Roman" w:hAnsi="Times New Roman" w:cs="Times New Roman"/>
          <w:b/>
          <w:bCs/>
          <w:sz w:val="24"/>
          <w:szCs w:val="24"/>
        </w:rPr>
        <w:t>Text</w:t>
      </w:r>
    </w:p>
    <w:p w14:paraId="330DF9B7" w14:textId="007DF293" w:rsidR="0046546A" w:rsidRPr="008521ED" w:rsidRDefault="0046546A" w:rsidP="008521ED">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Policy Development</w:t>
      </w:r>
    </w:p>
    <w:p w14:paraId="3A31B939" w14:textId="77777777" w:rsidR="0046546A" w:rsidRPr="001C3DEB" w:rsidRDefault="0046546A" w:rsidP="0046546A">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 xml:space="preserve">The Double Reduction policy is a significant turn in China's educational reform efforts, aiming to solve the problem of excessive academic pressure on students. The policy was born out of many years of public discourses on the negative impacts of </w:t>
      </w:r>
      <w:proofErr w:type="gramStart"/>
      <w:r w:rsidRPr="001C3DEB">
        <w:rPr>
          <w:rFonts w:ascii="Times New Roman" w:hAnsi="Times New Roman" w:cs="Times New Roman"/>
          <w:sz w:val="24"/>
          <w:szCs w:val="24"/>
        </w:rPr>
        <w:t>high-stakes</w:t>
      </w:r>
      <w:proofErr w:type="gramEnd"/>
      <w:r w:rsidRPr="001C3DEB">
        <w:rPr>
          <w:rFonts w:ascii="Times New Roman" w:hAnsi="Times New Roman" w:cs="Times New Roman"/>
          <w:sz w:val="24"/>
          <w:szCs w:val="24"/>
        </w:rPr>
        <w:t xml:space="preserve"> testing and on gains from different private tutoring businesses that have won serious influence over the education </w:t>
      </w:r>
      <w:r w:rsidRPr="001C3DEB">
        <w:rPr>
          <w:rFonts w:ascii="Times New Roman" w:hAnsi="Times New Roman" w:cs="Times New Roman"/>
          <w:sz w:val="24"/>
          <w:szCs w:val="24"/>
        </w:rPr>
        <w:lastRenderedPageBreak/>
        <w:t>system. Effective in July 2021, the Chinese government promulgated the policy to show increasing concern for student welfare and increases in inequality across socio-economic groups within educational opportunities</w:t>
      </w:r>
      <w:r w:rsidRPr="001C3DEB">
        <w:rPr>
          <w:rFonts w:ascii="Times New Roman" w:hAnsi="Times New Roman" w:cs="Times New Roman"/>
          <w:color w:val="222222"/>
          <w:sz w:val="24"/>
          <w:szCs w:val="24"/>
          <w:shd w:val="clear" w:color="auto" w:fill="FFFFFF"/>
        </w:rPr>
        <w:t xml:space="preserve"> (</w:t>
      </w:r>
      <w:proofErr w:type="spellStart"/>
      <w:r w:rsidRPr="001C3DEB">
        <w:rPr>
          <w:rFonts w:ascii="Times New Roman" w:hAnsi="Times New Roman" w:cs="Times New Roman"/>
          <w:sz w:val="24"/>
          <w:szCs w:val="24"/>
        </w:rPr>
        <w:t>Shanchao</w:t>
      </w:r>
      <w:proofErr w:type="spellEnd"/>
      <w:r w:rsidRPr="001C3DEB">
        <w:rPr>
          <w:rFonts w:ascii="Times New Roman" w:hAnsi="Times New Roman" w:cs="Times New Roman"/>
          <w:sz w:val="24"/>
          <w:szCs w:val="24"/>
        </w:rPr>
        <w:t xml:space="preserve"> et al., 2022). Guided by this policy, schools are under the call to reduce homework assignments and ban private tutoring of core academic subjects, especially during weekends or holidays.</w:t>
      </w:r>
    </w:p>
    <w:p w14:paraId="209B8E16" w14:textId="4A6F5EA0" w:rsidR="0046546A" w:rsidRPr="001C3DEB" w:rsidRDefault="0046546A" w:rsidP="0046546A">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 xml:space="preserve">This policy marks the peak of a series of steps the Chinese government took to regulate the fast growth of the private tutoring industry within the last two decades. Starting in the early 2000s, as economic reforms gained momentum in China, the number of families who invested large sums into their children's education grew significantly. Wu (2021, December) noted that with parents keen to give their children an edge over their peers in critical exams like the Gaokao, private tutoring became phenomenally successful, especially in urban </w:t>
      </w:r>
      <w:r w:rsidR="00F77D95" w:rsidRPr="001C3DEB">
        <w:rPr>
          <w:rFonts w:ascii="Times New Roman" w:hAnsi="Times New Roman" w:cs="Times New Roman"/>
          <w:sz w:val="24"/>
          <w:szCs w:val="24"/>
        </w:rPr>
        <w:t>centers</w:t>
      </w:r>
      <w:r w:rsidRPr="001C3DEB">
        <w:rPr>
          <w:rFonts w:ascii="Times New Roman" w:hAnsi="Times New Roman" w:cs="Times New Roman"/>
          <w:sz w:val="24"/>
          <w:szCs w:val="24"/>
        </w:rPr>
        <w:t>. By the mid-2010s, the market for private tutoring had grown into a multi-billion-dollar market as tutoring companies capitalized on parental insecurities and made many believe that additional instruction was key to success.</w:t>
      </w:r>
    </w:p>
    <w:p w14:paraId="3D55F593" w14:textId="77777777" w:rsidR="00686877" w:rsidRDefault="0046546A" w:rsidP="00686877">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 xml:space="preserve">Noting the harm these practices were causing, the government first introduced guidelines to rein in tutoring </w:t>
      </w:r>
      <w:r w:rsidR="00F77D95" w:rsidRPr="001C3DEB">
        <w:rPr>
          <w:rFonts w:ascii="Times New Roman" w:hAnsi="Times New Roman" w:cs="Times New Roman"/>
          <w:sz w:val="24"/>
          <w:szCs w:val="24"/>
        </w:rPr>
        <w:t>centers</w:t>
      </w:r>
      <w:r w:rsidRPr="001C3DEB">
        <w:rPr>
          <w:rFonts w:ascii="Times New Roman" w:hAnsi="Times New Roman" w:cs="Times New Roman"/>
          <w:sz w:val="24"/>
          <w:szCs w:val="24"/>
        </w:rPr>
        <w:t xml:space="preserve">. These early efforts did little to slow an industry whose expansion was as relentless as it was swift. The 2021 Double Reduction policy was a serious attempt to rein in private tutoring. So far, it testifies to a set of desires to reduce the stranglehold of private tutoring on students and ease their stress. Chen and Lin (2024) observe that when this policy was implemented, various regional-level adjustments were made, with different areas catering to specific local education systems and socio-economic differences. Realistically, the policy's performance varies; some provinces report a drastic reduction in students' workloads, while </w:t>
      </w:r>
      <w:r w:rsidRPr="001C3DEB">
        <w:rPr>
          <w:rFonts w:ascii="Times New Roman" w:hAnsi="Times New Roman" w:cs="Times New Roman"/>
          <w:sz w:val="24"/>
          <w:szCs w:val="24"/>
        </w:rPr>
        <w:lastRenderedPageBreak/>
        <w:t xml:space="preserve">others receive setbacks from parents and </w:t>
      </w:r>
      <w:r w:rsidR="00F77D95" w:rsidRPr="001C3DEB">
        <w:rPr>
          <w:rFonts w:ascii="Times New Roman" w:hAnsi="Times New Roman" w:cs="Times New Roman"/>
          <w:sz w:val="24"/>
          <w:szCs w:val="24"/>
        </w:rPr>
        <w:t>businesspeople</w:t>
      </w:r>
      <w:r w:rsidRPr="001C3DEB">
        <w:rPr>
          <w:rFonts w:ascii="Times New Roman" w:hAnsi="Times New Roman" w:cs="Times New Roman"/>
          <w:sz w:val="24"/>
          <w:szCs w:val="24"/>
        </w:rPr>
        <w:t>. Without question, policy development has continued to mature with time as policymakers face several challenges in implementation.</w:t>
      </w:r>
    </w:p>
    <w:p w14:paraId="33BB2E86" w14:textId="5EE2C96B" w:rsidR="0046546A" w:rsidRPr="00686877" w:rsidRDefault="0046546A" w:rsidP="00686877">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Establishing Public Confidence</w:t>
      </w:r>
    </w:p>
    <w:p w14:paraId="2EF4AC50" w14:textId="77777777" w:rsidR="0046546A" w:rsidRPr="001C3DEB" w:rsidRDefault="0046546A" w:rsidP="0046546A">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Success will be captured through instilled public confidence in the Double Reduction policy. The Chinese government has taken a multifaceted approach to implementing the policy to attain support from parents, educators, and other stakeholders. First, it was done by framing the policy within larger social goals, such as promoting mental health and reducing educational inequality</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Yang et al., 2024). The policy was placed as necessary for protection from student burnout and to ensure an all-around development- a message appealing to increasing societal concern about the welfare of students.</w:t>
      </w:r>
    </w:p>
    <w:p w14:paraId="7B834689" w14:textId="77777777" w:rsidR="0046546A" w:rsidRPr="001C3DEB" w:rsidRDefault="0046546A" w:rsidP="0046546A">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The framework of trust-building in public institutions taken from OECD 2021 provides insight into how public confidence in the policy has been set up. Three defining pillars are necessary, as explained in the framework, to build trust: competence, integrity, and fairness. For the Double Reduction policy, competence relates to the competence of the government in designing the policy and executing it effectively</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Xue and Li, 2023). Public confidence on that count has been mixed, with parents and educators remaining concerned over whether the policy would enhance pupil outcomes without sacrificing academic performance. Integrity refers to transparency and accountability in policymaking. By explaining the justification for such policy through statements and advertising campaigns, the Chinese government thus has made attempts to delineate publicly the reasons for such policy. Yet, there are apprehensions regarding the efficiency of enforcement and probable loopholes that might exist in the pursuit of underground tutoring services.</w:t>
      </w:r>
    </w:p>
    <w:p w14:paraId="14BF838A" w14:textId="77777777" w:rsidR="00842575" w:rsidRDefault="0046546A" w:rsidP="00842575">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lastRenderedPageBreak/>
        <w:t xml:space="preserve">Another critical factor for public trust is perceived fairness, and the government has made this reduction of disparity in education access a </w:t>
      </w:r>
      <w:r w:rsidR="00F77D95" w:rsidRPr="001C3DEB">
        <w:rPr>
          <w:rFonts w:ascii="Times New Roman" w:hAnsi="Times New Roman" w:cs="Times New Roman"/>
          <w:sz w:val="24"/>
          <w:szCs w:val="24"/>
        </w:rPr>
        <w:t>centerpiece</w:t>
      </w:r>
      <w:r w:rsidRPr="001C3DEB">
        <w:rPr>
          <w:rFonts w:ascii="Times New Roman" w:hAnsi="Times New Roman" w:cs="Times New Roman"/>
          <w:sz w:val="24"/>
          <w:szCs w:val="24"/>
        </w:rPr>
        <w:t xml:space="preserve"> of the policy. Constriction of private tutoring can help level the playing field between children with different socio-economic statuses. Still, some parents argue that such constriction handicaps middle and upper-class families who find such tutoring valuable in giving them a competitive edge. Such perceptions of unfairness may undermine popular confidence, given that the policy's application might be tied to negative outcomes that were previously unforeseen—say, larger informal or unregulated tutoring businesses. Long-term public confidence will likely take time since many of the questions will be answered and guarantee that the advantages of the policy accrue uniformly across all sections of society.</w:t>
      </w:r>
    </w:p>
    <w:p w14:paraId="0E1BEF5D" w14:textId="58F6F26F" w:rsidR="0046546A" w:rsidRPr="00842575" w:rsidRDefault="0046546A" w:rsidP="00842575">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Media Representation of the Policy</w:t>
      </w:r>
    </w:p>
    <w:p w14:paraId="41A77A30" w14:textId="77777777" w:rsidR="00686877" w:rsidRDefault="0046546A" w:rsidP="00686877">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 xml:space="preserve">The success has been noted in China's media through international forums, and the Double Reduction policy has widely been covered through the media—though with no small degree of variation in portraying its goals or impact. Media from Chinese sources </w:t>
      </w:r>
      <w:r w:rsidR="00F77D95" w:rsidRPr="001C3DEB">
        <w:rPr>
          <w:rFonts w:ascii="Times New Roman" w:hAnsi="Times New Roman" w:cs="Times New Roman"/>
          <w:sz w:val="24"/>
          <w:szCs w:val="24"/>
        </w:rPr>
        <w:t>depict</w:t>
      </w:r>
      <w:r w:rsidRPr="001C3DEB">
        <w:rPr>
          <w:rFonts w:ascii="Times New Roman" w:hAnsi="Times New Roman" w:cs="Times New Roman"/>
          <w:sz w:val="24"/>
          <w:szCs w:val="24"/>
        </w:rPr>
        <w:t xml:space="preserve"> the policy in glowing terms, frequently highlighting the mitigation of students' pressures and equity in education as major goals of the policy. Success stories of schools cutting homework and controlling private tutoring are highlighted, framing the policy as an essential intervention to save families from financial burdens and parasitic tutoring. Yet, there are several concerns, above all among parents, about its possible negative impacts on performance at school. Some are concerned that reduced access to tutoring will put students at a disadvantage in high-stakes exams, especially when trying to get into top universities. Reports of underground tutoring services persisting despite regulations. The international media has also criticized the feasibility of the policy to date, mentioning the possibility of some unintended consequences. Some go as </w:t>
      </w:r>
      <w:r w:rsidRPr="001C3DEB">
        <w:rPr>
          <w:rFonts w:ascii="Times New Roman" w:hAnsi="Times New Roman" w:cs="Times New Roman"/>
          <w:sz w:val="24"/>
          <w:szCs w:val="24"/>
        </w:rPr>
        <w:lastRenderedPageBreak/>
        <w:t xml:space="preserve">far as to say it will widen educational inequality because richer families find alternative ways of tutoring their children while poorer students rely on public education. The broader implications for society have also been debated, including what it says about China's education culture and its </w:t>
      </w:r>
      <w:r w:rsidR="00F77D95" w:rsidRPr="001C3DEB">
        <w:rPr>
          <w:rFonts w:ascii="Times New Roman" w:hAnsi="Times New Roman" w:cs="Times New Roman"/>
          <w:sz w:val="24"/>
          <w:szCs w:val="24"/>
        </w:rPr>
        <w:t>labor</w:t>
      </w:r>
      <w:r w:rsidRPr="001C3DEB">
        <w:rPr>
          <w:rFonts w:ascii="Times New Roman" w:hAnsi="Times New Roman" w:cs="Times New Roman"/>
          <w:sz w:val="24"/>
          <w:szCs w:val="24"/>
        </w:rPr>
        <w:t xml:space="preserve"> market. Critics say that lessening the academic burden alone cannot rid the system of stress. At the same time, the financial losses and job cuts within the private tutoring industry have started to be felt. In all, media reports reveal both the positive articulation by the government and the various critiques.</w:t>
      </w:r>
    </w:p>
    <w:p w14:paraId="6DE4682A" w14:textId="6FAC578C" w:rsidR="0046546A" w:rsidRPr="00686877" w:rsidRDefault="0046546A" w:rsidP="00686877">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Literature Analysis of the Issue and Policy</w:t>
      </w:r>
    </w:p>
    <w:p w14:paraId="6E7CF363" w14:textId="77777777" w:rsidR="0046546A" w:rsidRPr="001C3DEB" w:rsidRDefault="0046546A" w:rsidP="0046546A">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Academic literature concerning education reforms in China sheds light on the context and the probable impacts of the Double Reduction policy. The mental health-related research findings among Chinese students due to academic pressure continuously pointed to anxiety, depression, and burnout among the students. Also, the scholars opine that the highly competitive nature of the Chinese education system burdens students beyond their capacity and results in long-term psychological impacts. Workload reduction and adopting a more holistic approach toward education have been recommended for retaining the well-being of students.</w:t>
      </w:r>
    </w:p>
    <w:p w14:paraId="4A921EF7" w14:textId="77777777" w:rsidR="0046546A" w:rsidRPr="001C3DEB" w:rsidRDefault="0046546A" w:rsidP="0046546A">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Policies about education have also been conducted regarding private tutoring and how this reinforces inequalities in education. Researchers have indicated that with an upsurge in private tutoring companies, a parallel education system emerged where rich families get more opportunities to improve students' schoolwork. In this respect, the literature reflects that, in terms of promoting equality of opportunity within schools, intervention by government is necessary (Wang et al., 2022). Nevertheless, other researchers express their judgment that any policy regulating private tutoring activity must be designed very carefully to avoid creating unpredictable side effects, such as informal tutoring</w:t>
      </w:r>
    </w:p>
    <w:p w14:paraId="62BAC943" w14:textId="77777777" w:rsidR="0046546A" w:rsidRPr="001C3DEB" w:rsidRDefault="0046546A" w:rsidP="0046546A">
      <w:pPr>
        <w:spacing w:after="0" w:line="480" w:lineRule="auto"/>
        <w:rPr>
          <w:rFonts w:ascii="Times New Roman" w:hAnsi="Times New Roman" w:cs="Times New Roman"/>
          <w:sz w:val="24"/>
          <w:szCs w:val="24"/>
        </w:rPr>
      </w:pPr>
      <w:r w:rsidRPr="001C3DEB">
        <w:rPr>
          <w:rFonts w:ascii="Times New Roman" w:hAnsi="Times New Roman" w:cs="Times New Roman"/>
          <w:sz w:val="24"/>
          <w:szCs w:val="24"/>
        </w:rPr>
        <w:lastRenderedPageBreak/>
        <w:t xml:space="preserve"> markets. </w:t>
      </w:r>
    </w:p>
    <w:p w14:paraId="7A560D38" w14:textId="77777777" w:rsidR="008521ED" w:rsidRDefault="0046546A" w:rsidP="008521ED">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 xml:space="preserve">A good amount of literature explains how difficult it is to put policy into practice. Clearly, articulated guidelines, corresponding resources, and support for schools and teachers are required for successful implementation. Potential barriers such as resistance from parents and remaining exam-oriented educational practices were identified by scholars, which could hinder the implementation of the 'Double Reduction' policy. This has been emphasized in the literature as the challenges that have to be overcome so that the policy can bring out its intended benefits. Thus, the academic literature provides a critical view of the Double Reduction policy by bringing out both its potential benefits and drawbacks. </w:t>
      </w:r>
    </w:p>
    <w:p w14:paraId="68248761" w14:textId="5C6A7BA3" w:rsidR="008521ED" w:rsidRDefault="008521ED" w:rsidP="008521ED">
      <w:pPr>
        <w:spacing w:after="0" w:line="480" w:lineRule="auto"/>
        <w:jc w:val="center"/>
        <w:rPr>
          <w:rFonts w:ascii="Times New Roman" w:hAnsi="Times New Roman" w:cs="Times New Roman"/>
          <w:sz w:val="24"/>
          <w:szCs w:val="24"/>
        </w:rPr>
      </w:pPr>
      <w:r w:rsidRPr="001C3DEB">
        <w:rPr>
          <w:rFonts w:ascii="Times New Roman" w:hAnsi="Times New Roman" w:cs="Times New Roman"/>
          <w:b/>
          <w:bCs/>
          <w:sz w:val="24"/>
          <w:szCs w:val="24"/>
        </w:rPr>
        <w:t>Policy Implementation</w:t>
      </w:r>
    </w:p>
    <w:p w14:paraId="309AECDD" w14:textId="510765AB" w:rsidR="0046546A" w:rsidRPr="008521ED" w:rsidRDefault="0046546A" w:rsidP="008521ED">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Policy Implementation in Practice</w:t>
      </w:r>
    </w:p>
    <w:p w14:paraId="189D3FFE" w14:textId="77777777" w:rsidR="00686877" w:rsidRDefault="0046546A" w:rsidP="00686877">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The Double Reduction policy was implemented throughout the country to alleviate the academic load of school students, both at the primary and secondary levels. As part of the policy, schools must ensure homework is manageable, and privately run tutoring service providers are barred from providing extra classes on core subjects during weekends, holidays, and evenings. Wang et al. (2022) note that for enforcement, the government has put together comprehensive guidelines both for schools and tutoring service providers, monitored abuses, and demanded remedies. In adjusting their school curricula to meet the policy's demands, schools changed the focus from quantity to quality, emphasizing a balanced learning pattern with room for physical education, arts, and social activities. Schools had to orient their teachers to minimize homework as the major tool of progress in academic areas and, interestingly, prepare in-school activities to reduce the load of extra tutoring outside the class</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 xml:space="preserve">Liu et al., 2023). The local governments played a significant role in orienting this policy to suit the regional contexts, considering </w:t>
      </w:r>
      <w:r w:rsidRPr="001C3DEB">
        <w:rPr>
          <w:rFonts w:ascii="Times New Roman" w:hAnsi="Times New Roman" w:cs="Times New Roman"/>
          <w:sz w:val="24"/>
          <w:szCs w:val="24"/>
        </w:rPr>
        <w:lastRenderedPageBreak/>
        <w:t xml:space="preserve">variations in educational standards and socio-economic conditions. Some education authorities have promoted afterschool programs within schools in select areas </w:t>
      </w:r>
      <w:proofErr w:type="gramStart"/>
      <w:r w:rsidRPr="001C3DEB">
        <w:rPr>
          <w:rFonts w:ascii="Times New Roman" w:hAnsi="Times New Roman" w:cs="Times New Roman"/>
          <w:sz w:val="24"/>
          <w:szCs w:val="24"/>
        </w:rPr>
        <w:t>as a means to</w:t>
      </w:r>
      <w:proofErr w:type="gramEnd"/>
      <w:r w:rsidRPr="001C3DEB">
        <w:rPr>
          <w:rFonts w:ascii="Times New Roman" w:hAnsi="Times New Roman" w:cs="Times New Roman"/>
          <w:sz w:val="24"/>
          <w:szCs w:val="24"/>
        </w:rPr>
        <w:t xml:space="preserve"> compensate for the loss of extra tutoring hours</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Wang et al., 2022). These programs allow students to have supervised study sessions and extracurricular activities to help them progress academically and reduce their stress levels. However, implementation varies by region, with some doing better than others in relieving academic pressure.</w:t>
      </w:r>
    </w:p>
    <w:p w14:paraId="697A180E" w14:textId="53199CB2" w:rsidR="0046546A" w:rsidRPr="00686877" w:rsidRDefault="0046546A" w:rsidP="00686877">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Challenges and Barriers to Implementation</w:t>
      </w:r>
    </w:p>
    <w:p w14:paraId="49B3DF6F" w14:textId="77777777" w:rsidR="00686877" w:rsidRDefault="0046546A" w:rsidP="00686877">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 xml:space="preserve">Notwithstanding the efforts of the government to roll out the policy, many challenges and barriers have been let loose by the implementation of the Double Reduction policy. Among these is the principal resistance of parents who have gotten used to utilizing private tutoring to gain passes for highly competitive exams. </w:t>
      </w:r>
      <w:r w:rsidR="00F77D95" w:rsidRPr="001C3DEB">
        <w:rPr>
          <w:rFonts w:ascii="Times New Roman" w:hAnsi="Times New Roman" w:cs="Times New Roman"/>
          <w:sz w:val="24"/>
          <w:szCs w:val="24"/>
        </w:rPr>
        <w:t>Skepticism</w:t>
      </w:r>
      <w:r w:rsidRPr="001C3DEB">
        <w:rPr>
          <w:rFonts w:ascii="Times New Roman" w:hAnsi="Times New Roman" w:cs="Times New Roman"/>
          <w:sz w:val="24"/>
          <w:szCs w:val="24"/>
        </w:rPr>
        <w:t xml:space="preserve"> among them towards the policy about the assurance of maintaining academic standards and a possible disadvantage for their children in the run for top university placements arises. Thus, because of such </w:t>
      </w:r>
      <w:r w:rsidR="00F77D95" w:rsidRPr="001C3DEB">
        <w:rPr>
          <w:rFonts w:ascii="Times New Roman" w:hAnsi="Times New Roman" w:cs="Times New Roman"/>
          <w:sz w:val="24"/>
          <w:szCs w:val="24"/>
        </w:rPr>
        <w:t>skepticism</w:t>
      </w:r>
      <w:r w:rsidRPr="001C3DEB">
        <w:rPr>
          <w:rFonts w:ascii="Times New Roman" w:hAnsi="Times New Roman" w:cs="Times New Roman"/>
          <w:sz w:val="24"/>
          <w:szCs w:val="24"/>
        </w:rPr>
        <w:t xml:space="preserve"> among parents, there is a tendency to seek underground or informal tutoring services that do not fall under government regulation</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Li et al., 2023). The other challenge relates to the capacity of the schools to handle the added burden brought on by the policy. Not providing homework, private tutoring, and not providing appropriate alternative opportunities are not enough; such approaches require more resources, like trained personnel and acquired budgets for extracurricular activities, which again cannot be feasible in all states and provinces. Teachers are in an added dilemma to change their conventional teaching techniques to accommodate the aims and objectives of this policy while keeping students' attitudes towards academics unchanged</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 xml:space="preserve">Guo, 2022, February). On the other hand, private tutoring firms were also one of the strong opponents of implementing this policy. It disrupted their business models throughout the country, resulting in financial losses and layoffs. </w:t>
      </w:r>
      <w:r w:rsidRPr="001C3DEB">
        <w:rPr>
          <w:rFonts w:ascii="Times New Roman" w:hAnsi="Times New Roman" w:cs="Times New Roman"/>
          <w:sz w:val="24"/>
          <w:szCs w:val="24"/>
        </w:rPr>
        <w:lastRenderedPageBreak/>
        <w:t>Some have adapted to this new policy and started providing non-academic tutoring services or shifted their focus to adult education. In contrast, others have defiantly opposed the policy and found their means of continuing with academic tutoring in less organized manners.</w:t>
      </w:r>
    </w:p>
    <w:p w14:paraId="09439C8B" w14:textId="1EAF649F" w:rsidR="0046546A" w:rsidRPr="00686877" w:rsidRDefault="0046546A" w:rsidP="00686877">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Effectiveness of Implementation Strategies</w:t>
      </w:r>
    </w:p>
    <w:p w14:paraId="5AAEF329" w14:textId="77777777" w:rsidR="00686877" w:rsidRDefault="0046546A" w:rsidP="00686877">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The effects of the Double Reduction policy have been mixed so far. On the one hand, it has reduced the observable signs of private tutoring services and the burden of schoolwork on students in most schools. Academic institutions that took the initiative report a considerable reduction in academic pressure among most students, increased leisure time, and increased participation in various extracurricular activities</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Guo, 2022, February). Moreover, in-school after-class programs supplemented this all-rounded development. However, underground tutoring remains and postulates that weak enforcement mechanisms may be in play. Some operate informally and leverage online networks to evade identification and regulation in the hope that these companies circumvent efforts against educational inequity. Additionally, there is strong variation by region in the success found among schools</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Li et al., 2023). Schools in better-off areas might offer comprehensive afterschool programming and support services. Yet, areas with poor regions lack resources to implement their policies, raising questions about their ability to secure equal access throughout the country's boundaries. While much progress has been achieved since the policy's introduction, challenges to ascertaining its larger success remain unchanged.</w:t>
      </w:r>
    </w:p>
    <w:p w14:paraId="0375371A" w14:textId="11F0B726" w:rsidR="0046546A" w:rsidRPr="00686877" w:rsidRDefault="0046546A" w:rsidP="00686877">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Outcomes and Impacts of the Policy</w:t>
      </w:r>
    </w:p>
    <w:p w14:paraId="78AA6276" w14:textId="77777777" w:rsidR="00686877" w:rsidRDefault="0046546A" w:rsidP="00686877">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 xml:space="preserve">The Double Reduction policy has led to a very important change among the students, parents, and the education system. Among the latter, the most important concern is the reduction in homework load, which minimizes the student's stress level and allows time for recreational </w:t>
      </w:r>
      <w:r w:rsidRPr="001C3DEB">
        <w:rPr>
          <w:rFonts w:ascii="Times New Roman" w:hAnsi="Times New Roman" w:cs="Times New Roman"/>
          <w:sz w:val="24"/>
          <w:szCs w:val="24"/>
        </w:rPr>
        <w:lastRenderedPageBreak/>
        <w:t>activities and interaction with the family. Their schools have noted improvement in students' mental health and engagement in extracurricular activities. Parents' reactions vary, from being appreciative of the lower stress levels to fearing the result on the student's academic performance in the long term. It affects family dynamics as parents are much more involved in reinforcing learning, which poses a challenge to families short on time or resources</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Zhao, 2024). Teachers both have an opportunity for student-</w:t>
      </w:r>
      <w:r w:rsidR="00F77D95" w:rsidRPr="001C3DEB">
        <w:rPr>
          <w:rFonts w:ascii="Times New Roman" w:hAnsi="Times New Roman" w:cs="Times New Roman"/>
          <w:sz w:val="24"/>
          <w:szCs w:val="24"/>
        </w:rPr>
        <w:t>centered</w:t>
      </w:r>
      <w:r w:rsidRPr="001C3DEB">
        <w:rPr>
          <w:rFonts w:ascii="Times New Roman" w:hAnsi="Times New Roman" w:cs="Times New Roman"/>
          <w:sz w:val="24"/>
          <w:szCs w:val="24"/>
        </w:rPr>
        <w:t xml:space="preserve"> methods of teaching but, at the same time, are put under pressure to maintain academic standards without private tutoring. Private tutoring businesses took a serious jolt and were forced into closures and adjustments, thus forcing employees to lose jobs and endangering financial stability. The policy does raise questions regarding the future of private tutoring and the overall sustainability of the education system in China.</w:t>
      </w:r>
    </w:p>
    <w:p w14:paraId="2E0F0890" w14:textId="3546D01B" w:rsidR="0046546A" w:rsidRPr="00686877" w:rsidRDefault="0046546A" w:rsidP="00686877">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Achievement of Policy Goals</w:t>
      </w:r>
    </w:p>
    <w:p w14:paraId="2FBCC6C2" w14:textId="77777777" w:rsidR="00686877" w:rsidRDefault="0046546A" w:rsidP="00686877">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 xml:space="preserve">In the few years the policy has been in place, the policy has been a success, though there have been a few challenges. This policy was designed in such a way as to reduce academic pressure, assure mental health, and narrow down the educational gap by prohibiting extracurricular tutoring. There is some tangible advancement in alleviating homework load and thwarting the rise of private tutoring services, but </w:t>
      </w:r>
      <w:r w:rsidR="00F77D95" w:rsidRPr="001C3DEB">
        <w:rPr>
          <w:rFonts w:ascii="Times New Roman" w:hAnsi="Times New Roman" w:cs="Times New Roman"/>
          <w:sz w:val="24"/>
          <w:szCs w:val="24"/>
        </w:rPr>
        <w:t>overall</w:t>
      </w:r>
      <w:r w:rsidRPr="001C3DEB">
        <w:rPr>
          <w:rFonts w:ascii="Times New Roman" w:hAnsi="Times New Roman" w:cs="Times New Roman"/>
          <w:sz w:val="24"/>
          <w:szCs w:val="24"/>
        </w:rPr>
        <w:t xml:space="preserve">, the objectives haven't been attained. Among other things, an apparent achievement after the policy execution is reducing levels of academic anxiety, because most schools reported decreasing stress levels among students. The ways by which this would achieve educational justice or equity remained ambiguous. Observed in connection with this policy, a goal of this prohibition of additional tutoring was aimed at levelling the playing field. However, the continuance of clandestine tutoring reveals that higher-income families might find a way to endow their kids with supplementary means to boost </w:t>
      </w:r>
      <w:r w:rsidRPr="001C3DEB">
        <w:rPr>
          <w:rFonts w:ascii="Times New Roman" w:hAnsi="Times New Roman" w:cs="Times New Roman"/>
          <w:sz w:val="24"/>
          <w:szCs w:val="24"/>
        </w:rPr>
        <w:lastRenderedPageBreak/>
        <w:t>performance. Likewise, certain is that it doesn't provide opportunities for the promotion of fairness in education</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Wang et al., 2022). A second element for evaluation regarding the policy is the implications in terms of academic outcomes. Some parents and educators fear this will reduce homework and tutoring, bringing down overall standards—particularly preparation for students taking high-stakes exams, such as the Gaokao</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Song, 2022, February). The government must look closely at that to ensure the policy does not inadvertently water down the quality of education.</w:t>
      </w:r>
    </w:p>
    <w:p w14:paraId="4E41C078" w14:textId="50ED03EF" w:rsidR="0046546A" w:rsidRPr="00686877" w:rsidRDefault="0046546A" w:rsidP="00686877">
      <w:pPr>
        <w:spacing w:after="0" w:line="480" w:lineRule="auto"/>
        <w:rPr>
          <w:rFonts w:ascii="Times New Roman" w:hAnsi="Times New Roman" w:cs="Times New Roman"/>
          <w:sz w:val="24"/>
          <w:szCs w:val="24"/>
        </w:rPr>
      </w:pPr>
      <w:r w:rsidRPr="001C3DEB">
        <w:rPr>
          <w:rFonts w:ascii="Times New Roman" w:hAnsi="Times New Roman" w:cs="Times New Roman"/>
          <w:b/>
          <w:bCs/>
          <w:sz w:val="24"/>
          <w:szCs w:val="24"/>
        </w:rPr>
        <w:t>Unintended Consequences and Side Effects</w:t>
      </w:r>
    </w:p>
    <w:p w14:paraId="4B819043" w14:textId="77777777" w:rsidR="0046546A" w:rsidRPr="001C3DEB" w:rsidRDefault="0046546A" w:rsidP="0046546A">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t xml:space="preserve">The Double Reduction policy entails several side effects that influence different stakeholders. The most volatile of these has probably been the growth of underground tutoring markets operating informally and often at an increased cost. Xue and </w:t>
      </w:r>
      <w:proofErr w:type="spellStart"/>
      <w:r w:rsidRPr="001C3DEB">
        <w:rPr>
          <w:rFonts w:ascii="Times New Roman" w:hAnsi="Times New Roman" w:cs="Times New Roman"/>
          <w:sz w:val="24"/>
          <w:szCs w:val="24"/>
        </w:rPr>
        <w:t>Makela</w:t>
      </w:r>
      <w:proofErr w:type="spellEnd"/>
      <w:r w:rsidRPr="001C3DEB">
        <w:rPr>
          <w:rFonts w:ascii="Times New Roman" w:hAnsi="Times New Roman" w:cs="Times New Roman"/>
          <w:sz w:val="24"/>
          <w:szCs w:val="24"/>
        </w:rPr>
        <w:t xml:space="preserve"> (2024) note that such a black market in tutoring creates new inequalities since only well-resourced families can afford such opportunities. Another consequence of the policy is an increased burden on parents to support learning for their children. Tian and Yuan (2024) observe that without private tutoring, many parents feel compelled to take on a more active role in the education of their children, something that may be impossible for working parents or those with limited educational backgrounds. With this shifting of responsibility, there has been increasing concern over parental stress and its impact on family well-being</w:t>
      </w:r>
      <w:r w:rsidRPr="001C3DEB">
        <w:rPr>
          <w:rFonts w:ascii="Times New Roman" w:hAnsi="Times New Roman" w:cs="Times New Roman"/>
          <w:color w:val="222222"/>
          <w:sz w:val="24"/>
          <w:szCs w:val="24"/>
          <w:shd w:val="clear" w:color="auto" w:fill="FFFFFF"/>
        </w:rPr>
        <w:t xml:space="preserve"> (</w:t>
      </w:r>
      <w:proofErr w:type="spellStart"/>
      <w:r w:rsidRPr="001C3DEB">
        <w:rPr>
          <w:rFonts w:ascii="Times New Roman" w:hAnsi="Times New Roman" w:cs="Times New Roman"/>
          <w:color w:val="222222"/>
          <w:sz w:val="24"/>
          <w:szCs w:val="24"/>
          <w:shd w:val="clear" w:color="auto" w:fill="FFFFFF"/>
        </w:rPr>
        <w:t>K</w:t>
      </w:r>
      <w:r w:rsidRPr="001C3DEB">
        <w:rPr>
          <w:rFonts w:ascii="Times New Roman" w:hAnsi="Times New Roman" w:cs="Times New Roman"/>
          <w:sz w:val="24"/>
          <w:szCs w:val="24"/>
        </w:rPr>
        <w:t>ingminghae</w:t>
      </w:r>
      <w:proofErr w:type="spellEnd"/>
      <w:r w:rsidRPr="001C3DEB">
        <w:rPr>
          <w:rFonts w:ascii="Times New Roman" w:hAnsi="Times New Roman" w:cs="Times New Roman"/>
          <w:sz w:val="24"/>
          <w:szCs w:val="24"/>
        </w:rPr>
        <w:t xml:space="preserve"> and Lin, 2023). Regarding teachers, the policy placed additional pressure on them to meet the various academic standards established by the Ministry of Education without the support of external tutoring. Some educators have raised concerns regarding their capability to deliver high-quality education within the policy guidelines. This has </w:t>
      </w:r>
      <w:proofErr w:type="gramStart"/>
      <w:r w:rsidRPr="001C3DEB">
        <w:rPr>
          <w:rFonts w:ascii="Times New Roman" w:hAnsi="Times New Roman" w:cs="Times New Roman"/>
          <w:sz w:val="24"/>
          <w:szCs w:val="24"/>
        </w:rPr>
        <w:t>opened up</w:t>
      </w:r>
      <w:proofErr w:type="gramEnd"/>
      <w:r w:rsidRPr="001C3DEB">
        <w:rPr>
          <w:rFonts w:ascii="Times New Roman" w:hAnsi="Times New Roman" w:cs="Times New Roman"/>
          <w:sz w:val="24"/>
          <w:szCs w:val="24"/>
        </w:rPr>
        <w:t xml:space="preserve"> further consideration of the additional teacher training and resources that will be required to reinforce the implementation of the policy. </w:t>
      </w:r>
    </w:p>
    <w:p w14:paraId="41BA7EE4" w14:textId="2AA2BB75" w:rsidR="008521ED" w:rsidRDefault="008521ED" w:rsidP="008521ED">
      <w:pPr>
        <w:spacing w:after="0" w:line="480" w:lineRule="auto"/>
        <w:jc w:val="center"/>
        <w:rPr>
          <w:rFonts w:ascii="Times New Roman" w:hAnsi="Times New Roman" w:cs="Times New Roman"/>
          <w:sz w:val="24"/>
          <w:szCs w:val="24"/>
        </w:rPr>
      </w:pPr>
      <w:r w:rsidRPr="001C3DEB">
        <w:rPr>
          <w:rFonts w:ascii="Times New Roman" w:hAnsi="Times New Roman" w:cs="Times New Roman"/>
          <w:b/>
          <w:bCs/>
          <w:sz w:val="24"/>
          <w:szCs w:val="24"/>
        </w:rPr>
        <w:lastRenderedPageBreak/>
        <w:t>Recommendations</w:t>
      </w:r>
    </w:p>
    <w:p w14:paraId="5452EA04" w14:textId="49B1B6B1" w:rsidR="00197E04" w:rsidRPr="001C3DEB" w:rsidRDefault="0046546A" w:rsidP="00197E04">
      <w:pPr>
        <w:spacing w:after="0" w:line="480" w:lineRule="auto"/>
        <w:ind w:firstLine="720"/>
        <w:rPr>
          <w:rFonts w:ascii="Times New Roman" w:hAnsi="Times New Roman" w:cs="Times New Roman"/>
          <w:sz w:val="24"/>
          <w:szCs w:val="24"/>
        </w:rPr>
      </w:pPr>
      <w:proofErr w:type="gramStart"/>
      <w:r w:rsidRPr="001C3DEB">
        <w:rPr>
          <w:rFonts w:ascii="Times New Roman" w:hAnsi="Times New Roman" w:cs="Times New Roman"/>
          <w:sz w:val="24"/>
          <w:szCs w:val="24"/>
        </w:rPr>
        <w:t>In light of</w:t>
      </w:r>
      <w:proofErr w:type="gramEnd"/>
      <w:r w:rsidRPr="001C3DEB">
        <w:rPr>
          <w:rFonts w:ascii="Times New Roman" w:hAnsi="Times New Roman" w:cs="Times New Roman"/>
          <w:sz w:val="24"/>
          <w:szCs w:val="24"/>
        </w:rPr>
        <w:t xml:space="preserve"> the challenges faced in implementing the policy, further strategic development should focus on providing equity, effective enforcement, and increased support for students, parents, and educators. First, it is recommended that more investment be made in afterschool programs in public schools, ensuring that students get quality academic support and extracurricular activities instead of seeking them from private tutors</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Chen &amp; Lin, 2024). The designs for different regions should provide flexible learning opportunities to help spur academic success with personal development. Ensuring this program is well-resourced and staffed with trained educators will go a mile in reducing students' dependence on underground market tutoring and promoting holistic student development. Policymakers should also try to improve the mechanisms for enforcement against the persistence of informal tutoring services by better mechanisms for surveillance and punish the tutoring providers for attempting to get around the regulations</w:t>
      </w:r>
      <w:r w:rsidRPr="001C3DEB">
        <w:rPr>
          <w:rFonts w:ascii="Times New Roman" w:hAnsi="Times New Roman" w:cs="Times New Roman"/>
          <w:color w:val="222222"/>
          <w:sz w:val="24"/>
          <w:szCs w:val="24"/>
          <w:shd w:val="clear" w:color="auto" w:fill="FFFFFF"/>
        </w:rPr>
        <w:t xml:space="preserve"> (</w:t>
      </w:r>
      <w:r w:rsidRPr="001C3DEB">
        <w:rPr>
          <w:rFonts w:ascii="Times New Roman" w:hAnsi="Times New Roman" w:cs="Times New Roman"/>
          <w:sz w:val="24"/>
          <w:szCs w:val="24"/>
        </w:rPr>
        <w:t>Wang et al., 2022). Clearer guidelines and communication with parents could also reduce anxieties concerning their children's competitive advantage. Public campaigns underlining the long-term benefits of the balanced approach to education, including mental health and overall well-being, could provide broader support for the policy. Training and professional development of teachers are of particular importance since they build their competencies to apply the principles of student-</w:t>
      </w:r>
      <w:r w:rsidR="00781DC6" w:rsidRPr="001C3DEB">
        <w:rPr>
          <w:rFonts w:ascii="Times New Roman" w:hAnsi="Times New Roman" w:cs="Times New Roman"/>
          <w:sz w:val="24"/>
          <w:szCs w:val="24"/>
        </w:rPr>
        <w:t>centered</w:t>
      </w:r>
      <w:r w:rsidRPr="001C3DEB">
        <w:rPr>
          <w:rFonts w:ascii="Times New Roman" w:hAnsi="Times New Roman" w:cs="Times New Roman"/>
          <w:sz w:val="24"/>
          <w:szCs w:val="24"/>
        </w:rPr>
        <w:t xml:space="preserve"> learning approaches. These recommendations would overcome some important omissions and deficiencies of the current policy and its unintended effects so that these goals to decrease the pressure to perform and reduce inequity in education are fully attained.</w:t>
      </w:r>
    </w:p>
    <w:p w14:paraId="67C13639" w14:textId="7A4A0C49" w:rsidR="008521ED" w:rsidRDefault="008521ED" w:rsidP="008521ED">
      <w:pPr>
        <w:spacing w:after="0" w:line="480" w:lineRule="auto"/>
        <w:jc w:val="center"/>
        <w:rPr>
          <w:rFonts w:ascii="Times New Roman" w:hAnsi="Times New Roman" w:cs="Times New Roman"/>
          <w:sz w:val="24"/>
          <w:szCs w:val="24"/>
        </w:rPr>
      </w:pPr>
      <w:r w:rsidRPr="001C3DEB">
        <w:rPr>
          <w:rFonts w:ascii="Times New Roman" w:hAnsi="Times New Roman" w:cs="Times New Roman"/>
          <w:b/>
          <w:bCs/>
          <w:sz w:val="24"/>
          <w:szCs w:val="24"/>
        </w:rPr>
        <w:t>Conclusion</w:t>
      </w:r>
    </w:p>
    <w:p w14:paraId="6C44EADB" w14:textId="68A6F2E5" w:rsidR="0046546A" w:rsidRPr="001C3DEB" w:rsidRDefault="0046546A" w:rsidP="0046546A">
      <w:pPr>
        <w:spacing w:after="0" w:line="480" w:lineRule="auto"/>
        <w:ind w:firstLine="720"/>
        <w:rPr>
          <w:rFonts w:ascii="Times New Roman" w:hAnsi="Times New Roman" w:cs="Times New Roman"/>
          <w:sz w:val="24"/>
          <w:szCs w:val="24"/>
        </w:rPr>
      </w:pPr>
      <w:r w:rsidRPr="001C3DEB">
        <w:rPr>
          <w:rFonts w:ascii="Times New Roman" w:hAnsi="Times New Roman" w:cs="Times New Roman"/>
          <w:sz w:val="24"/>
          <w:szCs w:val="24"/>
        </w:rPr>
        <w:lastRenderedPageBreak/>
        <w:t xml:space="preserve">In conclusion, in the light of the role played by the Double Reduction policy in combating academic pressure and educational inequality in China, significant reductions in visible academic workloads have happened alongside limits in the dominance of private tutoring in certain regions, improvements in students' mental well-being, and further promotion of the accomplishment of a more balanced education. It was, however, partially obstructed in totally reducing stress and engendering educational equity due to such deterrents as parental resistance, underground tutoring, and regional resource disparities. Such an analysis demonstrates that systemic education changes require sustained efforts and multifaceted strategies. Although this policy is progress in reforming the competitive education culture in China, its long-term achievements depend on the demands at the level of society regarding academic achievements and equal opportunities for the distribution of resources so that students from all walks of life could equally benefit. This analysis is limited by the fact that since the period of the implementation of the policy is rather short, then the assessment of the outcomes cannot be effectively gauged. Further research should be done to establish how such a policy has impacted improving academic performance and mental health, as well as bridging the gap between educational inequalities, while regional adjustments are called for </w:t>
      </w:r>
      <w:proofErr w:type="gramStart"/>
      <w:r w:rsidRPr="001C3DEB">
        <w:rPr>
          <w:rFonts w:ascii="Times New Roman" w:hAnsi="Times New Roman" w:cs="Times New Roman"/>
          <w:sz w:val="24"/>
          <w:szCs w:val="24"/>
        </w:rPr>
        <w:t>in order to</w:t>
      </w:r>
      <w:proofErr w:type="gramEnd"/>
      <w:r w:rsidRPr="001C3DEB">
        <w:rPr>
          <w:rFonts w:ascii="Times New Roman" w:hAnsi="Times New Roman" w:cs="Times New Roman"/>
          <w:sz w:val="24"/>
          <w:szCs w:val="24"/>
        </w:rPr>
        <w:t xml:space="preserve"> better its effectiveness.</w:t>
      </w:r>
    </w:p>
    <w:p w14:paraId="2AF2C839" w14:textId="77777777" w:rsidR="0046546A" w:rsidRPr="001C3DEB" w:rsidRDefault="0046546A" w:rsidP="0046546A">
      <w:pPr>
        <w:spacing w:after="0" w:line="480" w:lineRule="auto"/>
        <w:ind w:firstLine="720"/>
        <w:rPr>
          <w:rFonts w:ascii="Times New Roman" w:hAnsi="Times New Roman" w:cs="Times New Roman"/>
          <w:sz w:val="24"/>
          <w:szCs w:val="24"/>
        </w:rPr>
      </w:pPr>
    </w:p>
    <w:p w14:paraId="58BB2D22" w14:textId="648D3C6D" w:rsidR="008521ED" w:rsidRPr="008521ED" w:rsidRDefault="0046546A" w:rsidP="008521ED">
      <w:pPr>
        <w:spacing w:after="0" w:line="480" w:lineRule="auto"/>
        <w:jc w:val="center"/>
        <w:rPr>
          <w:rFonts w:ascii="Times New Roman" w:hAnsi="Times New Roman" w:cs="Times New Roman"/>
          <w:b/>
          <w:bCs/>
          <w:sz w:val="24"/>
          <w:szCs w:val="24"/>
        </w:rPr>
      </w:pPr>
      <w:r w:rsidRPr="001C3DEB">
        <w:rPr>
          <w:rFonts w:ascii="Times New Roman" w:hAnsi="Times New Roman" w:cs="Times New Roman"/>
          <w:b/>
          <w:bCs/>
          <w:sz w:val="24"/>
          <w:szCs w:val="24"/>
        </w:rPr>
        <w:br w:type="page"/>
      </w:r>
      <w:r w:rsidR="008521ED" w:rsidRPr="001C3DEB">
        <w:rPr>
          <w:rFonts w:ascii="Times New Roman" w:hAnsi="Times New Roman" w:cs="Times New Roman"/>
          <w:b/>
          <w:bCs/>
          <w:sz w:val="24"/>
          <w:szCs w:val="24"/>
        </w:rPr>
        <w:lastRenderedPageBreak/>
        <w:t>References List</w:t>
      </w:r>
    </w:p>
    <w:p w14:paraId="596DA62B" w14:textId="641019D0" w:rsidR="00823582"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Chen, L. and Lin, S., 2024. Examining China's “Double Reduction” Policy: Promises and Challenges for Balanced and Quality Development in Compulsory Education. </w:t>
      </w:r>
      <w:r w:rsidRPr="001C3DEB">
        <w:rPr>
          <w:rFonts w:ascii="Times New Roman" w:hAnsi="Times New Roman" w:cs="Times New Roman"/>
          <w:i/>
          <w:iCs/>
          <w:sz w:val="24"/>
          <w:szCs w:val="24"/>
        </w:rPr>
        <w:t>ECNU Review of Education</w:t>
      </w:r>
      <w:r w:rsidRPr="001C3DEB">
        <w:rPr>
          <w:rFonts w:ascii="Times New Roman" w:hAnsi="Times New Roman" w:cs="Times New Roman"/>
          <w:sz w:val="24"/>
          <w:szCs w:val="24"/>
        </w:rPr>
        <w:t xml:space="preserve">, p.20965311241265123. </w:t>
      </w:r>
    </w:p>
    <w:p w14:paraId="606F43B4" w14:textId="77777777" w:rsidR="00823582" w:rsidRPr="001C3DEB" w:rsidRDefault="00823582" w:rsidP="00823582">
      <w:pPr>
        <w:spacing w:after="0" w:line="480" w:lineRule="auto"/>
        <w:rPr>
          <w:rFonts w:ascii="Times New Roman" w:hAnsi="Times New Roman" w:cs="Times New Roman"/>
          <w:sz w:val="24"/>
          <w:szCs w:val="24"/>
          <w:lang w:eastAsia="zh-CN"/>
        </w:rPr>
      </w:pPr>
    </w:p>
    <w:p w14:paraId="0C316747"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Chen, L. and Lin, S., 2024. Examining China's “Double Reduction” Policy: Promises and Challenges for Balanced and Quality Development in Compulsory Education. </w:t>
      </w:r>
      <w:r w:rsidRPr="001C3DEB">
        <w:rPr>
          <w:rFonts w:ascii="Times New Roman" w:hAnsi="Times New Roman" w:cs="Times New Roman"/>
          <w:i/>
          <w:iCs/>
          <w:sz w:val="24"/>
          <w:szCs w:val="24"/>
        </w:rPr>
        <w:t>ECNU Review of Education</w:t>
      </w:r>
      <w:r w:rsidRPr="001C3DEB">
        <w:rPr>
          <w:rFonts w:ascii="Times New Roman" w:hAnsi="Times New Roman" w:cs="Times New Roman"/>
          <w:sz w:val="24"/>
          <w:szCs w:val="24"/>
        </w:rPr>
        <w:t xml:space="preserve">, p.20965311241265123. </w:t>
      </w:r>
    </w:p>
    <w:p w14:paraId="3D162F8F" w14:textId="77777777" w:rsidR="00823582" w:rsidRPr="001C3DEB" w:rsidRDefault="00823582" w:rsidP="00823582">
      <w:pPr>
        <w:spacing w:after="0" w:line="480" w:lineRule="auto"/>
        <w:rPr>
          <w:rFonts w:ascii="Times New Roman" w:hAnsi="Times New Roman" w:cs="Times New Roman"/>
          <w:sz w:val="24"/>
          <w:szCs w:val="24"/>
          <w:lang w:eastAsia="zh-CN"/>
        </w:rPr>
      </w:pPr>
    </w:p>
    <w:p w14:paraId="5E53CC4F"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Chen, X. and Ning, B., 2024. Does the “Double Reduction” Policy Affect Parents’ Willingness to Have More Children: A Survey Based on 29 Provinces Across China. </w:t>
      </w:r>
      <w:r w:rsidRPr="001C3DEB">
        <w:rPr>
          <w:rFonts w:ascii="Times New Roman" w:hAnsi="Times New Roman" w:cs="Times New Roman"/>
          <w:i/>
          <w:iCs/>
          <w:sz w:val="24"/>
          <w:szCs w:val="24"/>
        </w:rPr>
        <w:t>Journal of East China Normal University (Educational Sciences)</w:t>
      </w:r>
      <w:r w:rsidRPr="001C3DEB">
        <w:rPr>
          <w:rFonts w:ascii="Times New Roman" w:hAnsi="Times New Roman" w:cs="Times New Roman"/>
          <w:sz w:val="24"/>
          <w:szCs w:val="24"/>
        </w:rPr>
        <w:t>, </w:t>
      </w:r>
      <w:r w:rsidRPr="001C3DEB">
        <w:rPr>
          <w:rFonts w:ascii="Times New Roman" w:hAnsi="Times New Roman" w:cs="Times New Roman"/>
          <w:i/>
          <w:iCs/>
          <w:sz w:val="24"/>
          <w:szCs w:val="24"/>
        </w:rPr>
        <w:t>42</w:t>
      </w:r>
      <w:r w:rsidRPr="001C3DEB">
        <w:rPr>
          <w:rFonts w:ascii="Times New Roman" w:hAnsi="Times New Roman" w:cs="Times New Roman"/>
          <w:sz w:val="24"/>
          <w:szCs w:val="24"/>
        </w:rPr>
        <w:t>(6), p.75.</w:t>
      </w:r>
    </w:p>
    <w:p w14:paraId="75E4E1F0" w14:textId="77777777" w:rsidR="00823582" w:rsidRPr="001C3DEB" w:rsidRDefault="00823582" w:rsidP="00823582">
      <w:pPr>
        <w:spacing w:after="0" w:line="480" w:lineRule="auto"/>
        <w:rPr>
          <w:rFonts w:ascii="Times New Roman" w:hAnsi="Times New Roman" w:cs="Times New Roman"/>
          <w:sz w:val="24"/>
          <w:szCs w:val="24"/>
          <w:lang w:eastAsia="zh-CN"/>
        </w:rPr>
      </w:pPr>
    </w:p>
    <w:p w14:paraId="4FD1E867"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Curran, N.M., 2024. Foreign English teachers’ intercultural reactions to China's “Double Reduction” policy. </w:t>
      </w:r>
      <w:r w:rsidRPr="001C3DEB">
        <w:rPr>
          <w:rFonts w:ascii="Times New Roman" w:hAnsi="Times New Roman" w:cs="Times New Roman"/>
          <w:i/>
          <w:iCs/>
          <w:sz w:val="24"/>
          <w:szCs w:val="24"/>
        </w:rPr>
        <w:t xml:space="preserve">World </w:t>
      </w:r>
      <w:proofErr w:type="spellStart"/>
      <w:r w:rsidRPr="001C3DEB">
        <w:rPr>
          <w:rFonts w:ascii="Times New Roman" w:hAnsi="Times New Roman" w:cs="Times New Roman"/>
          <w:i/>
          <w:iCs/>
          <w:sz w:val="24"/>
          <w:szCs w:val="24"/>
        </w:rPr>
        <w:t>Englishes</w:t>
      </w:r>
      <w:proofErr w:type="spellEnd"/>
      <w:r w:rsidRPr="001C3DEB">
        <w:rPr>
          <w:rFonts w:ascii="Times New Roman" w:hAnsi="Times New Roman" w:cs="Times New Roman"/>
          <w:sz w:val="24"/>
          <w:szCs w:val="24"/>
        </w:rPr>
        <w:t>.</w:t>
      </w:r>
    </w:p>
    <w:p w14:paraId="2AD70CB3" w14:textId="77777777" w:rsidR="00823582" w:rsidRPr="001C3DEB" w:rsidRDefault="00823582" w:rsidP="00823582">
      <w:pPr>
        <w:spacing w:after="0" w:line="480" w:lineRule="auto"/>
        <w:rPr>
          <w:rFonts w:ascii="Times New Roman" w:hAnsi="Times New Roman" w:cs="Times New Roman"/>
          <w:sz w:val="24"/>
          <w:szCs w:val="24"/>
          <w:lang w:eastAsia="zh-CN"/>
        </w:rPr>
      </w:pPr>
    </w:p>
    <w:p w14:paraId="42CD8FAF"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Guo, Y., 2022, February. The current impact of the double reduction policy. In </w:t>
      </w:r>
      <w:r w:rsidRPr="001C3DEB">
        <w:rPr>
          <w:rFonts w:ascii="Times New Roman" w:hAnsi="Times New Roman" w:cs="Times New Roman"/>
          <w:i/>
          <w:iCs/>
          <w:sz w:val="24"/>
          <w:szCs w:val="24"/>
        </w:rPr>
        <w:t>2021 International Conference on Education, Language and Art (ICELA 2021)</w:t>
      </w:r>
      <w:r w:rsidRPr="001C3DEB">
        <w:rPr>
          <w:rFonts w:ascii="Times New Roman" w:hAnsi="Times New Roman" w:cs="Times New Roman"/>
          <w:sz w:val="24"/>
          <w:szCs w:val="24"/>
        </w:rPr>
        <w:t> (pp. 147-152). Atlantis Press.</w:t>
      </w:r>
    </w:p>
    <w:p w14:paraId="346FB9DE" w14:textId="77777777" w:rsidR="00823582" w:rsidRPr="001C3DEB" w:rsidRDefault="00823582" w:rsidP="00823582">
      <w:pPr>
        <w:spacing w:after="0" w:line="480" w:lineRule="auto"/>
        <w:rPr>
          <w:rFonts w:ascii="Times New Roman" w:hAnsi="Times New Roman" w:cs="Times New Roman"/>
          <w:sz w:val="24"/>
          <w:szCs w:val="24"/>
          <w:lang w:eastAsia="zh-CN"/>
        </w:rPr>
      </w:pPr>
    </w:p>
    <w:p w14:paraId="630E055D" w14:textId="77777777" w:rsidR="0046546A" w:rsidRDefault="0046546A" w:rsidP="00823582">
      <w:pPr>
        <w:spacing w:after="0" w:line="480" w:lineRule="auto"/>
        <w:rPr>
          <w:rFonts w:ascii="Times New Roman" w:hAnsi="Times New Roman" w:cs="Times New Roman"/>
          <w:sz w:val="24"/>
          <w:szCs w:val="24"/>
          <w:lang w:eastAsia="zh-CN"/>
        </w:rPr>
      </w:pPr>
      <w:proofErr w:type="spellStart"/>
      <w:r w:rsidRPr="001C3DEB">
        <w:rPr>
          <w:rFonts w:ascii="Times New Roman" w:hAnsi="Times New Roman" w:cs="Times New Roman"/>
          <w:sz w:val="24"/>
          <w:szCs w:val="24"/>
        </w:rPr>
        <w:t>Kingminghae</w:t>
      </w:r>
      <w:proofErr w:type="spellEnd"/>
      <w:r w:rsidRPr="001C3DEB">
        <w:rPr>
          <w:rFonts w:ascii="Times New Roman" w:hAnsi="Times New Roman" w:cs="Times New Roman"/>
          <w:sz w:val="24"/>
          <w:szCs w:val="24"/>
        </w:rPr>
        <w:t>, W. and Lin, Y., 2023. Exploring China's Whole-Process People's Democracy through the lens of the Double Reductions policy. </w:t>
      </w:r>
      <w:r w:rsidRPr="001C3DEB">
        <w:rPr>
          <w:rFonts w:ascii="Times New Roman" w:hAnsi="Times New Roman" w:cs="Times New Roman"/>
          <w:i/>
          <w:iCs/>
          <w:sz w:val="24"/>
          <w:szCs w:val="24"/>
        </w:rPr>
        <w:t>Multidisciplinary Reviews</w:t>
      </w:r>
      <w:r w:rsidRPr="001C3DEB">
        <w:rPr>
          <w:rFonts w:ascii="Times New Roman" w:hAnsi="Times New Roman" w:cs="Times New Roman"/>
          <w:sz w:val="24"/>
          <w:szCs w:val="24"/>
        </w:rPr>
        <w:t>, </w:t>
      </w:r>
      <w:r w:rsidRPr="001C3DEB">
        <w:rPr>
          <w:rFonts w:ascii="Times New Roman" w:hAnsi="Times New Roman" w:cs="Times New Roman"/>
          <w:i/>
          <w:iCs/>
          <w:sz w:val="24"/>
          <w:szCs w:val="24"/>
        </w:rPr>
        <w:t>6</w:t>
      </w:r>
      <w:r w:rsidRPr="001C3DEB">
        <w:rPr>
          <w:rFonts w:ascii="Times New Roman" w:hAnsi="Times New Roman" w:cs="Times New Roman"/>
          <w:sz w:val="24"/>
          <w:szCs w:val="24"/>
        </w:rPr>
        <w:t>(4), pp.2023036-2023036.</w:t>
      </w:r>
    </w:p>
    <w:p w14:paraId="00E11CC0" w14:textId="77777777" w:rsidR="00823582" w:rsidRPr="001C3DEB" w:rsidRDefault="00823582" w:rsidP="00823582">
      <w:pPr>
        <w:spacing w:after="0" w:line="480" w:lineRule="auto"/>
        <w:rPr>
          <w:rFonts w:ascii="Times New Roman" w:hAnsi="Times New Roman" w:cs="Times New Roman"/>
          <w:sz w:val="24"/>
          <w:szCs w:val="24"/>
          <w:lang w:eastAsia="zh-CN"/>
        </w:rPr>
      </w:pPr>
    </w:p>
    <w:p w14:paraId="2BF0A3FE"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 xml:space="preserve">Li, D., </w:t>
      </w:r>
      <w:proofErr w:type="spellStart"/>
      <w:r w:rsidRPr="001C3DEB">
        <w:rPr>
          <w:rFonts w:ascii="Times New Roman" w:hAnsi="Times New Roman" w:cs="Times New Roman"/>
          <w:sz w:val="24"/>
          <w:szCs w:val="24"/>
        </w:rPr>
        <w:t>Supromin</w:t>
      </w:r>
      <w:proofErr w:type="spellEnd"/>
      <w:r w:rsidRPr="001C3DEB">
        <w:rPr>
          <w:rFonts w:ascii="Times New Roman" w:hAnsi="Times New Roman" w:cs="Times New Roman"/>
          <w:sz w:val="24"/>
          <w:szCs w:val="24"/>
        </w:rPr>
        <w:t xml:space="preserve">, C. and </w:t>
      </w:r>
      <w:proofErr w:type="spellStart"/>
      <w:r w:rsidRPr="001C3DEB">
        <w:rPr>
          <w:rFonts w:ascii="Times New Roman" w:hAnsi="Times New Roman" w:cs="Times New Roman"/>
          <w:sz w:val="24"/>
          <w:szCs w:val="24"/>
        </w:rPr>
        <w:t>Boonlab</w:t>
      </w:r>
      <w:proofErr w:type="spellEnd"/>
      <w:r w:rsidRPr="001C3DEB">
        <w:rPr>
          <w:rFonts w:ascii="Times New Roman" w:hAnsi="Times New Roman" w:cs="Times New Roman"/>
          <w:sz w:val="24"/>
          <w:szCs w:val="24"/>
        </w:rPr>
        <w:t>, S., 2023. The Evaluation of China's Double Reduction Policy: A Case Study in.</w:t>
      </w:r>
    </w:p>
    <w:p w14:paraId="68988775" w14:textId="77777777" w:rsidR="00823582" w:rsidRPr="001C3DEB" w:rsidRDefault="00823582" w:rsidP="00823582">
      <w:pPr>
        <w:spacing w:after="0" w:line="480" w:lineRule="auto"/>
        <w:rPr>
          <w:rFonts w:ascii="Times New Roman" w:hAnsi="Times New Roman" w:cs="Times New Roman"/>
          <w:sz w:val="24"/>
          <w:szCs w:val="24"/>
          <w:lang w:eastAsia="zh-CN"/>
        </w:rPr>
      </w:pPr>
    </w:p>
    <w:p w14:paraId="49D00DA1" w14:textId="08D5BB88"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Qian, H., Walker, A. and Chen, S., 2024. The ‘</w:t>
      </w:r>
      <w:proofErr w:type="gramStart"/>
      <w:r w:rsidRPr="001C3DEB">
        <w:rPr>
          <w:rFonts w:ascii="Times New Roman" w:hAnsi="Times New Roman" w:cs="Times New Roman"/>
          <w:sz w:val="24"/>
          <w:szCs w:val="24"/>
        </w:rPr>
        <w:t>double-reduction</w:t>
      </w:r>
      <w:proofErr w:type="gramEnd"/>
      <w:r w:rsidRPr="001C3DEB">
        <w:rPr>
          <w:rFonts w:ascii="Times New Roman" w:hAnsi="Times New Roman" w:cs="Times New Roman"/>
          <w:sz w:val="24"/>
          <w:szCs w:val="24"/>
        </w:rPr>
        <w:t>’</w:t>
      </w:r>
      <w:r w:rsidR="00781DC6">
        <w:rPr>
          <w:rFonts w:ascii="Times New Roman" w:hAnsi="Times New Roman" w:cs="Times New Roman" w:hint="eastAsia"/>
          <w:sz w:val="24"/>
          <w:szCs w:val="24"/>
          <w:lang w:eastAsia="zh-CN"/>
        </w:rPr>
        <w:t xml:space="preserve"> </w:t>
      </w:r>
      <w:r w:rsidRPr="001C3DEB">
        <w:rPr>
          <w:rFonts w:ascii="Times New Roman" w:hAnsi="Times New Roman" w:cs="Times New Roman"/>
          <w:sz w:val="24"/>
          <w:szCs w:val="24"/>
        </w:rPr>
        <w:t>education policy in China: three prevailing narratives. </w:t>
      </w:r>
      <w:r w:rsidRPr="001C3DEB">
        <w:rPr>
          <w:rFonts w:ascii="Times New Roman" w:hAnsi="Times New Roman" w:cs="Times New Roman"/>
          <w:i/>
          <w:iCs/>
          <w:sz w:val="24"/>
          <w:szCs w:val="24"/>
        </w:rPr>
        <w:t>Journal of Education Policy</w:t>
      </w:r>
      <w:r w:rsidRPr="001C3DEB">
        <w:rPr>
          <w:rFonts w:ascii="Times New Roman" w:hAnsi="Times New Roman" w:cs="Times New Roman"/>
          <w:sz w:val="24"/>
          <w:szCs w:val="24"/>
        </w:rPr>
        <w:t>, </w:t>
      </w:r>
      <w:r w:rsidRPr="001C3DEB">
        <w:rPr>
          <w:rFonts w:ascii="Times New Roman" w:hAnsi="Times New Roman" w:cs="Times New Roman"/>
          <w:i/>
          <w:iCs/>
          <w:sz w:val="24"/>
          <w:szCs w:val="24"/>
        </w:rPr>
        <w:t>39</w:t>
      </w:r>
      <w:r w:rsidRPr="001C3DEB">
        <w:rPr>
          <w:rFonts w:ascii="Times New Roman" w:hAnsi="Times New Roman" w:cs="Times New Roman"/>
          <w:sz w:val="24"/>
          <w:szCs w:val="24"/>
        </w:rPr>
        <w:t>(4), pp.602-621.</w:t>
      </w:r>
    </w:p>
    <w:p w14:paraId="6C955535" w14:textId="77777777" w:rsidR="00823582" w:rsidRPr="001C3DEB" w:rsidRDefault="00823582" w:rsidP="00823582">
      <w:pPr>
        <w:spacing w:after="0" w:line="480" w:lineRule="auto"/>
        <w:rPr>
          <w:rFonts w:ascii="Times New Roman" w:hAnsi="Times New Roman" w:cs="Times New Roman"/>
          <w:sz w:val="24"/>
          <w:szCs w:val="24"/>
          <w:lang w:eastAsia="zh-CN"/>
        </w:rPr>
      </w:pPr>
    </w:p>
    <w:p w14:paraId="4DA7C8D5" w14:textId="77777777" w:rsidR="0046546A" w:rsidRDefault="0046546A" w:rsidP="00823582">
      <w:pPr>
        <w:spacing w:after="0" w:line="480" w:lineRule="auto"/>
        <w:rPr>
          <w:rFonts w:ascii="Times New Roman" w:hAnsi="Times New Roman" w:cs="Times New Roman"/>
          <w:sz w:val="24"/>
          <w:szCs w:val="24"/>
          <w:lang w:eastAsia="zh-CN"/>
        </w:rPr>
      </w:pPr>
      <w:proofErr w:type="spellStart"/>
      <w:r w:rsidRPr="001C3DEB">
        <w:rPr>
          <w:rFonts w:ascii="Times New Roman" w:hAnsi="Times New Roman" w:cs="Times New Roman"/>
          <w:sz w:val="24"/>
          <w:szCs w:val="24"/>
        </w:rPr>
        <w:t>Shanchao</w:t>
      </w:r>
      <w:proofErr w:type="spellEnd"/>
      <w:r w:rsidRPr="001C3DEB">
        <w:rPr>
          <w:rFonts w:ascii="Times New Roman" w:hAnsi="Times New Roman" w:cs="Times New Roman"/>
          <w:sz w:val="24"/>
          <w:szCs w:val="24"/>
        </w:rPr>
        <w:t xml:space="preserve">, Z.H.A.N.G. and </w:t>
      </w:r>
      <w:proofErr w:type="spellStart"/>
      <w:r w:rsidRPr="001C3DEB">
        <w:rPr>
          <w:rFonts w:ascii="Times New Roman" w:hAnsi="Times New Roman" w:cs="Times New Roman"/>
          <w:sz w:val="24"/>
          <w:szCs w:val="24"/>
        </w:rPr>
        <w:t>Letian</w:t>
      </w:r>
      <w:proofErr w:type="spellEnd"/>
      <w:r w:rsidRPr="001C3DEB">
        <w:rPr>
          <w:rFonts w:ascii="Times New Roman" w:hAnsi="Times New Roman" w:cs="Times New Roman"/>
          <w:sz w:val="24"/>
          <w:szCs w:val="24"/>
        </w:rPr>
        <w:t>, X.I.O.N.G., 2022. The dilemmas in the implementation of the Double Reduction Policy and its breakthrough strategies. </w:t>
      </w:r>
      <w:r w:rsidRPr="001C3DEB">
        <w:rPr>
          <w:rFonts w:ascii="Times New Roman" w:hAnsi="Times New Roman" w:cs="Times New Roman"/>
          <w:i/>
          <w:iCs/>
          <w:sz w:val="24"/>
          <w:szCs w:val="24"/>
        </w:rPr>
        <w:t>Journal of Southwest University Social Science Edition</w:t>
      </w:r>
      <w:r w:rsidRPr="001C3DEB">
        <w:rPr>
          <w:rFonts w:ascii="Times New Roman" w:hAnsi="Times New Roman" w:cs="Times New Roman"/>
          <w:sz w:val="24"/>
          <w:szCs w:val="24"/>
        </w:rPr>
        <w:t>, </w:t>
      </w:r>
      <w:r w:rsidRPr="001C3DEB">
        <w:rPr>
          <w:rFonts w:ascii="Times New Roman" w:hAnsi="Times New Roman" w:cs="Times New Roman"/>
          <w:i/>
          <w:iCs/>
          <w:sz w:val="24"/>
          <w:szCs w:val="24"/>
        </w:rPr>
        <w:t>48</w:t>
      </w:r>
      <w:r w:rsidRPr="001C3DEB">
        <w:rPr>
          <w:rFonts w:ascii="Times New Roman" w:hAnsi="Times New Roman" w:cs="Times New Roman"/>
          <w:sz w:val="24"/>
          <w:szCs w:val="24"/>
        </w:rPr>
        <w:t>(5), pp.149-158.</w:t>
      </w:r>
    </w:p>
    <w:p w14:paraId="767E46E8" w14:textId="77777777" w:rsidR="00823582" w:rsidRPr="001C3DEB" w:rsidRDefault="00823582" w:rsidP="00823582">
      <w:pPr>
        <w:spacing w:after="0" w:line="480" w:lineRule="auto"/>
        <w:rPr>
          <w:rFonts w:ascii="Times New Roman" w:hAnsi="Times New Roman" w:cs="Times New Roman"/>
          <w:sz w:val="24"/>
          <w:szCs w:val="24"/>
          <w:lang w:eastAsia="zh-CN"/>
        </w:rPr>
      </w:pPr>
    </w:p>
    <w:p w14:paraId="38D06A12"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Song, M., 2022, February. Under the implementation of double reduction policy. In </w:t>
      </w:r>
      <w:r w:rsidRPr="001C3DEB">
        <w:rPr>
          <w:rFonts w:ascii="Times New Roman" w:hAnsi="Times New Roman" w:cs="Times New Roman"/>
          <w:i/>
          <w:iCs/>
          <w:sz w:val="24"/>
          <w:szCs w:val="24"/>
        </w:rPr>
        <w:t>2021 International Conference on Education, Language and Art (ICELA 2021)</w:t>
      </w:r>
      <w:r w:rsidRPr="001C3DEB">
        <w:rPr>
          <w:rFonts w:ascii="Times New Roman" w:hAnsi="Times New Roman" w:cs="Times New Roman"/>
          <w:sz w:val="24"/>
          <w:szCs w:val="24"/>
        </w:rPr>
        <w:t> (pp. 800-804). Atlantis Press.</w:t>
      </w:r>
    </w:p>
    <w:p w14:paraId="0F283370" w14:textId="77777777" w:rsidR="00823582" w:rsidRPr="001C3DEB" w:rsidRDefault="00823582" w:rsidP="00823582">
      <w:pPr>
        <w:spacing w:after="0" w:line="480" w:lineRule="auto"/>
        <w:rPr>
          <w:rFonts w:ascii="Times New Roman" w:hAnsi="Times New Roman" w:cs="Times New Roman"/>
          <w:sz w:val="24"/>
          <w:szCs w:val="24"/>
          <w:lang w:eastAsia="zh-CN"/>
        </w:rPr>
      </w:pPr>
    </w:p>
    <w:p w14:paraId="2E821473" w14:textId="3F94A708"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 xml:space="preserve">Tian, S. and Yuan, J., 2024. The Implementation of the" Double Reduction" Policy in Chinese </w:t>
      </w:r>
      <w:r w:rsidR="00781DC6" w:rsidRPr="001C3DEB">
        <w:rPr>
          <w:rFonts w:ascii="Times New Roman" w:hAnsi="Times New Roman" w:cs="Times New Roman"/>
          <w:sz w:val="24"/>
          <w:szCs w:val="24"/>
        </w:rPr>
        <w:t>Primary and</w:t>
      </w:r>
      <w:r w:rsidRPr="001C3DEB">
        <w:rPr>
          <w:rFonts w:ascii="Times New Roman" w:hAnsi="Times New Roman" w:cs="Times New Roman"/>
          <w:sz w:val="24"/>
          <w:szCs w:val="24"/>
        </w:rPr>
        <w:t xml:space="preserve"> Secondary Schools: An Analysis of The Policy Framework and Implementation Strategy. </w:t>
      </w:r>
      <w:r w:rsidRPr="001C3DEB">
        <w:rPr>
          <w:rFonts w:ascii="Times New Roman" w:hAnsi="Times New Roman" w:cs="Times New Roman"/>
          <w:i/>
          <w:iCs/>
          <w:sz w:val="24"/>
          <w:szCs w:val="24"/>
        </w:rPr>
        <w:t>Eurasia Journal of Science and Technology</w:t>
      </w:r>
      <w:r w:rsidRPr="001C3DEB">
        <w:rPr>
          <w:rFonts w:ascii="Times New Roman" w:hAnsi="Times New Roman" w:cs="Times New Roman"/>
          <w:sz w:val="24"/>
          <w:szCs w:val="24"/>
        </w:rPr>
        <w:t>, p.5.</w:t>
      </w:r>
    </w:p>
    <w:p w14:paraId="77CF83C3" w14:textId="77777777" w:rsidR="00823582" w:rsidRPr="001C3DEB" w:rsidRDefault="00823582" w:rsidP="00823582">
      <w:pPr>
        <w:spacing w:after="0" w:line="480" w:lineRule="auto"/>
        <w:rPr>
          <w:rFonts w:ascii="Times New Roman" w:hAnsi="Times New Roman" w:cs="Times New Roman"/>
          <w:sz w:val="24"/>
          <w:szCs w:val="24"/>
          <w:lang w:eastAsia="zh-CN"/>
        </w:rPr>
      </w:pPr>
    </w:p>
    <w:p w14:paraId="4F57466F"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Wang, Q., Luo, X. and Yang, J., 2022. Understanding China's Double Reduction Policy on Educational Economy. </w:t>
      </w:r>
      <w:r w:rsidRPr="001C3DEB">
        <w:rPr>
          <w:rFonts w:ascii="Times New Roman" w:hAnsi="Times New Roman" w:cs="Times New Roman"/>
          <w:i/>
          <w:iCs/>
          <w:sz w:val="24"/>
          <w:szCs w:val="24"/>
        </w:rPr>
        <w:t>Global Economic Observer</w:t>
      </w:r>
      <w:r w:rsidRPr="001C3DEB">
        <w:rPr>
          <w:rFonts w:ascii="Times New Roman" w:hAnsi="Times New Roman" w:cs="Times New Roman"/>
          <w:sz w:val="24"/>
          <w:szCs w:val="24"/>
        </w:rPr>
        <w:t>, </w:t>
      </w:r>
      <w:r w:rsidRPr="001C3DEB">
        <w:rPr>
          <w:rFonts w:ascii="Times New Roman" w:hAnsi="Times New Roman" w:cs="Times New Roman"/>
          <w:i/>
          <w:iCs/>
          <w:sz w:val="24"/>
          <w:szCs w:val="24"/>
        </w:rPr>
        <w:t>10</w:t>
      </w:r>
      <w:r w:rsidRPr="001C3DEB">
        <w:rPr>
          <w:rFonts w:ascii="Times New Roman" w:hAnsi="Times New Roman" w:cs="Times New Roman"/>
          <w:sz w:val="24"/>
          <w:szCs w:val="24"/>
        </w:rPr>
        <w:t>(1).</w:t>
      </w:r>
    </w:p>
    <w:p w14:paraId="3DF944C4" w14:textId="77777777" w:rsidR="00823582" w:rsidRPr="001C3DEB" w:rsidRDefault="00823582" w:rsidP="00823582">
      <w:pPr>
        <w:spacing w:after="0" w:line="480" w:lineRule="auto"/>
        <w:rPr>
          <w:rFonts w:ascii="Times New Roman" w:hAnsi="Times New Roman" w:cs="Times New Roman"/>
          <w:sz w:val="24"/>
          <w:szCs w:val="24"/>
          <w:lang w:eastAsia="zh-CN"/>
        </w:rPr>
      </w:pPr>
    </w:p>
    <w:p w14:paraId="6235F52D"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lastRenderedPageBreak/>
        <w:t>Wang, D., Li, H., Zhang, X., Wang, X., Qiu, Y., Ma, Z., Fan, Y. and Fan, F., 2024. Changes and relevant factors in depressive and anxiety symptoms among Chinese adolescents after the “Double Reduction” policy: A repeated cross-sectional survey with a nested longitudinal subsample. </w:t>
      </w:r>
      <w:r w:rsidRPr="001C3DEB">
        <w:rPr>
          <w:rFonts w:ascii="Times New Roman" w:hAnsi="Times New Roman" w:cs="Times New Roman"/>
          <w:i/>
          <w:iCs/>
          <w:sz w:val="24"/>
          <w:szCs w:val="24"/>
        </w:rPr>
        <w:t>Journal of Affective Disorders</w:t>
      </w:r>
      <w:r w:rsidRPr="001C3DEB">
        <w:rPr>
          <w:rFonts w:ascii="Times New Roman" w:hAnsi="Times New Roman" w:cs="Times New Roman"/>
          <w:sz w:val="24"/>
          <w:szCs w:val="24"/>
        </w:rPr>
        <w:t>, </w:t>
      </w:r>
      <w:r w:rsidRPr="001C3DEB">
        <w:rPr>
          <w:rFonts w:ascii="Times New Roman" w:hAnsi="Times New Roman" w:cs="Times New Roman"/>
          <w:i/>
          <w:iCs/>
          <w:sz w:val="24"/>
          <w:szCs w:val="24"/>
        </w:rPr>
        <w:t>367</w:t>
      </w:r>
      <w:r w:rsidRPr="001C3DEB">
        <w:rPr>
          <w:rFonts w:ascii="Times New Roman" w:hAnsi="Times New Roman" w:cs="Times New Roman"/>
          <w:sz w:val="24"/>
          <w:szCs w:val="24"/>
        </w:rPr>
        <w:t xml:space="preserve">, pp.88-95. </w:t>
      </w:r>
    </w:p>
    <w:p w14:paraId="2AB14611" w14:textId="77777777" w:rsidR="00823582" w:rsidRPr="001C3DEB" w:rsidRDefault="00823582" w:rsidP="00823582">
      <w:pPr>
        <w:spacing w:after="0" w:line="480" w:lineRule="auto"/>
        <w:rPr>
          <w:rFonts w:ascii="Times New Roman" w:hAnsi="Times New Roman" w:cs="Times New Roman"/>
          <w:sz w:val="24"/>
          <w:szCs w:val="24"/>
          <w:lang w:eastAsia="zh-CN"/>
        </w:rPr>
      </w:pPr>
    </w:p>
    <w:p w14:paraId="4B0BABEB" w14:textId="21598E9C"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 xml:space="preserve">Weng, J., 2024. How can policy enactment help us to understand the influence of the implementation of “double reduction” policy on </w:t>
      </w:r>
      <w:r w:rsidR="00781DC6" w:rsidRPr="001C3DEB">
        <w:rPr>
          <w:rFonts w:ascii="Times New Roman" w:hAnsi="Times New Roman" w:cs="Times New Roman"/>
          <w:sz w:val="24"/>
          <w:szCs w:val="24"/>
        </w:rPr>
        <w:t>Chinese</w:t>
      </w:r>
      <w:r w:rsidRPr="001C3DEB">
        <w:rPr>
          <w:rFonts w:ascii="Times New Roman" w:hAnsi="Times New Roman" w:cs="Times New Roman"/>
          <w:sz w:val="24"/>
          <w:szCs w:val="24"/>
        </w:rPr>
        <w:t xml:space="preserve"> school teachers in compulsory education? </w:t>
      </w:r>
      <w:r w:rsidRPr="001C3DEB">
        <w:rPr>
          <w:rFonts w:ascii="Times New Roman" w:hAnsi="Times New Roman" w:cs="Times New Roman"/>
          <w:i/>
          <w:iCs/>
          <w:sz w:val="24"/>
          <w:szCs w:val="24"/>
        </w:rPr>
        <w:t>Creative education</w:t>
      </w:r>
      <w:r w:rsidRPr="001C3DEB">
        <w:rPr>
          <w:rFonts w:ascii="Times New Roman" w:hAnsi="Times New Roman" w:cs="Times New Roman"/>
          <w:sz w:val="24"/>
          <w:szCs w:val="24"/>
        </w:rPr>
        <w:t>, </w:t>
      </w:r>
      <w:r w:rsidRPr="001C3DEB">
        <w:rPr>
          <w:rFonts w:ascii="Times New Roman" w:hAnsi="Times New Roman" w:cs="Times New Roman"/>
          <w:i/>
          <w:iCs/>
          <w:sz w:val="24"/>
          <w:szCs w:val="24"/>
        </w:rPr>
        <w:t>15</w:t>
      </w:r>
      <w:r w:rsidRPr="001C3DEB">
        <w:rPr>
          <w:rFonts w:ascii="Times New Roman" w:hAnsi="Times New Roman" w:cs="Times New Roman"/>
          <w:sz w:val="24"/>
          <w:szCs w:val="24"/>
        </w:rPr>
        <w:t>(6), pp.1210-1222.</w:t>
      </w:r>
    </w:p>
    <w:p w14:paraId="53F02571" w14:textId="77777777" w:rsidR="00823582" w:rsidRPr="001C3DEB" w:rsidRDefault="00823582" w:rsidP="00823582">
      <w:pPr>
        <w:spacing w:after="0" w:line="480" w:lineRule="auto"/>
        <w:rPr>
          <w:rFonts w:ascii="Times New Roman" w:hAnsi="Times New Roman" w:cs="Times New Roman"/>
          <w:sz w:val="24"/>
          <w:szCs w:val="24"/>
          <w:lang w:eastAsia="zh-CN"/>
        </w:rPr>
      </w:pPr>
    </w:p>
    <w:p w14:paraId="19CF37C8"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Wu, B., 2021, December. Research on the impact of China’s “double reduction” policy on out-of-school remedial classes. In </w:t>
      </w:r>
      <w:r w:rsidRPr="001C3DEB">
        <w:rPr>
          <w:rFonts w:ascii="Times New Roman" w:hAnsi="Times New Roman" w:cs="Times New Roman"/>
          <w:i/>
          <w:iCs/>
          <w:sz w:val="24"/>
          <w:szCs w:val="24"/>
        </w:rPr>
        <w:t>2021 3rd International Conference on Economic Management and Cultural Industry (ICEMCI 2021)</w:t>
      </w:r>
      <w:r w:rsidRPr="001C3DEB">
        <w:rPr>
          <w:rFonts w:ascii="Times New Roman" w:hAnsi="Times New Roman" w:cs="Times New Roman"/>
          <w:sz w:val="24"/>
          <w:szCs w:val="24"/>
        </w:rPr>
        <w:t> (pp. 548-552). Atlantis Press.</w:t>
      </w:r>
    </w:p>
    <w:p w14:paraId="2F29EA85" w14:textId="77777777" w:rsidR="00823582" w:rsidRPr="001C3DEB" w:rsidRDefault="00823582" w:rsidP="00823582">
      <w:pPr>
        <w:spacing w:after="0" w:line="480" w:lineRule="auto"/>
        <w:rPr>
          <w:rFonts w:ascii="Times New Roman" w:hAnsi="Times New Roman" w:cs="Times New Roman"/>
          <w:sz w:val="24"/>
          <w:szCs w:val="24"/>
          <w:lang w:eastAsia="zh-CN"/>
        </w:rPr>
      </w:pPr>
    </w:p>
    <w:p w14:paraId="3D9BAC3A"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Xue, E. and Li, J., 2023. What is the value essence of “double reduction” (Shuang Jian) policy in China? A policy narrative perspective. </w:t>
      </w:r>
      <w:r w:rsidRPr="001C3DEB">
        <w:rPr>
          <w:rFonts w:ascii="Times New Roman" w:hAnsi="Times New Roman" w:cs="Times New Roman"/>
          <w:i/>
          <w:iCs/>
          <w:sz w:val="24"/>
          <w:szCs w:val="24"/>
        </w:rPr>
        <w:t>Educational Philosophy and Theory</w:t>
      </w:r>
      <w:r w:rsidRPr="001C3DEB">
        <w:rPr>
          <w:rFonts w:ascii="Times New Roman" w:hAnsi="Times New Roman" w:cs="Times New Roman"/>
          <w:sz w:val="24"/>
          <w:szCs w:val="24"/>
        </w:rPr>
        <w:t>, </w:t>
      </w:r>
      <w:r w:rsidRPr="001C3DEB">
        <w:rPr>
          <w:rFonts w:ascii="Times New Roman" w:hAnsi="Times New Roman" w:cs="Times New Roman"/>
          <w:i/>
          <w:iCs/>
          <w:sz w:val="24"/>
          <w:szCs w:val="24"/>
        </w:rPr>
        <w:t>55</w:t>
      </w:r>
      <w:r w:rsidRPr="001C3DEB">
        <w:rPr>
          <w:rFonts w:ascii="Times New Roman" w:hAnsi="Times New Roman" w:cs="Times New Roman"/>
          <w:sz w:val="24"/>
          <w:szCs w:val="24"/>
        </w:rPr>
        <w:t xml:space="preserve">(7), pp.787-796. </w:t>
      </w:r>
    </w:p>
    <w:p w14:paraId="5EAA6800" w14:textId="77777777" w:rsidR="00823582" w:rsidRPr="001C3DEB" w:rsidRDefault="00823582" w:rsidP="00823582">
      <w:pPr>
        <w:spacing w:after="0" w:line="480" w:lineRule="auto"/>
        <w:rPr>
          <w:rFonts w:ascii="Times New Roman" w:hAnsi="Times New Roman" w:cs="Times New Roman"/>
          <w:sz w:val="24"/>
          <w:szCs w:val="24"/>
          <w:lang w:eastAsia="zh-CN"/>
        </w:rPr>
      </w:pPr>
    </w:p>
    <w:p w14:paraId="182B0C3B"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 xml:space="preserve">Xue, X. and </w:t>
      </w:r>
      <w:proofErr w:type="spellStart"/>
      <w:r w:rsidRPr="001C3DEB">
        <w:rPr>
          <w:rFonts w:ascii="Times New Roman" w:hAnsi="Times New Roman" w:cs="Times New Roman"/>
          <w:sz w:val="24"/>
          <w:szCs w:val="24"/>
        </w:rPr>
        <w:t>Makela</w:t>
      </w:r>
      <w:proofErr w:type="spellEnd"/>
      <w:r w:rsidRPr="001C3DEB">
        <w:rPr>
          <w:rFonts w:ascii="Times New Roman" w:hAnsi="Times New Roman" w:cs="Times New Roman"/>
          <w:sz w:val="24"/>
          <w:szCs w:val="24"/>
        </w:rPr>
        <w:t>, C., 2024. Double reduction educational policy: Impacts on grades 1-9 compulsory education in China. </w:t>
      </w:r>
      <w:r w:rsidRPr="001C3DEB">
        <w:rPr>
          <w:rFonts w:ascii="Times New Roman" w:hAnsi="Times New Roman" w:cs="Times New Roman"/>
          <w:i/>
          <w:iCs/>
          <w:sz w:val="24"/>
          <w:szCs w:val="24"/>
        </w:rPr>
        <w:t>International Journal of Chinese Education</w:t>
      </w:r>
      <w:r w:rsidRPr="001C3DEB">
        <w:rPr>
          <w:rFonts w:ascii="Times New Roman" w:hAnsi="Times New Roman" w:cs="Times New Roman"/>
          <w:sz w:val="24"/>
          <w:szCs w:val="24"/>
        </w:rPr>
        <w:t>, </w:t>
      </w:r>
      <w:r w:rsidRPr="001C3DEB">
        <w:rPr>
          <w:rFonts w:ascii="Times New Roman" w:hAnsi="Times New Roman" w:cs="Times New Roman"/>
          <w:i/>
          <w:iCs/>
          <w:sz w:val="24"/>
          <w:szCs w:val="24"/>
        </w:rPr>
        <w:t>13</w:t>
      </w:r>
      <w:r w:rsidRPr="001C3DEB">
        <w:rPr>
          <w:rFonts w:ascii="Times New Roman" w:hAnsi="Times New Roman" w:cs="Times New Roman"/>
          <w:sz w:val="24"/>
          <w:szCs w:val="24"/>
        </w:rPr>
        <w:t>(2), p.2212585X241270236.</w:t>
      </w:r>
    </w:p>
    <w:p w14:paraId="15841A09" w14:textId="77777777" w:rsidR="00823582" w:rsidRPr="001C3DEB" w:rsidRDefault="00823582" w:rsidP="00823582">
      <w:pPr>
        <w:spacing w:after="0" w:line="480" w:lineRule="auto"/>
        <w:rPr>
          <w:rFonts w:ascii="Times New Roman" w:hAnsi="Times New Roman" w:cs="Times New Roman"/>
          <w:sz w:val="24"/>
          <w:szCs w:val="24"/>
          <w:lang w:eastAsia="zh-CN"/>
        </w:rPr>
      </w:pPr>
    </w:p>
    <w:p w14:paraId="46810122"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 xml:space="preserve">Yang, L., Xie, Y., Zhou, A., Zhang, W. and Smith, J., 2024. The impact of the implementation of ‘double </w:t>
      </w:r>
      <w:proofErr w:type="spellStart"/>
      <w:r w:rsidRPr="001C3DEB">
        <w:rPr>
          <w:rFonts w:ascii="Times New Roman" w:hAnsi="Times New Roman" w:cs="Times New Roman"/>
          <w:sz w:val="24"/>
          <w:szCs w:val="24"/>
        </w:rPr>
        <w:t>reduction’policy</w:t>
      </w:r>
      <w:proofErr w:type="spellEnd"/>
      <w:r w:rsidRPr="001C3DEB">
        <w:rPr>
          <w:rFonts w:ascii="Times New Roman" w:hAnsi="Times New Roman" w:cs="Times New Roman"/>
          <w:sz w:val="24"/>
          <w:szCs w:val="24"/>
        </w:rPr>
        <w:t xml:space="preserve"> on tutors in shadow education: Legislation goals and early experiences. Compare: A Journal of Comparative and International Education, 54(7), pp.1099-1115.</w:t>
      </w:r>
    </w:p>
    <w:p w14:paraId="55EDC2F5" w14:textId="77777777" w:rsidR="00823582" w:rsidRPr="001C3DEB" w:rsidRDefault="00823582" w:rsidP="00823582">
      <w:pPr>
        <w:spacing w:after="0" w:line="480" w:lineRule="auto"/>
        <w:rPr>
          <w:rFonts w:ascii="Times New Roman" w:hAnsi="Times New Roman" w:cs="Times New Roman"/>
          <w:sz w:val="24"/>
          <w:szCs w:val="24"/>
          <w:lang w:eastAsia="zh-CN"/>
        </w:rPr>
      </w:pPr>
    </w:p>
    <w:p w14:paraId="5E155D0D" w14:textId="77777777" w:rsidR="0046546A" w:rsidRDefault="0046546A" w:rsidP="00823582">
      <w:pPr>
        <w:spacing w:after="0" w:line="480" w:lineRule="auto"/>
        <w:rPr>
          <w:rFonts w:ascii="Times New Roman" w:hAnsi="Times New Roman" w:cs="Times New Roman"/>
          <w:sz w:val="24"/>
          <w:szCs w:val="24"/>
          <w:lang w:eastAsia="zh-CN"/>
        </w:rPr>
      </w:pPr>
      <w:r w:rsidRPr="001C3DEB">
        <w:rPr>
          <w:rFonts w:ascii="Times New Roman" w:hAnsi="Times New Roman" w:cs="Times New Roman"/>
          <w:sz w:val="24"/>
          <w:szCs w:val="24"/>
        </w:rPr>
        <w:t xml:space="preserve">Zhang, S., </w:t>
      </w:r>
      <w:proofErr w:type="spellStart"/>
      <w:r w:rsidRPr="001C3DEB">
        <w:rPr>
          <w:rFonts w:ascii="Times New Roman" w:hAnsi="Times New Roman" w:cs="Times New Roman"/>
          <w:sz w:val="24"/>
          <w:szCs w:val="24"/>
        </w:rPr>
        <w:t>Sulong</w:t>
      </w:r>
      <w:proofErr w:type="spellEnd"/>
      <w:r w:rsidRPr="001C3DEB">
        <w:rPr>
          <w:rFonts w:ascii="Times New Roman" w:hAnsi="Times New Roman" w:cs="Times New Roman"/>
          <w:sz w:val="24"/>
          <w:szCs w:val="24"/>
        </w:rPr>
        <w:t>, R.M.B. and Hassan, N.B.C., 2024. Perceived double reduction policy, perception of educational involution: Exploring the mediating role of parental educational anxiety and the moderating influence of gender—Insights from a survey conducted in a City in China. European Journal of Education, 59(2), p.e12604.</w:t>
      </w:r>
    </w:p>
    <w:p w14:paraId="14B81AAE" w14:textId="77777777" w:rsidR="00823582" w:rsidRPr="001C3DEB" w:rsidRDefault="00823582" w:rsidP="00823582">
      <w:pPr>
        <w:spacing w:after="0" w:line="480" w:lineRule="auto"/>
        <w:rPr>
          <w:rFonts w:ascii="Times New Roman" w:hAnsi="Times New Roman" w:cs="Times New Roman"/>
          <w:sz w:val="24"/>
          <w:szCs w:val="24"/>
          <w:lang w:eastAsia="zh-CN"/>
        </w:rPr>
      </w:pPr>
    </w:p>
    <w:p w14:paraId="749FA48B" w14:textId="77777777" w:rsidR="0046546A" w:rsidRPr="001C3DEB" w:rsidRDefault="0046546A" w:rsidP="00823582">
      <w:pPr>
        <w:spacing w:after="0" w:line="480" w:lineRule="auto"/>
        <w:rPr>
          <w:rFonts w:ascii="Times New Roman" w:hAnsi="Times New Roman" w:cs="Times New Roman"/>
          <w:sz w:val="24"/>
          <w:szCs w:val="24"/>
        </w:rPr>
      </w:pPr>
      <w:r w:rsidRPr="001C3DEB">
        <w:rPr>
          <w:rFonts w:ascii="Times New Roman" w:hAnsi="Times New Roman" w:cs="Times New Roman"/>
          <w:sz w:val="24"/>
          <w:szCs w:val="24"/>
        </w:rPr>
        <w:t>Zhao, C., 2024. A Critical Discourse Problematization Framework (CDPF) analysis of “Double Reduction” policy in China. </w:t>
      </w:r>
      <w:r w:rsidRPr="001C3DEB">
        <w:rPr>
          <w:rFonts w:ascii="Times New Roman" w:hAnsi="Times New Roman" w:cs="Times New Roman"/>
          <w:i/>
          <w:iCs/>
          <w:sz w:val="24"/>
          <w:szCs w:val="24"/>
        </w:rPr>
        <w:t>Policy Futures in Education</w:t>
      </w:r>
      <w:r w:rsidRPr="001C3DEB">
        <w:rPr>
          <w:rFonts w:ascii="Times New Roman" w:hAnsi="Times New Roman" w:cs="Times New Roman"/>
          <w:sz w:val="24"/>
          <w:szCs w:val="24"/>
        </w:rPr>
        <w:t>, p.14782103241228902.</w:t>
      </w:r>
    </w:p>
    <w:p w14:paraId="2B786D1F" w14:textId="77777777" w:rsidR="0046546A" w:rsidRPr="001C3DEB" w:rsidRDefault="0046546A" w:rsidP="0046546A">
      <w:pPr>
        <w:spacing w:after="0" w:line="480" w:lineRule="auto"/>
        <w:ind w:left="720" w:hanging="720"/>
        <w:rPr>
          <w:rFonts w:ascii="Times New Roman" w:hAnsi="Times New Roman" w:cs="Times New Roman"/>
          <w:sz w:val="24"/>
          <w:szCs w:val="24"/>
        </w:rPr>
      </w:pPr>
    </w:p>
    <w:p w14:paraId="45FF0512" w14:textId="77777777" w:rsidR="0046546A" w:rsidRPr="001C3DEB" w:rsidRDefault="0046546A" w:rsidP="0046546A">
      <w:pPr>
        <w:spacing w:after="0" w:line="480" w:lineRule="auto"/>
        <w:ind w:left="720" w:hanging="720"/>
        <w:rPr>
          <w:rFonts w:ascii="Times New Roman" w:eastAsiaTheme="majorEastAsia" w:hAnsi="Times New Roman" w:cs="Times New Roman"/>
          <w:sz w:val="24"/>
          <w:szCs w:val="24"/>
        </w:rPr>
      </w:pPr>
    </w:p>
    <w:p w14:paraId="1CEA966B" w14:textId="77777777" w:rsidR="00F936BB" w:rsidRDefault="00F936BB"/>
    <w:sectPr w:rsidR="00F936BB" w:rsidSect="0046546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F8F0C5" w14:textId="77777777" w:rsidR="00C862B9" w:rsidRDefault="00C862B9" w:rsidP="0046546A">
      <w:pPr>
        <w:spacing w:after="0" w:line="240" w:lineRule="auto"/>
      </w:pPr>
      <w:r>
        <w:separator/>
      </w:r>
    </w:p>
  </w:endnote>
  <w:endnote w:type="continuationSeparator" w:id="0">
    <w:p w14:paraId="67B60EB3" w14:textId="77777777" w:rsidR="00C862B9" w:rsidRDefault="00C862B9" w:rsidP="00465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11CC38" w14:textId="77777777" w:rsidR="00C862B9" w:rsidRDefault="00C862B9" w:rsidP="0046546A">
      <w:pPr>
        <w:spacing w:after="0" w:line="240" w:lineRule="auto"/>
      </w:pPr>
      <w:r>
        <w:separator/>
      </w:r>
    </w:p>
  </w:footnote>
  <w:footnote w:type="continuationSeparator" w:id="0">
    <w:p w14:paraId="2BB7BB3C" w14:textId="77777777" w:rsidR="00C862B9" w:rsidRDefault="00C862B9" w:rsidP="00465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697200704"/>
      <w:docPartObj>
        <w:docPartGallery w:val="Page Numbers (Top of Page)"/>
        <w:docPartUnique/>
      </w:docPartObj>
    </w:sdtPr>
    <w:sdtEndPr>
      <w:rPr>
        <w:noProof/>
      </w:rPr>
    </w:sdtEndPr>
    <w:sdtContent>
      <w:p w14:paraId="63724FF7" w14:textId="6CFD9CC3" w:rsidR="009C1244" w:rsidRPr="001C3DEB" w:rsidRDefault="00000000">
        <w:pPr>
          <w:pStyle w:val="ae"/>
          <w:jc w:val="right"/>
          <w:rPr>
            <w:rFonts w:ascii="Times New Roman" w:hAnsi="Times New Roman" w:cs="Times New Roman"/>
            <w:sz w:val="24"/>
            <w:szCs w:val="24"/>
          </w:rPr>
        </w:pPr>
        <w:r w:rsidRPr="001C3DEB">
          <w:rPr>
            <w:rFonts w:ascii="Times New Roman" w:hAnsi="Times New Roman" w:cs="Times New Roman"/>
            <w:sz w:val="24"/>
            <w:szCs w:val="24"/>
          </w:rPr>
          <w:fldChar w:fldCharType="begin"/>
        </w:r>
        <w:r w:rsidRPr="001C3DEB">
          <w:rPr>
            <w:rFonts w:ascii="Times New Roman" w:hAnsi="Times New Roman" w:cs="Times New Roman"/>
            <w:sz w:val="24"/>
            <w:szCs w:val="24"/>
          </w:rPr>
          <w:instrText xml:space="preserve"> PAGE   \* MERGEFORMAT </w:instrText>
        </w:r>
        <w:r w:rsidRPr="001C3DEB">
          <w:rPr>
            <w:rFonts w:ascii="Times New Roman" w:hAnsi="Times New Roman" w:cs="Times New Roman"/>
            <w:sz w:val="24"/>
            <w:szCs w:val="24"/>
          </w:rPr>
          <w:fldChar w:fldCharType="separate"/>
        </w:r>
        <w:r w:rsidRPr="001C3DEB">
          <w:rPr>
            <w:rFonts w:ascii="Times New Roman" w:hAnsi="Times New Roman" w:cs="Times New Roman"/>
            <w:noProof/>
            <w:sz w:val="24"/>
            <w:szCs w:val="24"/>
          </w:rPr>
          <w:t>3</w:t>
        </w:r>
        <w:r w:rsidRPr="001C3DEB">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503A3"/>
    <w:multiLevelType w:val="hybridMultilevel"/>
    <w:tmpl w:val="44A2808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2CB60F82"/>
    <w:multiLevelType w:val="multilevel"/>
    <w:tmpl w:val="1C309CB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7EF95E9D"/>
    <w:multiLevelType w:val="hybridMultilevel"/>
    <w:tmpl w:val="02C6DC9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49954889">
    <w:abstractNumId w:val="0"/>
  </w:num>
  <w:num w:numId="2" w16cid:durableId="340162014">
    <w:abstractNumId w:val="1"/>
  </w:num>
  <w:num w:numId="3" w16cid:durableId="448015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46A"/>
    <w:rsid w:val="0004179C"/>
    <w:rsid w:val="00197E04"/>
    <w:rsid w:val="001F5DAF"/>
    <w:rsid w:val="003F4929"/>
    <w:rsid w:val="004321C1"/>
    <w:rsid w:val="00451504"/>
    <w:rsid w:val="0046546A"/>
    <w:rsid w:val="00686877"/>
    <w:rsid w:val="00781DC6"/>
    <w:rsid w:val="00795A0D"/>
    <w:rsid w:val="00823582"/>
    <w:rsid w:val="00842575"/>
    <w:rsid w:val="008521ED"/>
    <w:rsid w:val="009C1244"/>
    <w:rsid w:val="00AD1027"/>
    <w:rsid w:val="00B22B7C"/>
    <w:rsid w:val="00BC6D5A"/>
    <w:rsid w:val="00C3553A"/>
    <w:rsid w:val="00C6173C"/>
    <w:rsid w:val="00C862B9"/>
    <w:rsid w:val="00CC6F88"/>
    <w:rsid w:val="00EE607E"/>
    <w:rsid w:val="00F0627F"/>
    <w:rsid w:val="00F77D95"/>
    <w:rsid w:val="00F936BB"/>
    <w:rsid w:val="00FA4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03C5C24"/>
  <w15:chartTrackingRefBased/>
  <w15:docId w15:val="{C70D5775-6105-F649-A9CE-8DDFA37C0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546A"/>
    <w:pPr>
      <w:spacing w:after="160" w:line="256" w:lineRule="auto"/>
    </w:pPr>
    <w:rPr>
      <w:rFonts w:eastAsia="宋体"/>
      <w:kern w:val="0"/>
      <w:sz w:val="22"/>
      <w:szCs w:val="22"/>
      <w:lang w:eastAsia="en-US"/>
    </w:rPr>
  </w:style>
  <w:style w:type="paragraph" w:styleId="1">
    <w:name w:val="heading 1"/>
    <w:basedOn w:val="a"/>
    <w:next w:val="a"/>
    <w:link w:val="10"/>
    <w:uiPriority w:val="9"/>
    <w:qFormat/>
    <w:rsid w:val="0046546A"/>
    <w:pPr>
      <w:keepNext/>
      <w:keepLines/>
      <w:widowControl w:val="0"/>
      <w:spacing w:before="480" w:after="80" w:line="240" w:lineRule="auto"/>
      <w:jc w:val="both"/>
      <w:outlineLvl w:val="0"/>
    </w:pPr>
    <w:rPr>
      <w:rFonts w:asciiTheme="majorHAnsi" w:eastAsiaTheme="majorEastAsia" w:hAnsiTheme="majorHAnsi" w:cstheme="majorBidi"/>
      <w:color w:val="2F5496" w:themeColor="accent1" w:themeShade="BF"/>
      <w:kern w:val="2"/>
      <w:sz w:val="48"/>
      <w:szCs w:val="48"/>
      <w:lang w:eastAsia="zh-CN"/>
    </w:rPr>
  </w:style>
  <w:style w:type="paragraph" w:styleId="2">
    <w:name w:val="heading 2"/>
    <w:basedOn w:val="a"/>
    <w:next w:val="a"/>
    <w:link w:val="20"/>
    <w:uiPriority w:val="9"/>
    <w:unhideWhenUsed/>
    <w:qFormat/>
    <w:rsid w:val="0046546A"/>
    <w:pPr>
      <w:keepNext/>
      <w:keepLines/>
      <w:widowControl w:val="0"/>
      <w:spacing w:before="160" w:after="80" w:line="240" w:lineRule="auto"/>
      <w:jc w:val="both"/>
      <w:outlineLvl w:val="1"/>
    </w:pPr>
    <w:rPr>
      <w:rFonts w:asciiTheme="majorHAnsi" w:eastAsiaTheme="majorEastAsia" w:hAnsiTheme="majorHAnsi" w:cstheme="majorBidi"/>
      <w:color w:val="2F5496" w:themeColor="accent1" w:themeShade="BF"/>
      <w:kern w:val="2"/>
      <w:sz w:val="40"/>
      <w:szCs w:val="40"/>
      <w:lang w:eastAsia="zh-CN"/>
    </w:rPr>
  </w:style>
  <w:style w:type="paragraph" w:styleId="3">
    <w:name w:val="heading 3"/>
    <w:basedOn w:val="a"/>
    <w:next w:val="a"/>
    <w:link w:val="30"/>
    <w:uiPriority w:val="9"/>
    <w:semiHidden/>
    <w:unhideWhenUsed/>
    <w:qFormat/>
    <w:rsid w:val="0046546A"/>
    <w:pPr>
      <w:keepNext/>
      <w:keepLines/>
      <w:widowControl w:val="0"/>
      <w:spacing w:before="160" w:after="80" w:line="240" w:lineRule="auto"/>
      <w:jc w:val="both"/>
      <w:outlineLvl w:val="2"/>
    </w:pPr>
    <w:rPr>
      <w:rFonts w:asciiTheme="majorHAnsi" w:eastAsiaTheme="majorEastAsia" w:hAnsiTheme="majorHAnsi" w:cstheme="majorBidi"/>
      <w:color w:val="2F5496" w:themeColor="accent1" w:themeShade="BF"/>
      <w:kern w:val="2"/>
      <w:sz w:val="32"/>
      <w:szCs w:val="32"/>
      <w:lang w:eastAsia="zh-CN"/>
    </w:rPr>
  </w:style>
  <w:style w:type="paragraph" w:styleId="4">
    <w:name w:val="heading 4"/>
    <w:basedOn w:val="a"/>
    <w:next w:val="a"/>
    <w:link w:val="40"/>
    <w:uiPriority w:val="9"/>
    <w:semiHidden/>
    <w:unhideWhenUsed/>
    <w:qFormat/>
    <w:rsid w:val="0046546A"/>
    <w:pPr>
      <w:keepNext/>
      <w:keepLines/>
      <w:widowControl w:val="0"/>
      <w:spacing w:before="80" w:after="40" w:line="240" w:lineRule="auto"/>
      <w:jc w:val="both"/>
      <w:outlineLvl w:val="3"/>
    </w:pPr>
    <w:rPr>
      <w:rFonts w:eastAsiaTheme="minorEastAsia" w:cstheme="majorBidi"/>
      <w:color w:val="2F5496" w:themeColor="accent1" w:themeShade="BF"/>
      <w:kern w:val="2"/>
      <w:sz w:val="28"/>
      <w:szCs w:val="28"/>
      <w:lang w:eastAsia="zh-CN"/>
    </w:rPr>
  </w:style>
  <w:style w:type="paragraph" w:styleId="5">
    <w:name w:val="heading 5"/>
    <w:basedOn w:val="a"/>
    <w:next w:val="a"/>
    <w:link w:val="50"/>
    <w:uiPriority w:val="9"/>
    <w:semiHidden/>
    <w:unhideWhenUsed/>
    <w:qFormat/>
    <w:rsid w:val="0046546A"/>
    <w:pPr>
      <w:keepNext/>
      <w:keepLines/>
      <w:widowControl w:val="0"/>
      <w:spacing w:before="80" w:after="40" w:line="240" w:lineRule="auto"/>
      <w:jc w:val="both"/>
      <w:outlineLvl w:val="4"/>
    </w:pPr>
    <w:rPr>
      <w:rFonts w:eastAsiaTheme="minorEastAsia" w:cstheme="majorBidi"/>
      <w:color w:val="2F5496" w:themeColor="accent1" w:themeShade="BF"/>
      <w:kern w:val="2"/>
      <w:sz w:val="24"/>
      <w:szCs w:val="24"/>
      <w:lang w:eastAsia="zh-CN"/>
    </w:rPr>
  </w:style>
  <w:style w:type="paragraph" w:styleId="6">
    <w:name w:val="heading 6"/>
    <w:basedOn w:val="a"/>
    <w:next w:val="a"/>
    <w:link w:val="60"/>
    <w:uiPriority w:val="9"/>
    <w:semiHidden/>
    <w:unhideWhenUsed/>
    <w:qFormat/>
    <w:rsid w:val="0046546A"/>
    <w:pPr>
      <w:keepNext/>
      <w:keepLines/>
      <w:widowControl w:val="0"/>
      <w:spacing w:before="40" w:after="0" w:line="240" w:lineRule="auto"/>
      <w:jc w:val="both"/>
      <w:outlineLvl w:val="5"/>
    </w:pPr>
    <w:rPr>
      <w:rFonts w:eastAsiaTheme="minorEastAsia" w:cstheme="majorBidi"/>
      <w:b/>
      <w:bCs/>
      <w:color w:val="2F5496" w:themeColor="accent1" w:themeShade="BF"/>
      <w:kern w:val="2"/>
      <w:sz w:val="21"/>
      <w:szCs w:val="24"/>
      <w:lang w:eastAsia="zh-CN"/>
    </w:rPr>
  </w:style>
  <w:style w:type="paragraph" w:styleId="7">
    <w:name w:val="heading 7"/>
    <w:basedOn w:val="a"/>
    <w:next w:val="a"/>
    <w:link w:val="70"/>
    <w:uiPriority w:val="9"/>
    <w:semiHidden/>
    <w:unhideWhenUsed/>
    <w:qFormat/>
    <w:rsid w:val="0046546A"/>
    <w:pPr>
      <w:keepNext/>
      <w:keepLines/>
      <w:widowControl w:val="0"/>
      <w:spacing w:before="40" w:after="0" w:line="240" w:lineRule="auto"/>
      <w:jc w:val="both"/>
      <w:outlineLvl w:val="6"/>
    </w:pPr>
    <w:rPr>
      <w:rFonts w:eastAsiaTheme="minorEastAsia" w:cstheme="majorBidi"/>
      <w:b/>
      <w:bCs/>
      <w:color w:val="595959" w:themeColor="text1" w:themeTint="A6"/>
      <w:kern w:val="2"/>
      <w:sz w:val="21"/>
      <w:szCs w:val="24"/>
      <w:lang w:eastAsia="zh-CN"/>
    </w:rPr>
  </w:style>
  <w:style w:type="paragraph" w:styleId="8">
    <w:name w:val="heading 8"/>
    <w:basedOn w:val="a"/>
    <w:next w:val="a"/>
    <w:link w:val="80"/>
    <w:uiPriority w:val="9"/>
    <w:semiHidden/>
    <w:unhideWhenUsed/>
    <w:qFormat/>
    <w:rsid w:val="0046546A"/>
    <w:pPr>
      <w:keepNext/>
      <w:keepLines/>
      <w:widowControl w:val="0"/>
      <w:spacing w:after="0" w:line="240" w:lineRule="auto"/>
      <w:jc w:val="both"/>
      <w:outlineLvl w:val="7"/>
    </w:pPr>
    <w:rPr>
      <w:rFonts w:eastAsiaTheme="minorEastAsia" w:cstheme="majorBidi"/>
      <w:color w:val="595959" w:themeColor="text1" w:themeTint="A6"/>
      <w:kern w:val="2"/>
      <w:sz w:val="21"/>
      <w:szCs w:val="24"/>
      <w:lang w:eastAsia="zh-CN"/>
    </w:rPr>
  </w:style>
  <w:style w:type="paragraph" w:styleId="9">
    <w:name w:val="heading 9"/>
    <w:basedOn w:val="a"/>
    <w:next w:val="a"/>
    <w:link w:val="90"/>
    <w:uiPriority w:val="9"/>
    <w:semiHidden/>
    <w:unhideWhenUsed/>
    <w:qFormat/>
    <w:rsid w:val="0046546A"/>
    <w:pPr>
      <w:keepNext/>
      <w:keepLines/>
      <w:widowControl w:val="0"/>
      <w:spacing w:after="0" w:line="240" w:lineRule="auto"/>
      <w:jc w:val="both"/>
      <w:outlineLvl w:val="8"/>
    </w:pPr>
    <w:rPr>
      <w:rFonts w:eastAsiaTheme="majorEastAsia" w:cstheme="majorBidi"/>
      <w:color w:val="595959" w:themeColor="text1" w:themeTint="A6"/>
      <w:kern w:val="2"/>
      <w:sz w:val="21"/>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6546A"/>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46546A"/>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46546A"/>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46546A"/>
    <w:rPr>
      <w:rFonts w:cstheme="majorBidi"/>
      <w:color w:val="2F5496" w:themeColor="accent1" w:themeShade="BF"/>
      <w:sz w:val="28"/>
      <w:szCs w:val="28"/>
    </w:rPr>
  </w:style>
  <w:style w:type="character" w:customStyle="1" w:styleId="50">
    <w:name w:val="标题 5 字符"/>
    <w:basedOn w:val="a0"/>
    <w:link w:val="5"/>
    <w:uiPriority w:val="9"/>
    <w:semiHidden/>
    <w:rsid w:val="0046546A"/>
    <w:rPr>
      <w:rFonts w:cstheme="majorBidi"/>
      <w:color w:val="2F5496" w:themeColor="accent1" w:themeShade="BF"/>
      <w:sz w:val="24"/>
    </w:rPr>
  </w:style>
  <w:style w:type="character" w:customStyle="1" w:styleId="60">
    <w:name w:val="标题 6 字符"/>
    <w:basedOn w:val="a0"/>
    <w:link w:val="6"/>
    <w:uiPriority w:val="9"/>
    <w:semiHidden/>
    <w:rsid w:val="0046546A"/>
    <w:rPr>
      <w:rFonts w:cstheme="majorBidi"/>
      <w:b/>
      <w:bCs/>
      <w:color w:val="2F5496" w:themeColor="accent1" w:themeShade="BF"/>
    </w:rPr>
  </w:style>
  <w:style w:type="character" w:customStyle="1" w:styleId="70">
    <w:name w:val="标题 7 字符"/>
    <w:basedOn w:val="a0"/>
    <w:link w:val="7"/>
    <w:uiPriority w:val="9"/>
    <w:semiHidden/>
    <w:rsid w:val="0046546A"/>
    <w:rPr>
      <w:rFonts w:cstheme="majorBidi"/>
      <w:b/>
      <w:bCs/>
      <w:color w:val="595959" w:themeColor="text1" w:themeTint="A6"/>
    </w:rPr>
  </w:style>
  <w:style w:type="character" w:customStyle="1" w:styleId="80">
    <w:name w:val="标题 8 字符"/>
    <w:basedOn w:val="a0"/>
    <w:link w:val="8"/>
    <w:uiPriority w:val="9"/>
    <w:semiHidden/>
    <w:rsid w:val="0046546A"/>
    <w:rPr>
      <w:rFonts w:cstheme="majorBidi"/>
      <w:color w:val="595959" w:themeColor="text1" w:themeTint="A6"/>
    </w:rPr>
  </w:style>
  <w:style w:type="character" w:customStyle="1" w:styleId="90">
    <w:name w:val="标题 9 字符"/>
    <w:basedOn w:val="a0"/>
    <w:link w:val="9"/>
    <w:uiPriority w:val="9"/>
    <w:semiHidden/>
    <w:rsid w:val="0046546A"/>
    <w:rPr>
      <w:rFonts w:eastAsiaTheme="majorEastAsia" w:cstheme="majorBidi"/>
      <w:color w:val="595959" w:themeColor="text1" w:themeTint="A6"/>
    </w:rPr>
  </w:style>
  <w:style w:type="paragraph" w:styleId="a3">
    <w:name w:val="Title"/>
    <w:basedOn w:val="a"/>
    <w:next w:val="a"/>
    <w:link w:val="a4"/>
    <w:uiPriority w:val="10"/>
    <w:qFormat/>
    <w:rsid w:val="0046546A"/>
    <w:pPr>
      <w:widowControl w:val="0"/>
      <w:spacing w:after="80" w:line="240" w:lineRule="auto"/>
      <w:contextualSpacing/>
      <w:jc w:val="center"/>
    </w:pPr>
    <w:rPr>
      <w:rFonts w:asciiTheme="majorHAnsi" w:eastAsiaTheme="majorEastAsia" w:hAnsiTheme="majorHAnsi" w:cstheme="majorBidi"/>
      <w:spacing w:val="-10"/>
      <w:kern w:val="28"/>
      <w:sz w:val="56"/>
      <w:szCs w:val="56"/>
      <w:lang w:eastAsia="zh-CN"/>
    </w:rPr>
  </w:style>
  <w:style w:type="character" w:customStyle="1" w:styleId="a4">
    <w:name w:val="标题 字符"/>
    <w:basedOn w:val="a0"/>
    <w:link w:val="a3"/>
    <w:uiPriority w:val="10"/>
    <w:rsid w:val="0046546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6546A"/>
    <w:pPr>
      <w:widowControl w:val="0"/>
      <w:numPr>
        <w:ilvl w:val="1"/>
      </w:numPr>
      <w:spacing w:line="240" w:lineRule="auto"/>
      <w:jc w:val="center"/>
    </w:pPr>
    <w:rPr>
      <w:rFonts w:asciiTheme="majorHAnsi" w:eastAsiaTheme="majorEastAsia" w:hAnsiTheme="majorHAnsi" w:cstheme="majorBidi"/>
      <w:color w:val="595959" w:themeColor="text1" w:themeTint="A6"/>
      <w:spacing w:val="15"/>
      <w:kern w:val="2"/>
      <w:sz w:val="28"/>
      <w:szCs w:val="28"/>
      <w:lang w:eastAsia="zh-CN"/>
    </w:rPr>
  </w:style>
  <w:style w:type="character" w:customStyle="1" w:styleId="a6">
    <w:name w:val="副标题 字符"/>
    <w:basedOn w:val="a0"/>
    <w:link w:val="a5"/>
    <w:uiPriority w:val="11"/>
    <w:rsid w:val="0046546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6546A"/>
    <w:pPr>
      <w:widowControl w:val="0"/>
      <w:spacing w:before="160" w:line="240" w:lineRule="auto"/>
      <w:jc w:val="center"/>
    </w:pPr>
    <w:rPr>
      <w:rFonts w:eastAsiaTheme="minorEastAsia"/>
      <w:i/>
      <w:iCs/>
      <w:color w:val="404040" w:themeColor="text1" w:themeTint="BF"/>
      <w:kern w:val="2"/>
      <w:sz w:val="21"/>
      <w:szCs w:val="24"/>
      <w:lang w:eastAsia="zh-CN"/>
    </w:rPr>
  </w:style>
  <w:style w:type="character" w:customStyle="1" w:styleId="a8">
    <w:name w:val="引用 字符"/>
    <w:basedOn w:val="a0"/>
    <w:link w:val="a7"/>
    <w:uiPriority w:val="29"/>
    <w:rsid w:val="0046546A"/>
    <w:rPr>
      <w:i/>
      <w:iCs/>
      <w:color w:val="404040" w:themeColor="text1" w:themeTint="BF"/>
    </w:rPr>
  </w:style>
  <w:style w:type="paragraph" w:styleId="a9">
    <w:name w:val="List Paragraph"/>
    <w:basedOn w:val="a"/>
    <w:uiPriority w:val="34"/>
    <w:qFormat/>
    <w:rsid w:val="0046546A"/>
    <w:pPr>
      <w:widowControl w:val="0"/>
      <w:spacing w:after="0" w:line="240" w:lineRule="auto"/>
      <w:ind w:left="720"/>
      <w:contextualSpacing/>
      <w:jc w:val="both"/>
    </w:pPr>
    <w:rPr>
      <w:rFonts w:eastAsiaTheme="minorEastAsia"/>
      <w:kern w:val="2"/>
      <w:sz w:val="21"/>
      <w:szCs w:val="24"/>
      <w:lang w:eastAsia="zh-CN"/>
    </w:rPr>
  </w:style>
  <w:style w:type="character" w:styleId="aa">
    <w:name w:val="Intense Emphasis"/>
    <w:basedOn w:val="a0"/>
    <w:uiPriority w:val="21"/>
    <w:qFormat/>
    <w:rsid w:val="0046546A"/>
    <w:rPr>
      <w:i/>
      <w:iCs/>
      <w:color w:val="2F5496" w:themeColor="accent1" w:themeShade="BF"/>
    </w:rPr>
  </w:style>
  <w:style w:type="paragraph" w:styleId="ab">
    <w:name w:val="Intense Quote"/>
    <w:basedOn w:val="a"/>
    <w:next w:val="a"/>
    <w:link w:val="ac"/>
    <w:uiPriority w:val="30"/>
    <w:qFormat/>
    <w:rsid w:val="0046546A"/>
    <w:pPr>
      <w:widowControl w:val="0"/>
      <w:pBdr>
        <w:top w:val="single" w:sz="4" w:space="10" w:color="2F5496" w:themeColor="accent1" w:themeShade="BF"/>
        <w:bottom w:val="single" w:sz="4" w:space="10" w:color="2F5496" w:themeColor="accent1" w:themeShade="BF"/>
      </w:pBdr>
      <w:spacing w:before="360" w:after="360" w:line="240" w:lineRule="auto"/>
      <w:ind w:left="864" w:right="864"/>
      <w:jc w:val="center"/>
    </w:pPr>
    <w:rPr>
      <w:rFonts w:eastAsiaTheme="minorEastAsia"/>
      <w:i/>
      <w:iCs/>
      <w:color w:val="2F5496" w:themeColor="accent1" w:themeShade="BF"/>
      <w:kern w:val="2"/>
      <w:sz w:val="21"/>
      <w:szCs w:val="24"/>
      <w:lang w:eastAsia="zh-CN"/>
    </w:rPr>
  </w:style>
  <w:style w:type="character" w:customStyle="1" w:styleId="ac">
    <w:name w:val="明显引用 字符"/>
    <w:basedOn w:val="a0"/>
    <w:link w:val="ab"/>
    <w:uiPriority w:val="30"/>
    <w:rsid w:val="0046546A"/>
    <w:rPr>
      <w:i/>
      <w:iCs/>
      <w:color w:val="2F5496" w:themeColor="accent1" w:themeShade="BF"/>
    </w:rPr>
  </w:style>
  <w:style w:type="character" w:styleId="ad">
    <w:name w:val="Intense Reference"/>
    <w:basedOn w:val="a0"/>
    <w:uiPriority w:val="32"/>
    <w:qFormat/>
    <w:rsid w:val="0046546A"/>
    <w:rPr>
      <w:b/>
      <w:bCs/>
      <w:smallCaps/>
      <w:color w:val="2F5496" w:themeColor="accent1" w:themeShade="BF"/>
      <w:spacing w:val="5"/>
    </w:rPr>
  </w:style>
  <w:style w:type="paragraph" w:styleId="ae">
    <w:name w:val="header"/>
    <w:basedOn w:val="a"/>
    <w:link w:val="af"/>
    <w:uiPriority w:val="99"/>
    <w:unhideWhenUsed/>
    <w:rsid w:val="0046546A"/>
    <w:pPr>
      <w:tabs>
        <w:tab w:val="center" w:pos="4680"/>
        <w:tab w:val="right" w:pos="9360"/>
      </w:tabs>
      <w:spacing w:after="0" w:line="240" w:lineRule="auto"/>
    </w:pPr>
  </w:style>
  <w:style w:type="character" w:customStyle="1" w:styleId="af">
    <w:name w:val="页眉 字符"/>
    <w:basedOn w:val="a0"/>
    <w:link w:val="ae"/>
    <w:uiPriority w:val="99"/>
    <w:rsid w:val="0046546A"/>
    <w:rPr>
      <w:rFonts w:eastAsia="宋体"/>
      <w:kern w:val="0"/>
      <w:sz w:val="22"/>
      <w:szCs w:val="22"/>
      <w:lang w:eastAsia="en-US"/>
    </w:rPr>
  </w:style>
  <w:style w:type="character" w:styleId="af0">
    <w:name w:val="Strong"/>
    <w:basedOn w:val="a0"/>
    <w:uiPriority w:val="22"/>
    <w:qFormat/>
    <w:rsid w:val="0046546A"/>
    <w:rPr>
      <w:b/>
      <w:bCs/>
    </w:rPr>
  </w:style>
  <w:style w:type="character" w:styleId="af1">
    <w:name w:val="Hyperlink"/>
    <w:basedOn w:val="a0"/>
    <w:uiPriority w:val="99"/>
    <w:unhideWhenUsed/>
    <w:rsid w:val="0046546A"/>
    <w:rPr>
      <w:color w:val="0563C1" w:themeColor="hyperlink"/>
      <w:u w:val="single"/>
    </w:rPr>
  </w:style>
  <w:style w:type="paragraph" w:styleId="af2">
    <w:name w:val="No Spacing"/>
    <w:uiPriority w:val="1"/>
    <w:qFormat/>
    <w:rsid w:val="0046546A"/>
    <w:pPr>
      <w:spacing w:line="480" w:lineRule="auto"/>
      <w:ind w:left="720" w:hanging="720"/>
    </w:pPr>
    <w:rPr>
      <w:rFonts w:ascii="Times New Roman" w:eastAsia="宋体" w:hAnsi="Times New Roman"/>
      <w:kern w:val="0"/>
      <w:sz w:val="24"/>
      <w:szCs w:val="22"/>
      <w:lang w:eastAsia="en-US"/>
    </w:rPr>
  </w:style>
  <w:style w:type="paragraph" w:styleId="TOC">
    <w:name w:val="TOC Heading"/>
    <w:basedOn w:val="1"/>
    <w:next w:val="a"/>
    <w:uiPriority w:val="39"/>
    <w:unhideWhenUsed/>
    <w:qFormat/>
    <w:rsid w:val="0046546A"/>
    <w:pPr>
      <w:widowControl/>
      <w:spacing w:before="240" w:after="0" w:line="259" w:lineRule="auto"/>
      <w:jc w:val="left"/>
      <w:outlineLvl w:val="9"/>
    </w:pPr>
    <w:rPr>
      <w:kern w:val="0"/>
      <w:sz w:val="32"/>
      <w:szCs w:val="32"/>
      <w:lang w:eastAsia="en-US"/>
    </w:rPr>
  </w:style>
  <w:style w:type="paragraph" w:styleId="TOC1">
    <w:name w:val="toc 1"/>
    <w:basedOn w:val="a"/>
    <w:next w:val="a"/>
    <w:autoRedefine/>
    <w:uiPriority w:val="39"/>
    <w:unhideWhenUsed/>
    <w:rsid w:val="0046546A"/>
    <w:pPr>
      <w:spacing w:after="100"/>
    </w:pPr>
  </w:style>
  <w:style w:type="paragraph" w:styleId="TOC2">
    <w:name w:val="toc 2"/>
    <w:basedOn w:val="a"/>
    <w:next w:val="a"/>
    <w:autoRedefine/>
    <w:uiPriority w:val="39"/>
    <w:unhideWhenUsed/>
    <w:rsid w:val="0046546A"/>
    <w:pPr>
      <w:spacing w:after="100"/>
      <w:ind w:left="220"/>
    </w:pPr>
  </w:style>
  <w:style w:type="paragraph" w:styleId="af3">
    <w:name w:val="footer"/>
    <w:basedOn w:val="a"/>
    <w:link w:val="af4"/>
    <w:uiPriority w:val="99"/>
    <w:unhideWhenUsed/>
    <w:rsid w:val="0046546A"/>
    <w:pPr>
      <w:tabs>
        <w:tab w:val="center" w:pos="4153"/>
        <w:tab w:val="right" w:pos="8306"/>
      </w:tabs>
      <w:snapToGrid w:val="0"/>
      <w:spacing w:line="240" w:lineRule="auto"/>
    </w:pPr>
    <w:rPr>
      <w:sz w:val="18"/>
      <w:szCs w:val="18"/>
    </w:rPr>
  </w:style>
  <w:style w:type="character" w:customStyle="1" w:styleId="af4">
    <w:name w:val="页脚 字符"/>
    <w:basedOn w:val="a0"/>
    <w:link w:val="af3"/>
    <w:uiPriority w:val="99"/>
    <w:rsid w:val="0046546A"/>
    <w:rPr>
      <w:rFonts w:eastAsia="宋体"/>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1356910">
      <w:bodyDiv w:val="1"/>
      <w:marLeft w:val="0"/>
      <w:marRight w:val="0"/>
      <w:marTop w:val="0"/>
      <w:marBottom w:val="0"/>
      <w:divBdr>
        <w:top w:val="none" w:sz="0" w:space="0" w:color="auto"/>
        <w:left w:val="none" w:sz="0" w:space="0" w:color="auto"/>
        <w:bottom w:val="none" w:sz="0" w:space="0" w:color="auto"/>
        <w:right w:val="none" w:sz="0" w:space="0" w:color="auto"/>
      </w:divBdr>
    </w:div>
    <w:div w:id="186124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19</Pages>
  <Words>4614</Words>
  <Characters>26300</Characters>
  <Application>Microsoft Office Word</Application>
  <DocSecurity>0</DocSecurity>
  <Lines>219</Lines>
  <Paragraphs>61</Paragraphs>
  <ScaleCrop>false</ScaleCrop>
  <Company/>
  <LinksUpToDate>false</LinksUpToDate>
  <CharactersWithSpaces>30853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Qiu, Yuhao</dc:creator>
  <cp:keywords/>
  <dc:description/>
  <cp:lastModifiedBy>Qiu, Yuhao</cp:lastModifiedBy>
  <cp:revision>17</cp:revision>
  <dcterms:created xsi:type="dcterms:W3CDTF">2025-01-05T22:18:00Z</dcterms:created>
  <dcterms:modified xsi:type="dcterms:W3CDTF">2025-01-06T16:48:00Z</dcterms:modified>
</cp:coreProperties>
</file>