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EDD34B3" w14:textId="77777777" w:rsidR="00710561" w:rsidRDefault="00710561">
      <w:pPr>
        <w:jc w:val="center"/>
        <w:rPr>
          <w:b/>
          <w:sz w:val="32"/>
          <w:szCs w:val="32"/>
        </w:rPr>
      </w:pPr>
    </w:p>
    <w:p w14:paraId="273B89D3" w14:textId="77777777" w:rsidR="00710561" w:rsidRDefault="00710561">
      <w:pPr>
        <w:jc w:val="center"/>
        <w:rPr>
          <w:b/>
          <w:sz w:val="32"/>
          <w:szCs w:val="32"/>
        </w:rPr>
      </w:pPr>
    </w:p>
    <w:p w14:paraId="3223327A" w14:textId="77777777" w:rsidR="00710561" w:rsidRDefault="00710561">
      <w:pPr>
        <w:jc w:val="center"/>
        <w:rPr>
          <w:b/>
          <w:sz w:val="32"/>
          <w:szCs w:val="32"/>
        </w:rPr>
      </w:pPr>
    </w:p>
    <w:p w14:paraId="0B544F76" w14:textId="77777777" w:rsidR="00710561" w:rsidRDefault="00710561">
      <w:pPr>
        <w:jc w:val="center"/>
        <w:rPr>
          <w:b/>
          <w:sz w:val="32"/>
          <w:szCs w:val="32"/>
        </w:rPr>
      </w:pPr>
    </w:p>
    <w:p w14:paraId="3C790CE0" w14:textId="77777777" w:rsidR="00710561" w:rsidRDefault="00710561">
      <w:pPr>
        <w:jc w:val="center"/>
        <w:rPr>
          <w:b/>
          <w:sz w:val="32"/>
          <w:szCs w:val="32"/>
        </w:rPr>
      </w:pPr>
    </w:p>
    <w:p w14:paraId="0AEFD142" w14:textId="77777777" w:rsidR="00710561" w:rsidRDefault="00710561">
      <w:pPr>
        <w:jc w:val="center"/>
        <w:rPr>
          <w:b/>
          <w:sz w:val="32"/>
          <w:szCs w:val="32"/>
        </w:rPr>
      </w:pPr>
    </w:p>
    <w:p w14:paraId="2D3B8953" w14:textId="77777777" w:rsidR="00710561" w:rsidRDefault="00710561">
      <w:pPr>
        <w:jc w:val="center"/>
        <w:rPr>
          <w:b/>
          <w:sz w:val="32"/>
          <w:szCs w:val="32"/>
        </w:rPr>
      </w:pPr>
    </w:p>
    <w:p w14:paraId="600FFF68" w14:textId="77777777" w:rsidR="00710561" w:rsidRDefault="00710561">
      <w:pPr>
        <w:jc w:val="center"/>
        <w:rPr>
          <w:b/>
          <w:sz w:val="32"/>
          <w:szCs w:val="32"/>
        </w:rPr>
      </w:pPr>
    </w:p>
    <w:p w14:paraId="60C612D8" w14:textId="77777777" w:rsidR="00710561" w:rsidRDefault="00913AA4">
      <w:pPr>
        <w:jc w:val="center"/>
        <w:rPr>
          <w:b/>
          <w:sz w:val="32"/>
          <w:szCs w:val="32"/>
        </w:rPr>
      </w:pPr>
      <w:r>
        <w:rPr>
          <w:b/>
          <w:sz w:val="32"/>
          <w:szCs w:val="32"/>
        </w:rPr>
        <w:t>CRIMINAL LAW SCENARIO QUESTION</w:t>
      </w:r>
      <w:r>
        <w:br w:type="page"/>
      </w:r>
    </w:p>
    <w:p w14:paraId="29CDCF0C" w14:textId="77777777" w:rsidR="00710561" w:rsidRDefault="00710561">
      <w:pPr>
        <w:rPr>
          <w:b/>
          <w:sz w:val="28"/>
          <w:szCs w:val="28"/>
        </w:rPr>
      </w:pPr>
      <w:bookmarkStart w:id="0" w:name="_heading=h.gjdgxs" w:colFirst="0" w:colLast="0"/>
      <w:bookmarkEnd w:id="0"/>
    </w:p>
    <w:p w14:paraId="578CCC62" w14:textId="77777777" w:rsidR="00710561" w:rsidRDefault="00913AA4">
      <w:pPr>
        <w:pStyle w:val="Heading1"/>
      </w:pPr>
      <w:bookmarkStart w:id="1" w:name="_heading=h.30j0zll" w:colFirst="0" w:colLast="0"/>
      <w:bookmarkEnd w:id="1"/>
      <w:r>
        <w:t>Introduction</w:t>
      </w:r>
    </w:p>
    <w:p w14:paraId="4F89C150" w14:textId="77777777" w:rsidR="00710561" w:rsidRDefault="00913AA4">
      <w:r>
        <w:t xml:space="preserve">This report will focus on the preventative measures law enforcement officers take to safeguard their safety in light of new laws and real incidences of criminal violence. The onus of establishing guilt rests squarely on the shoulders of the prosecution, which must offer evidence demonstrating that the accused was aware that what they were doing was illegal. On the other hand, according to English criminal law, the accused person has the right to challenge in a general way to the prosecution's contention that they were wrongfully accused. Justifications like insanity, automatism, duress, self-defence, and drunkenness are often cited in the United Kingdom. In spite of this, the determination of whether or not the accused genuinely intends to commit the crime is made entirely based on hypothetical and circumstantial evidence. It has been noted </w:t>
      </w:r>
      <w:r w:rsidRPr="00DD25B9">
        <w:t>that defence solicitors or barristers often</w:t>
      </w:r>
      <w:r>
        <w:t xml:space="preserve"> employ these justifications to have their clients' sentences lowered or be acquitted of the charges against them. When determining whether or not the act was done intentionally, the court considers all of the circumstantial evidence. This investigation will focus on the Case of Polly and Mohammed to investigate modern-day fields of criminal defence and give cases of case law that are pertinent to the field. The history of the Case will be reviewed, and possible defence strategies will be presented; all of this will be done to arrive at a probable conclusion.                                </w:t>
      </w:r>
    </w:p>
    <w:p w14:paraId="72CA019C" w14:textId="77777777" w:rsidR="00710561" w:rsidRDefault="00913AA4">
      <w:pPr>
        <w:pStyle w:val="Heading2"/>
      </w:pPr>
      <w:bookmarkStart w:id="2" w:name="_heading=h.1fob9te" w:colFirst="0" w:colLast="0"/>
      <w:bookmarkEnd w:id="2"/>
      <w:r>
        <w:t>Case background</w:t>
      </w:r>
    </w:p>
    <w:p w14:paraId="4AACBEEC" w14:textId="0D6B0524" w:rsidR="00710561" w:rsidRDefault="00913AA4">
      <w:r>
        <w:t xml:space="preserve">Despite Polly's illness, Mohammed has stayed at her side for the last decade. After seeing Mohammad </w:t>
      </w:r>
      <w:r w:rsidRPr="00DD25B9">
        <w:t>make eyes at the barman</w:t>
      </w:r>
      <w:r>
        <w:t xml:space="preserve">, Roxanne, and Polly, begin to suspect everyone. Roxanne made an insensitive remark, and Polly immediately lashed out at her </w:t>
      </w:r>
      <w:r w:rsidRPr="00DD25B9">
        <w:t>and used slang.</w:t>
      </w:r>
      <w:r>
        <w:t xml:space="preserve"> She had been so disrespectful to the staff that she had to leave the pub voluntarily. Polly found Roxanne's scooter in the parking lot and used a piece of glass to cut the brake lines. After they had been home for a while, Polly began to think that Mohammed had developed romantic feelings for Roxanne. As a result, she concluded that Roxanne must be more attractive to Mohammed than she was. Mohammed tried to convince Roxanne that nothing had changed for nine months, but he finally lost his cool and admitted mockingly that he had been </w:t>
      </w:r>
      <w:r w:rsidRPr="00DD25B9">
        <w:t xml:space="preserve">having an affair with her. Polly lost her cool, shouted at Mohammed, and threw an ashtray at him. Due to a fracture in the skull, Mohammed </w:t>
      </w:r>
      <w:r w:rsidRPr="00DD25B9">
        <w:lastRenderedPageBreak/>
        <w:t>died. All evidence goes directly against Polly, making her guilty in this incident. However</w:t>
      </w:r>
      <w:r>
        <w:t xml:space="preserve">, this investigation focuses on whether Polly intended to commit the crime and on using case law to assess the breadth of her </w:t>
      </w:r>
      <w:r w:rsidRPr="00DD25B9">
        <w:t xml:space="preserve">potential </w:t>
      </w:r>
      <w:r w:rsidR="00DD25B9" w:rsidRPr="00DD25B9">
        <w:rPr>
          <w:shd w:val="clear" w:color="auto" w:fill="4A86E8"/>
        </w:rPr>
        <w:t>defences</w:t>
      </w:r>
      <w:r w:rsidR="00DD25B9">
        <w:rPr>
          <w:shd w:val="clear" w:color="auto" w:fill="4A86E8"/>
        </w:rPr>
        <w:t xml:space="preserve"> </w:t>
      </w:r>
      <w:r>
        <w:rPr>
          <w:shd w:val="clear" w:color="auto" w:fill="4A86E8"/>
        </w:rPr>
        <w:t xml:space="preserve"> </w:t>
      </w:r>
      <w:r>
        <w:t xml:space="preserve">   </w:t>
      </w:r>
    </w:p>
    <w:p w14:paraId="60254A4F" w14:textId="77777777" w:rsidR="00710561" w:rsidRDefault="00913AA4">
      <w:pPr>
        <w:pStyle w:val="Heading1"/>
      </w:pPr>
      <w:bookmarkStart w:id="3" w:name="_heading=h.3znysh7" w:colFirst="0" w:colLast="0"/>
      <w:bookmarkEnd w:id="3"/>
      <w:r>
        <w:t xml:space="preserve">Possible defences in this situation </w:t>
      </w:r>
    </w:p>
    <w:p w14:paraId="11A0AC18" w14:textId="77777777" w:rsidR="00710561" w:rsidRDefault="00913AA4">
      <w:r>
        <w:t>According to the findings of a study conducted by Appelbaum (2022), one of the primary defences used in criminal proceedings is insanity. This defence is used in situations when the accused suffers from significant mental health issues but does not truly mean to commit a crime or have an understanding of the actions they will do and the repercussions they will have. It is possible that Polly's Case could be successfully defended because she is insane due to the severe mental disorder of schizophrenia, which she suffers from. This mental disorder may manifest in various ways, including extreme delusion, hallucinations, abnormal behaviour and cognition, etc. Because of these symptoms, it may be difficult for the patient to keep their anger under control and continue with their regular activities.</w:t>
      </w:r>
    </w:p>
    <w:p w14:paraId="5BF6BDB4" w14:textId="77777777" w:rsidR="00710561" w:rsidRDefault="00913AA4">
      <w:r>
        <w:t>As a consequence of this, the prosecutor for the defence may present a case for insanity by arguing that the defendant has a mental illness and providing supporting medical evidence. "</w:t>
      </w:r>
      <w:proofErr w:type="spellStart"/>
      <w:r>
        <w:t>M'Naghten's</w:t>
      </w:r>
      <w:proofErr w:type="spellEnd"/>
      <w:r>
        <w:t xml:space="preserve"> Case 10 C &amp; F 200" (1843), which was cited in Mack (n.d.), is a case law illustration of insanity. On this occasion, it was inappropriate for Daniel </w:t>
      </w:r>
      <w:proofErr w:type="spellStart"/>
      <w:r>
        <w:t>M'Naghten</w:t>
      </w:r>
      <w:proofErr w:type="spellEnd"/>
      <w:r>
        <w:t xml:space="preserve"> to shoot Edward Drummond, yet he did it nevertheless. Drummond was the unintended victim, but he was killed because the assailant mistakenly believed that Drummond was the former British prime minister Robert Peel.</w:t>
      </w:r>
    </w:p>
    <w:p w14:paraId="23D889F2" w14:textId="77777777" w:rsidR="00710561" w:rsidRDefault="00913AA4">
      <w:r>
        <w:t xml:space="preserve">On the other hand, in this case, the defence argued that the accused suffered from a sick delusion and was confused about his morals, thinking it was wrong to murder another person. As a direct consequence, the House of Lords concluded that he was insane and should be released from custody (Mack, n.d.). Following the decision, the "House of Lords" issued an explanation that came to be known as the </w:t>
      </w:r>
      <w:proofErr w:type="spellStart"/>
      <w:r>
        <w:t>M'Naghten</w:t>
      </w:r>
      <w:proofErr w:type="spellEnd"/>
      <w:r>
        <w:t xml:space="preserve"> Rules. These rules are used when making decisions about instances of insanity. The standard procedure requires the jury to proceed with reasonable caution and assume that all defendants are sane. This is the case up until the point where contradictory evidence supporting insanity is </w:t>
      </w:r>
      <w:r w:rsidRPr="00DD25B9">
        <w:t>established. It must be shown beyond a reasonable doubt that the accused individual in the Case was suffering from a mental disorder and lacked the capacity for rational thought at the time of the commission of the crime</w:t>
      </w:r>
      <w:r>
        <w:t xml:space="preserve"> (Weiss and Joy, 2021). Additionally, a </w:t>
      </w:r>
      <w:r>
        <w:lastRenderedPageBreak/>
        <w:t>defence based on insanity may be presented for the accused person if it can be proven that they were unaware of the nature or characteristics of the behaviour in question and that the behaviour in question was illegal.</w:t>
      </w:r>
    </w:p>
    <w:p w14:paraId="4530BD70" w14:textId="77777777" w:rsidR="00710561" w:rsidRDefault="00913AA4">
      <w:r>
        <w:t xml:space="preserve">When Clarke was arrested for her persistent theft, the Case "R v. Clarke 1 All ER 219" (1972) was filed against her. Clarke was the defendant in this Case. She crammed several items into her purse, including jars of butter, coffee, and mincemeat (Law courses, n.d.). She also packed her lunch and was consequently found guilty of a theft charge under the authority of "Theft Act 1968" c.60, s.1. The defendant, on the other hand, has asserted that she must have committed the theft unintentionally since she has no memory of ever having committed such an act. She stated that her crime was not motivated by men's rea. The psychiatrist and general practitioner testified and verified that she was depressed in this instance, and the jury requested medical evidence, which revealed that she had diabetes and that the episode of forgetfulness was significantly connected to her loneliness (Law Teacher, 2021). As a consequence, Clarke was acquitted and declared not guilty on the grounds of the medical evidence. As a result, Polly's Case may be justified based on insanity since she had a history of schizophrenia, was completely out of control as a result of paranoia, and had no clue what she was going to do at the time of throwing the ashtray towards the head of her husband. </w:t>
      </w:r>
    </w:p>
    <w:p w14:paraId="79E05830" w14:textId="77777777" w:rsidR="00710561" w:rsidRDefault="00913AA4">
      <w:r>
        <w:t xml:space="preserve">Another criminal defence approach Polly may employ to justify her conduct is automatism. Automatism is when muscles are used to do </w:t>
      </w:r>
      <w:r w:rsidRPr="00DD25B9">
        <w:t xml:space="preserve">an unlawful act without voluntary control </w:t>
      </w:r>
      <w:r>
        <w:t xml:space="preserve">or participation, per the legal precedent set in the Case of "Bratty vs Attorney General Northern Ireland" (Kopelman, 2022). It may have been a reflex, a spasm, a convulsion, or an act the accused did without thinking about. For example, the accused could have done something while they were sleepwalking, when they had dementia, or when they had a concussion. Perkins was the defendant in "Broome v Perkins, 85 Cr App R 321" (1987), which featured charges of duty breach and contributory </w:t>
      </w:r>
      <w:r w:rsidRPr="00DD25B9">
        <w:t>negligence (</w:t>
      </w:r>
      <w:r w:rsidRPr="00DD25B9">
        <w:rPr>
          <w:color w:val="222222"/>
        </w:rPr>
        <w:t>Rumbold, 2013</w:t>
      </w:r>
      <w:r w:rsidRPr="00DD25B9">
        <w:t>).</w:t>
      </w:r>
      <w:r>
        <w:t xml:space="preserve"> Throughout the court proceeding, the defendant claimed that he had diabetes, had a hypoglycaemic episode, and eventually resorted to "automatic driving" mode. Therefore, his careless driving was wholly automatic and unintentional rather than the result of men's rea. The jury reached its verdict after considering the defendant's medical condition when the incident occurred. It concluded that the defendant had no control over his conduct (Law Teacher, 2019). Because Perkins' defence relied on automatism, he was found not </w:t>
      </w:r>
      <w:r>
        <w:lastRenderedPageBreak/>
        <w:t xml:space="preserve">guilty of the charge. In a manner comparable to Polly, who struggled with anxiety and schizophrenia, Polly acquired paranoia around the time that the murder took place. The event suggests that Polly had a romantic attachment to Mohammed since she was possessive of him. However, her mental paranoia led her to lose control when she grew upset, and the accidental murder was not at all what she had intended. Due to her mental state, Polly could not manage her behaviours and was utterly clueless about what she was doing at the time. Thus, the criminal defence theory of automatism may be used to support the Case of crime.                 </w:t>
      </w:r>
    </w:p>
    <w:p w14:paraId="2EA415DC" w14:textId="77777777" w:rsidR="00710561" w:rsidRDefault="00913AA4">
      <w:r>
        <w:t xml:space="preserve">Additionally, the amount of intoxication may be utilised to defend Polly's Case. On the day of the </w:t>
      </w:r>
      <w:r w:rsidRPr="00DD25B9">
        <w:t xml:space="preserve">crime, Polly and Mohammed went to a bar while inebriated and were not voluntarily intoxicated. </w:t>
      </w:r>
      <w:r>
        <w:t xml:space="preserve">The fact that none of them consumed alcohol makes a crime unjustifiable on the grounds of intoxication. For example, the defendant in the case "R v Lipman 1 QB 152" (1970) was addicted to LSD and brutally killed despite considerable evidence that the victim had been asphyxiated (Law Prof, n.d.). The court ruled that the defendant was guilty of the crime. The defendant disputed that his acts were uncontrolled and claimed that his intoxication was to blame. As a result of the courage of the Dutch, the jury declined to hear his appeal, and he was sentenced to six years in jail (Law Prof, n.d.). However, in Polly's Case, the fact that she was wilfully intoxicated and suffering from a mental condition supports the defence. It helps to reduce the length of her sentence.                                </w:t>
      </w:r>
    </w:p>
    <w:p w14:paraId="67E76C77" w14:textId="77777777" w:rsidR="00710561" w:rsidRDefault="00913AA4">
      <w:pPr>
        <w:pStyle w:val="Heading1"/>
      </w:pPr>
      <w:bookmarkStart w:id="4" w:name="_heading=h.2et92p0" w:colFirst="0" w:colLast="0"/>
      <w:bookmarkEnd w:id="4"/>
      <w:r>
        <w:t>Conclusion</w:t>
      </w:r>
    </w:p>
    <w:p w14:paraId="3438FF60" w14:textId="77777777" w:rsidR="00710561" w:rsidRDefault="00913AA4">
      <w:r>
        <w:t xml:space="preserve">Multiple case laws have been examined and applied to the Polly and Mohammed case to identify possible defence options. It has been decided that a valid defence might be presented based on insanity and automatism in this Case. When used in conjunction with the strategies above, voluntary drunkenness defending ground can strengthen the defence and mitigate the penalty significantly. </w:t>
      </w:r>
    </w:p>
    <w:p w14:paraId="09A9E02B" w14:textId="77777777" w:rsidR="00710561" w:rsidRDefault="00913AA4">
      <w:r>
        <w:br w:type="page"/>
      </w:r>
    </w:p>
    <w:p w14:paraId="55098060" w14:textId="77777777" w:rsidR="00710561" w:rsidRDefault="00913AA4">
      <w:pPr>
        <w:pStyle w:val="Heading1"/>
      </w:pPr>
      <w:bookmarkStart w:id="5" w:name="_heading=h.tyjcwt" w:colFirst="0" w:colLast="0"/>
      <w:bookmarkEnd w:id="5"/>
      <w:r>
        <w:lastRenderedPageBreak/>
        <w:t xml:space="preserve">Reference list </w:t>
      </w:r>
    </w:p>
    <w:p w14:paraId="688EC9E6" w14:textId="77777777" w:rsidR="00710561" w:rsidRDefault="00913AA4">
      <w:pPr>
        <w:spacing w:before="240" w:after="240"/>
      </w:pPr>
      <w:r>
        <w:t xml:space="preserve">Appelbaum, P.S., 2022. Settled insanity: substance use meets the insanity defence. </w:t>
      </w:r>
      <w:r>
        <w:rPr>
          <w:i/>
        </w:rPr>
        <w:t>Psychiatric services</w:t>
      </w:r>
      <w:r>
        <w:t xml:space="preserve">, </w:t>
      </w:r>
      <w:r>
        <w:rPr>
          <w:i/>
        </w:rPr>
        <w:t>73</w:t>
      </w:r>
      <w:r>
        <w:t>(1), pp.105-107.</w:t>
      </w:r>
    </w:p>
    <w:p w14:paraId="48E47364" w14:textId="77777777" w:rsidR="00710561" w:rsidRDefault="00913AA4">
      <w:pPr>
        <w:spacing w:before="240" w:after="240"/>
      </w:pPr>
      <w:r>
        <w:t xml:space="preserve">Kopelman, M.D., 2022. Automatism: Are we throwing the baby out with the bathwater? </w:t>
      </w:r>
      <w:r>
        <w:rPr>
          <w:i/>
        </w:rPr>
        <w:t>Medicine, Science and the Law</w:t>
      </w:r>
      <w:r>
        <w:t xml:space="preserve">, </w:t>
      </w:r>
      <w:r>
        <w:rPr>
          <w:i/>
        </w:rPr>
        <w:t>62</w:t>
      </w:r>
      <w:r>
        <w:t>(4), pp.245-247.</w:t>
      </w:r>
    </w:p>
    <w:p w14:paraId="7F2BA050" w14:textId="77777777" w:rsidR="00710561" w:rsidRDefault="00913AA4">
      <w:pPr>
        <w:spacing w:before="240" w:after="240"/>
      </w:pPr>
      <w:r>
        <w:t xml:space="preserve">Law courses, n.d. </w:t>
      </w:r>
      <w:r>
        <w:rPr>
          <w:i/>
        </w:rPr>
        <w:t>R v Clarke [1972] 1 All ER 219 Court of Appeal.</w:t>
      </w:r>
      <w:r>
        <w:t xml:space="preserve"> Available at: https://www.e-lawresources.co.uk/R-v-Clarke.php (Accessed 03 May 2023).</w:t>
      </w:r>
    </w:p>
    <w:p w14:paraId="47B206DC" w14:textId="77777777" w:rsidR="00710561" w:rsidRDefault="00913AA4">
      <w:pPr>
        <w:spacing w:before="240" w:after="240"/>
      </w:pPr>
      <w:r>
        <w:t xml:space="preserve">Law Prof, n.d. </w:t>
      </w:r>
      <w:r>
        <w:rPr>
          <w:i/>
        </w:rPr>
        <w:t>R v Lipman [1970] 1 QB 152.</w:t>
      </w:r>
      <w:r>
        <w:t xml:space="preserve"> Available at: </w:t>
      </w:r>
      <w:hyperlink r:id="rId7">
        <w:r>
          <w:rPr>
            <w:color w:val="1155CC"/>
            <w:u w:val="single"/>
          </w:rPr>
          <w:t>https://lawprof.co/criminal-law/incapacity-cases/lipman-1970-1-qb-152/</w:t>
        </w:r>
      </w:hyperlink>
      <w:r>
        <w:t xml:space="preserve">  (Accessed 03 May 2023).</w:t>
      </w:r>
    </w:p>
    <w:p w14:paraId="13BE120C" w14:textId="77777777" w:rsidR="00710561" w:rsidRDefault="00913AA4">
      <w:pPr>
        <w:spacing w:before="240" w:after="240"/>
      </w:pPr>
      <w:r>
        <w:rPr>
          <w:color w:val="222222"/>
          <w:highlight w:val="white"/>
        </w:rPr>
        <w:t xml:space="preserve">Rumbold, J., 2013. Automatism and driving offences. </w:t>
      </w:r>
      <w:r>
        <w:rPr>
          <w:i/>
          <w:color w:val="222222"/>
          <w:highlight w:val="white"/>
        </w:rPr>
        <w:t>Journal of forensic and legal medicine</w:t>
      </w:r>
      <w:r>
        <w:rPr>
          <w:color w:val="222222"/>
          <w:highlight w:val="white"/>
        </w:rPr>
        <w:t xml:space="preserve">, </w:t>
      </w:r>
      <w:r>
        <w:rPr>
          <w:i/>
          <w:color w:val="222222"/>
          <w:highlight w:val="white"/>
        </w:rPr>
        <w:t>20</w:t>
      </w:r>
      <w:r>
        <w:rPr>
          <w:color w:val="222222"/>
          <w:highlight w:val="white"/>
        </w:rPr>
        <w:t xml:space="preserve">(7), pp.825-829. </w:t>
      </w:r>
      <w:r>
        <w:t xml:space="preserve">Available at: </w:t>
      </w:r>
      <w:hyperlink r:id="rId8">
        <w:r>
          <w:rPr>
            <w:color w:val="4A86E8"/>
            <w:u w:val="single"/>
          </w:rPr>
          <w:t>https://doi.org/10.1016/j.jflm.2013.06.014</w:t>
        </w:r>
      </w:hyperlink>
      <w:r>
        <w:t xml:space="preserve"> (Accessed 03 May 2023).</w:t>
      </w:r>
    </w:p>
    <w:p w14:paraId="7DC70DF4" w14:textId="77777777" w:rsidR="00710561" w:rsidRDefault="00913AA4">
      <w:pPr>
        <w:spacing w:before="240" w:after="240"/>
      </w:pPr>
      <w:r>
        <w:t xml:space="preserve">Law Teacher, 2021. </w:t>
      </w:r>
      <w:r>
        <w:rPr>
          <w:i/>
        </w:rPr>
        <w:t>R v Clarke 1972.</w:t>
      </w:r>
      <w:r>
        <w:t xml:space="preserve"> Available at: https://www.lawteacher.net/cases/r-v-clarke.php#:~:text=Legal%20Case%20Summary&amp;text=The%20defendant%20was%20apprehended%20for,1%20and%20was%20convicted. (Accessed 03 May 2023).</w:t>
      </w:r>
    </w:p>
    <w:p w14:paraId="586F414D" w14:textId="77777777" w:rsidR="00710561" w:rsidRDefault="00913AA4">
      <w:pPr>
        <w:spacing w:before="240" w:after="240"/>
      </w:pPr>
      <w:r>
        <w:t xml:space="preserve">Mack, C.T., n.d. </w:t>
      </w:r>
      <w:r>
        <w:rPr>
          <w:i/>
        </w:rPr>
        <w:t>Criminal Law and Procedure—Legal Insanity Not Established By Showing Defendant Operates Under Own Standard Of Morality, 13 Buff. L. Rev. 200 (1963).</w:t>
      </w:r>
      <w:r>
        <w:t xml:space="preserve"> Available at: https://digitalcommons.law.buffalo.edu/buffalolawreview/vol13/iss1/28 (Accessed 03 May 2023).</w:t>
      </w:r>
    </w:p>
    <w:p w14:paraId="3F2903F6" w14:textId="77777777" w:rsidR="00710561" w:rsidRDefault="00913AA4">
      <w:pPr>
        <w:spacing w:before="240" w:after="240"/>
      </w:pPr>
      <w:r>
        <w:t xml:space="preserve">Weiss, K.J. and Joy, M., 2021. An illustrated history of the insanity defence. Chapter 4: </w:t>
      </w:r>
      <w:proofErr w:type="spellStart"/>
      <w:r>
        <w:t>M'Naghten</w:t>
      </w:r>
      <w:proofErr w:type="spellEnd"/>
      <w:r>
        <w:t xml:space="preserve"> rules, but not without a fight. </w:t>
      </w:r>
      <w:r>
        <w:rPr>
          <w:i/>
        </w:rPr>
        <w:t>Journal of the American Academy of Psychiatry and the Law Online June</w:t>
      </w:r>
      <w:r>
        <w:t xml:space="preserve">, </w:t>
      </w:r>
      <w:r>
        <w:rPr>
          <w:i/>
        </w:rPr>
        <w:t>49</w:t>
      </w:r>
      <w:r>
        <w:t>(2), pp.285-293.</w:t>
      </w:r>
    </w:p>
    <w:p w14:paraId="2389B7CE" w14:textId="77777777" w:rsidR="00710561" w:rsidRDefault="00913AA4">
      <w:r>
        <w:t xml:space="preserve"> </w:t>
      </w:r>
    </w:p>
    <w:sectPr w:rsidR="0071056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10045" w14:textId="77777777" w:rsidR="000C3DE4" w:rsidRDefault="000C3DE4">
      <w:pPr>
        <w:spacing w:before="0" w:after="0" w:line="240" w:lineRule="auto"/>
      </w:pPr>
      <w:r>
        <w:separator/>
      </w:r>
    </w:p>
  </w:endnote>
  <w:endnote w:type="continuationSeparator" w:id="0">
    <w:p w14:paraId="5C68E07B" w14:textId="77777777" w:rsidR="000C3DE4" w:rsidRDefault="000C3DE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BE121" w14:textId="77777777" w:rsidR="00710561" w:rsidRDefault="00710561">
    <w:pPr>
      <w:pBdr>
        <w:top w:val="nil"/>
        <w:left w:val="nil"/>
        <w:bottom w:val="nil"/>
        <w:right w:val="nil"/>
        <w:between w:val="nil"/>
      </w:pBdr>
      <w:tabs>
        <w:tab w:val="center" w:pos="4513"/>
        <w:tab w:val="right" w:pos="9026"/>
      </w:tabs>
      <w:spacing w:before="0"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2E2C2" w14:textId="77777777" w:rsidR="00710561" w:rsidRDefault="00913AA4">
    <w:pPr>
      <w:pBdr>
        <w:top w:val="nil"/>
        <w:left w:val="nil"/>
        <w:bottom w:val="nil"/>
        <w:right w:val="nil"/>
        <w:between w:val="nil"/>
      </w:pBdr>
      <w:tabs>
        <w:tab w:val="center" w:pos="4513"/>
        <w:tab w:val="right" w:pos="9026"/>
      </w:tabs>
      <w:spacing w:before="0" w:after="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4E3758">
      <w:rPr>
        <w:noProof/>
        <w:color w:val="000000"/>
        <w:sz w:val="20"/>
        <w:szCs w:val="20"/>
      </w:rPr>
      <w:t>1</w:t>
    </w:r>
    <w:r>
      <w:rPr>
        <w:color w:val="000000"/>
        <w:sz w:val="20"/>
        <w:szCs w:val="20"/>
      </w:rPr>
      <w:fldChar w:fldCharType="end"/>
    </w:r>
  </w:p>
  <w:p w14:paraId="4301D7B6" w14:textId="77777777" w:rsidR="00710561" w:rsidRDefault="00710561">
    <w:pPr>
      <w:pBdr>
        <w:top w:val="nil"/>
        <w:left w:val="nil"/>
        <w:bottom w:val="nil"/>
        <w:right w:val="nil"/>
        <w:between w:val="nil"/>
      </w:pBdr>
      <w:tabs>
        <w:tab w:val="center" w:pos="4513"/>
        <w:tab w:val="right" w:pos="9026"/>
      </w:tabs>
      <w:spacing w:before="0"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AC650" w14:textId="77777777" w:rsidR="00710561" w:rsidRDefault="00710561">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DD71F" w14:textId="77777777" w:rsidR="000C3DE4" w:rsidRDefault="000C3DE4">
      <w:pPr>
        <w:spacing w:before="0" w:after="0" w:line="240" w:lineRule="auto"/>
      </w:pPr>
      <w:r>
        <w:separator/>
      </w:r>
    </w:p>
  </w:footnote>
  <w:footnote w:type="continuationSeparator" w:id="0">
    <w:p w14:paraId="2711F090" w14:textId="77777777" w:rsidR="000C3DE4" w:rsidRDefault="000C3DE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02AB7" w14:textId="77777777" w:rsidR="00710561" w:rsidRDefault="00710561">
    <w:pPr>
      <w:pBdr>
        <w:top w:val="nil"/>
        <w:left w:val="nil"/>
        <w:bottom w:val="nil"/>
        <w:right w:val="nil"/>
        <w:between w:val="nil"/>
      </w:pBdr>
      <w:tabs>
        <w:tab w:val="center" w:pos="4513"/>
        <w:tab w:val="right" w:pos="9026"/>
      </w:tabs>
      <w:spacing w:before="0"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B51BD" w14:textId="77777777" w:rsidR="00710561" w:rsidRDefault="00710561">
    <w:pPr>
      <w:pBdr>
        <w:top w:val="nil"/>
        <w:left w:val="nil"/>
        <w:bottom w:val="nil"/>
        <w:right w:val="nil"/>
        <w:between w:val="nil"/>
      </w:pBdr>
      <w:tabs>
        <w:tab w:val="center" w:pos="4513"/>
        <w:tab w:val="right" w:pos="9026"/>
      </w:tabs>
      <w:spacing w:before="0"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F077A" w14:textId="77777777" w:rsidR="00710561" w:rsidRDefault="00710561">
    <w:pPr>
      <w:pBdr>
        <w:top w:val="nil"/>
        <w:left w:val="nil"/>
        <w:bottom w:val="nil"/>
        <w:right w:val="nil"/>
        <w:between w:val="nil"/>
      </w:pBdr>
      <w:tabs>
        <w:tab w:val="center" w:pos="4513"/>
        <w:tab w:val="right" w:pos="9026"/>
      </w:tabs>
      <w:spacing w:before="0"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561"/>
    <w:rsid w:val="000C3DE4"/>
    <w:rsid w:val="00407CA1"/>
    <w:rsid w:val="004E3758"/>
    <w:rsid w:val="00710561"/>
    <w:rsid w:val="00913AA4"/>
    <w:rsid w:val="00DD2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7BF1E"/>
  <w15:docId w15:val="{F87D5E46-4A12-144A-BF3C-C609D81A5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0" w:after="60"/>
    </w:pPr>
    <w:rPr>
      <w:sz w:val="52"/>
      <w:szCs w:val="52"/>
    </w:rPr>
  </w:style>
  <w:style w:type="paragraph" w:styleId="Header">
    <w:name w:val="header"/>
    <w:basedOn w:val="Normal"/>
    <w:link w:val="HeaderChar"/>
    <w:uiPriority w:val="99"/>
    <w:unhideWhenUsed/>
    <w:rsid w:val="00A211E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211E3"/>
  </w:style>
  <w:style w:type="paragraph" w:styleId="Footer">
    <w:name w:val="footer"/>
    <w:basedOn w:val="Normal"/>
    <w:link w:val="FooterChar"/>
    <w:uiPriority w:val="99"/>
    <w:unhideWhenUsed/>
    <w:rsid w:val="00A211E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211E3"/>
  </w:style>
  <w:style w:type="paragraph" w:styleId="BalloonText">
    <w:name w:val="Balloon Text"/>
    <w:basedOn w:val="Normal"/>
    <w:link w:val="BalloonTextChar"/>
    <w:uiPriority w:val="99"/>
    <w:semiHidden/>
    <w:unhideWhenUsed/>
    <w:rsid w:val="00A211E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1E3"/>
    <w:rPr>
      <w:rFonts w:ascii="Tahoma" w:hAnsi="Tahoma" w:cs="Tahoma"/>
      <w:sz w:val="16"/>
      <w:szCs w:val="16"/>
    </w:rPr>
  </w:style>
  <w:style w:type="paragraph" w:styleId="TOCHeading">
    <w:name w:val="TOC Heading"/>
    <w:basedOn w:val="Heading1"/>
    <w:next w:val="Normal"/>
    <w:uiPriority w:val="39"/>
    <w:unhideWhenUsed/>
    <w:qFormat/>
    <w:rsid w:val="00A211E3"/>
    <w:pPr>
      <w:spacing w:before="480" w:after="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A211E3"/>
    <w:pPr>
      <w:spacing w:after="100"/>
    </w:pPr>
  </w:style>
  <w:style w:type="paragraph" w:styleId="TOC2">
    <w:name w:val="toc 2"/>
    <w:basedOn w:val="Normal"/>
    <w:next w:val="Normal"/>
    <w:autoRedefine/>
    <w:uiPriority w:val="39"/>
    <w:unhideWhenUsed/>
    <w:rsid w:val="00A211E3"/>
    <w:pPr>
      <w:spacing w:after="100"/>
      <w:ind w:left="240"/>
    </w:pPr>
  </w:style>
  <w:style w:type="character" w:styleId="Hyperlink">
    <w:name w:val="Hyperlink"/>
    <w:basedOn w:val="DefaultParagraphFont"/>
    <w:uiPriority w:val="99"/>
    <w:unhideWhenUsed/>
    <w:rsid w:val="00A211E3"/>
    <w:rPr>
      <w:color w:val="0000FF" w:themeColor="hyperlink"/>
      <w:u w:val="single"/>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016/j.jflm.2013.06.014"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lawprof.co/criminal-law/incapacity-cases/lipman-1970-1-qb-152/"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qH4XN5nOCbdNkUSDGn77/iu5fQ==">CgMxLjAyCGguZ2pkZ3hzMgloLjMwajB6bGwyCWguMWZvYjl0ZTIJaC4zem55c2g3MgloLjJldDkycDAyCGgudHlqY3d0OAByITFzM3JkQVpsd3RoR0czQnJyQjFocmQtMGNJZ1JkOHdYbg==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1718</Words>
  <Characters>9795</Characters>
  <Application>Microsoft Office Word</Application>
  <DocSecurity>0</DocSecurity>
  <Lines>81</Lines>
  <Paragraphs>22</Paragraphs>
  <ScaleCrop>false</ScaleCrop>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Flavius Ovidiu Godja (2217499)</cp:lastModifiedBy>
  <cp:revision>3</cp:revision>
  <dcterms:created xsi:type="dcterms:W3CDTF">2023-07-21T18:12:00Z</dcterms:created>
  <dcterms:modified xsi:type="dcterms:W3CDTF">2023-07-21T22:01:00Z</dcterms:modified>
</cp:coreProperties>
</file>