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1A91" w:rsidRDefault="00307929" w:rsidP="00307929">
      <w:pPr>
        <w:pStyle w:val="Title"/>
      </w:pPr>
      <w:r w:rsidRPr="00307929">
        <w:t>How to Engage Generation Z Employees throughout the Employee Life Cycle</w:t>
      </w:r>
    </w:p>
    <w:p w:rsidR="00307929" w:rsidRPr="00307929" w:rsidRDefault="00307929" w:rsidP="00307929">
      <w:pPr>
        <w:pStyle w:val="Subtitle"/>
      </w:pPr>
      <w:r w:rsidRPr="00307929">
        <w:rPr>
          <w:b/>
          <w:bCs/>
        </w:rPr>
        <w:t>Hospitality and Tourism Management</w:t>
      </w:r>
      <w:r w:rsidRPr="00307929">
        <w:br/>
      </w:r>
      <w:r w:rsidRPr="00307929">
        <w:rPr>
          <w:b/>
          <w:bCs/>
        </w:rPr>
        <w:t>Student Name:</w:t>
      </w:r>
      <w:r>
        <w:t xml:space="preserve"> </w:t>
      </w:r>
      <w:proofErr w:type="spellStart"/>
      <w:r>
        <w:t>Eremia</w:t>
      </w:r>
      <w:proofErr w:type="spellEnd"/>
      <w:r>
        <w:t xml:space="preserve">-Alex </w:t>
      </w:r>
      <w:proofErr w:type="spellStart"/>
      <w:r>
        <w:t>Avram</w:t>
      </w:r>
      <w:proofErr w:type="spellEnd"/>
      <w:r w:rsidRPr="00307929">
        <w:br/>
      </w:r>
      <w:r w:rsidRPr="00307929">
        <w:rPr>
          <w:b/>
          <w:bCs/>
        </w:rPr>
        <w:t>Student Number:</w:t>
      </w:r>
      <w:r>
        <w:t xml:space="preserve"> </w:t>
      </w:r>
      <w:r w:rsidRPr="00307929">
        <w:rPr>
          <w:bCs/>
        </w:rPr>
        <w:t>2130850</w:t>
      </w:r>
      <w:r w:rsidRPr="00307929">
        <w:br/>
      </w:r>
      <w:r w:rsidRPr="00307929">
        <w:rPr>
          <w:b/>
          <w:bCs/>
        </w:rPr>
        <w:t>Programme:</w:t>
      </w:r>
      <w:r w:rsidRPr="00307929">
        <w:t xml:space="preserve"> BA (</w:t>
      </w:r>
      <w:proofErr w:type="spellStart"/>
      <w:r w:rsidRPr="00307929">
        <w:t>Hons</w:t>
      </w:r>
      <w:proofErr w:type="spellEnd"/>
      <w:r w:rsidRPr="00307929">
        <w:t>) International Gastronomy Management</w:t>
      </w:r>
      <w:r w:rsidRPr="00307929">
        <w:br/>
      </w:r>
      <w:r w:rsidRPr="00307929">
        <w:rPr>
          <w:b/>
          <w:bCs/>
        </w:rPr>
        <w:t>Module:</w:t>
      </w:r>
      <w:r w:rsidRPr="00307929">
        <w:t xml:space="preserve"> Professional Service</w:t>
      </w:r>
      <w:r w:rsidRPr="00307929">
        <w:br/>
      </w:r>
      <w:r w:rsidRPr="00307929">
        <w:rPr>
          <w:b/>
          <w:bCs/>
        </w:rPr>
        <w:t>Module Level:</w:t>
      </w:r>
      <w:r w:rsidRPr="00307929">
        <w:t xml:space="preserve"> 5</w:t>
      </w:r>
      <w:r w:rsidRPr="00307929">
        <w:br/>
      </w:r>
      <w:r w:rsidRPr="00307929">
        <w:rPr>
          <w:b/>
          <w:bCs/>
        </w:rPr>
        <w:t>Module Code:</w:t>
      </w:r>
      <w:r>
        <w:t xml:space="preserve"> BMGM5005</w:t>
      </w:r>
    </w:p>
    <w:p w:rsidR="00307929" w:rsidRPr="00307929" w:rsidRDefault="00307929" w:rsidP="00307929">
      <w:pPr>
        <w:pStyle w:val="Subtitle"/>
      </w:pPr>
      <w:r w:rsidRPr="00307929">
        <w:rPr>
          <w:b/>
          <w:bCs/>
        </w:rPr>
        <w:t>Assignment Title:</w:t>
      </w:r>
      <w:r w:rsidRPr="00307929">
        <w:t xml:space="preserve"> Essay – Case Study Evaluation</w:t>
      </w:r>
    </w:p>
    <w:p w:rsidR="00307929" w:rsidRPr="00307929" w:rsidRDefault="00307929" w:rsidP="00307929">
      <w:pPr>
        <w:pStyle w:val="Subtitle"/>
      </w:pPr>
    </w:p>
    <w:p w:rsidR="00307929" w:rsidRDefault="00307929" w:rsidP="00307929"/>
    <w:p w:rsidR="00307929" w:rsidRDefault="00307929" w:rsidP="00307929"/>
    <w:p w:rsidR="00307929" w:rsidRDefault="00307929" w:rsidP="00307929"/>
    <w:p w:rsidR="00307929" w:rsidRDefault="00307929" w:rsidP="00307929"/>
    <w:p w:rsidR="00307929" w:rsidRDefault="00307929" w:rsidP="00307929"/>
    <w:p w:rsidR="00307929" w:rsidRDefault="00307929" w:rsidP="00307929"/>
    <w:p w:rsidR="00307929" w:rsidRDefault="00307929" w:rsidP="00307929"/>
    <w:p w:rsidR="00307929" w:rsidRDefault="00307929" w:rsidP="00307929"/>
    <w:p w:rsidR="00307929" w:rsidRDefault="00307929" w:rsidP="00307929"/>
    <w:p w:rsidR="00307929" w:rsidRDefault="00307929" w:rsidP="00307929"/>
    <w:p w:rsidR="00307929" w:rsidRDefault="00307929" w:rsidP="00307929"/>
    <w:p w:rsidR="00307929" w:rsidRDefault="00307929" w:rsidP="00307929"/>
    <w:p w:rsidR="00307929" w:rsidRDefault="00307929" w:rsidP="00307929"/>
    <w:p w:rsidR="00307929" w:rsidRDefault="00307929" w:rsidP="00307929"/>
    <w:p w:rsidR="00307929" w:rsidRDefault="00307929" w:rsidP="00307929"/>
    <w:p w:rsidR="00307929" w:rsidRDefault="00307929" w:rsidP="00307929"/>
    <w:p w:rsidR="00307929" w:rsidRDefault="00307929" w:rsidP="00307929"/>
    <w:p w:rsidR="00307929" w:rsidRDefault="00307929" w:rsidP="00307929"/>
    <w:p w:rsidR="00307929" w:rsidRDefault="00307929" w:rsidP="00307929">
      <w:pPr>
        <w:pStyle w:val="Heading1"/>
        <w:rPr>
          <w:rFonts w:eastAsia="Calibri" w:cs="Times New Roman"/>
          <w:b w:val="0"/>
          <w:sz w:val="24"/>
          <w:szCs w:val="22"/>
        </w:rPr>
      </w:pPr>
    </w:p>
    <w:p w:rsidR="00307929" w:rsidRDefault="00307929" w:rsidP="00307929">
      <w:pPr>
        <w:pStyle w:val="Heading1"/>
      </w:pPr>
      <w:r>
        <w:t>Introduction</w:t>
      </w:r>
      <w:bookmarkStart w:id="0" w:name="_GoBack"/>
      <w:bookmarkEnd w:id="0"/>
    </w:p>
    <w:p w:rsidR="00307929" w:rsidRPr="00307929" w:rsidRDefault="008C3379" w:rsidP="00307929">
      <w:r w:rsidRPr="008C3379">
        <w:t xml:space="preserve">In the swiftly changing landscape of the hospitality industry, engaging Generation Z employees—individuals born between 1997 and 2012—poses both challenges and opportunities for organizations. Employee engagement, which refers to the emotional investment employees have towards their organization, is essential for talent retention and productivity enhancement. In the hospitality sector, where workforce dynamics are in constant flux, comprehending how to engage this emerging generation throughout their employment journey is vital for sustained success (Bakker &amp; </w:t>
      </w:r>
      <w:proofErr w:type="spellStart"/>
      <w:r w:rsidRPr="008C3379">
        <w:t>Demerouti</w:t>
      </w:r>
      <w:proofErr w:type="spellEnd"/>
      <w:r w:rsidRPr="008C3379">
        <w:t>, 2018). The employee life cycle encompasses the various stages an employee experiences within an organization, from attraction and recruitment to separation (Albrecht, 2020). Each phase necessitates tailored strategies to ensure employees feel appreciated, motivated, and aligned with the organization's objectives. This essay aims to critically examine how human resources can effectively engage Generation Z throughout this life cycle, with a particular emphasis on the Food &amp; Beverage department in large hotels. The objective is to explore key engagement strategies, analyse the benefits of these approaches, and provide real-world examples from the hospitality sector.</w:t>
      </w:r>
    </w:p>
    <w:p w:rsidR="00307929" w:rsidRDefault="00307929" w:rsidP="008C3379">
      <w:pPr>
        <w:pStyle w:val="Heading1"/>
        <w:tabs>
          <w:tab w:val="left" w:pos="4340"/>
        </w:tabs>
      </w:pPr>
      <w:r>
        <w:t xml:space="preserve">Body </w:t>
      </w:r>
    </w:p>
    <w:p w:rsidR="008C3379" w:rsidRPr="008C3379" w:rsidRDefault="008C3379" w:rsidP="008C3379">
      <w:pPr>
        <w:pStyle w:val="Heading3"/>
        <w:tabs>
          <w:tab w:val="left" w:pos="4340"/>
        </w:tabs>
      </w:pPr>
      <w:r w:rsidRPr="008C3379">
        <w:t>Attraction</w:t>
      </w:r>
    </w:p>
    <w:p w:rsidR="008C3379" w:rsidRPr="008C3379" w:rsidRDefault="008C3379" w:rsidP="008C3379">
      <w:pPr>
        <w:tabs>
          <w:tab w:val="left" w:pos="4340"/>
        </w:tabs>
      </w:pPr>
      <w:r w:rsidRPr="008C3379">
        <w:t>Attracting Generation Z employees necessitates a comprehensive understanding of their distinct work preferences and values. Unlike their predecessors, Gen Z places considerable importance on job purpose, flexibility, and growth opportunities (</w:t>
      </w:r>
      <w:proofErr w:type="spellStart"/>
      <w:r w:rsidRPr="008C3379">
        <w:t>Twenge</w:t>
      </w:r>
      <w:proofErr w:type="spellEnd"/>
      <w:r w:rsidRPr="008C3379">
        <w:t xml:space="preserve">, 2017). They are also highly proficient with digital technologies, making social media a significant factor in their decision-making processes. To appeal to these preferences, organizations should highlight their commitment to social responsibility and promote flexible working conditions. According to Deloitte's 2023 Global Gen Z and Millennial Survey, 40% of Gen Z respondents consider a company's values and mission as a crucial factor when selecting an employer. Therefore, businesses must prioritize transparent and purpose-driven messaging that underscores these elements in their recruitment efforts (Deloitte, 2023). </w:t>
      </w:r>
    </w:p>
    <w:p w:rsidR="008C3379" w:rsidRPr="008C3379" w:rsidRDefault="008C3379" w:rsidP="008C3379">
      <w:pPr>
        <w:tabs>
          <w:tab w:val="left" w:pos="4340"/>
        </w:tabs>
      </w:pPr>
      <w:r w:rsidRPr="008C3379">
        <w:t xml:space="preserve">Furthermore, digital recruitment strategies are essential to engage this generation effectively. Gen Z frequently utilizes platforms like LinkedIn, </w:t>
      </w:r>
      <w:proofErr w:type="spellStart"/>
      <w:r w:rsidRPr="008C3379">
        <w:t>Instagram</w:t>
      </w:r>
      <w:proofErr w:type="spellEnd"/>
      <w:r w:rsidRPr="008C3379">
        <w:t>, and even TikTok to explore job opportunities and learn about potential employers. A survey conducted by LinkedIn (2021) revealed that over 65% of Gen Z job seekers prefer applying for positions through digital channels rather than traditional methods. As a result, companies should focus on creating visually appealing and authentic content that resonates with Gen Z's values. Utilizing employee testimonials, behind-the-scenes videos, and showcasing opportunities for personal growth are vital tactics to enhance attraction efforts in a competitive talent landscape.</w:t>
      </w:r>
    </w:p>
    <w:p w:rsidR="008C3379" w:rsidRPr="008C3379" w:rsidRDefault="008C3379" w:rsidP="008C3379">
      <w:pPr>
        <w:pStyle w:val="Heading3"/>
        <w:tabs>
          <w:tab w:val="left" w:pos="4340"/>
        </w:tabs>
      </w:pPr>
      <w:r w:rsidRPr="008C3379">
        <w:lastRenderedPageBreak/>
        <w:t>Recruitment</w:t>
      </w:r>
    </w:p>
    <w:p w:rsidR="008C3379" w:rsidRPr="008C3379" w:rsidRDefault="008C3379" w:rsidP="008C3379">
      <w:pPr>
        <w:tabs>
          <w:tab w:val="left" w:pos="4340"/>
        </w:tabs>
      </w:pPr>
      <w:r w:rsidRPr="008C3379">
        <w:t xml:space="preserve">Recruiting Generation Z requires the integration of technology to meet the expectations of a digitally connected workforce. This generation is highly comfortable with AI-driven processes and anticipates streamlined, efficient recruitment methods. A report by PwC (2020) indicates that 59% of Gen Z candidates prefer engaging with companies that employ advanced technologies in their hiring processes. Implementing AI-powered applicant tracking systems (ATS) or virtual interview platforms not only accelerates the recruitment process but also conveys a sense of innovation and efficiency, which is highly valued by Gen Z (PwC, 2020). </w:t>
      </w:r>
    </w:p>
    <w:p w:rsidR="008C3379" w:rsidRPr="008C3379" w:rsidRDefault="008C3379" w:rsidP="008C3379">
      <w:pPr>
        <w:tabs>
          <w:tab w:val="left" w:pos="4340"/>
        </w:tabs>
      </w:pPr>
      <w:r w:rsidRPr="008C3379">
        <w:t xml:space="preserve">Transparency is another crucial aspect in attracting and engaging this demographic. Generation Z seeks authenticity and clear communication during the recruitment process. They prefer to understand the company's values, work culture, and expectations from the outset. A study by </w:t>
      </w:r>
      <w:proofErr w:type="spellStart"/>
      <w:r w:rsidRPr="008C3379">
        <w:t>Glassdoor</w:t>
      </w:r>
      <w:proofErr w:type="spellEnd"/>
      <w:r w:rsidRPr="008C3379">
        <w:t xml:space="preserve"> (2021) revealed that 86% of Gen Z candidates are more inclined to apply for a position if the employer is transparent about the role, including salary details and advancement opportunities. Therefore, recruitment strategies should emphasize value-driven approaches, providing candidates with clear and concise information regarding their potential roles and the organizational culture. For large hotel chains such as Hilton, integrating these values into recruitment strategies has proven successful in engaging younger candidates.</w:t>
      </w:r>
    </w:p>
    <w:p w:rsidR="008C3379" w:rsidRPr="008C3379" w:rsidRDefault="008C3379" w:rsidP="008C3379">
      <w:pPr>
        <w:pStyle w:val="Heading3"/>
        <w:tabs>
          <w:tab w:val="left" w:pos="4340"/>
        </w:tabs>
      </w:pPr>
      <w:r w:rsidRPr="008C3379">
        <w:t>On-boarding</w:t>
      </w:r>
    </w:p>
    <w:p w:rsidR="008C3379" w:rsidRPr="008C3379" w:rsidRDefault="008C3379" w:rsidP="008C3379">
      <w:pPr>
        <w:tabs>
          <w:tab w:val="left" w:pos="4340"/>
        </w:tabs>
      </w:pPr>
      <w:r w:rsidRPr="008C3379">
        <w:t xml:space="preserve">The on-boarding process for Generation Z must extend beyond traditional methods, focusing on interactive and engaging experiences that facilitate their transition into the organization. This generation thrives on mentorship and clear development pathways. Research indicates that Gen Z prefers a more hands-on approach during on-boarding, incorporating interactive training modules and mentoring programs that offer real-time feedback (Indeed, 2022). A well-structured on-boarding process that includes peer mentorship or buddy systems can significantly enhance the on-boarding experience and ensure smoother integration into the team (Indeed, 2022). </w:t>
      </w:r>
    </w:p>
    <w:p w:rsidR="008C3379" w:rsidRPr="008C3379" w:rsidRDefault="008C3379" w:rsidP="008C3379">
      <w:pPr>
        <w:tabs>
          <w:tab w:val="left" w:pos="4340"/>
        </w:tabs>
      </w:pPr>
      <w:r w:rsidRPr="008C3379">
        <w:t>Additionally, Generation Z values clarity regarding their roles and career progression from the very beginning. According to research conducted by SHRM (2021), 69% of Gen Z employees are more likely to remain with a company if they receive clear development opportunities during the on-boarding phase. Incorporating a detailed development plan that outlines key performance milestones and professional growth opportunities can help retain Gen Z employees from day one. Large hotel chains like Marriott International have successfully implemented on-boarding programs that emphasize career development, providing continuous learning opportunities to effectively engage new hires (SHRM, 2021).</w:t>
      </w:r>
    </w:p>
    <w:p w:rsidR="008C3379" w:rsidRPr="008C3379" w:rsidRDefault="008C3379" w:rsidP="008C3379">
      <w:pPr>
        <w:pStyle w:val="Heading3"/>
        <w:tabs>
          <w:tab w:val="left" w:pos="4340"/>
        </w:tabs>
      </w:pPr>
      <w:r w:rsidRPr="008C3379">
        <w:t>Development</w:t>
      </w:r>
    </w:p>
    <w:p w:rsidR="008C3379" w:rsidRPr="008C3379" w:rsidRDefault="008C3379" w:rsidP="008C3379">
      <w:pPr>
        <w:tabs>
          <w:tab w:val="left" w:pos="4340"/>
        </w:tabs>
      </w:pPr>
      <w:r w:rsidRPr="008C3379">
        <w:t>To foster engagement among their workforce, employers must prioritize on</w:t>
      </w:r>
      <w:r>
        <w:t>-</w:t>
      </w:r>
      <w:r w:rsidRPr="008C3379">
        <w:t xml:space="preserve">going learning and development opportunities that resonate with Generation Z’s growth-oriented mind-set. This cohort is deeply invested in both personal and professional advancement, expecting their employers to actively contribute to their skill enhancement. A recent study conducted by LinkedIn Learning (2023) indicates that </w:t>
      </w:r>
      <w:r w:rsidRPr="008C3379">
        <w:lastRenderedPageBreak/>
        <w:t>a significant 76% of Gen Z employees regard continuous learning as vital for achieving career success. They are inclined to favo</w:t>
      </w:r>
      <w:r>
        <w:t>u</w:t>
      </w:r>
      <w:r w:rsidRPr="008C3379">
        <w:t>r organizations that provide consistent training and up skilling initiatives. For large hotel chains, the integration of digital learning platforms, alongside the provision of flexible learning pathways—such as short courses, webinars, and leadership development programs—can serve as effective strategies to attract and retain talent from this generation (LinkedIn Learning, 2023).</w:t>
      </w:r>
    </w:p>
    <w:p w:rsidR="008C3379" w:rsidRPr="008C3379" w:rsidRDefault="008C3379" w:rsidP="008C3379">
      <w:pPr>
        <w:tabs>
          <w:tab w:val="left" w:pos="4340"/>
        </w:tabs>
      </w:pPr>
      <w:r w:rsidRPr="008C3379">
        <w:t>Moreover, Generation Z has a preference for development opportunities that are both personalized and technology-driven. The implementation of self-paced online courses or mobile-friendly learning platforms emerges as a crucial tactic to engage this demographic. According to a report by Deloitte (2022), 62% of Gen Z employees prioritize the ability to learn at their own speed and to select development trajectories that align with their career goals. Hotels that embrace such flexibility in their development offerings, enabling employees to harmonize learning with their work-life responsibilities, can foster a culture of growth and retention within their workforce (Deloitte, 2022).</w:t>
      </w:r>
    </w:p>
    <w:p w:rsidR="008C3379" w:rsidRPr="008C3379" w:rsidRDefault="008C3379" w:rsidP="008C3379">
      <w:pPr>
        <w:pStyle w:val="Heading3"/>
        <w:tabs>
          <w:tab w:val="left" w:pos="4340"/>
        </w:tabs>
      </w:pPr>
      <w:r w:rsidRPr="008C3379">
        <w:t>Retention</w:t>
      </w:r>
    </w:p>
    <w:p w:rsidR="008C3379" w:rsidRPr="008C3379" w:rsidRDefault="008C3379" w:rsidP="008C3379">
      <w:pPr>
        <w:tabs>
          <w:tab w:val="left" w:pos="4340"/>
        </w:tabs>
      </w:pPr>
      <w:r w:rsidRPr="008C3379">
        <w:t>In order to retain Generation Z employees, it is essential to cultivate a workplace culture that mirrors their values and expectations, particularly concerning social responsibility and work-life balance. This generation places a high premium on being part of organizations that positively impact society and provide meaningful work. A study by McKinsey &amp; Company (2021) reveals that 72% of Gen Z employees are more inclined to remain with companies that embody a strong sense of purpose and social impact. For large hotels, this necessitates the promotion of sustainable practices and the creation of opportunities for employees to engage in community-driven initiatives (McKinsey &amp; Company, 2021).</w:t>
      </w:r>
    </w:p>
    <w:p w:rsidR="008C3379" w:rsidRPr="008C3379" w:rsidRDefault="008C3379" w:rsidP="008C3379">
      <w:pPr>
        <w:tabs>
          <w:tab w:val="left" w:pos="4340"/>
        </w:tabs>
      </w:pPr>
      <w:r w:rsidRPr="008C3379">
        <w:t>Additionally, the provision of mental health support is a pivotal element in retaining Gen Z employees. This cohort values employers who prioritize their well-being and offer comprehensive mental health resources, including counselling services, wellness programs, and designated mental health days. Research from Harvard Business Review (2021) indicates that 78% of Gen Z employees are more likely to stay with a company that actively endorses mental health initiatives. By cultivating a supportive work environment that prioritizes well-being, hotels can enhance their retention rates and sustain a motivated workforce.</w:t>
      </w:r>
    </w:p>
    <w:p w:rsidR="008C3379" w:rsidRPr="008C3379" w:rsidRDefault="008C3379" w:rsidP="008C3379">
      <w:pPr>
        <w:pStyle w:val="Heading3"/>
        <w:tabs>
          <w:tab w:val="left" w:pos="4340"/>
        </w:tabs>
      </w:pPr>
      <w:r w:rsidRPr="008C3379">
        <w:t>Separation</w:t>
      </w:r>
    </w:p>
    <w:p w:rsidR="008C3379" w:rsidRPr="008C3379" w:rsidRDefault="008C3379" w:rsidP="008C3379">
      <w:pPr>
        <w:tabs>
          <w:tab w:val="left" w:pos="4340"/>
        </w:tabs>
      </w:pPr>
      <w:r w:rsidRPr="008C3379">
        <w:t xml:space="preserve">Facilitating a positive exit experience is vital for nurturing good relationships with departing Generation Z employees, who may be inclined to return as “boomerang” employees. This generation appreciates transparency and constructive feedback during the separation process, which underscores the importance of exit interviews in maintaining a favourable reputation. As reported by SHRM (2021), well-executed exit interviews yield valuable insights into the reasons behind employee departures, which can inform and enhance engagement strategies for remaining staff. For large </w:t>
      </w:r>
      <w:r w:rsidRPr="008C3379">
        <w:lastRenderedPageBreak/>
        <w:t>hotels, adopting an open-door policy during this phase can encourage departing employees to consider returning in the future (SHRM, 2021).</w:t>
      </w:r>
    </w:p>
    <w:p w:rsidR="008C3379" w:rsidRDefault="008C3379" w:rsidP="008C3379">
      <w:pPr>
        <w:tabs>
          <w:tab w:val="left" w:pos="4340"/>
        </w:tabs>
      </w:pPr>
      <w:r w:rsidRPr="008C3379">
        <w:t>Moreover, the establishment of an alumni network can help keep former employees connected to the organization, thereby increasing the likelihood of their re-engagement. A survey conducted by Deloitte (2020) found that 45% of Gen Z employees would contemplate returning to a previous employer if they left on amicable terms and remained engaged through alumni programs. This approach not only preserves institutional knowledge but also bolsters a positive employer brand. Notably, hotels like Hilton have successfully implemented alumni networks, allowing former employees to maintain their connection with the company and potentially return when new opportunities arise (Deloitte, 2020).</w:t>
      </w:r>
    </w:p>
    <w:p w:rsidR="008C3379" w:rsidRDefault="008C3379" w:rsidP="008C3379">
      <w:pPr>
        <w:pStyle w:val="Heading3"/>
      </w:pPr>
      <w:r w:rsidRPr="008C3379">
        <w:t>Incorporating Employee Engagement Models</w:t>
      </w:r>
    </w:p>
    <w:p w:rsidR="00833191" w:rsidRPr="00833191" w:rsidRDefault="00833191" w:rsidP="00833191">
      <w:r w:rsidRPr="00833191">
        <w:t xml:space="preserve">Employee engagement models like </w:t>
      </w:r>
      <w:r w:rsidRPr="00833191">
        <w:rPr>
          <w:bCs/>
        </w:rPr>
        <w:t>Gallup’s Q12</w:t>
      </w:r>
      <w:r w:rsidRPr="00833191">
        <w:t xml:space="preserve"> and </w:t>
      </w:r>
      <w:r w:rsidRPr="00833191">
        <w:rPr>
          <w:bCs/>
        </w:rPr>
        <w:t>Employee Net Promoter Score (</w:t>
      </w:r>
      <w:proofErr w:type="spellStart"/>
      <w:r w:rsidRPr="00833191">
        <w:rPr>
          <w:bCs/>
        </w:rPr>
        <w:t>eNPS</w:t>
      </w:r>
      <w:proofErr w:type="spellEnd"/>
      <w:r w:rsidRPr="00833191">
        <w:rPr>
          <w:bCs/>
        </w:rPr>
        <w:t>)</w:t>
      </w:r>
      <w:r w:rsidRPr="00833191">
        <w:t xml:space="preserve"> are critical tools for measuring and enhancing engagement levels, particularly in the recruitment, retention, and development phases of the employee lifecycle. The </w:t>
      </w:r>
      <w:r w:rsidRPr="00833191">
        <w:rPr>
          <w:bCs/>
        </w:rPr>
        <w:t>Gallup</w:t>
      </w:r>
      <w:r w:rsidRPr="00833191">
        <w:rPr>
          <w:b/>
          <w:bCs/>
        </w:rPr>
        <w:t xml:space="preserve"> </w:t>
      </w:r>
      <w:r w:rsidRPr="00833191">
        <w:rPr>
          <w:bCs/>
        </w:rPr>
        <w:t>Q12</w:t>
      </w:r>
      <w:r w:rsidRPr="00833191">
        <w:rPr>
          <w:b/>
          <w:bCs/>
        </w:rPr>
        <w:t xml:space="preserve"> </w:t>
      </w:r>
      <w:r w:rsidRPr="00833191">
        <w:rPr>
          <w:bCs/>
        </w:rPr>
        <w:t>model</w:t>
      </w:r>
      <w:r w:rsidRPr="00833191">
        <w:t xml:space="preserve"> measures key elements that drive employee engagement, such as clarity of expectations, opportunities for development, and feeling valued at work (Gallup, 2018). HR departments can use this model to assess how well a company aligns with the expectations of Generation Z during recruitment, ensuring that recruitment strategies resonate with their values, such as career growth and workplace flexibility.</w:t>
      </w:r>
    </w:p>
    <w:p w:rsidR="00833191" w:rsidRPr="00833191" w:rsidRDefault="00833191" w:rsidP="00833191">
      <w:r w:rsidRPr="00833191">
        <w:t xml:space="preserve">In the </w:t>
      </w:r>
      <w:r w:rsidRPr="00833191">
        <w:rPr>
          <w:bCs/>
        </w:rPr>
        <w:t>retention</w:t>
      </w:r>
      <w:r w:rsidRPr="00833191">
        <w:rPr>
          <w:b/>
          <w:bCs/>
        </w:rPr>
        <w:t xml:space="preserve"> </w:t>
      </w:r>
      <w:r w:rsidRPr="00833191">
        <w:rPr>
          <w:bCs/>
        </w:rPr>
        <w:t>phase</w:t>
      </w:r>
      <w:r w:rsidRPr="00833191">
        <w:t xml:space="preserve">, Gallup's model helps HR monitor employee satisfaction and workplace culture, ensuring that Generation Z employees remain motivated by providing feedback loops and opportunities for involvement in meaningful work. Similarly, the </w:t>
      </w:r>
      <w:r w:rsidRPr="00833191">
        <w:rPr>
          <w:bCs/>
        </w:rPr>
        <w:t>Employee</w:t>
      </w:r>
      <w:r w:rsidRPr="00833191">
        <w:rPr>
          <w:b/>
          <w:bCs/>
        </w:rPr>
        <w:t xml:space="preserve"> </w:t>
      </w:r>
      <w:r w:rsidRPr="00833191">
        <w:rPr>
          <w:bCs/>
        </w:rPr>
        <w:t>Net</w:t>
      </w:r>
      <w:r w:rsidRPr="00833191">
        <w:rPr>
          <w:b/>
          <w:bCs/>
        </w:rPr>
        <w:t xml:space="preserve"> </w:t>
      </w:r>
      <w:r w:rsidRPr="00833191">
        <w:rPr>
          <w:bCs/>
        </w:rPr>
        <w:t>Promoter</w:t>
      </w:r>
      <w:r w:rsidRPr="00833191">
        <w:rPr>
          <w:b/>
          <w:bCs/>
        </w:rPr>
        <w:t xml:space="preserve"> </w:t>
      </w:r>
      <w:r w:rsidRPr="00833191">
        <w:rPr>
          <w:bCs/>
        </w:rPr>
        <w:t>Score</w:t>
      </w:r>
      <w:r w:rsidRPr="00833191">
        <w:rPr>
          <w:b/>
          <w:bCs/>
        </w:rPr>
        <w:t xml:space="preserve"> (</w:t>
      </w:r>
      <w:proofErr w:type="spellStart"/>
      <w:r w:rsidRPr="00833191">
        <w:rPr>
          <w:bCs/>
        </w:rPr>
        <w:t>eNPS</w:t>
      </w:r>
      <w:proofErr w:type="spellEnd"/>
      <w:r w:rsidRPr="00833191">
        <w:rPr>
          <w:b/>
          <w:bCs/>
        </w:rPr>
        <w:t>)</w:t>
      </w:r>
      <w:r w:rsidRPr="00833191">
        <w:t xml:space="preserve">, which measures employee loyalty and likelihood of recommending the organization to others, can be integrated during </w:t>
      </w:r>
      <w:r w:rsidRPr="00833191">
        <w:rPr>
          <w:bCs/>
        </w:rPr>
        <w:t>recruitment</w:t>
      </w:r>
      <w:r w:rsidRPr="00833191">
        <w:t xml:space="preserve"> and </w:t>
      </w:r>
      <w:r w:rsidRPr="00833191">
        <w:rPr>
          <w:bCs/>
        </w:rPr>
        <w:t>development</w:t>
      </w:r>
      <w:r w:rsidRPr="00833191">
        <w:t xml:space="preserve"> stages to assess the company’s appeal to prospective employees and how well the organization supports their career growth (Albrecht, 2020).</w:t>
      </w:r>
    </w:p>
    <w:p w:rsidR="00833191" w:rsidRPr="00833191" w:rsidRDefault="00833191" w:rsidP="00833191">
      <w:r w:rsidRPr="00833191">
        <w:t xml:space="preserve">For </w:t>
      </w:r>
      <w:r w:rsidRPr="00833191">
        <w:rPr>
          <w:bCs/>
        </w:rPr>
        <w:t>development</w:t>
      </w:r>
      <w:r w:rsidRPr="00833191">
        <w:t xml:space="preserve">, HR can use both models to ensure that learning programs align with Generation Z’s desire for continuous learning and digital engagement. By monitoring engagement through </w:t>
      </w:r>
      <w:proofErr w:type="spellStart"/>
      <w:r w:rsidRPr="00833191">
        <w:t>eNPS</w:t>
      </w:r>
      <w:proofErr w:type="spellEnd"/>
      <w:r w:rsidRPr="00833191">
        <w:t xml:space="preserve"> scores, HR can adjust professional development programs to maintain high levels of satisfaction and retention (Bakker &amp; </w:t>
      </w:r>
      <w:proofErr w:type="spellStart"/>
      <w:r w:rsidRPr="00833191">
        <w:t>Demerouti</w:t>
      </w:r>
      <w:proofErr w:type="spellEnd"/>
      <w:r w:rsidRPr="00833191">
        <w:t>, 2018).</w:t>
      </w:r>
    </w:p>
    <w:p w:rsidR="00833191" w:rsidRPr="00833191" w:rsidRDefault="00833191" w:rsidP="00833191">
      <w:pPr>
        <w:pStyle w:val="Heading3"/>
      </w:pPr>
      <w:r w:rsidRPr="00833191">
        <w:t>Real-life Examples from the Industry</w:t>
      </w:r>
    </w:p>
    <w:p w:rsidR="00833191" w:rsidRPr="00833191" w:rsidRDefault="00833191" w:rsidP="00833191">
      <w:r w:rsidRPr="00833191">
        <w:t xml:space="preserve">Industry leaders like </w:t>
      </w:r>
      <w:r w:rsidRPr="00833191">
        <w:rPr>
          <w:bCs/>
        </w:rPr>
        <w:t>Marriott</w:t>
      </w:r>
      <w:r w:rsidRPr="00833191">
        <w:rPr>
          <w:b/>
          <w:bCs/>
        </w:rPr>
        <w:t xml:space="preserve"> </w:t>
      </w:r>
      <w:r w:rsidRPr="00833191">
        <w:rPr>
          <w:bCs/>
        </w:rPr>
        <w:t>International</w:t>
      </w:r>
      <w:r w:rsidRPr="00833191">
        <w:t xml:space="preserve"> and </w:t>
      </w:r>
      <w:r w:rsidRPr="00833191">
        <w:rPr>
          <w:bCs/>
        </w:rPr>
        <w:t>Hilton</w:t>
      </w:r>
      <w:r w:rsidRPr="00833191">
        <w:rPr>
          <w:b/>
          <w:bCs/>
        </w:rPr>
        <w:t xml:space="preserve"> </w:t>
      </w:r>
      <w:r w:rsidRPr="00833191">
        <w:rPr>
          <w:bCs/>
        </w:rPr>
        <w:t>Hotels</w:t>
      </w:r>
      <w:r w:rsidRPr="00833191">
        <w:t xml:space="preserve"> have demonstrated successful employee engagement strategies that can be adapted for a large hotel’s Food &amp; Beverage department. Marriott’s "</w:t>
      </w:r>
      <w:proofErr w:type="spellStart"/>
      <w:r w:rsidRPr="00833191">
        <w:t>TakeCare</w:t>
      </w:r>
      <w:proofErr w:type="spellEnd"/>
      <w:r w:rsidRPr="00833191">
        <w:t>" program focuses on employee well-being and development, addressing the values of Generation Z, such as mental health and work-life balance (McKinsey, 2021). This initiative has helped Marriott foster a strong culture of inclusion and engagement, especially in their recruitment and retention efforts.</w:t>
      </w:r>
    </w:p>
    <w:p w:rsidR="00833191" w:rsidRPr="00833191" w:rsidRDefault="00833191" w:rsidP="00833191">
      <w:r w:rsidRPr="00833191">
        <w:rPr>
          <w:b/>
          <w:bCs/>
        </w:rPr>
        <w:lastRenderedPageBreak/>
        <w:t xml:space="preserve">Hilton </w:t>
      </w:r>
      <w:r w:rsidRPr="00833191">
        <w:rPr>
          <w:bCs/>
        </w:rPr>
        <w:t>Hotels</w:t>
      </w:r>
      <w:r w:rsidRPr="00833191">
        <w:t>, on the other hand, has implemented comprehensive on</w:t>
      </w:r>
      <w:r>
        <w:t>-</w:t>
      </w:r>
      <w:r w:rsidRPr="00833191">
        <w:t>boarding programs designed to integrate new hires seamlessly, utilizing mentoring and digital tools to engage Generation Z employees effectively (</w:t>
      </w:r>
      <w:proofErr w:type="spellStart"/>
      <w:r w:rsidRPr="00833191">
        <w:t>Glassdoor</w:t>
      </w:r>
      <w:proofErr w:type="spellEnd"/>
      <w:r w:rsidRPr="00833191">
        <w:t>, 2021). Hilton’s commitment to creating a value-driven workplace culture has also helped in retaining young talent by focusing on meaningful work and opportunities for advancement.</w:t>
      </w:r>
    </w:p>
    <w:p w:rsidR="008C3379" w:rsidRPr="008C3379" w:rsidRDefault="00833191" w:rsidP="008C3379">
      <w:r w:rsidRPr="00833191">
        <w:t>These examples illustrate how companies can implement HR-driven engagement models and strategies that cater to the unique needs of Generation Z across various stages of the employee lifecycle.</w:t>
      </w:r>
    </w:p>
    <w:p w:rsidR="008C3379" w:rsidRDefault="008C3379" w:rsidP="008C3379">
      <w:pPr>
        <w:pStyle w:val="Heading1"/>
      </w:pPr>
      <w:r>
        <w:t>Conclusion</w:t>
      </w:r>
    </w:p>
    <w:p w:rsidR="00307929" w:rsidRDefault="008C3379" w:rsidP="008C3379">
      <w:r w:rsidRPr="008C3379">
        <w:t>In conclusion, the strategies for engaging, retaining, and managing the separation of Generation Z employees are intricately linked to their unique values and expectations. By offering continuous learning and development opportunities, fostering a culture of social responsibility, and ensuring a positive exit experience, employers can effectively navigate the dynamics of this generation's workforce. Doing so not only enhances employee satisfaction and retention but also positions organizations to thrive in an increasingly competitive labo</w:t>
      </w:r>
      <w:r>
        <w:t>u</w:t>
      </w:r>
      <w:r w:rsidRPr="008C3379">
        <w:t>r market. As the workforce continues to evolve, understanding and addressing the needs of Generation Z will be paramount for long-term success.</w:t>
      </w:r>
      <w:r>
        <w:t xml:space="preserve"> </w:t>
      </w:r>
      <w:r w:rsidRPr="008C3379">
        <w:t>This proactive approach will ultimately lead to a more engaged and motivated workforce, ready to tackle the challenges of tomorrow.</w:t>
      </w:r>
      <w:r>
        <w:t xml:space="preserve"> </w:t>
      </w:r>
      <w:r w:rsidRPr="008C3379">
        <w:t>Moreover, organizations should prioritize open communication and feedback mechanisms, allowing employees to voice their opinions and contribute to decision-making processes.</w:t>
      </w:r>
      <w:r>
        <w:t xml:space="preserve"> </w:t>
      </w:r>
      <w:r w:rsidRPr="008C3379">
        <w:t>This inclusive environment fosters a sense of belonging and loyalty, which can significantly enhance overall productivity and innovation within the team.</w:t>
      </w:r>
      <w:r>
        <w:t xml:space="preserve"> </w:t>
      </w:r>
      <w:r w:rsidRPr="008C3379">
        <w:t>By investing in professional development opportunities and promoting a culture of continuous learning, companies can further empower their employees to grow and adapt alongside the changing demands of the industry.</w:t>
      </w:r>
    </w:p>
    <w:p w:rsidR="00307929" w:rsidRDefault="00307929" w:rsidP="00307929">
      <w:pPr>
        <w:pStyle w:val="Heading1"/>
      </w:pPr>
      <w:r>
        <w:t>References</w:t>
      </w:r>
    </w:p>
    <w:p w:rsidR="00307929" w:rsidRPr="00307929" w:rsidRDefault="00307929" w:rsidP="00307929">
      <w:pPr>
        <w:numPr>
          <w:ilvl w:val="0"/>
          <w:numId w:val="2"/>
        </w:numPr>
      </w:pPr>
      <w:proofErr w:type="spellStart"/>
      <w:r w:rsidRPr="00307929">
        <w:t>Twenge</w:t>
      </w:r>
      <w:proofErr w:type="spellEnd"/>
      <w:r w:rsidRPr="00307929">
        <w:t xml:space="preserve">, J. M. (2017) </w:t>
      </w:r>
      <w:proofErr w:type="spellStart"/>
      <w:r w:rsidRPr="00307929">
        <w:rPr>
          <w:i/>
          <w:iCs/>
        </w:rPr>
        <w:t>iGen</w:t>
      </w:r>
      <w:proofErr w:type="spellEnd"/>
      <w:r w:rsidRPr="00307929">
        <w:rPr>
          <w:i/>
          <w:iCs/>
        </w:rPr>
        <w:t>: Why today's super-connected kids are growing up less rebellious, more tolerant, less happy–and completely unprepared for adulthood</w:t>
      </w:r>
      <w:r w:rsidRPr="00307929">
        <w:t>. Atria Books.</w:t>
      </w:r>
    </w:p>
    <w:p w:rsidR="00307929" w:rsidRPr="00307929" w:rsidRDefault="00307929" w:rsidP="00307929">
      <w:pPr>
        <w:numPr>
          <w:ilvl w:val="0"/>
          <w:numId w:val="3"/>
        </w:numPr>
      </w:pPr>
      <w:r w:rsidRPr="00307929">
        <w:t xml:space="preserve">Albrecht, S. L. (2020) ‘Employee engagement: 10 key questions for research and practice’, </w:t>
      </w:r>
      <w:r w:rsidRPr="00307929">
        <w:rPr>
          <w:i/>
          <w:iCs/>
        </w:rPr>
        <w:t>Human Resource Development Review</w:t>
      </w:r>
      <w:r w:rsidRPr="00307929">
        <w:t>, 19(3), pp. 243–265. Available at: https://journals.sagepub.com/doi/full/10.1177/1534484320913522 (Accessed: 20 October 2024).</w:t>
      </w:r>
    </w:p>
    <w:p w:rsidR="00307929" w:rsidRPr="00307929" w:rsidRDefault="00307929" w:rsidP="00307929">
      <w:pPr>
        <w:numPr>
          <w:ilvl w:val="0"/>
          <w:numId w:val="3"/>
        </w:numPr>
      </w:pPr>
      <w:r w:rsidRPr="00307929">
        <w:t xml:space="preserve">Bakker, A. B. and </w:t>
      </w:r>
      <w:proofErr w:type="spellStart"/>
      <w:r w:rsidRPr="00307929">
        <w:t>Demerouti</w:t>
      </w:r>
      <w:proofErr w:type="spellEnd"/>
      <w:r w:rsidRPr="00307929">
        <w:t>, E. (2018) ‘</w:t>
      </w:r>
      <w:proofErr w:type="gramStart"/>
      <w:r w:rsidRPr="00307929">
        <w:t>Multiple</w:t>
      </w:r>
      <w:proofErr w:type="gramEnd"/>
      <w:r w:rsidRPr="00307929">
        <w:t xml:space="preserve"> levels in employee engagement: Antecedents and outcomes’, </w:t>
      </w:r>
      <w:r w:rsidRPr="00307929">
        <w:rPr>
          <w:i/>
          <w:iCs/>
        </w:rPr>
        <w:t>Current Directions in Psychological Science</w:t>
      </w:r>
      <w:r w:rsidRPr="00307929">
        <w:t>, 27(4), pp. 278–282. Available at: https://journals.sagepub.com/doi/10.1177/0963721418818482 (Accessed: 20 October 2024).</w:t>
      </w:r>
    </w:p>
    <w:p w:rsidR="00307929" w:rsidRPr="00307929" w:rsidRDefault="00307929" w:rsidP="00307929">
      <w:pPr>
        <w:numPr>
          <w:ilvl w:val="0"/>
          <w:numId w:val="4"/>
        </w:numPr>
      </w:pPr>
      <w:r w:rsidRPr="00307929">
        <w:t xml:space="preserve">Deloitte (2020) </w:t>
      </w:r>
      <w:r w:rsidRPr="00307929">
        <w:rPr>
          <w:i/>
          <w:iCs/>
        </w:rPr>
        <w:t>How alumni networks can foster employee engagement and retention</w:t>
      </w:r>
      <w:r w:rsidRPr="00307929">
        <w:t xml:space="preserve">. Available at: </w:t>
      </w:r>
      <w:r w:rsidRPr="00307929">
        <w:lastRenderedPageBreak/>
        <w:t>https://www2.deloitte.com/us/en/insights/topics/talent/fostering-alumni-networks.html (Accessed: 20 October 2024).</w:t>
      </w:r>
    </w:p>
    <w:p w:rsidR="00307929" w:rsidRPr="00307929" w:rsidRDefault="00307929" w:rsidP="00307929">
      <w:pPr>
        <w:numPr>
          <w:ilvl w:val="0"/>
          <w:numId w:val="4"/>
        </w:numPr>
      </w:pPr>
      <w:r w:rsidRPr="00307929">
        <w:t xml:space="preserve">Deloitte (2022) </w:t>
      </w:r>
      <w:r w:rsidRPr="00307929">
        <w:rPr>
          <w:i/>
          <w:iCs/>
        </w:rPr>
        <w:t>Gen Z: Shaping the future of work</w:t>
      </w:r>
      <w:r w:rsidRPr="00307929">
        <w:t>. Available at: https://www2.deloitte.com/global/en/pages/human-capital/articles/gen-z-future-of-work.html (Accessed: 20 October 2024).</w:t>
      </w:r>
    </w:p>
    <w:p w:rsidR="00307929" w:rsidRPr="00307929" w:rsidRDefault="00307929" w:rsidP="00307929">
      <w:pPr>
        <w:numPr>
          <w:ilvl w:val="0"/>
          <w:numId w:val="4"/>
        </w:numPr>
      </w:pPr>
      <w:r w:rsidRPr="00307929">
        <w:t xml:space="preserve">Deloitte (2023) </w:t>
      </w:r>
      <w:r w:rsidRPr="00307929">
        <w:rPr>
          <w:i/>
          <w:iCs/>
        </w:rPr>
        <w:t>2023 Global Gen Z and Millennial Survey</w:t>
      </w:r>
      <w:r w:rsidRPr="00307929">
        <w:t>. Available at: https://www2.deloitte.com/global/en/pages/about-deloitte/articles/genzmillennialsurvey.html (Accessed: 20 October 2024).</w:t>
      </w:r>
    </w:p>
    <w:p w:rsidR="00307929" w:rsidRPr="00307929" w:rsidRDefault="00307929" w:rsidP="00307929">
      <w:pPr>
        <w:numPr>
          <w:ilvl w:val="0"/>
          <w:numId w:val="4"/>
        </w:numPr>
      </w:pPr>
      <w:proofErr w:type="spellStart"/>
      <w:r w:rsidRPr="00307929">
        <w:t>Glassdoor</w:t>
      </w:r>
      <w:proofErr w:type="spellEnd"/>
      <w:r w:rsidRPr="00307929">
        <w:t xml:space="preserve"> (2021) </w:t>
      </w:r>
      <w:r w:rsidRPr="00307929">
        <w:rPr>
          <w:i/>
          <w:iCs/>
        </w:rPr>
        <w:t>Gen Z in the workforce: Recruiting and retaining young talent</w:t>
      </w:r>
      <w:r w:rsidRPr="00307929">
        <w:t>. Available at: https://www.glassdoor.com/blog/gen-z-in-the-workforce/ (Accessed: 20 October 2024).</w:t>
      </w:r>
    </w:p>
    <w:p w:rsidR="00307929" w:rsidRPr="00307929" w:rsidRDefault="00307929" w:rsidP="00307929">
      <w:pPr>
        <w:numPr>
          <w:ilvl w:val="0"/>
          <w:numId w:val="4"/>
        </w:numPr>
      </w:pPr>
      <w:r w:rsidRPr="00307929">
        <w:t xml:space="preserve">Harvard Business Review (2021) </w:t>
      </w:r>
      <w:r w:rsidRPr="00307929">
        <w:rPr>
          <w:i/>
          <w:iCs/>
        </w:rPr>
        <w:t>How to retain Gen Z employees with mental health support</w:t>
      </w:r>
      <w:r w:rsidRPr="00307929">
        <w:t xml:space="preserve">. Available at: </w:t>
      </w:r>
      <w:hyperlink r:id="rId6" w:tgtFrame="_new" w:history="1">
        <w:r w:rsidRPr="00307929">
          <w:rPr>
            <w:rStyle w:val="Hyperlink"/>
          </w:rPr>
          <w:t>https://hbr.org/2021/12/how-to-retain-gen-z-employees-with-mental-health-support</w:t>
        </w:r>
      </w:hyperlink>
      <w:r w:rsidRPr="00307929">
        <w:t xml:space="preserve"> (Accessed: 20 October 2024).</w:t>
      </w:r>
    </w:p>
    <w:p w:rsidR="00307929" w:rsidRPr="00307929" w:rsidRDefault="00307929" w:rsidP="00307929">
      <w:pPr>
        <w:numPr>
          <w:ilvl w:val="0"/>
          <w:numId w:val="4"/>
        </w:numPr>
      </w:pPr>
      <w:r w:rsidRPr="00307929">
        <w:t xml:space="preserve">Indeed (2022) </w:t>
      </w:r>
      <w:r w:rsidRPr="00307929">
        <w:rPr>
          <w:i/>
          <w:iCs/>
        </w:rPr>
        <w:t xml:space="preserve">How to </w:t>
      </w:r>
      <w:proofErr w:type="spellStart"/>
      <w:r w:rsidRPr="00307929">
        <w:rPr>
          <w:i/>
          <w:iCs/>
        </w:rPr>
        <w:t>onboard</w:t>
      </w:r>
      <w:proofErr w:type="spellEnd"/>
      <w:r w:rsidRPr="00307929">
        <w:rPr>
          <w:i/>
          <w:iCs/>
        </w:rPr>
        <w:t xml:space="preserve"> Generation Z employees</w:t>
      </w:r>
      <w:r w:rsidRPr="00307929">
        <w:t>. Available at: https://www.indeed.com/hire/c/info/how-to-onboard-gen-z-employees (Accessed: 20 October 2024).</w:t>
      </w:r>
    </w:p>
    <w:p w:rsidR="00307929" w:rsidRPr="00307929" w:rsidRDefault="00307929" w:rsidP="00307929">
      <w:pPr>
        <w:numPr>
          <w:ilvl w:val="0"/>
          <w:numId w:val="4"/>
        </w:numPr>
      </w:pPr>
      <w:r w:rsidRPr="00307929">
        <w:t xml:space="preserve">LinkedIn Learning (2023) </w:t>
      </w:r>
      <w:r w:rsidRPr="00307929">
        <w:rPr>
          <w:i/>
          <w:iCs/>
        </w:rPr>
        <w:t>Workplace Learning Report 2023: Continuous Learning in a Fast-Changing World</w:t>
      </w:r>
      <w:r w:rsidRPr="00307929">
        <w:t xml:space="preserve">. Available at: </w:t>
      </w:r>
      <w:hyperlink r:id="rId7" w:tgtFrame="_new" w:history="1">
        <w:r w:rsidRPr="00307929">
          <w:rPr>
            <w:rStyle w:val="Hyperlink"/>
          </w:rPr>
          <w:t>https://learning.linkedin.com/resources/workplace-learning-report</w:t>
        </w:r>
      </w:hyperlink>
      <w:r w:rsidRPr="00307929">
        <w:t xml:space="preserve"> (Accessed: 20 October 2024).</w:t>
      </w:r>
    </w:p>
    <w:p w:rsidR="00307929" w:rsidRPr="00307929" w:rsidRDefault="00307929" w:rsidP="00307929">
      <w:pPr>
        <w:numPr>
          <w:ilvl w:val="0"/>
          <w:numId w:val="4"/>
        </w:numPr>
      </w:pPr>
      <w:r w:rsidRPr="00307929">
        <w:t xml:space="preserve">McKinsey &amp; Company (2021) </w:t>
      </w:r>
      <w:r w:rsidRPr="00307929">
        <w:rPr>
          <w:i/>
          <w:iCs/>
        </w:rPr>
        <w:t>Gen Z and the future of work: The social responsibility imperative</w:t>
      </w:r>
      <w:r w:rsidRPr="00307929">
        <w:t>. Available at: https://www.mckinsey.com/industries/consumer-packaged-goods/our-insights/gen-z-and-the-future-of-work-the-social-responsibility-imperative (Accessed: 20 October 2024).</w:t>
      </w:r>
    </w:p>
    <w:p w:rsidR="00307929" w:rsidRPr="00307929" w:rsidRDefault="00307929" w:rsidP="00307929">
      <w:pPr>
        <w:numPr>
          <w:ilvl w:val="0"/>
          <w:numId w:val="4"/>
        </w:numPr>
      </w:pPr>
      <w:r w:rsidRPr="00307929">
        <w:t xml:space="preserve">PwC (2020) </w:t>
      </w:r>
      <w:proofErr w:type="gramStart"/>
      <w:r w:rsidRPr="00307929">
        <w:rPr>
          <w:i/>
          <w:iCs/>
        </w:rPr>
        <w:t>The</w:t>
      </w:r>
      <w:proofErr w:type="gramEnd"/>
      <w:r w:rsidRPr="00307929">
        <w:rPr>
          <w:i/>
          <w:iCs/>
        </w:rPr>
        <w:t xml:space="preserve"> future of recruiting: How AI can help</w:t>
      </w:r>
      <w:r w:rsidRPr="00307929">
        <w:t>. Available at: https://www.pwc.com/gx/en/services/people-organisation/publications/future-of-recruiting.html (Accessed: 20 October 2024).</w:t>
      </w:r>
    </w:p>
    <w:p w:rsidR="00307929" w:rsidRPr="00307929" w:rsidRDefault="00307929" w:rsidP="00307929">
      <w:pPr>
        <w:numPr>
          <w:ilvl w:val="0"/>
          <w:numId w:val="4"/>
        </w:numPr>
      </w:pPr>
      <w:r w:rsidRPr="00307929">
        <w:t xml:space="preserve">SHRM (2021) </w:t>
      </w:r>
      <w:r w:rsidRPr="00307929">
        <w:rPr>
          <w:i/>
          <w:iCs/>
        </w:rPr>
        <w:t>Employee engagement and retention strategies for Generation Z</w:t>
      </w:r>
      <w:r w:rsidRPr="00307929">
        <w:t>. Available at: https://www.shrm.org/resourcesandtools/hr-topics/talent-acquisition/pages/engaging-and-retaining-gen-z.aspx (Accessed: 20 October 2024).</w:t>
      </w:r>
    </w:p>
    <w:p w:rsidR="00307929" w:rsidRDefault="00307929" w:rsidP="00307929">
      <w:pPr>
        <w:numPr>
          <w:ilvl w:val="0"/>
          <w:numId w:val="4"/>
        </w:numPr>
      </w:pPr>
      <w:r w:rsidRPr="00307929">
        <w:t xml:space="preserve">SHRM (2021) </w:t>
      </w:r>
      <w:proofErr w:type="gramStart"/>
      <w:r w:rsidRPr="00307929">
        <w:rPr>
          <w:i/>
          <w:iCs/>
        </w:rPr>
        <w:t>The</w:t>
      </w:r>
      <w:proofErr w:type="gramEnd"/>
      <w:r w:rsidRPr="00307929">
        <w:rPr>
          <w:i/>
          <w:iCs/>
        </w:rPr>
        <w:t xml:space="preserve"> role of exit interviews in improving employee retention</w:t>
      </w:r>
      <w:r w:rsidRPr="00307929">
        <w:t>. Available at: https://www.shrm.org/resourcesandtools/tools-and-samples/toolkits/pages/exit-interviews.aspx (Accessed: 20 October 2024).</w:t>
      </w:r>
    </w:p>
    <w:p w:rsidR="00833191" w:rsidRDefault="00833191" w:rsidP="00833191">
      <w:pPr>
        <w:numPr>
          <w:ilvl w:val="0"/>
          <w:numId w:val="4"/>
        </w:numPr>
      </w:pPr>
      <w:r>
        <w:t>Albrecht, S. L., 2020. Employee engagement: 10 key questions for research and practice. Human Resource Development Review, 19(3), pp. 243-265.</w:t>
      </w:r>
    </w:p>
    <w:p w:rsidR="00833191" w:rsidRDefault="00833191" w:rsidP="00833191">
      <w:pPr>
        <w:numPr>
          <w:ilvl w:val="0"/>
          <w:numId w:val="4"/>
        </w:numPr>
      </w:pPr>
      <w:r>
        <w:lastRenderedPageBreak/>
        <w:t xml:space="preserve">Bakker, A. B., &amp; </w:t>
      </w:r>
      <w:proofErr w:type="spellStart"/>
      <w:r>
        <w:t>Demerouti</w:t>
      </w:r>
      <w:proofErr w:type="spellEnd"/>
      <w:r>
        <w:t>, E., 2018. Multiple levels in employee engagement: Antecedents and outcomes. Current Directions in Psychological Science, 27(4), pp. 278-282.</w:t>
      </w:r>
    </w:p>
    <w:p w:rsidR="00833191" w:rsidRDefault="00833191" w:rsidP="00833191">
      <w:pPr>
        <w:numPr>
          <w:ilvl w:val="0"/>
          <w:numId w:val="4"/>
        </w:numPr>
      </w:pPr>
      <w:r>
        <w:t>Gallup, 2018. State of the Global Workplace. [online] Available at: https://www.gallup.com/workplace/238079/state-global-workplace-2017.</w:t>
      </w:r>
      <w:r>
        <w:t>aspx [Accessed 20 October 2024].</w:t>
      </w:r>
    </w:p>
    <w:p w:rsidR="00833191" w:rsidRDefault="00833191" w:rsidP="00833191">
      <w:pPr>
        <w:numPr>
          <w:ilvl w:val="0"/>
          <w:numId w:val="4"/>
        </w:numPr>
      </w:pPr>
      <w:proofErr w:type="spellStart"/>
      <w:r>
        <w:t>Glassdoor</w:t>
      </w:r>
      <w:proofErr w:type="spellEnd"/>
      <w:r>
        <w:t>, 2021. Gen Z in the workforce: Recruiting and retaining young talent. [online] Available at: https://www.glassdoor.com [Accessed 20 October 2024].</w:t>
      </w:r>
    </w:p>
    <w:p w:rsidR="00833191" w:rsidRPr="00307929" w:rsidRDefault="00833191" w:rsidP="00833191">
      <w:pPr>
        <w:numPr>
          <w:ilvl w:val="0"/>
          <w:numId w:val="4"/>
        </w:numPr>
      </w:pPr>
      <w:r>
        <w:t>McKinsey &amp; Company, 2021. Gen Z and the future of work: The social responsibility imperative. [online] Available at: https://www.mckinsey.com [Accessed 20 October 2024].</w:t>
      </w:r>
    </w:p>
    <w:p w:rsidR="00307929" w:rsidRPr="00307929" w:rsidRDefault="00307929" w:rsidP="00307929"/>
    <w:sectPr w:rsidR="00307929" w:rsidRPr="003079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2A68CD"/>
    <w:multiLevelType w:val="multilevel"/>
    <w:tmpl w:val="ABB01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B034E5F"/>
    <w:multiLevelType w:val="multilevel"/>
    <w:tmpl w:val="8E888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FF92BDA"/>
    <w:multiLevelType w:val="multilevel"/>
    <w:tmpl w:val="F63A8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7287E89"/>
    <w:multiLevelType w:val="multilevel"/>
    <w:tmpl w:val="3E584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13D"/>
    <w:rsid w:val="00281F80"/>
    <w:rsid w:val="00307929"/>
    <w:rsid w:val="004963DA"/>
    <w:rsid w:val="004F43A6"/>
    <w:rsid w:val="005947D3"/>
    <w:rsid w:val="005C30CF"/>
    <w:rsid w:val="0065113D"/>
    <w:rsid w:val="007817A7"/>
    <w:rsid w:val="00833191"/>
    <w:rsid w:val="00892385"/>
    <w:rsid w:val="008C3379"/>
    <w:rsid w:val="009516DD"/>
    <w:rsid w:val="009E61EC"/>
    <w:rsid w:val="00A50F47"/>
    <w:rsid w:val="00A97B9A"/>
    <w:rsid w:val="00AE6032"/>
    <w:rsid w:val="00D01F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Calibri" w:hAnsiTheme="minorHAnsi" w:cstheme="minorBidi"/>
        <w:sz w:val="22"/>
        <w:szCs w:val="22"/>
        <w:lang w:val="en-GB" w:eastAsia="en-US" w:bidi="ar-SA"/>
      </w:rPr>
    </w:rPrDefault>
    <w:pPrDefault>
      <w:pPr>
        <w:spacing w:before="24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16DD"/>
    <w:pPr>
      <w:spacing w:before="0" w:after="160" w:line="256" w:lineRule="auto"/>
      <w:jc w:val="left"/>
    </w:pPr>
    <w:rPr>
      <w:rFonts w:ascii="Arial" w:hAnsi="Arial" w:cs="Times New Roman"/>
      <w:sz w:val="24"/>
    </w:rPr>
  </w:style>
  <w:style w:type="paragraph" w:styleId="Heading1">
    <w:name w:val="heading 1"/>
    <w:basedOn w:val="Normal"/>
    <w:next w:val="Normal"/>
    <w:link w:val="Heading1Char"/>
    <w:autoRedefine/>
    <w:uiPriority w:val="9"/>
    <w:qFormat/>
    <w:rsid w:val="009516DD"/>
    <w:pPr>
      <w:keepNext/>
      <w:keepLines/>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5947D3"/>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AE6032"/>
    <w:pPr>
      <w:keepNext/>
      <w:keepLines/>
      <w:spacing w:before="200"/>
      <w:outlineLvl w:val="2"/>
    </w:pPr>
    <w:rPr>
      <w:rFonts w:eastAsiaTheme="majorEastAsia" w:cstheme="majorBidi"/>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16DD"/>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5947D3"/>
    <w:rPr>
      <w:rFonts w:ascii="Arial" w:eastAsiaTheme="majorEastAsia" w:hAnsi="Arial" w:cstheme="majorBidi"/>
      <w:b/>
      <w:sz w:val="28"/>
      <w:szCs w:val="26"/>
    </w:rPr>
  </w:style>
  <w:style w:type="paragraph" w:styleId="Title">
    <w:name w:val="Title"/>
    <w:basedOn w:val="Normal"/>
    <w:next w:val="Normal"/>
    <w:link w:val="TitleChar"/>
    <w:autoRedefine/>
    <w:uiPriority w:val="10"/>
    <w:qFormat/>
    <w:rsid w:val="004963DA"/>
    <w:pPr>
      <w:pBdr>
        <w:bottom w:val="single" w:sz="8" w:space="4" w:color="4F81BD" w:themeColor="accent1"/>
      </w:pBdr>
      <w:spacing w:after="300" w:line="240" w:lineRule="auto"/>
      <w:contextualSpacing/>
      <w:jc w:val="center"/>
    </w:pPr>
    <w:rPr>
      <w:rFonts w:eastAsiaTheme="majorEastAsia" w:cstheme="majorBidi"/>
      <w:color w:val="000000" w:themeColor="text1"/>
      <w:spacing w:val="5"/>
      <w:kern w:val="28"/>
      <w:sz w:val="52"/>
      <w:szCs w:val="52"/>
    </w:rPr>
  </w:style>
  <w:style w:type="character" w:customStyle="1" w:styleId="TitleChar">
    <w:name w:val="Title Char"/>
    <w:basedOn w:val="DefaultParagraphFont"/>
    <w:link w:val="Title"/>
    <w:uiPriority w:val="10"/>
    <w:rsid w:val="004963DA"/>
    <w:rPr>
      <w:rFonts w:ascii="Arial" w:eastAsiaTheme="majorEastAsia" w:hAnsi="Arial" w:cstheme="majorBidi"/>
      <w:color w:val="000000" w:themeColor="text1"/>
      <w:spacing w:val="5"/>
      <w:kern w:val="28"/>
      <w:sz w:val="52"/>
      <w:szCs w:val="52"/>
    </w:rPr>
  </w:style>
  <w:style w:type="character" w:customStyle="1" w:styleId="Heading3Char">
    <w:name w:val="Heading 3 Char"/>
    <w:basedOn w:val="DefaultParagraphFont"/>
    <w:link w:val="Heading3"/>
    <w:uiPriority w:val="9"/>
    <w:rsid w:val="00AE6032"/>
    <w:rPr>
      <w:rFonts w:ascii="Arial" w:eastAsiaTheme="majorEastAsia" w:hAnsi="Arial" w:cstheme="majorBidi"/>
      <w:b/>
      <w:bCs/>
      <w:sz w:val="24"/>
    </w:rPr>
  </w:style>
  <w:style w:type="paragraph" w:styleId="Subtitle">
    <w:name w:val="Subtitle"/>
    <w:basedOn w:val="Normal"/>
    <w:next w:val="Normal"/>
    <w:link w:val="SubtitleChar"/>
    <w:autoRedefine/>
    <w:uiPriority w:val="11"/>
    <w:qFormat/>
    <w:rsid w:val="00307929"/>
    <w:pPr>
      <w:numPr>
        <w:ilvl w:val="1"/>
      </w:numPr>
      <w:jc w:val="center"/>
    </w:pPr>
    <w:rPr>
      <w:rFonts w:eastAsiaTheme="majorEastAsia" w:cstheme="majorBidi"/>
      <w:i/>
      <w:iCs/>
      <w:color w:val="000000" w:themeColor="text1"/>
      <w:spacing w:val="15"/>
      <w:szCs w:val="24"/>
    </w:rPr>
  </w:style>
  <w:style w:type="character" w:customStyle="1" w:styleId="SubtitleChar">
    <w:name w:val="Subtitle Char"/>
    <w:basedOn w:val="DefaultParagraphFont"/>
    <w:link w:val="Subtitle"/>
    <w:uiPriority w:val="11"/>
    <w:rsid w:val="00307929"/>
    <w:rPr>
      <w:rFonts w:ascii="Arial" w:eastAsiaTheme="majorEastAsia" w:hAnsi="Arial" w:cstheme="majorBidi"/>
      <w:i/>
      <w:iCs/>
      <w:color w:val="000000" w:themeColor="text1"/>
      <w:spacing w:val="15"/>
      <w:sz w:val="24"/>
      <w:szCs w:val="24"/>
    </w:rPr>
  </w:style>
  <w:style w:type="character" w:styleId="Hyperlink">
    <w:name w:val="Hyperlink"/>
    <w:basedOn w:val="DefaultParagraphFont"/>
    <w:uiPriority w:val="99"/>
    <w:unhideWhenUsed/>
    <w:rsid w:val="0030792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Calibri" w:hAnsiTheme="minorHAnsi" w:cstheme="minorBidi"/>
        <w:sz w:val="22"/>
        <w:szCs w:val="22"/>
        <w:lang w:val="en-GB" w:eastAsia="en-US" w:bidi="ar-SA"/>
      </w:rPr>
    </w:rPrDefault>
    <w:pPrDefault>
      <w:pPr>
        <w:spacing w:before="24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16DD"/>
    <w:pPr>
      <w:spacing w:before="0" w:after="160" w:line="256" w:lineRule="auto"/>
      <w:jc w:val="left"/>
    </w:pPr>
    <w:rPr>
      <w:rFonts w:ascii="Arial" w:hAnsi="Arial" w:cs="Times New Roman"/>
      <w:sz w:val="24"/>
    </w:rPr>
  </w:style>
  <w:style w:type="paragraph" w:styleId="Heading1">
    <w:name w:val="heading 1"/>
    <w:basedOn w:val="Normal"/>
    <w:next w:val="Normal"/>
    <w:link w:val="Heading1Char"/>
    <w:autoRedefine/>
    <w:uiPriority w:val="9"/>
    <w:qFormat/>
    <w:rsid w:val="009516DD"/>
    <w:pPr>
      <w:keepNext/>
      <w:keepLines/>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5947D3"/>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AE6032"/>
    <w:pPr>
      <w:keepNext/>
      <w:keepLines/>
      <w:spacing w:before="200"/>
      <w:outlineLvl w:val="2"/>
    </w:pPr>
    <w:rPr>
      <w:rFonts w:eastAsiaTheme="majorEastAsia" w:cstheme="majorBidi"/>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16DD"/>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5947D3"/>
    <w:rPr>
      <w:rFonts w:ascii="Arial" w:eastAsiaTheme="majorEastAsia" w:hAnsi="Arial" w:cstheme="majorBidi"/>
      <w:b/>
      <w:sz w:val="28"/>
      <w:szCs w:val="26"/>
    </w:rPr>
  </w:style>
  <w:style w:type="paragraph" w:styleId="Title">
    <w:name w:val="Title"/>
    <w:basedOn w:val="Normal"/>
    <w:next w:val="Normal"/>
    <w:link w:val="TitleChar"/>
    <w:autoRedefine/>
    <w:uiPriority w:val="10"/>
    <w:qFormat/>
    <w:rsid w:val="004963DA"/>
    <w:pPr>
      <w:pBdr>
        <w:bottom w:val="single" w:sz="8" w:space="4" w:color="4F81BD" w:themeColor="accent1"/>
      </w:pBdr>
      <w:spacing w:after="300" w:line="240" w:lineRule="auto"/>
      <w:contextualSpacing/>
      <w:jc w:val="center"/>
    </w:pPr>
    <w:rPr>
      <w:rFonts w:eastAsiaTheme="majorEastAsia" w:cstheme="majorBidi"/>
      <w:color w:val="000000" w:themeColor="text1"/>
      <w:spacing w:val="5"/>
      <w:kern w:val="28"/>
      <w:sz w:val="52"/>
      <w:szCs w:val="52"/>
    </w:rPr>
  </w:style>
  <w:style w:type="character" w:customStyle="1" w:styleId="TitleChar">
    <w:name w:val="Title Char"/>
    <w:basedOn w:val="DefaultParagraphFont"/>
    <w:link w:val="Title"/>
    <w:uiPriority w:val="10"/>
    <w:rsid w:val="004963DA"/>
    <w:rPr>
      <w:rFonts w:ascii="Arial" w:eastAsiaTheme="majorEastAsia" w:hAnsi="Arial" w:cstheme="majorBidi"/>
      <w:color w:val="000000" w:themeColor="text1"/>
      <w:spacing w:val="5"/>
      <w:kern w:val="28"/>
      <w:sz w:val="52"/>
      <w:szCs w:val="52"/>
    </w:rPr>
  </w:style>
  <w:style w:type="character" w:customStyle="1" w:styleId="Heading3Char">
    <w:name w:val="Heading 3 Char"/>
    <w:basedOn w:val="DefaultParagraphFont"/>
    <w:link w:val="Heading3"/>
    <w:uiPriority w:val="9"/>
    <w:rsid w:val="00AE6032"/>
    <w:rPr>
      <w:rFonts w:ascii="Arial" w:eastAsiaTheme="majorEastAsia" w:hAnsi="Arial" w:cstheme="majorBidi"/>
      <w:b/>
      <w:bCs/>
      <w:sz w:val="24"/>
    </w:rPr>
  </w:style>
  <w:style w:type="paragraph" w:styleId="Subtitle">
    <w:name w:val="Subtitle"/>
    <w:basedOn w:val="Normal"/>
    <w:next w:val="Normal"/>
    <w:link w:val="SubtitleChar"/>
    <w:autoRedefine/>
    <w:uiPriority w:val="11"/>
    <w:qFormat/>
    <w:rsid w:val="00307929"/>
    <w:pPr>
      <w:numPr>
        <w:ilvl w:val="1"/>
      </w:numPr>
      <w:jc w:val="center"/>
    </w:pPr>
    <w:rPr>
      <w:rFonts w:eastAsiaTheme="majorEastAsia" w:cstheme="majorBidi"/>
      <w:i/>
      <w:iCs/>
      <w:color w:val="000000" w:themeColor="text1"/>
      <w:spacing w:val="15"/>
      <w:szCs w:val="24"/>
    </w:rPr>
  </w:style>
  <w:style w:type="character" w:customStyle="1" w:styleId="SubtitleChar">
    <w:name w:val="Subtitle Char"/>
    <w:basedOn w:val="DefaultParagraphFont"/>
    <w:link w:val="Subtitle"/>
    <w:uiPriority w:val="11"/>
    <w:rsid w:val="00307929"/>
    <w:rPr>
      <w:rFonts w:ascii="Arial" w:eastAsiaTheme="majorEastAsia" w:hAnsi="Arial" w:cstheme="majorBidi"/>
      <w:i/>
      <w:iCs/>
      <w:color w:val="000000" w:themeColor="text1"/>
      <w:spacing w:val="15"/>
      <w:sz w:val="24"/>
      <w:szCs w:val="24"/>
    </w:rPr>
  </w:style>
  <w:style w:type="character" w:styleId="Hyperlink">
    <w:name w:val="Hyperlink"/>
    <w:basedOn w:val="DefaultParagraphFont"/>
    <w:uiPriority w:val="99"/>
    <w:unhideWhenUsed/>
    <w:rsid w:val="0030792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15998">
      <w:bodyDiv w:val="1"/>
      <w:marLeft w:val="0"/>
      <w:marRight w:val="0"/>
      <w:marTop w:val="0"/>
      <w:marBottom w:val="0"/>
      <w:divBdr>
        <w:top w:val="none" w:sz="0" w:space="0" w:color="auto"/>
        <w:left w:val="none" w:sz="0" w:space="0" w:color="auto"/>
        <w:bottom w:val="none" w:sz="0" w:space="0" w:color="auto"/>
        <w:right w:val="none" w:sz="0" w:space="0" w:color="auto"/>
      </w:divBdr>
    </w:div>
    <w:div w:id="115224603">
      <w:bodyDiv w:val="1"/>
      <w:marLeft w:val="0"/>
      <w:marRight w:val="0"/>
      <w:marTop w:val="0"/>
      <w:marBottom w:val="0"/>
      <w:divBdr>
        <w:top w:val="none" w:sz="0" w:space="0" w:color="auto"/>
        <w:left w:val="none" w:sz="0" w:space="0" w:color="auto"/>
        <w:bottom w:val="none" w:sz="0" w:space="0" w:color="auto"/>
        <w:right w:val="none" w:sz="0" w:space="0" w:color="auto"/>
      </w:divBdr>
    </w:div>
    <w:div w:id="171064977">
      <w:bodyDiv w:val="1"/>
      <w:marLeft w:val="0"/>
      <w:marRight w:val="0"/>
      <w:marTop w:val="0"/>
      <w:marBottom w:val="0"/>
      <w:divBdr>
        <w:top w:val="none" w:sz="0" w:space="0" w:color="auto"/>
        <w:left w:val="none" w:sz="0" w:space="0" w:color="auto"/>
        <w:bottom w:val="none" w:sz="0" w:space="0" w:color="auto"/>
        <w:right w:val="none" w:sz="0" w:space="0" w:color="auto"/>
      </w:divBdr>
    </w:div>
    <w:div w:id="419255474">
      <w:bodyDiv w:val="1"/>
      <w:marLeft w:val="0"/>
      <w:marRight w:val="0"/>
      <w:marTop w:val="0"/>
      <w:marBottom w:val="0"/>
      <w:divBdr>
        <w:top w:val="none" w:sz="0" w:space="0" w:color="auto"/>
        <w:left w:val="none" w:sz="0" w:space="0" w:color="auto"/>
        <w:bottom w:val="none" w:sz="0" w:space="0" w:color="auto"/>
        <w:right w:val="none" w:sz="0" w:space="0" w:color="auto"/>
      </w:divBdr>
    </w:div>
    <w:div w:id="477112846">
      <w:bodyDiv w:val="1"/>
      <w:marLeft w:val="0"/>
      <w:marRight w:val="0"/>
      <w:marTop w:val="0"/>
      <w:marBottom w:val="0"/>
      <w:divBdr>
        <w:top w:val="none" w:sz="0" w:space="0" w:color="auto"/>
        <w:left w:val="none" w:sz="0" w:space="0" w:color="auto"/>
        <w:bottom w:val="none" w:sz="0" w:space="0" w:color="auto"/>
        <w:right w:val="none" w:sz="0" w:space="0" w:color="auto"/>
      </w:divBdr>
    </w:div>
    <w:div w:id="545528606">
      <w:bodyDiv w:val="1"/>
      <w:marLeft w:val="0"/>
      <w:marRight w:val="0"/>
      <w:marTop w:val="0"/>
      <w:marBottom w:val="0"/>
      <w:divBdr>
        <w:top w:val="none" w:sz="0" w:space="0" w:color="auto"/>
        <w:left w:val="none" w:sz="0" w:space="0" w:color="auto"/>
        <w:bottom w:val="none" w:sz="0" w:space="0" w:color="auto"/>
        <w:right w:val="none" w:sz="0" w:space="0" w:color="auto"/>
      </w:divBdr>
    </w:div>
    <w:div w:id="790562171">
      <w:bodyDiv w:val="1"/>
      <w:marLeft w:val="0"/>
      <w:marRight w:val="0"/>
      <w:marTop w:val="0"/>
      <w:marBottom w:val="0"/>
      <w:divBdr>
        <w:top w:val="none" w:sz="0" w:space="0" w:color="auto"/>
        <w:left w:val="none" w:sz="0" w:space="0" w:color="auto"/>
        <w:bottom w:val="none" w:sz="0" w:space="0" w:color="auto"/>
        <w:right w:val="none" w:sz="0" w:space="0" w:color="auto"/>
      </w:divBdr>
      <w:divsChild>
        <w:div w:id="1965848133">
          <w:marLeft w:val="0"/>
          <w:marRight w:val="0"/>
          <w:marTop w:val="0"/>
          <w:marBottom w:val="0"/>
          <w:divBdr>
            <w:top w:val="none" w:sz="0" w:space="0" w:color="auto"/>
            <w:left w:val="none" w:sz="0" w:space="0" w:color="auto"/>
            <w:bottom w:val="none" w:sz="0" w:space="0" w:color="auto"/>
            <w:right w:val="none" w:sz="0" w:space="0" w:color="auto"/>
          </w:divBdr>
          <w:divsChild>
            <w:div w:id="1402018484">
              <w:marLeft w:val="0"/>
              <w:marRight w:val="0"/>
              <w:marTop w:val="0"/>
              <w:marBottom w:val="0"/>
              <w:divBdr>
                <w:top w:val="none" w:sz="0" w:space="0" w:color="auto"/>
                <w:left w:val="none" w:sz="0" w:space="0" w:color="auto"/>
                <w:bottom w:val="none" w:sz="0" w:space="0" w:color="auto"/>
                <w:right w:val="none" w:sz="0" w:space="0" w:color="auto"/>
              </w:divBdr>
              <w:divsChild>
                <w:div w:id="2013943666">
                  <w:marLeft w:val="0"/>
                  <w:marRight w:val="0"/>
                  <w:marTop w:val="0"/>
                  <w:marBottom w:val="0"/>
                  <w:divBdr>
                    <w:top w:val="none" w:sz="0" w:space="0" w:color="auto"/>
                    <w:left w:val="none" w:sz="0" w:space="0" w:color="auto"/>
                    <w:bottom w:val="none" w:sz="0" w:space="0" w:color="auto"/>
                    <w:right w:val="none" w:sz="0" w:space="0" w:color="auto"/>
                  </w:divBdr>
                  <w:divsChild>
                    <w:div w:id="7486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321854">
          <w:marLeft w:val="0"/>
          <w:marRight w:val="0"/>
          <w:marTop w:val="0"/>
          <w:marBottom w:val="0"/>
          <w:divBdr>
            <w:top w:val="none" w:sz="0" w:space="0" w:color="auto"/>
            <w:left w:val="none" w:sz="0" w:space="0" w:color="auto"/>
            <w:bottom w:val="none" w:sz="0" w:space="0" w:color="auto"/>
            <w:right w:val="none" w:sz="0" w:space="0" w:color="auto"/>
          </w:divBdr>
          <w:divsChild>
            <w:div w:id="832380462">
              <w:marLeft w:val="0"/>
              <w:marRight w:val="0"/>
              <w:marTop w:val="0"/>
              <w:marBottom w:val="0"/>
              <w:divBdr>
                <w:top w:val="none" w:sz="0" w:space="0" w:color="auto"/>
                <w:left w:val="none" w:sz="0" w:space="0" w:color="auto"/>
                <w:bottom w:val="none" w:sz="0" w:space="0" w:color="auto"/>
                <w:right w:val="none" w:sz="0" w:space="0" w:color="auto"/>
              </w:divBdr>
              <w:divsChild>
                <w:div w:id="711004553">
                  <w:marLeft w:val="0"/>
                  <w:marRight w:val="0"/>
                  <w:marTop w:val="0"/>
                  <w:marBottom w:val="0"/>
                  <w:divBdr>
                    <w:top w:val="none" w:sz="0" w:space="0" w:color="auto"/>
                    <w:left w:val="none" w:sz="0" w:space="0" w:color="auto"/>
                    <w:bottom w:val="none" w:sz="0" w:space="0" w:color="auto"/>
                    <w:right w:val="none" w:sz="0" w:space="0" w:color="auto"/>
                  </w:divBdr>
                  <w:divsChild>
                    <w:div w:id="134940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4007114">
      <w:bodyDiv w:val="1"/>
      <w:marLeft w:val="0"/>
      <w:marRight w:val="0"/>
      <w:marTop w:val="0"/>
      <w:marBottom w:val="0"/>
      <w:divBdr>
        <w:top w:val="none" w:sz="0" w:space="0" w:color="auto"/>
        <w:left w:val="none" w:sz="0" w:space="0" w:color="auto"/>
        <w:bottom w:val="none" w:sz="0" w:space="0" w:color="auto"/>
        <w:right w:val="none" w:sz="0" w:space="0" w:color="auto"/>
      </w:divBdr>
    </w:div>
    <w:div w:id="948587364">
      <w:bodyDiv w:val="1"/>
      <w:marLeft w:val="0"/>
      <w:marRight w:val="0"/>
      <w:marTop w:val="0"/>
      <w:marBottom w:val="0"/>
      <w:divBdr>
        <w:top w:val="none" w:sz="0" w:space="0" w:color="auto"/>
        <w:left w:val="none" w:sz="0" w:space="0" w:color="auto"/>
        <w:bottom w:val="none" w:sz="0" w:space="0" w:color="auto"/>
        <w:right w:val="none" w:sz="0" w:space="0" w:color="auto"/>
      </w:divBdr>
    </w:div>
    <w:div w:id="982465255">
      <w:bodyDiv w:val="1"/>
      <w:marLeft w:val="0"/>
      <w:marRight w:val="0"/>
      <w:marTop w:val="0"/>
      <w:marBottom w:val="0"/>
      <w:divBdr>
        <w:top w:val="none" w:sz="0" w:space="0" w:color="auto"/>
        <w:left w:val="none" w:sz="0" w:space="0" w:color="auto"/>
        <w:bottom w:val="none" w:sz="0" w:space="0" w:color="auto"/>
        <w:right w:val="none" w:sz="0" w:space="0" w:color="auto"/>
      </w:divBdr>
    </w:div>
    <w:div w:id="1025595507">
      <w:bodyDiv w:val="1"/>
      <w:marLeft w:val="0"/>
      <w:marRight w:val="0"/>
      <w:marTop w:val="0"/>
      <w:marBottom w:val="0"/>
      <w:divBdr>
        <w:top w:val="none" w:sz="0" w:space="0" w:color="auto"/>
        <w:left w:val="none" w:sz="0" w:space="0" w:color="auto"/>
        <w:bottom w:val="none" w:sz="0" w:space="0" w:color="auto"/>
        <w:right w:val="none" w:sz="0" w:space="0" w:color="auto"/>
      </w:divBdr>
    </w:div>
    <w:div w:id="1170216438">
      <w:bodyDiv w:val="1"/>
      <w:marLeft w:val="0"/>
      <w:marRight w:val="0"/>
      <w:marTop w:val="0"/>
      <w:marBottom w:val="0"/>
      <w:divBdr>
        <w:top w:val="none" w:sz="0" w:space="0" w:color="auto"/>
        <w:left w:val="none" w:sz="0" w:space="0" w:color="auto"/>
        <w:bottom w:val="none" w:sz="0" w:space="0" w:color="auto"/>
        <w:right w:val="none" w:sz="0" w:space="0" w:color="auto"/>
      </w:divBdr>
    </w:div>
    <w:div w:id="1204055997">
      <w:bodyDiv w:val="1"/>
      <w:marLeft w:val="0"/>
      <w:marRight w:val="0"/>
      <w:marTop w:val="0"/>
      <w:marBottom w:val="0"/>
      <w:divBdr>
        <w:top w:val="none" w:sz="0" w:space="0" w:color="auto"/>
        <w:left w:val="none" w:sz="0" w:space="0" w:color="auto"/>
        <w:bottom w:val="none" w:sz="0" w:space="0" w:color="auto"/>
        <w:right w:val="none" w:sz="0" w:space="0" w:color="auto"/>
      </w:divBdr>
    </w:div>
    <w:div w:id="1285650720">
      <w:bodyDiv w:val="1"/>
      <w:marLeft w:val="0"/>
      <w:marRight w:val="0"/>
      <w:marTop w:val="0"/>
      <w:marBottom w:val="0"/>
      <w:divBdr>
        <w:top w:val="none" w:sz="0" w:space="0" w:color="auto"/>
        <w:left w:val="none" w:sz="0" w:space="0" w:color="auto"/>
        <w:bottom w:val="none" w:sz="0" w:space="0" w:color="auto"/>
        <w:right w:val="none" w:sz="0" w:space="0" w:color="auto"/>
      </w:divBdr>
    </w:div>
    <w:div w:id="1336346701">
      <w:bodyDiv w:val="1"/>
      <w:marLeft w:val="0"/>
      <w:marRight w:val="0"/>
      <w:marTop w:val="0"/>
      <w:marBottom w:val="0"/>
      <w:divBdr>
        <w:top w:val="none" w:sz="0" w:space="0" w:color="auto"/>
        <w:left w:val="none" w:sz="0" w:space="0" w:color="auto"/>
        <w:bottom w:val="none" w:sz="0" w:space="0" w:color="auto"/>
        <w:right w:val="none" w:sz="0" w:space="0" w:color="auto"/>
      </w:divBdr>
    </w:div>
    <w:div w:id="1350714351">
      <w:bodyDiv w:val="1"/>
      <w:marLeft w:val="0"/>
      <w:marRight w:val="0"/>
      <w:marTop w:val="0"/>
      <w:marBottom w:val="0"/>
      <w:divBdr>
        <w:top w:val="none" w:sz="0" w:space="0" w:color="auto"/>
        <w:left w:val="none" w:sz="0" w:space="0" w:color="auto"/>
        <w:bottom w:val="none" w:sz="0" w:space="0" w:color="auto"/>
        <w:right w:val="none" w:sz="0" w:space="0" w:color="auto"/>
      </w:divBdr>
    </w:div>
    <w:div w:id="1580600237">
      <w:bodyDiv w:val="1"/>
      <w:marLeft w:val="0"/>
      <w:marRight w:val="0"/>
      <w:marTop w:val="0"/>
      <w:marBottom w:val="0"/>
      <w:divBdr>
        <w:top w:val="none" w:sz="0" w:space="0" w:color="auto"/>
        <w:left w:val="none" w:sz="0" w:space="0" w:color="auto"/>
        <w:bottom w:val="none" w:sz="0" w:space="0" w:color="auto"/>
        <w:right w:val="none" w:sz="0" w:space="0" w:color="auto"/>
      </w:divBdr>
      <w:divsChild>
        <w:div w:id="135881237">
          <w:marLeft w:val="0"/>
          <w:marRight w:val="0"/>
          <w:marTop w:val="0"/>
          <w:marBottom w:val="0"/>
          <w:divBdr>
            <w:top w:val="none" w:sz="0" w:space="0" w:color="auto"/>
            <w:left w:val="none" w:sz="0" w:space="0" w:color="auto"/>
            <w:bottom w:val="none" w:sz="0" w:space="0" w:color="auto"/>
            <w:right w:val="none" w:sz="0" w:space="0" w:color="auto"/>
          </w:divBdr>
          <w:divsChild>
            <w:div w:id="240337845">
              <w:marLeft w:val="0"/>
              <w:marRight w:val="0"/>
              <w:marTop w:val="0"/>
              <w:marBottom w:val="0"/>
              <w:divBdr>
                <w:top w:val="none" w:sz="0" w:space="0" w:color="auto"/>
                <w:left w:val="none" w:sz="0" w:space="0" w:color="auto"/>
                <w:bottom w:val="none" w:sz="0" w:space="0" w:color="auto"/>
                <w:right w:val="none" w:sz="0" w:space="0" w:color="auto"/>
              </w:divBdr>
              <w:divsChild>
                <w:div w:id="1732775237">
                  <w:marLeft w:val="0"/>
                  <w:marRight w:val="0"/>
                  <w:marTop w:val="0"/>
                  <w:marBottom w:val="0"/>
                  <w:divBdr>
                    <w:top w:val="none" w:sz="0" w:space="0" w:color="auto"/>
                    <w:left w:val="none" w:sz="0" w:space="0" w:color="auto"/>
                    <w:bottom w:val="none" w:sz="0" w:space="0" w:color="auto"/>
                    <w:right w:val="none" w:sz="0" w:space="0" w:color="auto"/>
                  </w:divBdr>
                  <w:divsChild>
                    <w:div w:id="229927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370182">
          <w:marLeft w:val="0"/>
          <w:marRight w:val="0"/>
          <w:marTop w:val="0"/>
          <w:marBottom w:val="0"/>
          <w:divBdr>
            <w:top w:val="none" w:sz="0" w:space="0" w:color="auto"/>
            <w:left w:val="none" w:sz="0" w:space="0" w:color="auto"/>
            <w:bottom w:val="none" w:sz="0" w:space="0" w:color="auto"/>
            <w:right w:val="none" w:sz="0" w:space="0" w:color="auto"/>
          </w:divBdr>
          <w:divsChild>
            <w:div w:id="752164077">
              <w:marLeft w:val="0"/>
              <w:marRight w:val="0"/>
              <w:marTop w:val="0"/>
              <w:marBottom w:val="0"/>
              <w:divBdr>
                <w:top w:val="none" w:sz="0" w:space="0" w:color="auto"/>
                <w:left w:val="none" w:sz="0" w:space="0" w:color="auto"/>
                <w:bottom w:val="none" w:sz="0" w:space="0" w:color="auto"/>
                <w:right w:val="none" w:sz="0" w:space="0" w:color="auto"/>
              </w:divBdr>
              <w:divsChild>
                <w:div w:id="998969766">
                  <w:marLeft w:val="0"/>
                  <w:marRight w:val="0"/>
                  <w:marTop w:val="0"/>
                  <w:marBottom w:val="0"/>
                  <w:divBdr>
                    <w:top w:val="none" w:sz="0" w:space="0" w:color="auto"/>
                    <w:left w:val="none" w:sz="0" w:space="0" w:color="auto"/>
                    <w:bottom w:val="none" w:sz="0" w:space="0" w:color="auto"/>
                    <w:right w:val="none" w:sz="0" w:space="0" w:color="auto"/>
                  </w:divBdr>
                  <w:divsChild>
                    <w:div w:id="177794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295479">
      <w:bodyDiv w:val="1"/>
      <w:marLeft w:val="0"/>
      <w:marRight w:val="0"/>
      <w:marTop w:val="0"/>
      <w:marBottom w:val="0"/>
      <w:divBdr>
        <w:top w:val="none" w:sz="0" w:space="0" w:color="auto"/>
        <w:left w:val="none" w:sz="0" w:space="0" w:color="auto"/>
        <w:bottom w:val="none" w:sz="0" w:space="0" w:color="auto"/>
        <w:right w:val="none" w:sz="0" w:space="0" w:color="auto"/>
      </w:divBdr>
    </w:div>
    <w:div w:id="1629126499">
      <w:bodyDiv w:val="1"/>
      <w:marLeft w:val="0"/>
      <w:marRight w:val="0"/>
      <w:marTop w:val="0"/>
      <w:marBottom w:val="0"/>
      <w:divBdr>
        <w:top w:val="none" w:sz="0" w:space="0" w:color="auto"/>
        <w:left w:val="none" w:sz="0" w:space="0" w:color="auto"/>
        <w:bottom w:val="none" w:sz="0" w:space="0" w:color="auto"/>
        <w:right w:val="none" w:sz="0" w:space="0" w:color="auto"/>
      </w:divBdr>
    </w:div>
    <w:div w:id="1752971643">
      <w:bodyDiv w:val="1"/>
      <w:marLeft w:val="0"/>
      <w:marRight w:val="0"/>
      <w:marTop w:val="0"/>
      <w:marBottom w:val="0"/>
      <w:divBdr>
        <w:top w:val="none" w:sz="0" w:space="0" w:color="auto"/>
        <w:left w:val="none" w:sz="0" w:space="0" w:color="auto"/>
        <w:bottom w:val="none" w:sz="0" w:space="0" w:color="auto"/>
        <w:right w:val="none" w:sz="0" w:space="0" w:color="auto"/>
      </w:divBdr>
    </w:div>
    <w:div w:id="1899974500">
      <w:bodyDiv w:val="1"/>
      <w:marLeft w:val="0"/>
      <w:marRight w:val="0"/>
      <w:marTop w:val="0"/>
      <w:marBottom w:val="0"/>
      <w:divBdr>
        <w:top w:val="none" w:sz="0" w:space="0" w:color="auto"/>
        <w:left w:val="none" w:sz="0" w:space="0" w:color="auto"/>
        <w:bottom w:val="none" w:sz="0" w:space="0" w:color="auto"/>
        <w:right w:val="none" w:sz="0" w:space="0" w:color="auto"/>
      </w:divBdr>
    </w:div>
    <w:div w:id="1991978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learning.linkedin.com/resources/workplace-learning-re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br.org/2021/12/how-to-retain-gen-z-employees-with-mental-health-support"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8</Pages>
  <Words>2765</Words>
  <Characters>15761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Tanalt</dc:creator>
  <cp:keywords/>
  <dc:description/>
  <cp:lastModifiedBy>Madalina Tanalt</cp:lastModifiedBy>
  <cp:revision>2</cp:revision>
  <dcterms:created xsi:type="dcterms:W3CDTF">2024-10-20T10:49:00Z</dcterms:created>
  <dcterms:modified xsi:type="dcterms:W3CDTF">2024-10-20T11:22:00Z</dcterms:modified>
</cp:coreProperties>
</file>