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6F348" w14:textId="09C6F990" w:rsidR="004B3B07" w:rsidRDefault="004B3B07" w:rsidP="1E5D03DD">
      <w:pPr>
        <w:pStyle w:val="Title"/>
        <w:spacing w:line="360" w:lineRule="auto"/>
        <w:jc w:val="both"/>
        <w:rPr>
          <w:rStyle w:val="s1"/>
          <w:rFonts w:ascii="Arial" w:eastAsia="Arial" w:hAnsi="Arial" w:cs="Arial"/>
          <w:b w:val="0"/>
          <w:sz w:val="40"/>
          <w:szCs w:val="40"/>
        </w:rPr>
      </w:pPr>
      <w:r w:rsidRPr="66B28DC3">
        <w:rPr>
          <w:rFonts w:ascii="Arial" w:eastAsia="Arial" w:hAnsi="Arial" w:cs="Arial"/>
          <w:sz w:val="40"/>
          <w:szCs w:val="40"/>
        </w:rPr>
        <w:t>Name:  Mukendi</w:t>
      </w:r>
      <w:r w:rsidR="00842187">
        <w:rPr>
          <w:rFonts w:ascii="Arial" w:eastAsia="Arial" w:hAnsi="Arial" w:cs="Arial"/>
          <w:sz w:val="40"/>
          <w:szCs w:val="40"/>
        </w:rPr>
        <w:t xml:space="preserve"> Matumba</w:t>
      </w:r>
    </w:p>
    <w:p w14:paraId="09E814D1" w14:textId="77777777" w:rsidR="00AC65DC" w:rsidRDefault="004B3B07" w:rsidP="00EC2DBE">
      <w:pPr>
        <w:pStyle w:val="Title"/>
        <w:spacing w:line="360" w:lineRule="auto"/>
        <w:jc w:val="both"/>
        <w:rPr>
          <w:rFonts w:ascii="Arial" w:eastAsia="Arial" w:hAnsi="Arial" w:cs="Arial"/>
          <w:sz w:val="40"/>
          <w:szCs w:val="40"/>
        </w:rPr>
      </w:pPr>
      <w:r w:rsidRPr="66B28DC3">
        <w:rPr>
          <w:rFonts w:ascii="Arial" w:eastAsia="Arial" w:hAnsi="Arial" w:cs="Arial"/>
          <w:sz w:val="40"/>
          <w:szCs w:val="40"/>
        </w:rPr>
        <w:t xml:space="preserve">Student Number: </w:t>
      </w:r>
      <w:r w:rsidR="0173C393" w:rsidRPr="66B28DC3">
        <w:rPr>
          <w:rFonts w:ascii="Arial" w:eastAsia="Arial" w:hAnsi="Arial" w:cs="Arial"/>
          <w:sz w:val="40"/>
          <w:szCs w:val="40"/>
        </w:rPr>
        <w:t>2426801</w:t>
      </w:r>
      <w:r w:rsidR="00EC2DBE">
        <w:rPr>
          <w:rFonts w:ascii="Arial" w:eastAsia="Arial" w:hAnsi="Arial" w:cs="Arial"/>
          <w:sz w:val="40"/>
          <w:szCs w:val="40"/>
        </w:rPr>
        <w:t xml:space="preserve"> </w:t>
      </w:r>
    </w:p>
    <w:p w14:paraId="312EB8D5" w14:textId="5D9AF0EF" w:rsidR="00EC2DBE" w:rsidRPr="00EC2DBE" w:rsidRDefault="00E57CCA" w:rsidP="00EC2DBE">
      <w:pPr>
        <w:pStyle w:val="Title"/>
        <w:spacing w:line="360" w:lineRule="auto"/>
        <w:jc w:val="both"/>
        <w:rPr>
          <w:rFonts w:ascii="Arial" w:eastAsia="Arial" w:hAnsi="Arial" w:cs="Arial"/>
          <w:sz w:val="40"/>
          <w:szCs w:val="40"/>
        </w:rPr>
      </w:pPr>
      <w:r>
        <w:rPr>
          <w:rFonts w:ascii="Arial" w:eastAsia="Arial" w:hAnsi="Arial" w:cs="Arial"/>
          <w:sz w:val="40"/>
          <w:szCs w:val="40"/>
        </w:rPr>
        <w:t>L</w:t>
      </w:r>
      <w:r w:rsidR="00EC2DBE">
        <w:rPr>
          <w:rFonts w:ascii="Arial" w:eastAsia="Arial" w:hAnsi="Arial" w:cs="Arial"/>
          <w:sz w:val="40"/>
          <w:szCs w:val="40"/>
        </w:rPr>
        <w:t>ect</w:t>
      </w:r>
      <w:r>
        <w:rPr>
          <w:rFonts w:ascii="Arial" w:eastAsia="Arial" w:hAnsi="Arial" w:cs="Arial"/>
          <w:sz w:val="40"/>
          <w:szCs w:val="40"/>
        </w:rPr>
        <w:t>ure</w:t>
      </w:r>
      <w:r w:rsidR="00537838">
        <w:rPr>
          <w:rFonts w:ascii="Arial" w:eastAsia="Arial" w:hAnsi="Arial" w:cs="Arial"/>
          <w:sz w:val="40"/>
          <w:szCs w:val="40"/>
        </w:rPr>
        <w:t>:</w:t>
      </w:r>
      <w:r w:rsidR="0034712F">
        <w:rPr>
          <w:rFonts w:ascii="Arial" w:eastAsia="Arial" w:hAnsi="Arial" w:cs="Arial"/>
          <w:sz w:val="40"/>
          <w:szCs w:val="40"/>
        </w:rPr>
        <w:t xml:space="preserve"> </w:t>
      </w:r>
      <w:r w:rsidR="006F5858" w:rsidRPr="006F5858">
        <w:rPr>
          <w:rFonts w:ascii="Arial" w:eastAsia="Arial" w:hAnsi="Arial" w:cs="Arial"/>
          <w:sz w:val="40"/>
          <w:szCs w:val="40"/>
        </w:rPr>
        <w:t>Robert Nartowski</w:t>
      </w:r>
    </w:p>
    <w:p w14:paraId="219672FA" w14:textId="73E7FA69" w:rsidR="004B3B07" w:rsidRDefault="004B3B07" w:rsidP="1E5D03DD">
      <w:pPr>
        <w:pStyle w:val="Title"/>
        <w:spacing w:line="360" w:lineRule="auto"/>
        <w:jc w:val="both"/>
        <w:rPr>
          <w:rStyle w:val="s1"/>
          <w:rFonts w:ascii="Arial" w:eastAsia="Arial" w:hAnsi="Arial" w:cs="Arial"/>
          <w:b w:val="0"/>
          <w:sz w:val="40"/>
          <w:szCs w:val="40"/>
        </w:rPr>
      </w:pPr>
      <w:r w:rsidRPr="66B28DC3">
        <w:rPr>
          <w:rFonts w:ascii="Arial" w:eastAsia="Arial" w:hAnsi="Arial" w:cs="Arial"/>
          <w:sz w:val="40"/>
          <w:szCs w:val="40"/>
        </w:rPr>
        <w:t xml:space="preserve">Module Code: </w:t>
      </w:r>
      <w:r w:rsidR="370200A3" w:rsidRPr="66B28DC3">
        <w:rPr>
          <w:rFonts w:ascii="Arial" w:eastAsia="Arial" w:hAnsi="Arial" w:cs="Arial"/>
          <w:sz w:val="40"/>
          <w:szCs w:val="40"/>
        </w:rPr>
        <w:t>BMHP5023</w:t>
      </w:r>
    </w:p>
    <w:p w14:paraId="23C59B6B" w14:textId="57485172" w:rsidR="004B3B07" w:rsidRDefault="004B3B07" w:rsidP="1E5D03DD">
      <w:pPr>
        <w:pStyle w:val="Title"/>
        <w:spacing w:line="360" w:lineRule="auto"/>
        <w:jc w:val="both"/>
        <w:rPr>
          <w:rStyle w:val="s1"/>
          <w:rFonts w:ascii="Arial" w:eastAsia="Arial" w:hAnsi="Arial" w:cs="Arial"/>
          <w:b w:val="0"/>
          <w:sz w:val="40"/>
          <w:szCs w:val="40"/>
        </w:rPr>
      </w:pPr>
      <w:r w:rsidRPr="66B28DC3">
        <w:rPr>
          <w:rFonts w:ascii="Arial" w:eastAsia="Arial" w:hAnsi="Arial" w:cs="Arial"/>
          <w:sz w:val="40"/>
          <w:szCs w:val="40"/>
        </w:rPr>
        <w:t xml:space="preserve">Module Title: </w:t>
      </w:r>
      <w:r w:rsidR="2E5B539D" w:rsidRPr="66B28DC3">
        <w:rPr>
          <w:rFonts w:ascii="Arial" w:eastAsia="Arial" w:hAnsi="Arial" w:cs="Arial"/>
          <w:sz w:val="40"/>
          <w:szCs w:val="40"/>
        </w:rPr>
        <w:t>Introduction to Physiology</w:t>
      </w:r>
    </w:p>
    <w:p w14:paraId="6EE80CFE" w14:textId="77777777" w:rsidR="004B3B07" w:rsidRDefault="004B3B07" w:rsidP="1E5D03DD">
      <w:pPr>
        <w:pStyle w:val="Title"/>
        <w:spacing w:line="360" w:lineRule="auto"/>
        <w:jc w:val="both"/>
        <w:rPr>
          <w:rStyle w:val="s1"/>
          <w:rFonts w:ascii="Arial" w:eastAsia="Arial" w:hAnsi="Arial" w:cs="Arial"/>
          <w:b w:val="0"/>
          <w:sz w:val="40"/>
          <w:szCs w:val="40"/>
        </w:rPr>
      </w:pPr>
      <w:r w:rsidRPr="66B28DC3">
        <w:rPr>
          <w:rFonts w:ascii="Arial" w:eastAsia="Arial" w:hAnsi="Arial" w:cs="Arial"/>
          <w:sz w:val="40"/>
          <w:szCs w:val="40"/>
        </w:rPr>
        <w:t>Assignment Title: Understanding the Physiology and Management of Type 2 Diabetes Mellitus</w:t>
      </w:r>
    </w:p>
    <w:p w14:paraId="57476428" w14:textId="77777777" w:rsidR="004B3B07" w:rsidRDefault="004B3B07" w:rsidP="1E5D03DD">
      <w:pPr>
        <w:spacing w:line="360" w:lineRule="auto"/>
        <w:jc w:val="both"/>
        <w:rPr>
          <w:rFonts w:ascii="Arial" w:eastAsia="Arial" w:hAnsi="Arial" w:cs="Arial"/>
          <w:sz w:val="40"/>
          <w:szCs w:val="40"/>
        </w:rPr>
      </w:pPr>
    </w:p>
    <w:p w14:paraId="09C8E37B" w14:textId="0B7C9B3E" w:rsidR="004B3B07" w:rsidRDefault="004B3B07" w:rsidP="1E5D03DD">
      <w:pPr>
        <w:spacing w:line="360" w:lineRule="auto"/>
        <w:jc w:val="both"/>
        <w:rPr>
          <w:rFonts w:ascii="Arial" w:eastAsia="Arial" w:hAnsi="Arial" w:cs="Arial"/>
          <w:sz w:val="22"/>
          <w:szCs w:val="22"/>
        </w:rPr>
      </w:pPr>
    </w:p>
    <w:p w14:paraId="6EB9F755" w14:textId="156CE340" w:rsidR="004B3B07" w:rsidRDefault="004B3B07" w:rsidP="1E5D03DD">
      <w:pPr>
        <w:spacing w:line="360" w:lineRule="auto"/>
        <w:jc w:val="both"/>
        <w:rPr>
          <w:rFonts w:ascii="Arial" w:eastAsia="Arial" w:hAnsi="Arial" w:cs="Arial"/>
          <w:sz w:val="22"/>
          <w:szCs w:val="22"/>
        </w:rPr>
      </w:pPr>
    </w:p>
    <w:p w14:paraId="6F526F16" w14:textId="77777777" w:rsidR="004B3B07" w:rsidRDefault="004B3B07" w:rsidP="1E5D03DD">
      <w:pPr>
        <w:spacing w:line="360" w:lineRule="auto"/>
        <w:jc w:val="both"/>
        <w:rPr>
          <w:rFonts w:ascii="Arial" w:eastAsia="Arial" w:hAnsi="Arial" w:cs="Arial"/>
          <w:sz w:val="22"/>
          <w:szCs w:val="22"/>
        </w:rPr>
      </w:pPr>
    </w:p>
    <w:p w14:paraId="3627C091" w14:textId="3CFD82A0" w:rsidR="1AC59568" w:rsidRDefault="1AC59568" w:rsidP="1E5D03DD">
      <w:pPr>
        <w:spacing w:line="360" w:lineRule="auto"/>
        <w:jc w:val="both"/>
        <w:rPr>
          <w:rFonts w:ascii="Arial" w:eastAsia="Arial" w:hAnsi="Arial" w:cs="Arial"/>
          <w:sz w:val="22"/>
          <w:szCs w:val="22"/>
        </w:rPr>
      </w:pPr>
    </w:p>
    <w:p w14:paraId="676A03BF" w14:textId="2985D209" w:rsidR="1AC59568" w:rsidRDefault="1AC59568" w:rsidP="1E5D03DD">
      <w:pPr>
        <w:spacing w:line="360" w:lineRule="auto"/>
        <w:jc w:val="both"/>
        <w:rPr>
          <w:rFonts w:ascii="Arial" w:eastAsia="Arial" w:hAnsi="Arial" w:cs="Arial"/>
          <w:sz w:val="22"/>
          <w:szCs w:val="22"/>
        </w:rPr>
      </w:pPr>
    </w:p>
    <w:p w14:paraId="2363566E" w14:textId="3274FBC1" w:rsidR="1AC59568" w:rsidRDefault="1AC59568" w:rsidP="1E5D03DD">
      <w:pPr>
        <w:spacing w:line="360" w:lineRule="auto"/>
        <w:jc w:val="both"/>
        <w:rPr>
          <w:rFonts w:ascii="Arial" w:eastAsia="Arial" w:hAnsi="Arial" w:cs="Arial"/>
          <w:sz w:val="22"/>
          <w:szCs w:val="22"/>
        </w:rPr>
      </w:pPr>
    </w:p>
    <w:p w14:paraId="35BDF320" w14:textId="291B30EA" w:rsidR="588E5956" w:rsidRDefault="588E5956" w:rsidP="5AE1C667">
      <w:pPr>
        <w:pStyle w:val="Title"/>
        <w:rPr>
          <w:rFonts w:ascii="Arial" w:eastAsia="Arial" w:hAnsi="Arial" w:cs="Arial"/>
        </w:rPr>
      </w:pPr>
    </w:p>
    <w:p w14:paraId="60226AC4" w14:textId="12F225AC" w:rsidR="1CDE72A8" w:rsidRDefault="1CDE72A8" w:rsidP="1CDE72A8">
      <w:pPr>
        <w:pStyle w:val="Title"/>
        <w:rPr>
          <w:rFonts w:ascii="Arial" w:eastAsia="Arial" w:hAnsi="Arial" w:cs="Arial"/>
        </w:rPr>
      </w:pPr>
    </w:p>
    <w:p w14:paraId="4C3ACA2B" w14:textId="3E5477F1" w:rsidR="418C1F34" w:rsidRDefault="418C1F34" w:rsidP="418C1F34">
      <w:pPr>
        <w:pStyle w:val="Title"/>
        <w:rPr>
          <w:rFonts w:ascii="Arial" w:eastAsia="Arial" w:hAnsi="Arial" w:cs="Arial"/>
        </w:rPr>
      </w:pPr>
    </w:p>
    <w:p w14:paraId="5800D756" w14:textId="451B6CD0" w:rsidR="418C1F34" w:rsidRDefault="418C1F34" w:rsidP="418C1F34">
      <w:pPr>
        <w:pStyle w:val="Title"/>
        <w:rPr>
          <w:rFonts w:ascii="Arial" w:eastAsia="Arial" w:hAnsi="Arial" w:cs="Arial"/>
        </w:rPr>
      </w:pPr>
    </w:p>
    <w:p w14:paraId="0D529511" w14:textId="3AFD50CF" w:rsidR="418C1F34" w:rsidRDefault="418C1F34" w:rsidP="418C1F34">
      <w:pPr>
        <w:pStyle w:val="Title"/>
        <w:rPr>
          <w:rFonts w:ascii="Arial" w:eastAsia="Arial" w:hAnsi="Arial" w:cs="Arial"/>
        </w:rPr>
      </w:pPr>
    </w:p>
    <w:p w14:paraId="2D359742" w14:textId="1D2DB55C" w:rsidR="418C1F34" w:rsidRDefault="418C1F34" w:rsidP="418C1F34">
      <w:pPr>
        <w:pStyle w:val="Title"/>
        <w:rPr>
          <w:rFonts w:ascii="Arial" w:eastAsia="Arial" w:hAnsi="Arial" w:cs="Arial"/>
        </w:rPr>
      </w:pPr>
    </w:p>
    <w:p w14:paraId="458BB91B" w14:textId="217D249F" w:rsidR="418C1F34" w:rsidRDefault="418C1F34" w:rsidP="418C1F34">
      <w:pPr>
        <w:pStyle w:val="Title"/>
        <w:rPr>
          <w:rFonts w:ascii="Arial" w:eastAsia="Arial" w:hAnsi="Arial" w:cs="Arial"/>
        </w:rPr>
      </w:pPr>
    </w:p>
    <w:p w14:paraId="63D7E85E" w14:textId="4F8E1AB1" w:rsidR="418C1F34" w:rsidRDefault="418C1F34" w:rsidP="418C1F34">
      <w:pPr>
        <w:pStyle w:val="Title"/>
        <w:rPr>
          <w:rFonts w:ascii="Arial" w:eastAsia="Arial" w:hAnsi="Arial" w:cs="Arial"/>
        </w:rPr>
      </w:pPr>
    </w:p>
    <w:p w14:paraId="487C9EE5" w14:textId="77777777" w:rsidR="00026E12" w:rsidRPr="00026E12" w:rsidRDefault="00026E12" w:rsidP="5AE1C667">
      <w:pPr>
        <w:pStyle w:val="Title"/>
        <w:rPr>
          <w:rFonts w:ascii="Arial" w:eastAsia="Arial" w:hAnsi="Arial" w:cs="Arial"/>
          <w:b/>
          <w:sz w:val="22"/>
          <w:szCs w:val="22"/>
        </w:rPr>
      </w:pPr>
      <w:r w:rsidRPr="08BEB3C2">
        <w:rPr>
          <w:rFonts w:ascii="Arial" w:eastAsia="Arial" w:hAnsi="Arial" w:cs="Arial"/>
        </w:rPr>
        <w:t>Understanding the Physiology and Management of Type 2 Diabetes Mellitus</w:t>
      </w:r>
    </w:p>
    <w:p w14:paraId="19DDF6D5" w14:textId="2DD78DAB" w:rsidR="00F5447D" w:rsidRPr="00CB4234" w:rsidRDefault="00F5447D" w:rsidP="2A8197C0">
      <w:pPr>
        <w:spacing w:before="100" w:beforeAutospacing="1" w:after="0" w:afterAutospacing="1" w:line="360" w:lineRule="auto"/>
        <w:jc w:val="both"/>
        <w:rPr>
          <w:rFonts w:ascii="Arial" w:eastAsia="Arial" w:hAnsi="Arial" w:cs="Arial"/>
          <w:b/>
          <w:sz w:val="22"/>
          <w:szCs w:val="22"/>
        </w:rPr>
      </w:pPr>
      <w:r>
        <w:rPr>
          <w:noProof/>
        </w:rPr>
        <mc:AlternateContent>
          <mc:Choice Requires="wps">
            <w:drawing>
              <wp:inline distT="0" distB="0" distL="0" distR="0" wp14:anchorId="4A5777A6" wp14:editId="18960123">
                <wp:extent cx="5731510" cy="1270"/>
                <wp:effectExtent l="0" t="31750" r="0" b="36830"/>
                <wp:docPr id="1602969986" name="Rectangle 6">
                  <a:extLst xmlns:a="http://schemas.openxmlformats.org/drawingml/2006/main">
                    <a:ext uri="{FF2B5EF4-FFF2-40B4-BE49-F238E27FC236}">
                      <a16:creationId xmlns:a16="http://schemas.microsoft.com/office/drawing/2014/main" id="{B6D9C087-F50F-400C-A6F6-45C6EF9B83E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C2568F1"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42301860" w14:textId="6E8FD438" w:rsidR="00CB4234" w:rsidRPr="00CB4234" w:rsidRDefault="00CB4234" w:rsidP="513816FF">
      <w:pPr>
        <w:spacing w:before="100" w:beforeAutospacing="1" w:after="0" w:afterAutospacing="1" w:line="360" w:lineRule="auto"/>
        <w:jc w:val="both"/>
        <w:rPr>
          <w:rFonts w:ascii="Arial" w:eastAsia="Arial" w:hAnsi="Arial" w:cs="Arial"/>
          <w:b/>
          <w:sz w:val="22"/>
          <w:szCs w:val="22"/>
        </w:rPr>
      </w:pPr>
    </w:p>
    <w:p w14:paraId="35581B0F" w14:textId="6169179E" w:rsidR="00CB4234" w:rsidRPr="00CB4234" w:rsidRDefault="00CB4234" w:rsidP="1EE063A5">
      <w:pPr>
        <w:spacing w:before="100" w:beforeAutospacing="1" w:after="0" w:afterAutospacing="1" w:line="360" w:lineRule="auto"/>
        <w:jc w:val="both"/>
        <w:rPr>
          <w:rFonts w:ascii="Arial" w:eastAsia="Arial" w:hAnsi="Arial" w:cs="Arial"/>
          <w:b/>
          <w:kern w:val="0"/>
          <w:sz w:val="28"/>
          <w:szCs w:val="28"/>
          <w14:ligatures w14:val="none"/>
        </w:rPr>
      </w:pPr>
      <w:r w:rsidRPr="5CB82530">
        <w:rPr>
          <w:rFonts w:ascii="Arial" w:eastAsia="Arial" w:hAnsi="Arial" w:cs="Arial"/>
          <w:b/>
          <w:kern w:val="0"/>
          <w:sz w:val="28"/>
          <w:szCs w:val="28"/>
          <w14:ligatures w14:val="none"/>
        </w:rPr>
        <w:t>Introduction</w:t>
      </w:r>
    </w:p>
    <w:p w14:paraId="1012CBF8" w14:textId="77777777" w:rsidR="00CB4234" w:rsidRPr="00CB4234" w:rsidRDefault="00CB4234" w:rsidP="1E5D03DD">
      <w:pPr>
        <w:spacing w:before="100" w:beforeAutospacing="1" w:after="100" w:afterAutospacing="1" w:line="360" w:lineRule="auto"/>
        <w:jc w:val="both"/>
        <w:rPr>
          <w:rFonts w:ascii="Arial" w:eastAsia="Arial" w:hAnsi="Arial" w:cs="Arial"/>
          <w:kern w:val="0"/>
          <w:sz w:val="22"/>
          <w:szCs w:val="22"/>
          <w14:ligatures w14:val="none"/>
        </w:rPr>
      </w:pPr>
    </w:p>
    <w:p w14:paraId="3C27A171" w14:textId="2A815110" w:rsidR="00CB4234" w:rsidRPr="00CB4234" w:rsidRDefault="00CB4234"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Type 2 diabetes mellitus is a complex metabolic disorder characterised by chronic hyperglycaemia resulting from the combined effects of peripheral insulin resistance and progressive pancreatic beta-cell dysfunction (Hall and Hall, 2020</w:t>
      </w:r>
      <w:r w:rsidR="536A03E0" w:rsidRPr="3F0BDA60">
        <w:rPr>
          <w:rFonts w:ascii="Arial" w:eastAsia="Arial" w:hAnsi="Arial" w:cs="Arial"/>
          <w:kern w:val="0"/>
          <w:sz w:val="22"/>
          <w:szCs w:val="22"/>
          <w14:ligatures w14:val="none"/>
        </w:rPr>
        <w:t>)</w:t>
      </w:r>
      <w:r w:rsidRPr="3F0BDA60">
        <w:rPr>
          <w:rFonts w:ascii="Arial" w:eastAsia="Arial" w:hAnsi="Arial" w:cs="Arial"/>
          <w:kern w:val="0"/>
          <w:sz w:val="22"/>
          <w:szCs w:val="22"/>
          <w14:ligatures w14:val="none"/>
        </w:rPr>
        <w:t>. In contrast to type 1 diabetes, which is primarily autoimmune in origin and develops rapidly, type 2 diabetes often progresses gradually and may remain undetected until complications are present (Diabetes UK, 2024). The increasing prevalence of type 2 diabetes presents a significant challenge for primary care services in the United Kingdom, particularly due to its close association with preventable lifestyle risk factors and common comorbidities such as obesity, hypertension and dyslipidaemia (Office for Health Improvement and Disparities (OHID), 2023; World Health Organization, 2023).</w:t>
      </w:r>
    </w:p>
    <w:p w14:paraId="5769364E" w14:textId="77777777" w:rsidR="00CB4234" w:rsidRPr="00CB4234" w:rsidRDefault="00CB4234" w:rsidP="1E5D03DD">
      <w:pPr>
        <w:spacing w:before="100" w:beforeAutospacing="1" w:after="100" w:afterAutospacing="1" w:line="360" w:lineRule="auto"/>
        <w:jc w:val="both"/>
        <w:rPr>
          <w:rFonts w:ascii="Arial" w:eastAsia="Arial" w:hAnsi="Arial" w:cs="Arial"/>
          <w:kern w:val="0"/>
          <w:sz w:val="22"/>
          <w:szCs w:val="22"/>
          <w14:ligatures w14:val="none"/>
        </w:rPr>
      </w:pPr>
    </w:p>
    <w:p w14:paraId="7A552866" w14:textId="10ADBBF0" w:rsidR="00CB4234" w:rsidRPr="00CB4234" w:rsidRDefault="00CB4234"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 xml:space="preserve">Evidence </w:t>
      </w:r>
      <w:bookmarkStart w:id="0" w:name="_Int_Uey1soZF"/>
      <w:r w:rsidRPr="3F0BDA60">
        <w:rPr>
          <w:rFonts w:ascii="Arial" w:eastAsia="Arial" w:hAnsi="Arial" w:cs="Arial"/>
          <w:kern w:val="0"/>
          <w:sz w:val="22"/>
          <w:szCs w:val="22"/>
          <w14:ligatures w14:val="none"/>
        </w:rPr>
        <w:t>indicates</w:t>
      </w:r>
      <w:bookmarkEnd w:id="0"/>
      <w:r w:rsidRPr="3F0BDA60">
        <w:rPr>
          <w:rFonts w:ascii="Arial" w:eastAsia="Arial" w:hAnsi="Arial" w:cs="Arial"/>
          <w:kern w:val="0"/>
          <w:sz w:val="22"/>
          <w:szCs w:val="22"/>
          <w14:ligatures w14:val="none"/>
        </w:rPr>
        <w:t xml:space="preserve"> that central adiposity, physical </w:t>
      </w:r>
      <w:bookmarkStart w:id="1" w:name="_Int_gq36IedI"/>
      <w:r w:rsidRPr="3F0BDA60">
        <w:rPr>
          <w:rFonts w:ascii="Arial" w:eastAsia="Arial" w:hAnsi="Arial" w:cs="Arial"/>
          <w:kern w:val="0"/>
          <w:sz w:val="22"/>
          <w:szCs w:val="22"/>
          <w14:ligatures w14:val="none"/>
        </w:rPr>
        <w:t>inactivity</w:t>
      </w:r>
      <w:bookmarkEnd w:id="1"/>
      <w:r w:rsidRPr="3F0BDA60">
        <w:rPr>
          <w:rFonts w:ascii="Arial" w:eastAsia="Arial" w:hAnsi="Arial" w:cs="Arial"/>
          <w:kern w:val="0"/>
          <w:sz w:val="22"/>
          <w:szCs w:val="22"/>
          <w14:ligatures w14:val="none"/>
        </w:rPr>
        <w:t xml:space="preserve"> and diets high in refined carbohydrates not only increase the risk of developing type 2 diabetes but may also worsen disease progression through mechanisms including chronic low-grade inflammation and endothelial dysfunction (CDC, 2023). Clinically, understanding how </w:t>
      </w:r>
      <w:r w:rsidR="5BF16AE0" w:rsidRPr="3F0BDA60">
        <w:rPr>
          <w:rFonts w:ascii="Arial" w:eastAsia="Arial" w:hAnsi="Arial" w:cs="Arial"/>
          <w:kern w:val="0"/>
          <w:sz w:val="22"/>
          <w:szCs w:val="22"/>
          <w14:ligatures w14:val="none"/>
        </w:rPr>
        <w:t>this</w:t>
      </w:r>
      <w:r w:rsidRPr="3F0BDA60">
        <w:rPr>
          <w:rFonts w:ascii="Arial" w:eastAsia="Arial" w:hAnsi="Arial" w:cs="Arial"/>
          <w:kern w:val="0"/>
          <w:sz w:val="22"/>
          <w:szCs w:val="22"/>
          <w14:ligatures w14:val="none"/>
        </w:rPr>
        <w:t xml:space="preserve"> risk factors interact with underlying pathophysiology is essential for effective management. Impaired glucose uptake in skeletal muscle and adipose tissue due to insulin resistance, together with inadequate insulin secretion as pancreatic function declines, leads to persistent hyperglycaemia (American Diabetes Association, 2023).</w:t>
      </w:r>
    </w:p>
    <w:p w14:paraId="2FFBB7A2" w14:textId="77777777" w:rsidR="00CB4234" w:rsidRPr="00CB4234" w:rsidRDefault="00CB4234" w:rsidP="1E5D03DD">
      <w:pPr>
        <w:spacing w:before="100" w:beforeAutospacing="1" w:after="100" w:afterAutospacing="1" w:line="360" w:lineRule="auto"/>
        <w:jc w:val="both"/>
        <w:rPr>
          <w:rFonts w:ascii="Arial" w:eastAsia="Arial" w:hAnsi="Arial" w:cs="Arial"/>
          <w:kern w:val="0"/>
          <w:sz w:val="22"/>
          <w:szCs w:val="22"/>
          <w14:ligatures w14:val="none"/>
        </w:rPr>
      </w:pPr>
    </w:p>
    <w:p w14:paraId="66C08EF3" w14:textId="6C849464" w:rsidR="00CB4234" w:rsidRPr="00CB4234" w:rsidRDefault="00CB4234"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 xml:space="preserve">The consequences of this biochemical imbalance are systemic, contributing to both microvascular and </w:t>
      </w:r>
      <w:r w:rsidR="00877E67" w:rsidRPr="3F0BDA60">
        <w:rPr>
          <w:rFonts w:ascii="Arial" w:eastAsia="Arial" w:hAnsi="Arial" w:cs="Arial"/>
          <w:kern w:val="0"/>
          <w:sz w:val="22"/>
          <w:szCs w:val="22"/>
          <w14:ligatures w14:val="none"/>
        </w:rPr>
        <w:t>macro vascular</w:t>
      </w:r>
      <w:r w:rsidRPr="3F0BDA60">
        <w:rPr>
          <w:rFonts w:ascii="Arial" w:eastAsia="Arial" w:hAnsi="Arial" w:cs="Arial"/>
          <w:kern w:val="0"/>
          <w:sz w:val="22"/>
          <w:szCs w:val="22"/>
          <w14:ligatures w14:val="none"/>
        </w:rPr>
        <w:t xml:space="preserve"> complications that are </w:t>
      </w:r>
      <w:r w:rsidR="78A2853E" w:rsidRPr="3F0BDA60">
        <w:rPr>
          <w:rFonts w:ascii="Arial" w:eastAsia="Arial" w:hAnsi="Arial" w:cs="Arial"/>
          <w:kern w:val="0"/>
          <w:sz w:val="22"/>
          <w:szCs w:val="22"/>
          <w14:ligatures w14:val="none"/>
        </w:rPr>
        <w:t>often</w:t>
      </w:r>
      <w:r w:rsidRPr="3F0BDA60">
        <w:rPr>
          <w:rFonts w:ascii="Arial" w:eastAsia="Arial" w:hAnsi="Arial" w:cs="Arial"/>
          <w:kern w:val="0"/>
          <w:sz w:val="22"/>
          <w:szCs w:val="22"/>
          <w14:ligatures w14:val="none"/>
        </w:rPr>
        <w:t xml:space="preserve"> first </w:t>
      </w:r>
      <w:bookmarkStart w:id="2" w:name="_Int_bOuTJsjD"/>
      <w:r w:rsidRPr="3F0BDA60">
        <w:rPr>
          <w:rFonts w:ascii="Arial" w:eastAsia="Arial" w:hAnsi="Arial" w:cs="Arial"/>
          <w:kern w:val="0"/>
          <w:sz w:val="22"/>
          <w:szCs w:val="22"/>
          <w14:ligatures w14:val="none"/>
        </w:rPr>
        <w:t>identified</w:t>
      </w:r>
      <w:bookmarkEnd w:id="2"/>
      <w:r w:rsidRPr="3F0BDA60">
        <w:rPr>
          <w:rFonts w:ascii="Arial" w:eastAsia="Arial" w:hAnsi="Arial" w:cs="Arial"/>
          <w:kern w:val="0"/>
          <w:sz w:val="22"/>
          <w:szCs w:val="22"/>
          <w14:ligatures w14:val="none"/>
        </w:rPr>
        <w:t xml:space="preserve"> in primary care settings (NICE, 2022). This report critically examines the physiological mechanisms that regulate blood glucose and cellular energy metabolism and explores how dysfunction within these systems contributes to the development of type 2 diabetes. It also considers the importance of systematic blood glucose monitoring in informing clinical decisions and evaluates evidence-based lifestyle interventions aimed at addressing modifiable risk factors. By integrating physiological knowledge with everyday primary care practice, this report provides guidance on how nurses can adopt a critical and person-centred approach to patient management, supporting both short-term glycaemic control and long-term health outcomes.</w:t>
      </w:r>
    </w:p>
    <w:p w14:paraId="623E4DE4" w14:textId="77777777" w:rsidR="00CB4234" w:rsidRDefault="00CB4234" w:rsidP="1E5D03DD">
      <w:pPr>
        <w:spacing w:line="360" w:lineRule="auto"/>
        <w:jc w:val="both"/>
        <w:rPr>
          <w:rFonts w:ascii="Arial" w:eastAsia="Arial" w:hAnsi="Arial" w:cs="Arial"/>
          <w:sz w:val="22"/>
          <w:szCs w:val="22"/>
        </w:rPr>
      </w:pPr>
    </w:p>
    <w:p w14:paraId="540AA7AB" w14:textId="77777777" w:rsidR="00CB4234" w:rsidRDefault="00CB4234" w:rsidP="1E5D03DD">
      <w:pPr>
        <w:spacing w:line="360" w:lineRule="auto"/>
        <w:jc w:val="both"/>
        <w:rPr>
          <w:rFonts w:ascii="Arial" w:eastAsia="Arial" w:hAnsi="Arial" w:cs="Arial"/>
          <w:sz w:val="22"/>
          <w:szCs w:val="22"/>
        </w:rPr>
      </w:pPr>
    </w:p>
    <w:p w14:paraId="7A4BCC79" w14:textId="77777777" w:rsidR="00652E99" w:rsidRPr="00652E99" w:rsidRDefault="00652E99" w:rsidP="0672A8BD">
      <w:pPr>
        <w:pStyle w:val="Heading3"/>
        <w:rPr>
          <w:rFonts w:ascii="Arial" w:eastAsia="Arial" w:hAnsi="Arial" w:cs="Arial"/>
          <w:b/>
        </w:rPr>
      </w:pPr>
      <w:r w:rsidRPr="7A56D1E6">
        <w:rPr>
          <w:rFonts w:ascii="Arial" w:eastAsia="Arial" w:hAnsi="Arial" w:cs="Arial"/>
        </w:rPr>
        <w:t>Blood Glucose Regulation</w:t>
      </w:r>
    </w:p>
    <w:p w14:paraId="48F03924" w14:textId="77777777" w:rsidR="00652E99" w:rsidRPr="00652E99" w:rsidRDefault="00652E99" w:rsidP="1E5D03DD">
      <w:pPr>
        <w:spacing w:before="100" w:beforeAutospacing="1" w:after="100" w:afterAutospacing="1" w:line="360" w:lineRule="auto"/>
        <w:jc w:val="both"/>
        <w:rPr>
          <w:rFonts w:ascii="Arial" w:eastAsia="Arial" w:hAnsi="Arial" w:cs="Arial"/>
          <w:kern w:val="0"/>
          <w:sz w:val="22"/>
          <w:szCs w:val="22"/>
          <w14:ligatures w14:val="none"/>
        </w:rPr>
      </w:pPr>
    </w:p>
    <w:p w14:paraId="42CCE53B" w14:textId="5D1098A5" w:rsidR="00652E99" w:rsidRPr="00652E99" w:rsidRDefault="00652E99"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Blood glucose homeostasis is a tightly regulated physiological process involving the production, absorption</w:t>
      </w:r>
      <w:r w:rsidR="2675EAF7" w:rsidRPr="3F0BDA60">
        <w:rPr>
          <w:rFonts w:ascii="Arial" w:eastAsia="Arial" w:hAnsi="Arial" w:cs="Arial"/>
          <w:kern w:val="0"/>
          <w:sz w:val="22"/>
          <w:szCs w:val="22"/>
          <w14:ligatures w14:val="none"/>
        </w:rPr>
        <w:t>,</w:t>
      </w:r>
      <w:r w:rsidRPr="3F0BDA60">
        <w:rPr>
          <w:rFonts w:ascii="Arial" w:eastAsia="Arial" w:hAnsi="Arial" w:cs="Arial"/>
          <w:kern w:val="0"/>
          <w:sz w:val="22"/>
          <w:szCs w:val="22"/>
          <w14:ligatures w14:val="none"/>
        </w:rPr>
        <w:t xml:space="preserve"> and utilisation of glucose, primarily controlled by the endocrine pancreas (Nair and Peate, 2011). Pancreatic beta cells secrete insulin in response to rising postprandial blood glucose levels. Insulin enables glucose uptake into skeletal muscle and adipose tissue and promotes hepatic glycogen synthesis while suppressing gluconeogenesis, thereby reducing circulating glucose levels (Hall and Hall, 2020). Conversely, during fasting or hypoglycaemia, pancreatic alpha cells release glucagon, which stimulates glycogenolysis and gluconeogenesis to </w:t>
      </w:r>
      <w:bookmarkStart w:id="3" w:name="_Int_ZBIFC4vI"/>
      <w:r w:rsidRPr="3F0BDA60">
        <w:rPr>
          <w:rFonts w:ascii="Arial" w:eastAsia="Arial" w:hAnsi="Arial" w:cs="Arial"/>
          <w:kern w:val="0"/>
          <w:sz w:val="22"/>
          <w:szCs w:val="22"/>
          <w14:ligatures w14:val="none"/>
        </w:rPr>
        <w:t>maintain</w:t>
      </w:r>
      <w:bookmarkEnd w:id="3"/>
      <w:r w:rsidRPr="3F0BDA60">
        <w:rPr>
          <w:rFonts w:ascii="Arial" w:eastAsia="Arial" w:hAnsi="Arial" w:cs="Arial"/>
          <w:kern w:val="0"/>
          <w:sz w:val="22"/>
          <w:szCs w:val="22"/>
          <w14:ligatures w14:val="none"/>
        </w:rPr>
        <w:t xml:space="preserve"> a continuous supply of glucose to essential organs, particularly the brain (Hall and Hall, 2020). These hormones </w:t>
      </w:r>
      <w:bookmarkStart w:id="4" w:name="_Int_QeH2yqYz"/>
      <w:r w:rsidRPr="3F0BDA60">
        <w:rPr>
          <w:rFonts w:ascii="Arial" w:eastAsia="Arial" w:hAnsi="Arial" w:cs="Arial"/>
          <w:kern w:val="0"/>
          <w:sz w:val="22"/>
          <w:szCs w:val="22"/>
          <w14:ligatures w14:val="none"/>
        </w:rPr>
        <w:t>operate</w:t>
      </w:r>
      <w:bookmarkEnd w:id="4"/>
      <w:r w:rsidRPr="3F0BDA60">
        <w:rPr>
          <w:rFonts w:ascii="Arial" w:eastAsia="Arial" w:hAnsi="Arial" w:cs="Arial"/>
          <w:kern w:val="0"/>
          <w:sz w:val="22"/>
          <w:szCs w:val="22"/>
          <w14:ligatures w14:val="none"/>
        </w:rPr>
        <w:t xml:space="preserve"> within a finely balanced feedback system that </w:t>
      </w:r>
      <w:bookmarkStart w:id="5" w:name="_Int_X0mo5zkA"/>
      <w:r w:rsidRPr="3F0BDA60">
        <w:rPr>
          <w:rFonts w:ascii="Arial" w:eastAsia="Arial" w:hAnsi="Arial" w:cs="Arial"/>
          <w:kern w:val="0"/>
          <w:sz w:val="22"/>
          <w:szCs w:val="22"/>
          <w14:ligatures w14:val="none"/>
        </w:rPr>
        <w:t>maintains</w:t>
      </w:r>
      <w:bookmarkEnd w:id="5"/>
      <w:r w:rsidRPr="3F0BDA60">
        <w:rPr>
          <w:rFonts w:ascii="Arial" w:eastAsia="Arial" w:hAnsi="Arial" w:cs="Arial"/>
          <w:kern w:val="0"/>
          <w:sz w:val="22"/>
          <w:szCs w:val="22"/>
          <w14:ligatures w14:val="none"/>
        </w:rPr>
        <w:t xml:space="preserve"> blood glucose within a safe physiological range (Tucker and Foulston, 2015).</w:t>
      </w:r>
    </w:p>
    <w:p w14:paraId="4982E964" w14:textId="77777777" w:rsidR="00652E99" w:rsidRPr="00652E99" w:rsidRDefault="00652E99" w:rsidP="1E5D03DD">
      <w:pPr>
        <w:spacing w:before="100" w:beforeAutospacing="1" w:after="100" w:afterAutospacing="1" w:line="360" w:lineRule="auto"/>
        <w:jc w:val="both"/>
        <w:rPr>
          <w:rFonts w:ascii="Arial" w:eastAsia="Arial" w:hAnsi="Arial" w:cs="Arial"/>
          <w:kern w:val="0"/>
          <w:sz w:val="22"/>
          <w:szCs w:val="22"/>
          <w14:ligatures w14:val="none"/>
        </w:rPr>
      </w:pPr>
    </w:p>
    <w:p w14:paraId="3E407CD1" w14:textId="4F3FD741" w:rsidR="00652E99" w:rsidRPr="00652E99" w:rsidRDefault="00652E99"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 xml:space="preserve">Type 2 diabetes is characterised by significant disruption of this regulatory system. Peripheral tissues such as skeletal muscle and adipose tissue become resistant to insulin, meaning glucose uptake is reduced despite normal or elevated insulin levels (American Diabetes Association, 2023). Initially, compensatory </w:t>
      </w:r>
      <w:r w:rsidR="52DDCFF9" w:rsidRPr="3F0BDA60">
        <w:rPr>
          <w:rFonts w:ascii="Arial" w:eastAsia="Arial" w:hAnsi="Arial" w:cs="Arial"/>
          <w:kern w:val="0"/>
          <w:sz w:val="22"/>
          <w:szCs w:val="22"/>
          <w14:ligatures w14:val="none"/>
        </w:rPr>
        <w:t>hyperinsulinemia</w:t>
      </w:r>
      <w:r w:rsidRPr="3F0BDA60">
        <w:rPr>
          <w:rFonts w:ascii="Arial" w:eastAsia="Arial" w:hAnsi="Arial" w:cs="Arial"/>
          <w:kern w:val="0"/>
          <w:sz w:val="22"/>
          <w:szCs w:val="22"/>
          <w14:ligatures w14:val="none"/>
        </w:rPr>
        <w:t xml:space="preserve"> may occur; however, as the disease progresses, beta-cell function gradually declines, leading to insufficient insulin secretion and persistent hyperglycaemia (Hall and Hall, 2020). Sustained exposure to elevated glucose contributes to oxidative stress and endothelial dysfunction, increasing the risk of microvascular and macrovascular complications (NICE, 2022).</w:t>
      </w:r>
    </w:p>
    <w:p w14:paraId="4B012F73" w14:textId="77777777" w:rsidR="00652E99" w:rsidRPr="00652E99" w:rsidRDefault="00652E99" w:rsidP="1E5D03DD">
      <w:pPr>
        <w:spacing w:before="100" w:beforeAutospacing="1" w:after="100" w:afterAutospacing="1" w:line="360" w:lineRule="auto"/>
        <w:jc w:val="both"/>
        <w:rPr>
          <w:rFonts w:ascii="Arial" w:eastAsia="Arial" w:hAnsi="Arial" w:cs="Arial"/>
          <w:kern w:val="0"/>
          <w:sz w:val="22"/>
          <w:szCs w:val="22"/>
          <w14:ligatures w14:val="none"/>
        </w:rPr>
      </w:pPr>
    </w:p>
    <w:p w14:paraId="07861A3C" w14:textId="77777777" w:rsidR="00652E99" w:rsidRPr="00652E99" w:rsidRDefault="00652E99"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Understanding these physiological disturbances is essential in clinical practice. Monitoring blood glucose levels allows healthcare professionals to assess treatment effectiveness and identify early signs of acute complications such as hyperosmolar hyperglycaemic state (NICE, 2022). For primary care nurses, translating these mechanisms into clear explanations helps patients understand how diet, physical activity and medication adherence directly influence glycaemic control (Nursing Times, 2023). Linking physiological processes to visible clinical outcomes supports long-term metabolic stability and reduces complication risk (Diabetes UK, 2024).</w:t>
      </w:r>
    </w:p>
    <w:p w14:paraId="786497C9" w14:textId="495EFA31" w:rsidR="2BA80C16" w:rsidRDefault="2BA80C16" w:rsidP="2BA80C16">
      <w:pPr>
        <w:pStyle w:val="Heading3"/>
      </w:pPr>
    </w:p>
    <w:p w14:paraId="2DE27FAF" w14:textId="77777777" w:rsidR="00D875D1" w:rsidRPr="00D875D1" w:rsidRDefault="00D875D1" w:rsidP="12EEAAE5">
      <w:pPr>
        <w:pStyle w:val="Heading3"/>
        <w:rPr>
          <w:rFonts w:ascii="Arial" w:eastAsia="Arial" w:hAnsi="Arial" w:cs="Arial"/>
          <w:b/>
        </w:rPr>
      </w:pPr>
      <w:r w:rsidRPr="07FFC56B">
        <w:rPr>
          <w:rFonts w:ascii="Arial" w:eastAsia="Arial" w:hAnsi="Arial" w:cs="Arial"/>
        </w:rPr>
        <w:t>Cellular Metabolism</w:t>
      </w:r>
    </w:p>
    <w:p w14:paraId="654917FE" w14:textId="77777777" w:rsidR="00D875D1" w:rsidRPr="00D875D1" w:rsidRDefault="00D875D1" w:rsidP="1E5D03DD">
      <w:pPr>
        <w:spacing w:before="100" w:beforeAutospacing="1" w:after="100" w:afterAutospacing="1" w:line="360" w:lineRule="auto"/>
        <w:jc w:val="both"/>
        <w:rPr>
          <w:rFonts w:ascii="Arial" w:eastAsia="Arial" w:hAnsi="Arial" w:cs="Arial"/>
          <w:kern w:val="0"/>
          <w:sz w:val="22"/>
          <w:szCs w:val="22"/>
          <w14:ligatures w14:val="none"/>
        </w:rPr>
      </w:pPr>
    </w:p>
    <w:p w14:paraId="402A46B0" w14:textId="77777777" w:rsidR="00D875D1" w:rsidRPr="00D875D1" w:rsidRDefault="00D875D1"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Efficient metabolism of glucose in the presence of oxygen is essential for energy production within human cells (Hall and Hall, 2020). Glucose is the primary substrate for adenosine triphosphate (ATP) production and supports fundamental cellular processes such as ion transport, protein synthesis and tissue repair (Nair and Peate, 2011). Glycolysis occurs in the cytoplasm and begins the breakdown of glucose into pyruvate, producing a small but immediate yield of ATP and reduced coenzymes (Tucker and Foulston, 2015). Under aerobic conditions, pyruvate enters the mitochondria where it is converted into acetyl-CoA and enters the Krebs cycle (Hall and Hall, 2020). The Krebs cycle generates NADH and FADH₂, which donate electrons to the electron transport chain during oxidative phosphorylation, resulting in the majority of ATP production (Hall and Hall, 2020). Oxygen acts as the final electron acceptor, combining with electrons and protons to form water and maintain the proton gradient necessary for efficient aerobic respiration (Hall and Hall, 2020).</w:t>
      </w:r>
    </w:p>
    <w:p w14:paraId="30E6987E" w14:textId="77777777" w:rsidR="00D875D1" w:rsidRPr="00D875D1" w:rsidRDefault="00D875D1" w:rsidP="1E5D03DD">
      <w:pPr>
        <w:spacing w:before="100" w:beforeAutospacing="1" w:after="100" w:afterAutospacing="1" w:line="360" w:lineRule="auto"/>
        <w:jc w:val="both"/>
        <w:rPr>
          <w:rFonts w:ascii="Arial" w:eastAsia="Arial" w:hAnsi="Arial" w:cs="Arial"/>
          <w:kern w:val="0"/>
          <w:sz w:val="22"/>
          <w:szCs w:val="22"/>
          <w14:ligatures w14:val="none"/>
        </w:rPr>
      </w:pPr>
    </w:p>
    <w:p w14:paraId="1974E95A" w14:textId="77777777" w:rsidR="00D875D1" w:rsidRPr="00D875D1" w:rsidRDefault="00D875D1"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In type 2 diabetes, glucose uptake into muscle and adipose tissue is reduced due to insulin resistance, limiting the availability of substrate required for ATP production (American Diabetes Association, 2023). As a result, cells increasingly rely on fatty acid metabolism, which is less efficient and may generate reactive oxygen species that contribute to cellular stress (Hall and Hall, 2020). This metabolic alteration may partly explain the fatigue and reduced exercise tolerance often reported by individuals with poorly controlled diabetes (Diabetes UK, 2024). Persistent hyperglycaemia also promotes glycation of proteins and oxidative stress, leading to tissue damage in organs such as the kidneys, nerves and retina (NICE, 2022).</w:t>
      </w:r>
    </w:p>
    <w:p w14:paraId="3528D16D" w14:textId="77777777" w:rsidR="00D875D1" w:rsidRPr="00D875D1" w:rsidRDefault="00D875D1" w:rsidP="1E5D03DD">
      <w:pPr>
        <w:spacing w:before="100" w:beforeAutospacing="1" w:after="100" w:afterAutospacing="1" w:line="360" w:lineRule="auto"/>
        <w:jc w:val="both"/>
        <w:rPr>
          <w:rFonts w:ascii="Arial" w:eastAsia="Arial" w:hAnsi="Arial" w:cs="Arial"/>
          <w:kern w:val="0"/>
          <w:sz w:val="22"/>
          <w:szCs w:val="22"/>
          <w14:ligatures w14:val="none"/>
        </w:rPr>
      </w:pPr>
    </w:p>
    <w:p w14:paraId="79F7111F" w14:textId="76ECCF5A" w:rsidR="00D875D1" w:rsidRPr="00D875D1" w:rsidRDefault="00D875D1"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From a clinical perspective, understanding the relationship between impaired glucose metabolism and reduced energy production is essential in</w:t>
      </w:r>
      <w:r w:rsidR="150090D6" w:rsidRPr="3F0BDA60">
        <w:rPr>
          <w:rFonts w:ascii="Arial" w:eastAsia="Arial" w:hAnsi="Arial" w:cs="Arial"/>
          <w:kern w:val="0"/>
          <w:sz w:val="22"/>
          <w:szCs w:val="22"/>
          <w14:ligatures w14:val="none"/>
        </w:rPr>
        <w:t>-</w:t>
      </w:r>
      <w:r w:rsidRPr="3F0BDA60">
        <w:rPr>
          <w:rFonts w:ascii="Arial" w:eastAsia="Arial" w:hAnsi="Arial" w:cs="Arial"/>
          <w:kern w:val="0"/>
          <w:sz w:val="22"/>
          <w:szCs w:val="22"/>
          <w14:ligatures w14:val="none"/>
        </w:rPr>
        <w:t xml:space="preserve">patient management (Nursing Times, 2023). Primary care nurses can explain how </w:t>
      </w:r>
      <w:bookmarkStart w:id="6" w:name="_Int_QrPWB96k"/>
      <w:r w:rsidRPr="3F0BDA60">
        <w:rPr>
          <w:rFonts w:ascii="Arial" w:eastAsia="Arial" w:hAnsi="Arial" w:cs="Arial"/>
          <w:kern w:val="0"/>
          <w:sz w:val="22"/>
          <w:szCs w:val="22"/>
          <w14:ligatures w14:val="none"/>
        </w:rPr>
        <w:t>maintaining</w:t>
      </w:r>
      <w:bookmarkEnd w:id="6"/>
      <w:r w:rsidRPr="3F0BDA60">
        <w:rPr>
          <w:rFonts w:ascii="Arial" w:eastAsia="Arial" w:hAnsi="Arial" w:cs="Arial"/>
          <w:kern w:val="0"/>
          <w:sz w:val="22"/>
          <w:szCs w:val="22"/>
          <w14:ligatures w14:val="none"/>
        </w:rPr>
        <w:t xml:space="preserve"> stable blood glucose levels supports normal cellular function and overall wellbeing (Diabetes UK, 2024). Lifestyle interventions such as regular physical activity and balanced dietary intake improve mitochondrial efficiency and enhance glucose utilisation (CDC, 2023). By linking physiological processes with practical management strategies, nurses can promote informed self-management and reduce the risk of long-term complications (NICE, 2022).</w:t>
      </w:r>
    </w:p>
    <w:p w14:paraId="1658B9E4" w14:textId="77777777" w:rsidR="00D875D1" w:rsidRPr="00D875D1" w:rsidRDefault="00D875D1" w:rsidP="1E5D03DD">
      <w:pPr>
        <w:spacing w:after="0" w:line="360" w:lineRule="auto"/>
        <w:jc w:val="both"/>
        <w:rPr>
          <w:rFonts w:ascii="Arial" w:eastAsia="Arial" w:hAnsi="Arial" w:cs="Arial"/>
          <w:kern w:val="0"/>
          <w:sz w:val="22"/>
          <w:szCs w:val="22"/>
          <w14:ligatures w14:val="none"/>
        </w:rPr>
      </w:pPr>
      <w:r>
        <w:rPr>
          <w:noProof/>
        </w:rPr>
        <mc:AlternateContent>
          <mc:Choice Requires="wps">
            <w:drawing>
              <wp:inline distT="0" distB="0" distL="0" distR="0" wp14:anchorId="531E6206" wp14:editId="4FA34F3A">
                <wp:extent cx="5731510" cy="1270"/>
                <wp:effectExtent l="0" t="31750" r="0" b="36830"/>
                <wp:docPr id="258665768" name="Rectangle 1">
                  <a:extLst xmlns:a="http://schemas.openxmlformats.org/drawingml/2006/main">
                    <a:ext uri="{FF2B5EF4-FFF2-40B4-BE49-F238E27FC236}">
                      <a16:creationId xmlns:a16="http://schemas.microsoft.com/office/drawing/2014/main" id="{C89DB0C9-0E08-4091-9594-C7721AEE1B6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2E936B8"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64E01B65" w14:textId="77777777" w:rsidR="00D875D1" w:rsidRPr="00D875D1" w:rsidRDefault="00D875D1" w:rsidP="66ABFC5E">
      <w:pPr>
        <w:pStyle w:val="Heading3"/>
        <w:rPr>
          <w:rFonts w:ascii="Arial" w:eastAsia="Arial" w:hAnsi="Arial" w:cs="Arial"/>
          <w:b/>
        </w:rPr>
      </w:pPr>
      <w:r w:rsidRPr="38F995B9">
        <w:rPr>
          <w:rFonts w:ascii="Arial" w:eastAsia="Arial" w:hAnsi="Arial" w:cs="Arial"/>
        </w:rPr>
        <w:t>Significance of the Checking of Blood Glucose</w:t>
      </w:r>
    </w:p>
    <w:p w14:paraId="0487DB0B" w14:textId="77777777" w:rsidR="00D875D1" w:rsidRPr="00D875D1" w:rsidRDefault="00D875D1" w:rsidP="1E5D03DD">
      <w:pPr>
        <w:spacing w:before="100" w:beforeAutospacing="1" w:after="100" w:afterAutospacing="1" w:line="360" w:lineRule="auto"/>
        <w:jc w:val="both"/>
        <w:rPr>
          <w:rFonts w:ascii="Arial" w:eastAsia="Arial" w:hAnsi="Arial" w:cs="Arial"/>
          <w:kern w:val="0"/>
          <w:sz w:val="22"/>
          <w:szCs w:val="22"/>
          <w14:ligatures w14:val="none"/>
        </w:rPr>
      </w:pPr>
    </w:p>
    <w:p w14:paraId="6AEAF74E" w14:textId="77777777" w:rsidR="00D875D1" w:rsidRPr="00D875D1" w:rsidRDefault="00D875D1"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Regular monitoring of blood glucose forms the foundation of effective management of type 2 diabetes (NICE, 2022). Systematic observation provides objective data that supports therapeutic decision-making and medication adjustment (American Diabetes Association, 2023). Monitoring also enables early detection of hyperglycaemia and hypoglycaemia, reducing the risk of acute metabolic complications (Diabetes UK, 2024).</w:t>
      </w:r>
    </w:p>
    <w:p w14:paraId="52D03FE2" w14:textId="52ACBEB2" w:rsidR="447C2CC6" w:rsidRDefault="447C2CC6" w:rsidP="447C2CC6">
      <w:pPr>
        <w:spacing w:beforeAutospacing="1" w:afterAutospacing="1" w:line="360" w:lineRule="auto"/>
        <w:jc w:val="both"/>
        <w:outlineLvl w:val="1"/>
        <w:rPr>
          <w:rFonts w:ascii="Arial" w:eastAsia="Arial" w:hAnsi="Arial" w:cs="Arial"/>
          <w:b/>
          <w:bCs/>
          <w:sz w:val="22"/>
          <w:szCs w:val="22"/>
        </w:rPr>
      </w:pPr>
    </w:p>
    <w:p w14:paraId="22C49A02" w14:textId="77777777" w:rsidR="00770A74" w:rsidRPr="00770A74" w:rsidRDefault="00770A74" w:rsidP="447C2CC6">
      <w:pPr>
        <w:pStyle w:val="Heading3"/>
        <w:rPr>
          <w:rFonts w:ascii="Arial" w:eastAsia="Arial" w:hAnsi="Arial" w:cs="Arial"/>
          <w:b/>
          <w:sz w:val="22"/>
          <w:szCs w:val="22"/>
        </w:rPr>
      </w:pPr>
      <w:r w:rsidRPr="447C2CC6">
        <w:rPr>
          <w:rFonts w:ascii="Arial" w:eastAsia="Arial" w:hAnsi="Arial" w:cs="Arial"/>
        </w:rPr>
        <w:t>Monitoring and Patient Empowerment</w:t>
      </w:r>
    </w:p>
    <w:p w14:paraId="6B5509F4" w14:textId="77777777" w:rsidR="00770A74" w:rsidRPr="00770A74" w:rsidRDefault="00770A74" w:rsidP="1E5D03DD">
      <w:pPr>
        <w:spacing w:before="100" w:beforeAutospacing="1" w:after="100" w:afterAutospacing="1" w:line="360" w:lineRule="auto"/>
        <w:jc w:val="both"/>
        <w:rPr>
          <w:rFonts w:ascii="Arial" w:eastAsia="Arial" w:hAnsi="Arial" w:cs="Arial"/>
          <w:kern w:val="0"/>
          <w:sz w:val="22"/>
          <w:szCs w:val="22"/>
          <w14:ligatures w14:val="none"/>
        </w:rPr>
      </w:pPr>
    </w:p>
    <w:p w14:paraId="386BBD91" w14:textId="77777777" w:rsidR="00770A74" w:rsidRPr="00770A74" w:rsidRDefault="00770A74"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In primary care, blood glucose monitoring is not only a diagnostic tool but also an important method of patient education and empowerment (Nursing Times, 2023). Self-monitoring methods such as finger-prick testing and continuous glucose monitoring systems provide real-time information that helps individuals understand how daily choices affect their blood glucose levels (Diabetes UK, 2024). Regular monitoring is associated with improved glycaemic control and reduced risk of long-term microvascular and macrovascular complications (NICE, 2022). Nurses play an active role in supporting patients to record readings accurately, recognise patterns and respond appropriately to abnormal results (Nursing Times, 2023). Linking physiological understanding of glucose regulation with practical self-management planning allows monitoring to become a tool for both clinical safety and personal control (American Diabetes Association, 2023). When individuals respond positively to their glucose data, it strengthens engagement, self-efficacy and long-term diabetes outcomes (CDC, 2023).</w:t>
      </w:r>
    </w:p>
    <w:p w14:paraId="18543B1F" w14:textId="77777777" w:rsidR="00770A74" w:rsidRPr="00770A74" w:rsidRDefault="00770A74" w:rsidP="1E5D03DD">
      <w:pPr>
        <w:spacing w:after="0" w:line="360" w:lineRule="auto"/>
        <w:jc w:val="both"/>
        <w:rPr>
          <w:rFonts w:ascii="Arial" w:eastAsia="Arial" w:hAnsi="Arial" w:cs="Arial"/>
          <w:kern w:val="0"/>
          <w:sz w:val="22"/>
          <w:szCs w:val="22"/>
          <w14:ligatures w14:val="none"/>
        </w:rPr>
      </w:pPr>
      <w:r>
        <w:rPr>
          <w:noProof/>
        </w:rPr>
        <mc:AlternateContent>
          <mc:Choice Requires="wps">
            <w:drawing>
              <wp:inline distT="0" distB="0" distL="0" distR="0" wp14:anchorId="6A9A5DD0" wp14:editId="3F0DEF12">
                <wp:extent cx="5731510" cy="1270"/>
                <wp:effectExtent l="0" t="31750" r="0" b="36830"/>
                <wp:docPr id="1567356132" name="Rectangle 1">
                  <a:extLst xmlns:a="http://schemas.openxmlformats.org/drawingml/2006/main">
                    <a:ext uri="{FF2B5EF4-FFF2-40B4-BE49-F238E27FC236}">
                      <a16:creationId xmlns:a16="http://schemas.microsoft.com/office/drawing/2014/main" id="{DDA8D8F9-9D33-4320-B0E5-7BD0DD51517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EE2B89"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7A2D1A21" w14:textId="74C6A70D" w:rsidR="63965432" w:rsidRDefault="63965432" w:rsidP="63965432">
      <w:pPr>
        <w:pStyle w:val="Heading3"/>
        <w:rPr>
          <w:rFonts w:ascii="Arial" w:eastAsia="Arial" w:hAnsi="Arial" w:cs="Arial"/>
        </w:rPr>
      </w:pPr>
    </w:p>
    <w:p w14:paraId="6E4CCB36" w14:textId="15755B3C" w:rsidR="621AB849" w:rsidRDefault="621AB849" w:rsidP="621AB849">
      <w:pPr>
        <w:pStyle w:val="Heading3"/>
        <w:rPr>
          <w:rFonts w:ascii="Arial" w:eastAsia="Arial" w:hAnsi="Arial" w:cs="Arial"/>
        </w:rPr>
      </w:pPr>
    </w:p>
    <w:p w14:paraId="726CC6C3" w14:textId="77777777" w:rsidR="00770A74" w:rsidRPr="00770A74" w:rsidRDefault="00770A74" w:rsidP="33A5F151">
      <w:pPr>
        <w:pStyle w:val="Heading3"/>
        <w:rPr>
          <w:rFonts w:ascii="Arial" w:eastAsia="Arial" w:hAnsi="Arial" w:cs="Arial"/>
          <w:b/>
          <w:sz w:val="22"/>
          <w:szCs w:val="22"/>
        </w:rPr>
      </w:pPr>
      <w:r w:rsidRPr="23018DA0">
        <w:rPr>
          <w:rFonts w:ascii="Arial" w:eastAsia="Arial" w:hAnsi="Arial" w:cs="Arial"/>
        </w:rPr>
        <w:t>Lifestyle Recommendations</w:t>
      </w:r>
    </w:p>
    <w:p w14:paraId="52121103" w14:textId="77777777" w:rsidR="00770A74" w:rsidRPr="00770A74" w:rsidRDefault="00770A74" w:rsidP="1E5D03DD">
      <w:pPr>
        <w:spacing w:before="100" w:beforeAutospacing="1" w:after="100" w:afterAutospacing="1" w:line="360" w:lineRule="auto"/>
        <w:jc w:val="both"/>
        <w:rPr>
          <w:rFonts w:ascii="Arial" w:eastAsia="Arial" w:hAnsi="Arial" w:cs="Arial"/>
          <w:kern w:val="0"/>
          <w:sz w:val="22"/>
          <w:szCs w:val="22"/>
          <w14:ligatures w14:val="none"/>
        </w:rPr>
      </w:pPr>
    </w:p>
    <w:p w14:paraId="1A2388C4" w14:textId="77777777" w:rsidR="00770A74" w:rsidRPr="00770A74" w:rsidRDefault="00770A74"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Effective management of type 2 diabetes extends beyond pharmacological treatment, as lifestyle modification forms the foundation of long-term glycaemic control and complication prevention (NICE, 2022). Dietary change, structured physical activity, weight management and behavioural support have strong evidence demonstrating improvements in insulin sensitivity, blood glucose levels and cardiovascular risk (American Diabetes Association, 2023). The diversity of patients in primary care highlights the need for individualised and culturally sensitive interventions that reflect personal circumstances and health literacy levels (World Health Organization, 2023).</w:t>
      </w:r>
    </w:p>
    <w:p w14:paraId="60429786" w14:textId="77777777" w:rsidR="00770A74" w:rsidRPr="00770A74" w:rsidRDefault="00770A74" w:rsidP="1E5D03DD">
      <w:pPr>
        <w:spacing w:before="100" w:beforeAutospacing="1" w:after="100" w:afterAutospacing="1" w:line="360" w:lineRule="auto"/>
        <w:jc w:val="both"/>
        <w:rPr>
          <w:rFonts w:ascii="Arial" w:eastAsia="Arial" w:hAnsi="Arial" w:cs="Arial"/>
          <w:kern w:val="0"/>
          <w:sz w:val="22"/>
          <w:szCs w:val="22"/>
          <w14:ligatures w14:val="none"/>
        </w:rPr>
      </w:pPr>
    </w:p>
    <w:p w14:paraId="75BBE517" w14:textId="77777777" w:rsidR="00770A74" w:rsidRPr="00770A74" w:rsidRDefault="00770A74"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Dietary regulation plays a central role in managing postprandial glucose levels and maintaining overall stability (Diabetes UK, 2024). Diets high in fibre, moderate in complex carbohydrates and low in refined sugars are associated with improved HbA1c and lipid profiles (CDC, 2023). Balanced eating patterns that emphasise fruits, vegetables, whole grains and unsaturated fats contribute to improved insulin sensitivity and cardiovascular health (World Health Organization, 2023). Portion size, meal timing and overall caloric intake are also important, as excessive energy consumption contributes to weight gain and increased insulin resistance (Hall and Hall, 2020). Nutritional interventions should be culturally appropriate to promote long-term adherence and effectiveness (Nursing Times, 2023).</w:t>
      </w:r>
    </w:p>
    <w:p w14:paraId="44509565" w14:textId="77777777" w:rsidR="00770A74" w:rsidRPr="00770A74" w:rsidRDefault="00770A74" w:rsidP="1E5D03DD">
      <w:pPr>
        <w:spacing w:before="100" w:beforeAutospacing="1" w:after="100" w:afterAutospacing="1" w:line="360" w:lineRule="auto"/>
        <w:jc w:val="both"/>
        <w:rPr>
          <w:rFonts w:ascii="Arial" w:eastAsia="Arial" w:hAnsi="Arial" w:cs="Arial"/>
          <w:kern w:val="0"/>
          <w:sz w:val="22"/>
          <w:szCs w:val="22"/>
          <w14:ligatures w14:val="none"/>
        </w:rPr>
      </w:pPr>
    </w:p>
    <w:p w14:paraId="62802F10" w14:textId="77777777" w:rsidR="00770A74" w:rsidRPr="00770A74" w:rsidRDefault="00770A74"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Physical activity increases peripheral glucose uptake independently of insulin and improves mitochondrial efficiency, cardiovascular fitness and body composition (Hall and Hall, 2020). Evidence supports a combination of aerobic and resistance training, with at least 150 minutes of moderate activity per week, to improve glycaemic control and reduce visceral adiposity (CDC, 2023). Regular exercise also enhances endothelial function and reduces inflammatory processes associated with diabetes-related complications (NICE, 2022).</w:t>
      </w:r>
    </w:p>
    <w:p w14:paraId="3EC93BA8" w14:textId="77777777" w:rsidR="0005445B" w:rsidRPr="0005445B" w:rsidRDefault="0005445B"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Obesity, particularly central adiposity, is a major modifiable risk factor strongly associated with insulin resistance in type 2 diabetes (Hall and Hall, 2020). Even modest weight loss of five to ten percent can lead to measurable improvements in glycaemic control, lipid metabolism and blood pressure (CDC, 2023). Behavioural strategies such as goal setting, self-monitoring of dietary intake and participation in structured support programmes are effective in promoting sustained weight loss and reducing weight regain (NICE, 2022).</w:t>
      </w:r>
    </w:p>
    <w:p w14:paraId="49026C21" w14:textId="77777777" w:rsidR="0005445B" w:rsidRPr="0005445B" w:rsidRDefault="0005445B" w:rsidP="1E5D03DD">
      <w:pPr>
        <w:spacing w:before="100" w:beforeAutospacing="1" w:after="100" w:afterAutospacing="1" w:line="360" w:lineRule="auto"/>
        <w:jc w:val="both"/>
        <w:rPr>
          <w:rFonts w:ascii="Arial" w:eastAsia="Arial" w:hAnsi="Arial" w:cs="Arial"/>
          <w:kern w:val="0"/>
          <w:sz w:val="22"/>
          <w:szCs w:val="22"/>
          <w14:ligatures w14:val="none"/>
        </w:rPr>
      </w:pPr>
    </w:p>
    <w:p w14:paraId="7CFB0E7E" w14:textId="77777777" w:rsidR="0005445B" w:rsidRPr="0005445B" w:rsidRDefault="0005445B"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Primary care nurses play a central role in translating these evidence-based recommendations into practical and achievable care plans (Nursing Times, 2023). Ongoing monitoring, reinforcement and adjustment of interventions, guided by physiological understanding and individual patient data, improve engagement and clinical outcomes (American Diabetes Association, 2023). When biochemical knowledge of type 2 diabetes is integrated with dietary, exercise and behavioural strategies, patients are encouraged to take an active role in managing their condition rather than remaining passive recipients of care (Diabetes UK, 2024). Empowering patients in this way reduces the risk of long-term complications and supports sustained self-management (World Health Organization, 2023).</w:t>
      </w:r>
    </w:p>
    <w:p w14:paraId="4667F62D" w14:textId="77777777" w:rsidR="0005445B" w:rsidRPr="0005445B" w:rsidRDefault="0005445B" w:rsidP="1E5D03DD">
      <w:pPr>
        <w:spacing w:after="0" w:line="360" w:lineRule="auto"/>
        <w:jc w:val="both"/>
        <w:rPr>
          <w:rFonts w:ascii="Arial" w:eastAsia="Arial" w:hAnsi="Arial" w:cs="Arial"/>
          <w:kern w:val="0"/>
          <w:sz w:val="22"/>
          <w:szCs w:val="22"/>
          <w14:ligatures w14:val="none"/>
        </w:rPr>
      </w:pPr>
      <w:r>
        <w:rPr>
          <w:noProof/>
        </w:rPr>
        <mc:AlternateContent>
          <mc:Choice Requires="wps">
            <w:drawing>
              <wp:inline distT="0" distB="0" distL="0" distR="0" wp14:anchorId="3F1208C0" wp14:editId="31E6851E">
                <wp:extent cx="5731510" cy="1270"/>
                <wp:effectExtent l="0" t="31750" r="0" b="36830"/>
                <wp:docPr id="74074509" name="Rectangle 1">
                  <a:extLst xmlns:a="http://schemas.openxmlformats.org/drawingml/2006/main">
                    <a:ext uri="{FF2B5EF4-FFF2-40B4-BE49-F238E27FC236}">
                      <a16:creationId xmlns:a16="http://schemas.microsoft.com/office/drawing/2014/main" id="{CD4F69D1-3E71-444F-B20A-208C2FF91BF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C31727D"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1D5C06AC" w14:textId="77777777" w:rsidR="0005445B" w:rsidRPr="0005445B" w:rsidRDefault="0005445B" w:rsidP="583B5309">
      <w:pPr>
        <w:pStyle w:val="Heading3"/>
        <w:rPr>
          <w:rFonts w:ascii="Arial" w:eastAsia="Arial" w:hAnsi="Arial" w:cs="Arial"/>
          <w:b/>
        </w:rPr>
      </w:pPr>
      <w:r w:rsidRPr="53C06C6B">
        <w:rPr>
          <w:rFonts w:ascii="Arial" w:eastAsia="Arial" w:hAnsi="Arial" w:cs="Arial"/>
        </w:rPr>
        <w:t>Conclusion</w:t>
      </w:r>
    </w:p>
    <w:p w14:paraId="6E78C4A8" w14:textId="77777777" w:rsidR="0005445B" w:rsidRPr="0005445B" w:rsidRDefault="0005445B" w:rsidP="1E5D03DD">
      <w:pPr>
        <w:spacing w:before="100" w:beforeAutospacing="1" w:after="100" w:afterAutospacing="1" w:line="360" w:lineRule="auto"/>
        <w:jc w:val="both"/>
        <w:rPr>
          <w:rFonts w:ascii="Arial" w:eastAsia="Arial" w:hAnsi="Arial" w:cs="Arial"/>
          <w:kern w:val="0"/>
          <w:sz w:val="22"/>
          <w:szCs w:val="22"/>
          <w14:ligatures w14:val="none"/>
        </w:rPr>
      </w:pPr>
    </w:p>
    <w:p w14:paraId="2A1D4882" w14:textId="1B7586A0" w:rsidR="0005445B" w:rsidRPr="0005445B" w:rsidRDefault="0005445B"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Type 2 diabetes is a complex condition involving impaired insulin action, progressive pancreatic dysfunction</w:t>
      </w:r>
      <w:r w:rsidR="3B381AF9" w:rsidRPr="3F0BDA60">
        <w:rPr>
          <w:rFonts w:ascii="Arial" w:eastAsia="Arial" w:hAnsi="Arial" w:cs="Arial"/>
          <w:kern w:val="0"/>
          <w:sz w:val="22"/>
          <w:szCs w:val="22"/>
          <w14:ligatures w14:val="none"/>
        </w:rPr>
        <w:t>,</w:t>
      </w:r>
      <w:r w:rsidRPr="3F0BDA60">
        <w:rPr>
          <w:rFonts w:ascii="Arial" w:eastAsia="Arial" w:hAnsi="Arial" w:cs="Arial"/>
          <w:kern w:val="0"/>
          <w:sz w:val="22"/>
          <w:szCs w:val="22"/>
          <w14:ligatures w14:val="none"/>
        </w:rPr>
        <w:t xml:space="preserve"> and modifiable lifestyle factors (Hall and Hall, 2020). Effective management requires a clear understanding of the physiological mechanisms that regulate blood glucose and the cellular processes responsible for energy production (Nair and Peate, 2011). Insulin resistance and persistent hyperglycaemia disrupt normal metabolism, contributing to fatigue, vascular damage</w:t>
      </w:r>
      <w:r w:rsidR="29082B8B" w:rsidRPr="3F0BDA60">
        <w:rPr>
          <w:rFonts w:ascii="Arial" w:eastAsia="Arial" w:hAnsi="Arial" w:cs="Arial"/>
          <w:kern w:val="0"/>
          <w:sz w:val="22"/>
          <w:szCs w:val="22"/>
          <w14:ligatures w14:val="none"/>
        </w:rPr>
        <w:t>,</w:t>
      </w:r>
      <w:r w:rsidRPr="3F0BDA60">
        <w:rPr>
          <w:rFonts w:ascii="Arial" w:eastAsia="Arial" w:hAnsi="Arial" w:cs="Arial"/>
          <w:kern w:val="0"/>
          <w:sz w:val="22"/>
          <w:szCs w:val="22"/>
          <w14:ligatures w14:val="none"/>
        </w:rPr>
        <w:t xml:space="preserve"> and long-term complications, which must be identified early and monitored consistently (NICE, 2022).</w:t>
      </w:r>
    </w:p>
    <w:p w14:paraId="40737739" w14:textId="77777777" w:rsidR="0005445B" w:rsidRPr="0005445B" w:rsidRDefault="0005445B" w:rsidP="1E5D03DD">
      <w:pPr>
        <w:spacing w:before="100" w:beforeAutospacing="1" w:after="100" w:afterAutospacing="1" w:line="360" w:lineRule="auto"/>
        <w:jc w:val="both"/>
        <w:rPr>
          <w:rFonts w:ascii="Arial" w:eastAsia="Arial" w:hAnsi="Arial" w:cs="Arial"/>
          <w:kern w:val="0"/>
          <w:sz w:val="22"/>
          <w:szCs w:val="22"/>
          <w14:ligatures w14:val="none"/>
        </w:rPr>
      </w:pPr>
    </w:p>
    <w:p w14:paraId="28B190F0" w14:textId="77777777" w:rsidR="0005445B" w:rsidRPr="0005445B" w:rsidRDefault="0005445B" w:rsidP="1E5D03DD">
      <w:pPr>
        <w:spacing w:before="100" w:beforeAutospacing="1" w:after="100" w:afterAutospacing="1" w:line="360" w:lineRule="auto"/>
        <w:jc w:val="both"/>
        <w:rPr>
          <w:rFonts w:ascii="Arial" w:eastAsia="Arial" w:hAnsi="Arial" w:cs="Arial"/>
          <w:kern w:val="0"/>
          <w:sz w:val="22"/>
          <w:szCs w:val="22"/>
          <w14:ligatures w14:val="none"/>
        </w:rPr>
      </w:pPr>
      <w:r w:rsidRPr="3F0BDA60">
        <w:rPr>
          <w:rFonts w:ascii="Arial" w:eastAsia="Arial" w:hAnsi="Arial" w:cs="Arial"/>
          <w:kern w:val="0"/>
          <w:sz w:val="22"/>
          <w:szCs w:val="22"/>
          <w14:ligatures w14:val="none"/>
        </w:rPr>
        <w:t>Regular blood glucose monitoring is essential for evaluating treatment effectiveness, guiding lifestyle modification and empowering individuals to participate actively in self-management (American Diabetes Association, 2023). Evidence-based interventions, including dietary modification, increased physical activity, weight management and smoking cessation, directly improve glycaemic control and reduce cardiovascular and microvascular risk (CDC, 2023). Primary care nurses play a vital role in translating physiological principles into practical advice, supporting adherence and promoting patient autonomy (Nursing Times, 2023). By combining clinical knowledge with individualised lifestyle support, nurses can help prevent complications and improve quality of life for individuals living with type 2 diabetes (Diabetes UK, 2024).</w:t>
      </w:r>
    </w:p>
    <w:p w14:paraId="3E0A1EDE" w14:textId="1D758108" w:rsidR="04C201AE" w:rsidRDefault="04C201AE" w:rsidP="1E5D03DD">
      <w:pPr>
        <w:spacing w:beforeAutospacing="1" w:afterAutospacing="1" w:line="360" w:lineRule="auto"/>
        <w:jc w:val="both"/>
        <w:outlineLvl w:val="1"/>
        <w:rPr>
          <w:rFonts w:ascii="Arial" w:eastAsia="Arial" w:hAnsi="Arial" w:cs="Arial"/>
          <w:b/>
          <w:sz w:val="22"/>
          <w:szCs w:val="22"/>
        </w:rPr>
      </w:pPr>
    </w:p>
    <w:p w14:paraId="71845B3C" w14:textId="14A124AE" w:rsidR="38929524" w:rsidRDefault="38929524" w:rsidP="38929524">
      <w:pPr>
        <w:spacing w:beforeAutospacing="1" w:afterAutospacing="1" w:line="360" w:lineRule="auto"/>
        <w:jc w:val="both"/>
        <w:outlineLvl w:val="1"/>
        <w:rPr>
          <w:rFonts w:ascii="Arial" w:eastAsia="Arial" w:hAnsi="Arial" w:cs="Arial"/>
          <w:b/>
          <w:bCs/>
          <w:sz w:val="36"/>
          <w:szCs w:val="36"/>
        </w:rPr>
      </w:pPr>
    </w:p>
    <w:p w14:paraId="11D37671" w14:textId="7BFC2490" w:rsidR="468A281A" w:rsidRDefault="468A281A" w:rsidP="468A281A">
      <w:pPr>
        <w:spacing w:beforeAutospacing="1" w:afterAutospacing="1" w:line="360" w:lineRule="auto"/>
        <w:jc w:val="both"/>
        <w:outlineLvl w:val="1"/>
        <w:rPr>
          <w:rFonts w:ascii="Arial" w:eastAsia="Arial" w:hAnsi="Arial" w:cs="Arial"/>
          <w:b/>
          <w:bCs/>
          <w:sz w:val="36"/>
          <w:szCs w:val="36"/>
        </w:rPr>
      </w:pPr>
    </w:p>
    <w:p w14:paraId="28E9362C" w14:textId="26FB4688" w:rsidR="468A281A" w:rsidRDefault="468A281A" w:rsidP="468A281A">
      <w:pPr>
        <w:spacing w:beforeAutospacing="1" w:afterAutospacing="1" w:line="360" w:lineRule="auto"/>
        <w:jc w:val="both"/>
        <w:outlineLvl w:val="1"/>
        <w:rPr>
          <w:rFonts w:ascii="Arial" w:eastAsia="Arial" w:hAnsi="Arial" w:cs="Arial"/>
          <w:b/>
          <w:bCs/>
          <w:sz w:val="36"/>
          <w:szCs w:val="36"/>
        </w:rPr>
      </w:pPr>
    </w:p>
    <w:p w14:paraId="6132E0D2" w14:textId="3395CD8F" w:rsidR="468A281A" w:rsidRDefault="468A281A" w:rsidP="468A281A">
      <w:pPr>
        <w:spacing w:beforeAutospacing="1" w:afterAutospacing="1" w:line="360" w:lineRule="auto"/>
        <w:jc w:val="both"/>
        <w:outlineLvl w:val="1"/>
        <w:rPr>
          <w:rFonts w:ascii="Arial" w:eastAsia="Arial" w:hAnsi="Arial" w:cs="Arial"/>
          <w:b/>
          <w:bCs/>
          <w:sz w:val="36"/>
          <w:szCs w:val="36"/>
        </w:rPr>
      </w:pPr>
    </w:p>
    <w:p w14:paraId="3C47A097" w14:textId="2E5B950E" w:rsidR="468A281A" w:rsidRDefault="468A281A" w:rsidP="468A281A">
      <w:pPr>
        <w:spacing w:beforeAutospacing="1" w:afterAutospacing="1" w:line="360" w:lineRule="auto"/>
        <w:jc w:val="both"/>
        <w:outlineLvl w:val="1"/>
        <w:rPr>
          <w:rFonts w:ascii="Arial" w:eastAsia="Arial" w:hAnsi="Arial" w:cs="Arial"/>
          <w:b/>
          <w:bCs/>
          <w:sz w:val="36"/>
          <w:szCs w:val="36"/>
        </w:rPr>
      </w:pPr>
    </w:p>
    <w:p w14:paraId="6AEBDD2C" w14:textId="1EA8886E" w:rsidR="468A281A" w:rsidRDefault="468A281A" w:rsidP="468A281A">
      <w:pPr>
        <w:spacing w:beforeAutospacing="1" w:afterAutospacing="1" w:line="360" w:lineRule="auto"/>
        <w:jc w:val="both"/>
        <w:outlineLvl w:val="1"/>
        <w:rPr>
          <w:rFonts w:ascii="Arial" w:eastAsia="Arial" w:hAnsi="Arial" w:cs="Arial"/>
          <w:b/>
          <w:bCs/>
          <w:sz w:val="36"/>
          <w:szCs w:val="36"/>
        </w:rPr>
      </w:pPr>
    </w:p>
    <w:p w14:paraId="2EAF41F8" w14:textId="173023FA" w:rsidR="249F4332" w:rsidRDefault="249F4332" w:rsidP="56B6B41A">
      <w:pPr>
        <w:spacing w:before="100" w:beforeAutospacing="1" w:after="100" w:afterAutospacing="1" w:line="360" w:lineRule="auto"/>
        <w:jc w:val="both"/>
        <w:outlineLvl w:val="1"/>
        <w:rPr>
          <w:rFonts w:ascii="Arial" w:eastAsia="Arial" w:hAnsi="Arial" w:cs="Arial"/>
          <w:b/>
          <w:bCs/>
          <w:sz w:val="36"/>
          <w:szCs w:val="36"/>
        </w:rPr>
      </w:pPr>
    </w:p>
    <w:p w14:paraId="319130C1" w14:textId="36FA9F7A" w:rsidR="249F4332" w:rsidRDefault="249F4332" w:rsidP="56B6B41A">
      <w:pPr>
        <w:spacing w:before="100" w:beforeAutospacing="1" w:after="100" w:afterAutospacing="1" w:line="360" w:lineRule="auto"/>
        <w:jc w:val="both"/>
        <w:outlineLvl w:val="1"/>
        <w:rPr>
          <w:rFonts w:ascii="Arial" w:eastAsia="Arial" w:hAnsi="Arial" w:cs="Arial"/>
          <w:b/>
          <w:bCs/>
          <w:sz w:val="36"/>
          <w:szCs w:val="36"/>
        </w:rPr>
      </w:pPr>
    </w:p>
    <w:p w14:paraId="7A1F1AAE" w14:textId="619FDE34" w:rsidR="249F4332" w:rsidRDefault="249F4332" w:rsidP="56B6B41A">
      <w:pPr>
        <w:spacing w:before="100" w:beforeAutospacing="1" w:after="100" w:afterAutospacing="1" w:line="360" w:lineRule="auto"/>
        <w:jc w:val="both"/>
        <w:outlineLvl w:val="1"/>
        <w:rPr>
          <w:rFonts w:ascii="Arial" w:eastAsia="Arial" w:hAnsi="Arial" w:cs="Arial"/>
          <w:b/>
          <w:bCs/>
          <w:sz w:val="36"/>
          <w:szCs w:val="36"/>
        </w:rPr>
      </w:pPr>
    </w:p>
    <w:p w14:paraId="48617B2C" w14:textId="6EA5B283" w:rsidR="249F4332" w:rsidRDefault="249F4332" w:rsidP="56B6B41A">
      <w:pPr>
        <w:spacing w:before="100" w:beforeAutospacing="1" w:after="100" w:afterAutospacing="1" w:line="360" w:lineRule="auto"/>
        <w:jc w:val="both"/>
        <w:outlineLvl w:val="1"/>
        <w:rPr>
          <w:rFonts w:ascii="Arial" w:eastAsia="Arial" w:hAnsi="Arial" w:cs="Arial"/>
          <w:b/>
          <w:bCs/>
          <w:sz w:val="36"/>
          <w:szCs w:val="36"/>
        </w:rPr>
      </w:pPr>
    </w:p>
    <w:p w14:paraId="36E7D2BD" w14:textId="469ECBA7" w:rsidR="249F4332" w:rsidRDefault="249F4332" w:rsidP="56B6B41A">
      <w:pPr>
        <w:spacing w:before="100" w:beforeAutospacing="1" w:after="100" w:afterAutospacing="1" w:line="360" w:lineRule="auto"/>
        <w:jc w:val="both"/>
        <w:outlineLvl w:val="1"/>
        <w:rPr>
          <w:rFonts w:ascii="Arial" w:eastAsia="Arial" w:hAnsi="Arial" w:cs="Arial"/>
          <w:b/>
          <w:bCs/>
          <w:sz w:val="36"/>
          <w:szCs w:val="36"/>
        </w:rPr>
      </w:pPr>
    </w:p>
    <w:p w14:paraId="330993E9" w14:textId="1E091589" w:rsidR="249F4332" w:rsidRDefault="249F4332" w:rsidP="56B6B41A">
      <w:pPr>
        <w:spacing w:before="100" w:beforeAutospacing="1" w:after="100" w:afterAutospacing="1" w:line="360" w:lineRule="auto"/>
        <w:jc w:val="both"/>
        <w:outlineLvl w:val="1"/>
        <w:rPr>
          <w:rFonts w:ascii="Arial" w:eastAsia="Arial" w:hAnsi="Arial" w:cs="Arial"/>
          <w:b/>
          <w:bCs/>
          <w:sz w:val="36"/>
          <w:szCs w:val="36"/>
        </w:rPr>
      </w:pPr>
    </w:p>
    <w:p w14:paraId="4FA66630" w14:textId="18BD931D" w:rsidR="249F4332" w:rsidRDefault="249F4332" w:rsidP="56B6B41A">
      <w:pPr>
        <w:spacing w:before="100" w:beforeAutospacing="1" w:after="100" w:afterAutospacing="1" w:line="360" w:lineRule="auto"/>
        <w:jc w:val="both"/>
        <w:outlineLvl w:val="1"/>
        <w:rPr>
          <w:rFonts w:ascii="Arial" w:eastAsia="Arial" w:hAnsi="Arial" w:cs="Arial"/>
          <w:b/>
          <w:bCs/>
          <w:sz w:val="36"/>
          <w:szCs w:val="36"/>
        </w:rPr>
      </w:pPr>
    </w:p>
    <w:p w14:paraId="36399F81" w14:textId="1F704E34" w:rsidR="249F4332" w:rsidRDefault="249F4332" w:rsidP="56B6B41A">
      <w:pPr>
        <w:spacing w:before="100" w:beforeAutospacing="1" w:after="100" w:afterAutospacing="1" w:line="360" w:lineRule="auto"/>
        <w:jc w:val="both"/>
        <w:outlineLvl w:val="1"/>
        <w:rPr>
          <w:rFonts w:ascii="Arial" w:eastAsia="Arial" w:hAnsi="Arial" w:cs="Arial"/>
          <w:b/>
          <w:bCs/>
          <w:sz w:val="36"/>
          <w:szCs w:val="36"/>
        </w:rPr>
      </w:pPr>
    </w:p>
    <w:p w14:paraId="256E99DD" w14:textId="6820A59E" w:rsidR="003C4F3B" w:rsidRPr="003C4F3B" w:rsidRDefault="003C4F3B" w:rsidP="56B6B41A">
      <w:pPr>
        <w:spacing w:before="100" w:beforeAutospacing="1" w:after="100" w:afterAutospacing="1" w:line="360" w:lineRule="auto"/>
        <w:jc w:val="both"/>
        <w:outlineLvl w:val="1"/>
        <w:rPr>
          <w:rFonts w:ascii="Arial" w:eastAsia="Arial" w:hAnsi="Arial" w:cs="Arial"/>
          <w:b/>
          <w:bCs/>
          <w:sz w:val="36"/>
          <w:szCs w:val="36"/>
        </w:rPr>
      </w:pPr>
    </w:p>
    <w:p w14:paraId="3CBF9CA7" w14:textId="445BA366" w:rsidR="003C4F3B" w:rsidRPr="003C4F3B" w:rsidRDefault="003C4F3B" w:rsidP="56B6B41A">
      <w:pPr>
        <w:spacing w:before="100" w:beforeAutospacing="1" w:after="100" w:afterAutospacing="1" w:line="360" w:lineRule="auto"/>
        <w:jc w:val="both"/>
        <w:outlineLvl w:val="1"/>
        <w:rPr>
          <w:rFonts w:ascii="Arial" w:eastAsia="Arial" w:hAnsi="Arial" w:cs="Arial"/>
          <w:b/>
          <w:bCs/>
          <w:sz w:val="36"/>
          <w:szCs w:val="36"/>
        </w:rPr>
      </w:pPr>
    </w:p>
    <w:p w14:paraId="29F6E3DD" w14:textId="21B1D01C" w:rsidR="003C4F3B" w:rsidRPr="003C4F3B" w:rsidRDefault="003C4F3B" w:rsidP="56B6B41A">
      <w:pPr>
        <w:spacing w:before="100" w:beforeAutospacing="1" w:after="100" w:afterAutospacing="1" w:line="360" w:lineRule="auto"/>
        <w:jc w:val="both"/>
        <w:outlineLvl w:val="1"/>
        <w:rPr>
          <w:rFonts w:ascii="Arial" w:eastAsia="Arial" w:hAnsi="Arial" w:cs="Arial"/>
          <w:b/>
          <w:bCs/>
          <w:sz w:val="36"/>
          <w:szCs w:val="36"/>
        </w:rPr>
      </w:pPr>
    </w:p>
    <w:p w14:paraId="0750D963" w14:textId="66A9A806" w:rsidR="003C4F3B" w:rsidRPr="003C4F3B" w:rsidRDefault="003C4F3B" w:rsidP="56B6B41A">
      <w:pPr>
        <w:spacing w:before="100" w:beforeAutospacing="1" w:after="100" w:afterAutospacing="1" w:line="360" w:lineRule="auto"/>
        <w:jc w:val="both"/>
        <w:outlineLvl w:val="1"/>
        <w:rPr>
          <w:rFonts w:ascii="Arial" w:eastAsia="Arial" w:hAnsi="Arial" w:cs="Arial"/>
          <w:b/>
          <w:bCs/>
          <w:sz w:val="36"/>
          <w:szCs w:val="36"/>
        </w:rPr>
      </w:pPr>
    </w:p>
    <w:p w14:paraId="791DC5FF" w14:textId="5BE6B5AF" w:rsidR="003C4F3B" w:rsidRPr="003C4F3B" w:rsidRDefault="003C4F3B" w:rsidP="56B6B41A">
      <w:pPr>
        <w:spacing w:before="100" w:beforeAutospacing="1" w:after="100" w:afterAutospacing="1" w:line="360" w:lineRule="auto"/>
        <w:jc w:val="both"/>
        <w:outlineLvl w:val="1"/>
        <w:rPr>
          <w:rFonts w:ascii="Arial" w:eastAsia="Arial" w:hAnsi="Arial" w:cs="Arial"/>
          <w:b/>
          <w:bCs/>
          <w:sz w:val="36"/>
          <w:szCs w:val="36"/>
        </w:rPr>
      </w:pPr>
    </w:p>
    <w:p w14:paraId="7EC7D995" w14:textId="49A66573" w:rsidR="003C4F3B" w:rsidRPr="003C4F3B" w:rsidRDefault="003C4F3B" w:rsidP="43F5EFEB">
      <w:pPr>
        <w:spacing w:beforeAutospacing="1" w:afterAutospacing="1" w:line="360" w:lineRule="auto"/>
        <w:jc w:val="both"/>
        <w:outlineLvl w:val="1"/>
        <w:rPr>
          <w:rFonts w:ascii="Arial" w:eastAsia="Arial" w:hAnsi="Arial" w:cs="Arial"/>
          <w:b/>
          <w:bCs/>
          <w:sz w:val="36"/>
          <w:szCs w:val="36"/>
        </w:rPr>
      </w:pPr>
    </w:p>
    <w:p w14:paraId="5A28C7AC" w14:textId="77777777" w:rsidR="003C4F3B" w:rsidRPr="003C4F3B" w:rsidRDefault="003C4F3B" w:rsidP="1E5D03DD">
      <w:pPr>
        <w:spacing w:before="100" w:beforeAutospacing="1" w:after="100" w:afterAutospacing="1" w:line="360" w:lineRule="auto"/>
        <w:jc w:val="both"/>
        <w:outlineLvl w:val="1"/>
        <w:rPr>
          <w:rFonts w:ascii="Arial" w:eastAsia="Arial" w:hAnsi="Arial" w:cs="Arial"/>
          <w:b/>
          <w:kern w:val="0"/>
          <w:sz w:val="36"/>
          <w:szCs w:val="36"/>
          <w14:ligatures w14:val="none"/>
        </w:rPr>
      </w:pPr>
      <w:r w:rsidRPr="2D88C7AD">
        <w:rPr>
          <w:rFonts w:ascii="Arial" w:eastAsia="Arial" w:hAnsi="Arial" w:cs="Arial"/>
          <w:b/>
          <w:kern w:val="0"/>
          <w:sz w:val="36"/>
          <w:szCs w:val="36"/>
          <w14:ligatures w14:val="none"/>
        </w:rPr>
        <w:t>Reference List</w:t>
      </w:r>
    </w:p>
    <w:p w14:paraId="28086B39" w14:textId="71610745" w:rsidR="07AE1072" w:rsidRDefault="07AE1072" w:rsidP="07AE1072">
      <w:pPr>
        <w:spacing w:beforeAutospacing="1" w:afterAutospacing="1" w:line="240" w:lineRule="auto"/>
        <w:rPr>
          <w:rFonts w:ascii="Times New Roman" w:hAnsi="Times New Roman" w:cs="Times New Roman"/>
        </w:rPr>
      </w:pPr>
    </w:p>
    <w:p w14:paraId="26B63B5A" w14:textId="74541A3E" w:rsidR="2863CEEB" w:rsidRDefault="2863CEEB" w:rsidP="2863CEEB">
      <w:pPr>
        <w:spacing w:beforeAutospacing="1" w:afterAutospacing="1" w:line="240" w:lineRule="auto"/>
        <w:rPr>
          <w:rFonts w:ascii="Times New Roman" w:hAnsi="Times New Roman" w:cs="Times New Roman"/>
        </w:rPr>
      </w:pPr>
    </w:p>
    <w:p w14:paraId="5803AC96" w14:textId="07622AED" w:rsidR="000D4BEC" w:rsidRPr="000D4BEC" w:rsidRDefault="000D4BEC" w:rsidP="000D4BEC">
      <w:pPr>
        <w:spacing w:before="100" w:beforeAutospacing="1" w:after="100" w:afterAutospacing="1" w:line="240" w:lineRule="auto"/>
        <w:rPr>
          <w:rFonts w:ascii="Times New Roman" w:eastAsia="Times New Roman" w:hAnsi="Times New Roman" w:cs="Times New Roman"/>
          <w:kern w:val="0"/>
          <w14:ligatures w14:val="none"/>
        </w:rPr>
      </w:pPr>
      <w:r w:rsidRPr="000D4BEC">
        <w:rPr>
          <w:rFonts w:ascii="Times New Roman" w:hAnsi="Times New Roman" w:cs="Times New Roman"/>
          <w:kern w:val="0"/>
          <w14:ligatures w14:val="none"/>
        </w:rPr>
        <w:t>American Diabetes Association (2023) ‘</w:t>
      </w:r>
      <w:r w:rsidRPr="34419953">
        <w:rPr>
          <w:rFonts w:ascii="Times New Roman" w:hAnsi="Times New Roman" w:cs="Times New Roman"/>
          <w:i/>
          <w:kern w:val="0"/>
          <w14:ligatures w14:val="none"/>
        </w:rPr>
        <w:t xml:space="preserve">Standards of care in </w:t>
      </w:r>
      <w:r w:rsidRPr="213904FA">
        <w:rPr>
          <w:rFonts w:ascii="Times New Roman" w:hAnsi="Times New Roman" w:cs="Times New Roman"/>
          <w:i/>
          <w:kern w:val="0"/>
          <w14:ligatures w14:val="none"/>
        </w:rPr>
        <w:t>diabetes</w:t>
      </w:r>
      <w:r w:rsidR="7D02BFEA" w:rsidRPr="213904FA">
        <w:rPr>
          <w:rFonts w:ascii="Times New Roman" w:hAnsi="Times New Roman" w:cs="Times New Roman"/>
          <w:i/>
          <w:iCs/>
          <w:kern w:val="0"/>
          <w14:ligatures w14:val="none"/>
        </w:rPr>
        <w:t xml:space="preserve"> </w:t>
      </w:r>
      <w:r w:rsidR="7D02BFEA" w:rsidRPr="2F5E189B">
        <w:rPr>
          <w:rFonts w:ascii="Times New Roman" w:hAnsi="Times New Roman" w:cs="Times New Roman"/>
          <w:i/>
          <w:iCs/>
          <w:kern w:val="0"/>
          <w14:ligatures w14:val="none"/>
        </w:rPr>
        <w:t>(</w:t>
      </w:r>
      <w:r w:rsidRPr="000D4BEC">
        <w:rPr>
          <w:rFonts w:ascii="Times New Roman" w:hAnsi="Times New Roman" w:cs="Times New Roman"/>
          <w:kern w:val="0"/>
          <w14:ligatures w14:val="none"/>
        </w:rPr>
        <w:t>2023</w:t>
      </w:r>
      <w:r w:rsidR="7596DF39" w:rsidRPr="000D4BEC">
        <w:rPr>
          <w:rFonts w:ascii="Times New Roman" w:hAnsi="Times New Roman" w:cs="Times New Roman"/>
          <w:kern w:val="0"/>
          <w14:ligatures w14:val="none"/>
        </w:rPr>
        <w:t xml:space="preserve">) </w:t>
      </w:r>
      <w:r w:rsidRPr="000D4BEC">
        <w:rPr>
          <w:rFonts w:ascii="Times New Roman" w:hAnsi="Times New Roman" w:cs="Times New Roman"/>
          <w:kern w:val="0"/>
          <w14:ligatures w14:val="none"/>
        </w:rPr>
        <w:t>, Diabetes Care, 46(Suppl. 1), pp. S1–S291.</w:t>
      </w:r>
      <w:r w:rsidR="08C70DDF" w:rsidRPr="5E433C6A">
        <w:rPr>
          <w:rFonts w:ascii="Times New Roman" w:eastAsia="Times New Roman" w:hAnsi="Times New Roman" w:cs="Times New Roman"/>
        </w:rPr>
        <w:t xml:space="preserve"> </w:t>
      </w:r>
      <w:hyperlink r:id="rId4">
        <w:r w:rsidR="08C70DDF" w:rsidRPr="1D2CD2BB">
          <w:rPr>
            <w:rStyle w:val="Hyperlink"/>
            <w:rFonts w:ascii="Times New Roman" w:eastAsia="Times New Roman" w:hAnsi="Times New Roman" w:cs="Times New Roman"/>
          </w:rPr>
          <w:t>https://diabetesjournals.org/care/issue/46/Supplement_1</w:t>
        </w:r>
      </w:hyperlink>
      <w:r w:rsidR="08C70DDF" w:rsidRPr="1D2CD2BB">
        <w:rPr>
          <w:rFonts w:ascii="Times New Roman" w:eastAsia="Times New Roman" w:hAnsi="Times New Roman" w:cs="Times New Roman"/>
        </w:rPr>
        <w:t xml:space="preserve"> </w:t>
      </w:r>
      <w:r w:rsidR="297FF3BE" w:rsidRPr="4F5E7264">
        <w:rPr>
          <w:rFonts w:ascii="Times New Roman" w:eastAsia="Times New Roman" w:hAnsi="Times New Roman" w:cs="Times New Roman"/>
        </w:rPr>
        <w:t>[</w:t>
      </w:r>
      <w:r w:rsidR="297FF3BE" w:rsidRPr="25F70680">
        <w:rPr>
          <w:rFonts w:ascii="Times New Roman" w:eastAsia="Times New Roman" w:hAnsi="Times New Roman" w:cs="Times New Roman"/>
        </w:rPr>
        <w:t>accessed</w:t>
      </w:r>
      <w:r w:rsidR="297FF3BE" w:rsidRPr="137DDF77">
        <w:rPr>
          <w:rFonts w:ascii="Times New Roman" w:eastAsia="Times New Roman" w:hAnsi="Times New Roman" w:cs="Times New Roman"/>
        </w:rPr>
        <w:t>:</w:t>
      </w:r>
      <w:r w:rsidR="297FF3BE" w:rsidRPr="03A61895">
        <w:rPr>
          <w:rFonts w:ascii="Times New Roman" w:eastAsia="Times New Roman" w:hAnsi="Times New Roman" w:cs="Times New Roman"/>
        </w:rPr>
        <w:t>10</w:t>
      </w:r>
      <w:r w:rsidR="297FF3BE" w:rsidRPr="104F1621">
        <w:rPr>
          <w:rFonts w:ascii="Times New Roman" w:eastAsia="Times New Roman" w:hAnsi="Times New Roman" w:cs="Times New Roman"/>
        </w:rPr>
        <w:t xml:space="preserve"> </w:t>
      </w:r>
      <w:r w:rsidR="297FF3BE" w:rsidRPr="286E55D6">
        <w:rPr>
          <w:rFonts w:ascii="Times New Roman" w:eastAsia="Times New Roman" w:hAnsi="Times New Roman" w:cs="Times New Roman"/>
        </w:rPr>
        <w:t xml:space="preserve">February </w:t>
      </w:r>
      <w:r w:rsidR="297FF3BE" w:rsidRPr="48E5DE75">
        <w:rPr>
          <w:rFonts w:ascii="Times New Roman" w:eastAsia="Times New Roman" w:hAnsi="Times New Roman" w:cs="Times New Roman"/>
        </w:rPr>
        <w:t>2026</w:t>
      </w:r>
      <w:r w:rsidR="297FF3BE" w:rsidRPr="5CC8863A">
        <w:rPr>
          <w:rFonts w:ascii="Times New Roman" w:eastAsia="Times New Roman" w:hAnsi="Times New Roman" w:cs="Times New Roman"/>
        </w:rPr>
        <w:t>].</w:t>
      </w:r>
    </w:p>
    <w:p w14:paraId="2000EB28" w14:textId="77777777" w:rsidR="000D4BEC" w:rsidRPr="000D4BEC" w:rsidRDefault="000D4BEC" w:rsidP="000D4BEC">
      <w:pPr>
        <w:spacing w:before="100" w:beforeAutospacing="1" w:after="100" w:afterAutospacing="1" w:line="240" w:lineRule="auto"/>
        <w:rPr>
          <w:rFonts w:ascii="Times New Roman" w:hAnsi="Times New Roman" w:cs="Times New Roman"/>
          <w:kern w:val="0"/>
          <w14:ligatures w14:val="none"/>
        </w:rPr>
      </w:pPr>
    </w:p>
    <w:p w14:paraId="5E4A3040" w14:textId="57FE05CB" w:rsidR="000D4BEC" w:rsidRPr="000D4BEC" w:rsidRDefault="000D4BEC" w:rsidP="000D4BEC">
      <w:pPr>
        <w:spacing w:before="100" w:beforeAutospacing="1" w:after="100" w:afterAutospacing="1" w:line="240" w:lineRule="auto"/>
        <w:rPr>
          <w:rFonts w:ascii="Times New Roman" w:hAnsi="Times New Roman" w:cs="Times New Roman"/>
          <w:kern w:val="0"/>
          <w14:ligatures w14:val="none"/>
        </w:rPr>
      </w:pPr>
      <w:r w:rsidRPr="000D4BEC">
        <w:rPr>
          <w:rFonts w:ascii="Times New Roman" w:hAnsi="Times New Roman" w:cs="Times New Roman"/>
          <w:kern w:val="0"/>
          <w14:ligatures w14:val="none"/>
        </w:rPr>
        <w:t>Centers for Disease Control and Prevention (CDC) (2023) Type 2 diabetes. Available at:</w:t>
      </w:r>
      <w:r w:rsidR="7CCC8017" w:rsidRPr="000D4BEC">
        <w:rPr>
          <w:rFonts w:ascii="Times New Roman" w:hAnsi="Times New Roman" w:cs="Times New Roman"/>
          <w:kern w:val="0"/>
          <w14:ligatures w14:val="none"/>
        </w:rPr>
        <w:t xml:space="preserve"> </w:t>
      </w:r>
      <w:r w:rsidRPr="000D4BEC">
        <w:rPr>
          <w:rFonts w:ascii="Times New Roman" w:hAnsi="Times New Roman" w:cs="Times New Roman"/>
          <w:kern w:val="0"/>
          <w14:ligatures w14:val="none"/>
        </w:rPr>
        <w:t xml:space="preserve"> </w:t>
      </w:r>
      <w:hyperlink r:id="rId5">
        <w:r w:rsidRPr="0F28E6CE">
          <w:rPr>
            <w:rStyle w:val="Hyperlink"/>
            <w:rFonts w:ascii="Times New Roman" w:hAnsi="Times New Roman" w:cs="Times New Roman"/>
          </w:rPr>
          <w:t>https://www.cdc.gov/diabetes/basics/type2.html</w:t>
        </w:r>
      </w:hyperlink>
      <w:r w:rsidRPr="000D4BEC">
        <w:rPr>
          <w:rFonts w:ascii="Times New Roman" w:hAnsi="Times New Roman" w:cs="Times New Roman"/>
          <w:kern w:val="0"/>
          <w14:ligatures w14:val="none"/>
        </w:rPr>
        <w:t xml:space="preserve"> </w:t>
      </w:r>
      <w:r w:rsidR="47CA276C" w:rsidRPr="000D4BEC">
        <w:rPr>
          <w:rFonts w:ascii="Times New Roman" w:hAnsi="Times New Roman" w:cs="Times New Roman"/>
          <w:kern w:val="0"/>
          <w14:ligatures w14:val="none"/>
        </w:rPr>
        <w:t xml:space="preserve"> </w:t>
      </w:r>
      <w:r w:rsidR="395291F7" w:rsidRPr="000D4BEC">
        <w:rPr>
          <w:rFonts w:ascii="Times New Roman" w:hAnsi="Times New Roman" w:cs="Times New Roman"/>
          <w:kern w:val="0"/>
          <w14:ligatures w14:val="none"/>
        </w:rPr>
        <w:t>[</w:t>
      </w:r>
      <w:r w:rsidRPr="000D4BEC">
        <w:rPr>
          <w:rFonts w:ascii="Times New Roman" w:hAnsi="Times New Roman" w:cs="Times New Roman"/>
          <w:kern w:val="0"/>
          <w14:ligatures w14:val="none"/>
        </w:rPr>
        <w:t xml:space="preserve">Accessed: </w:t>
      </w:r>
      <w:r w:rsidR="7905530E" w:rsidRPr="000D4BEC">
        <w:rPr>
          <w:rFonts w:ascii="Times New Roman" w:hAnsi="Times New Roman" w:cs="Times New Roman"/>
          <w:kern w:val="0"/>
          <w14:ligatures w14:val="none"/>
        </w:rPr>
        <w:t>12</w:t>
      </w:r>
      <w:r w:rsidRPr="000D4BEC">
        <w:rPr>
          <w:rFonts w:ascii="Times New Roman" w:hAnsi="Times New Roman" w:cs="Times New Roman"/>
          <w:kern w:val="0"/>
          <w14:ligatures w14:val="none"/>
        </w:rPr>
        <w:t xml:space="preserve"> February 2026</w:t>
      </w:r>
      <w:r w:rsidR="6D7E4144" w:rsidRPr="000D4BEC">
        <w:rPr>
          <w:rFonts w:ascii="Times New Roman" w:hAnsi="Times New Roman" w:cs="Times New Roman"/>
          <w:kern w:val="0"/>
          <w14:ligatures w14:val="none"/>
        </w:rPr>
        <w:t>]</w:t>
      </w:r>
      <w:r w:rsidRPr="000D4BEC">
        <w:rPr>
          <w:rFonts w:ascii="Times New Roman" w:hAnsi="Times New Roman" w:cs="Times New Roman"/>
          <w:kern w:val="0"/>
          <w14:ligatures w14:val="none"/>
        </w:rPr>
        <w:t>.</w:t>
      </w:r>
    </w:p>
    <w:p w14:paraId="5F29F578" w14:textId="77777777" w:rsidR="000D4BEC" w:rsidRPr="000D4BEC" w:rsidRDefault="000D4BEC" w:rsidP="000D4BEC">
      <w:pPr>
        <w:spacing w:before="100" w:beforeAutospacing="1" w:after="100" w:afterAutospacing="1" w:line="240" w:lineRule="auto"/>
        <w:rPr>
          <w:rFonts w:ascii="Times New Roman" w:hAnsi="Times New Roman" w:cs="Times New Roman"/>
          <w:kern w:val="0"/>
          <w14:ligatures w14:val="none"/>
        </w:rPr>
      </w:pPr>
    </w:p>
    <w:p w14:paraId="67BADDD9" w14:textId="21C35A5D" w:rsidR="000D4BEC" w:rsidRPr="000D4BEC" w:rsidRDefault="000D4BEC" w:rsidP="000D4BEC">
      <w:pPr>
        <w:spacing w:before="100" w:beforeAutospacing="1" w:after="100" w:afterAutospacing="1" w:line="240" w:lineRule="auto"/>
        <w:rPr>
          <w:rFonts w:ascii="Times New Roman" w:hAnsi="Times New Roman" w:cs="Times New Roman"/>
          <w:kern w:val="0"/>
          <w14:ligatures w14:val="none"/>
        </w:rPr>
      </w:pPr>
      <w:r w:rsidRPr="000D4BEC">
        <w:rPr>
          <w:rFonts w:ascii="Times New Roman" w:hAnsi="Times New Roman" w:cs="Times New Roman"/>
          <w:kern w:val="0"/>
          <w14:ligatures w14:val="none"/>
        </w:rPr>
        <w:t xml:space="preserve">Diabetes UK (2024) </w:t>
      </w:r>
      <w:r w:rsidRPr="463CBE9F">
        <w:rPr>
          <w:rFonts w:ascii="Times New Roman" w:hAnsi="Times New Roman" w:cs="Times New Roman"/>
          <w:i/>
          <w:kern w:val="0"/>
          <w14:ligatures w14:val="none"/>
        </w:rPr>
        <w:t>How insulin works and blood glucose regulation</w:t>
      </w:r>
      <w:r w:rsidRPr="000D4BEC">
        <w:rPr>
          <w:rFonts w:ascii="Times New Roman" w:hAnsi="Times New Roman" w:cs="Times New Roman"/>
          <w:kern w:val="0"/>
          <w14:ligatures w14:val="none"/>
        </w:rPr>
        <w:t xml:space="preserve">. Available at: </w:t>
      </w:r>
      <w:hyperlink r:id="rId6">
        <w:r w:rsidRPr="680DC81F">
          <w:rPr>
            <w:rStyle w:val="Hyperlink"/>
            <w:rFonts w:ascii="Times New Roman" w:hAnsi="Times New Roman" w:cs="Times New Roman"/>
          </w:rPr>
          <w:t>https://www.diabetes.org.uk/guide-to-diabetes/about-diabetes</w:t>
        </w:r>
      </w:hyperlink>
      <w:r w:rsidRPr="000D4BEC">
        <w:rPr>
          <w:rFonts w:ascii="Times New Roman" w:hAnsi="Times New Roman" w:cs="Times New Roman"/>
          <w:kern w:val="0"/>
          <w14:ligatures w14:val="none"/>
        </w:rPr>
        <w:t xml:space="preserve"> </w:t>
      </w:r>
      <w:r w:rsidR="715F01E4" w:rsidRPr="000D4BEC">
        <w:rPr>
          <w:rFonts w:ascii="Times New Roman" w:hAnsi="Times New Roman" w:cs="Times New Roman"/>
          <w:kern w:val="0"/>
          <w14:ligatures w14:val="none"/>
        </w:rPr>
        <w:t xml:space="preserve"> </w:t>
      </w:r>
      <w:r w:rsidR="35E7673F" w:rsidRPr="000D4BEC">
        <w:rPr>
          <w:rFonts w:ascii="Times New Roman" w:hAnsi="Times New Roman" w:cs="Times New Roman"/>
          <w:kern w:val="0"/>
          <w14:ligatures w14:val="none"/>
        </w:rPr>
        <w:t>[</w:t>
      </w:r>
      <w:r w:rsidRPr="000D4BEC">
        <w:rPr>
          <w:rFonts w:ascii="Times New Roman" w:hAnsi="Times New Roman" w:cs="Times New Roman"/>
          <w:kern w:val="0"/>
          <w14:ligatures w14:val="none"/>
        </w:rPr>
        <w:t xml:space="preserve">Accessed: </w:t>
      </w:r>
      <w:r w:rsidR="66EA34FE" w:rsidRPr="000D4BEC">
        <w:rPr>
          <w:rFonts w:ascii="Times New Roman" w:hAnsi="Times New Roman" w:cs="Times New Roman"/>
          <w:kern w:val="0"/>
          <w14:ligatures w14:val="none"/>
        </w:rPr>
        <w:t>19</w:t>
      </w:r>
      <w:r w:rsidRPr="000D4BEC">
        <w:rPr>
          <w:rFonts w:ascii="Times New Roman" w:hAnsi="Times New Roman" w:cs="Times New Roman"/>
          <w:kern w:val="0"/>
          <w14:ligatures w14:val="none"/>
        </w:rPr>
        <w:t xml:space="preserve"> February 2026</w:t>
      </w:r>
      <w:r w:rsidR="568E30F4" w:rsidRPr="000D4BEC">
        <w:rPr>
          <w:rFonts w:ascii="Times New Roman" w:hAnsi="Times New Roman" w:cs="Times New Roman"/>
          <w:kern w:val="0"/>
          <w14:ligatures w14:val="none"/>
        </w:rPr>
        <w:t>]</w:t>
      </w:r>
      <w:r w:rsidRPr="000D4BEC">
        <w:rPr>
          <w:rFonts w:ascii="Times New Roman" w:hAnsi="Times New Roman" w:cs="Times New Roman"/>
          <w:kern w:val="0"/>
          <w14:ligatures w14:val="none"/>
        </w:rPr>
        <w:t>.</w:t>
      </w:r>
    </w:p>
    <w:p w14:paraId="06DDC532" w14:textId="77777777" w:rsidR="000D4BEC" w:rsidRPr="000D4BEC" w:rsidRDefault="000D4BEC" w:rsidP="000D4BEC">
      <w:pPr>
        <w:spacing w:before="100" w:beforeAutospacing="1" w:after="100" w:afterAutospacing="1" w:line="240" w:lineRule="auto"/>
        <w:rPr>
          <w:rFonts w:ascii="Times New Roman" w:hAnsi="Times New Roman" w:cs="Times New Roman"/>
          <w:kern w:val="0"/>
          <w14:ligatures w14:val="none"/>
        </w:rPr>
      </w:pPr>
    </w:p>
    <w:p w14:paraId="04E2D035" w14:textId="77777777" w:rsidR="000D4BEC" w:rsidRPr="000D4BEC" w:rsidRDefault="000D4BEC" w:rsidP="000D4BEC">
      <w:pPr>
        <w:spacing w:before="100" w:beforeAutospacing="1" w:after="100" w:afterAutospacing="1" w:line="240" w:lineRule="auto"/>
        <w:rPr>
          <w:rFonts w:ascii="Times New Roman" w:hAnsi="Times New Roman" w:cs="Times New Roman"/>
          <w:kern w:val="0"/>
          <w14:ligatures w14:val="none"/>
        </w:rPr>
      </w:pPr>
      <w:r w:rsidRPr="000D4BEC">
        <w:rPr>
          <w:rFonts w:ascii="Times New Roman" w:hAnsi="Times New Roman" w:cs="Times New Roman"/>
          <w:kern w:val="0"/>
          <w14:ligatures w14:val="none"/>
        </w:rPr>
        <w:t xml:space="preserve">Hall, J.E. and Hall, M.E. (2020) </w:t>
      </w:r>
      <w:r w:rsidRPr="2E0F375C">
        <w:rPr>
          <w:rFonts w:ascii="Times New Roman" w:hAnsi="Times New Roman" w:cs="Times New Roman"/>
          <w:i/>
          <w:kern w:val="0"/>
          <w14:ligatures w14:val="none"/>
        </w:rPr>
        <w:t>Guyton and Hall textbook of medical physiology</w:t>
      </w:r>
      <w:r w:rsidRPr="000D4BEC">
        <w:rPr>
          <w:rFonts w:ascii="Times New Roman" w:hAnsi="Times New Roman" w:cs="Times New Roman"/>
          <w:kern w:val="0"/>
          <w14:ligatures w14:val="none"/>
        </w:rPr>
        <w:t>. 14th edn. Elsevier.</w:t>
      </w:r>
    </w:p>
    <w:p w14:paraId="0C5A27D8" w14:textId="77777777" w:rsidR="000D4BEC" w:rsidRPr="000D4BEC" w:rsidRDefault="000D4BEC" w:rsidP="000D4BEC">
      <w:pPr>
        <w:spacing w:before="100" w:beforeAutospacing="1" w:after="100" w:afterAutospacing="1" w:line="240" w:lineRule="auto"/>
        <w:rPr>
          <w:rFonts w:ascii="Times New Roman" w:hAnsi="Times New Roman" w:cs="Times New Roman"/>
          <w:kern w:val="0"/>
          <w14:ligatures w14:val="none"/>
        </w:rPr>
      </w:pPr>
    </w:p>
    <w:p w14:paraId="79B751D9" w14:textId="77777777" w:rsidR="000D4BEC" w:rsidRPr="000D4BEC" w:rsidRDefault="000D4BEC" w:rsidP="000D4BEC">
      <w:pPr>
        <w:spacing w:before="100" w:beforeAutospacing="1" w:after="100" w:afterAutospacing="1" w:line="240" w:lineRule="auto"/>
        <w:rPr>
          <w:rFonts w:ascii="Times New Roman" w:hAnsi="Times New Roman" w:cs="Times New Roman"/>
          <w:kern w:val="0"/>
          <w14:ligatures w14:val="none"/>
        </w:rPr>
      </w:pPr>
      <w:r w:rsidRPr="000D4BEC">
        <w:rPr>
          <w:rFonts w:ascii="Times New Roman" w:hAnsi="Times New Roman" w:cs="Times New Roman"/>
          <w:kern w:val="0"/>
          <w14:ligatures w14:val="none"/>
        </w:rPr>
        <w:t xml:space="preserve">Nair, M. and Peate, I. (2011) </w:t>
      </w:r>
      <w:r w:rsidRPr="2D834068">
        <w:rPr>
          <w:rFonts w:ascii="Times New Roman" w:hAnsi="Times New Roman" w:cs="Times New Roman"/>
          <w:i/>
          <w:kern w:val="0"/>
          <w14:ligatures w14:val="none"/>
        </w:rPr>
        <w:t>Fundamentals of anatomy and physiology for student nurses</w:t>
      </w:r>
      <w:r w:rsidRPr="000D4BEC">
        <w:rPr>
          <w:rFonts w:ascii="Times New Roman" w:hAnsi="Times New Roman" w:cs="Times New Roman"/>
          <w:kern w:val="0"/>
          <w14:ligatures w14:val="none"/>
        </w:rPr>
        <w:t>. Wiley-Blackwell.</w:t>
      </w:r>
    </w:p>
    <w:p w14:paraId="08CBDD82" w14:textId="77777777" w:rsidR="000D4BEC" w:rsidRPr="000D4BEC" w:rsidRDefault="000D4BEC" w:rsidP="000D4BEC">
      <w:pPr>
        <w:spacing w:before="100" w:beforeAutospacing="1" w:after="100" w:afterAutospacing="1" w:line="240" w:lineRule="auto"/>
        <w:rPr>
          <w:rFonts w:ascii="Times New Roman" w:hAnsi="Times New Roman" w:cs="Times New Roman"/>
          <w:kern w:val="0"/>
          <w14:ligatures w14:val="none"/>
        </w:rPr>
      </w:pPr>
    </w:p>
    <w:p w14:paraId="0FFD7874" w14:textId="2FC571A5" w:rsidR="000D4BEC" w:rsidRDefault="000D4BEC" w:rsidP="000D4BEC">
      <w:pPr>
        <w:spacing w:before="100" w:beforeAutospacing="1" w:after="100" w:afterAutospacing="1" w:line="240" w:lineRule="auto"/>
        <w:rPr>
          <w:rFonts w:ascii="Times New Roman" w:hAnsi="Times New Roman" w:cs="Times New Roman"/>
          <w:kern w:val="0"/>
          <w14:ligatures w14:val="none"/>
        </w:rPr>
      </w:pPr>
      <w:r w:rsidRPr="000D4BEC">
        <w:rPr>
          <w:rFonts w:ascii="Times New Roman" w:hAnsi="Times New Roman" w:cs="Times New Roman"/>
          <w:kern w:val="0"/>
          <w14:ligatures w14:val="none"/>
        </w:rPr>
        <w:t xml:space="preserve">National Institute for Health and Care Excellence (NICE) (2022) </w:t>
      </w:r>
      <w:r w:rsidRPr="10AE3861">
        <w:rPr>
          <w:rFonts w:ascii="Times New Roman" w:hAnsi="Times New Roman" w:cs="Times New Roman"/>
          <w:i/>
          <w:kern w:val="0"/>
          <w14:ligatures w14:val="none"/>
        </w:rPr>
        <w:t>Type 2 diabetes in adults</w:t>
      </w:r>
      <w:r w:rsidRPr="000D4BEC">
        <w:rPr>
          <w:rFonts w:ascii="Times New Roman" w:hAnsi="Times New Roman" w:cs="Times New Roman"/>
          <w:kern w:val="0"/>
          <w14:ligatures w14:val="none"/>
        </w:rPr>
        <w:t xml:space="preserve">: management (NG28). </w:t>
      </w:r>
      <w:r w:rsidR="41962B2A" w:rsidRPr="000D4BEC">
        <w:rPr>
          <w:rFonts w:ascii="Times New Roman" w:hAnsi="Times New Roman" w:cs="Times New Roman"/>
          <w:kern w:val="0"/>
          <w14:ligatures w14:val="none"/>
        </w:rPr>
        <w:t xml:space="preserve">Available at: </w:t>
      </w:r>
      <w:hyperlink r:id="rId7">
        <w:r w:rsidR="41962B2A" w:rsidRPr="10AE3861">
          <w:rPr>
            <w:rStyle w:val="Hyperlink"/>
            <w:rFonts w:ascii="Times New Roman" w:hAnsi="Times New Roman" w:cs="Times New Roman"/>
          </w:rPr>
          <w:t>https://www.nice.org.uk/guidance/ng28</w:t>
        </w:r>
      </w:hyperlink>
      <w:r w:rsidR="2C142212" w:rsidRPr="000D4BEC">
        <w:rPr>
          <w:rFonts w:ascii="Times New Roman" w:hAnsi="Times New Roman" w:cs="Times New Roman"/>
          <w:kern w:val="0"/>
          <w14:ligatures w14:val="none"/>
        </w:rPr>
        <w:t xml:space="preserve"> </w:t>
      </w:r>
      <w:r w:rsidR="03A813DA" w:rsidRPr="000D4BEC">
        <w:rPr>
          <w:rFonts w:ascii="Times New Roman" w:hAnsi="Times New Roman" w:cs="Times New Roman"/>
          <w:kern w:val="0"/>
          <w14:ligatures w14:val="none"/>
        </w:rPr>
        <w:t>[</w:t>
      </w:r>
      <w:r w:rsidR="41962B2A" w:rsidRPr="000D4BEC">
        <w:rPr>
          <w:rFonts w:ascii="Times New Roman" w:hAnsi="Times New Roman" w:cs="Times New Roman"/>
          <w:kern w:val="0"/>
          <w14:ligatures w14:val="none"/>
        </w:rPr>
        <w:t xml:space="preserve">Accessed: </w:t>
      </w:r>
      <w:r w:rsidR="05FCD8C5" w:rsidRPr="000D4BEC">
        <w:rPr>
          <w:rFonts w:ascii="Times New Roman" w:hAnsi="Times New Roman" w:cs="Times New Roman"/>
          <w:kern w:val="0"/>
          <w14:ligatures w14:val="none"/>
        </w:rPr>
        <w:t>17</w:t>
      </w:r>
      <w:r w:rsidR="41962B2A" w:rsidRPr="000D4BEC">
        <w:rPr>
          <w:rFonts w:ascii="Times New Roman" w:hAnsi="Times New Roman" w:cs="Times New Roman"/>
          <w:kern w:val="0"/>
          <w14:ligatures w14:val="none"/>
        </w:rPr>
        <w:t xml:space="preserve"> February 2026</w:t>
      </w:r>
      <w:r w:rsidR="72DC3486" w:rsidRPr="000D4BEC">
        <w:rPr>
          <w:rFonts w:ascii="Times New Roman" w:hAnsi="Times New Roman" w:cs="Times New Roman"/>
          <w:kern w:val="0"/>
          <w14:ligatures w14:val="none"/>
        </w:rPr>
        <w:t>]</w:t>
      </w:r>
      <w:r w:rsidR="41962B2A" w:rsidRPr="000D4BEC">
        <w:rPr>
          <w:rFonts w:ascii="Times New Roman" w:hAnsi="Times New Roman" w:cs="Times New Roman"/>
          <w:kern w:val="0"/>
          <w14:ligatures w14:val="none"/>
        </w:rPr>
        <w:t>.</w:t>
      </w:r>
    </w:p>
    <w:p w14:paraId="7C92320C" w14:textId="77777777" w:rsidR="00CB0A85" w:rsidRDefault="00CB0A85" w:rsidP="000D4BEC">
      <w:pPr>
        <w:spacing w:before="100" w:beforeAutospacing="1" w:after="100" w:afterAutospacing="1" w:line="240" w:lineRule="auto"/>
        <w:rPr>
          <w:rFonts w:ascii="Times New Roman" w:hAnsi="Times New Roman" w:cs="Times New Roman"/>
          <w:kern w:val="0"/>
          <w14:ligatures w14:val="none"/>
        </w:rPr>
      </w:pPr>
    </w:p>
    <w:p w14:paraId="2743901C" w14:textId="21BB7C6A" w:rsidR="000D4BEC" w:rsidRDefault="000D4BEC" w:rsidP="000D4BEC">
      <w:pPr>
        <w:spacing w:before="100" w:beforeAutospacing="1" w:after="100" w:afterAutospacing="1" w:line="240" w:lineRule="auto"/>
        <w:rPr>
          <w:rFonts w:ascii="Times New Roman" w:hAnsi="Times New Roman" w:cs="Times New Roman"/>
          <w:kern w:val="0"/>
          <w14:ligatures w14:val="none"/>
        </w:rPr>
      </w:pPr>
      <w:r w:rsidRPr="000D4BEC">
        <w:rPr>
          <w:rFonts w:ascii="Times New Roman" w:hAnsi="Times New Roman" w:cs="Times New Roman"/>
          <w:kern w:val="0"/>
          <w14:ligatures w14:val="none"/>
        </w:rPr>
        <w:t>Nursing Times (2023) ‘</w:t>
      </w:r>
      <w:r w:rsidRPr="10AE3861">
        <w:rPr>
          <w:rFonts w:ascii="Times New Roman" w:hAnsi="Times New Roman" w:cs="Times New Roman"/>
          <w:i/>
          <w:kern w:val="0"/>
          <w14:ligatures w14:val="none"/>
        </w:rPr>
        <w:t>Supporting self-management in patients with type 2 diabetes’,</w:t>
      </w:r>
      <w:r w:rsidRPr="000D4BEC">
        <w:rPr>
          <w:rFonts w:ascii="Times New Roman" w:hAnsi="Times New Roman" w:cs="Times New Roman"/>
          <w:kern w:val="0"/>
          <w14:ligatures w14:val="none"/>
        </w:rPr>
        <w:t xml:space="preserve"> Nursing Times. Available at: </w:t>
      </w:r>
      <w:hyperlink r:id="rId8">
        <w:r w:rsidRPr="0AC48E49">
          <w:rPr>
            <w:rStyle w:val="Hyperlink"/>
            <w:rFonts w:ascii="Times New Roman" w:hAnsi="Times New Roman" w:cs="Times New Roman"/>
          </w:rPr>
          <w:t>https://www.nursingtimes.net</w:t>
        </w:r>
      </w:hyperlink>
      <w:r w:rsidR="3A95DEAE" w:rsidRPr="000D4BEC">
        <w:rPr>
          <w:rFonts w:ascii="Times New Roman" w:hAnsi="Times New Roman" w:cs="Times New Roman"/>
          <w:kern w:val="0"/>
          <w14:ligatures w14:val="none"/>
        </w:rPr>
        <w:t xml:space="preserve"> </w:t>
      </w:r>
      <w:r w:rsidR="0BF477B1" w:rsidRPr="000D4BEC">
        <w:rPr>
          <w:rFonts w:ascii="Times New Roman" w:hAnsi="Times New Roman" w:cs="Times New Roman"/>
          <w:kern w:val="0"/>
          <w14:ligatures w14:val="none"/>
        </w:rPr>
        <w:t>[</w:t>
      </w:r>
      <w:r w:rsidRPr="000D4BEC">
        <w:rPr>
          <w:rFonts w:ascii="Times New Roman" w:hAnsi="Times New Roman" w:cs="Times New Roman"/>
          <w:kern w:val="0"/>
          <w14:ligatures w14:val="none"/>
        </w:rPr>
        <w:t xml:space="preserve">Accessed: </w:t>
      </w:r>
      <w:r w:rsidR="41962B2A" w:rsidRPr="000D4BEC">
        <w:rPr>
          <w:rFonts w:ascii="Times New Roman" w:hAnsi="Times New Roman" w:cs="Times New Roman"/>
          <w:kern w:val="0"/>
          <w14:ligatures w14:val="none"/>
        </w:rPr>
        <w:t xml:space="preserve"> </w:t>
      </w:r>
      <w:r w:rsidRPr="000D4BEC">
        <w:rPr>
          <w:rFonts w:ascii="Times New Roman" w:hAnsi="Times New Roman" w:cs="Times New Roman"/>
          <w:kern w:val="0"/>
          <w14:ligatures w14:val="none"/>
        </w:rPr>
        <w:t>22 February 2026</w:t>
      </w:r>
      <w:r w:rsidR="3604F841" w:rsidRPr="000D4BEC">
        <w:rPr>
          <w:rFonts w:ascii="Times New Roman" w:hAnsi="Times New Roman" w:cs="Times New Roman"/>
          <w:kern w:val="0"/>
          <w14:ligatures w14:val="none"/>
        </w:rPr>
        <w:t>]</w:t>
      </w:r>
      <w:r w:rsidR="41962B2A" w:rsidRPr="000D4BEC">
        <w:rPr>
          <w:rFonts w:ascii="Times New Roman" w:hAnsi="Times New Roman" w:cs="Times New Roman"/>
          <w:kern w:val="0"/>
          <w14:ligatures w14:val="none"/>
        </w:rPr>
        <w:t>.</w:t>
      </w:r>
    </w:p>
    <w:p w14:paraId="2F13D233" w14:textId="77777777" w:rsidR="00B9373D" w:rsidRDefault="00B9373D" w:rsidP="000D4BEC">
      <w:pPr>
        <w:spacing w:before="100" w:beforeAutospacing="1" w:after="100" w:afterAutospacing="1" w:line="240" w:lineRule="auto"/>
        <w:rPr>
          <w:rFonts w:ascii="Times New Roman" w:hAnsi="Times New Roman" w:cs="Times New Roman"/>
          <w:kern w:val="0"/>
          <w14:ligatures w14:val="none"/>
        </w:rPr>
      </w:pPr>
    </w:p>
    <w:p w14:paraId="5CC6AE19" w14:textId="26FEDD88" w:rsidR="00FF7778" w:rsidRPr="00FF7778" w:rsidRDefault="00FF7778" w:rsidP="00FF7778">
      <w:pPr>
        <w:spacing w:before="100" w:beforeAutospacing="1" w:after="100" w:afterAutospacing="1" w:line="240" w:lineRule="auto"/>
        <w:rPr>
          <w:rFonts w:ascii="Times New Roman" w:hAnsi="Times New Roman" w:cs="Times New Roman"/>
          <w:kern w:val="0"/>
          <w14:ligatures w14:val="none"/>
        </w:rPr>
      </w:pPr>
      <w:r w:rsidRPr="00FF7778">
        <w:rPr>
          <w:rFonts w:ascii="Times New Roman" w:hAnsi="Times New Roman" w:cs="Times New Roman"/>
          <w:kern w:val="0"/>
          <w14:ligatures w14:val="none"/>
        </w:rPr>
        <w:t xml:space="preserve">Mathew, T.K., Tadi, P. and Zubair, M. (2023) ‘Blood glucose monitoring’, StatPearls. National Library of Medicine. Available at: </w:t>
      </w:r>
      <w:hyperlink r:id="rId9">
        <w:r w:rsidRPr="49CF7C1D">
          <w:rPr>
            <w:rStyle w:val="Hyperlink"/>
            <w:rFonts w:ascii="Times New Roman" w:hAnsi="Times New Roman" w:cs="Times New Roman"/>
          </w:rPr>
          <w:t>https://www.ncbi.nlm.nih.gov/books/NBK555976/</w:t>
        </w:r>
      </w:hyperlink>
      <w:r w:rsidRPr="00FF7778">
        <w:rPr>
          <w:rFonts w:ascii="Times New Roman" w:hAnsi="Times New Roman" w:cs="Times New Roman"/>
          <w:kern w:val="0"/>
          <w14:ligatures w14:val="none"/>
        </w:rPr>
        <w:t xml:space="preserve"> </w:t>
      </w:r>
      <w:r w:rsidR="378745DB" w:rsidRPr="00FF7778">
        <w:rPr>
          <w:rFonts w:ascii="Times New Roman" w:hAnsi="Times New Roman" w:cs="Times New Roman"/>
          <w:kern w:val="0"/>
          <w14:ligatures w14:val="none"/>
        </w:rPr>
        <w:t xml:space="preserve"> </w:t>
      </w:r>
      <w:r w:rsidR="7F1FE1D4" w:rsidRPr="00FF7778">
        <w:rPr>
          <w:rFonts w:ascii="Times New Roman" w:hAnsi="Times New Roman" w:cs="Times New Roman"/>
          <w:kern w:val="0"/>
          <w14:ligatures w14:val="none"/>
        </w:rPr>
        <w:t>[</w:t>
      </w:r>
      <w:r w:rsidRPr="00FF7778">
        <w:rPr>
          <w:rFonts w:ascii="Times New Roman" w:hAnsi="Times New Roman" w:cs="Times New Roman"/>
          <w:kern w:val="0"/>
          <w14:ligatures w14:val="none"/>
        </w:rPr>
        <w:t xml:space="preserve">Accessed: </w:t>
      </w:r>
      <w:r w:rsidR="2E71CA87" w:rsidRPr="00FF7778">
        <w:rPr>
          <w:rFonts w:ascii="Times New Roman" w:hAnsi="Times New Roman" w:cs="Times New Roman"/>
          <w:kern w:val="0"/>
          <w14:ligatures w14:val="none"/>
        </w:rPr>
        <w:t>10</w:t>
      </w:r>
      <w:r w:rsidRPr="00FF7778">
        <w:rPr>
          <w:rFonts w:ascii="Times New Roman" w:hAnsi="Times New Roman" w:cs="Times New Roman"/>
          <w:kern w:val="0"/>
          <w14:ligatures w14:val="none"/>
        </w:rPr>
        <w:t xml:space="preserve"> February 2026</w:t>
      </w:r>
      <w:r w:rsidR="6F1BE06C" w:rsidRPr="00FF7778">
        <w:rPr>
          <w:rFonts w:ascii="Times New Roman" w:hAnsi="Times New Roman" w:cs="Times New Roman"/>
          <w:kern w:val="0"/>
          <w14:ligatures w14:val="none"/>
        </w:rPr>
        <w:t>]</w:t>
      </w:r>
      <w:r w:rsidRPr="00FF7778">
        <w:rPr>
          <w:rFonts w:ascii="Times New Roman" w:hAnsi="Times New Roman" w:cs="Times New Roman"/>
          <w:kern w:val="0"/>
          <w14:ligatures w14:val="none"/>
        </w:rPr>
        <w:t>.</w:t>
      </w:r>
    </w:p>
    <w:p w14:paraId="0855B4C4" w14:textId="709D9189" w:rsidR="13F0A8C3" w:rsidRDefault="13F0A8C3" w:rsidP="13F0A8C3">
      <w:pPr>
        <w:spacing w:beforeAutospacing="1" w:afterAutospacing="1" w:line="240" w:lineRule="auto"/>
        <w:rPr>
          <w:rFonts w:ascii="Times New Roman" w:hAnsi="Times New Roman" w:cs="Times New Roman"/>
        </w:rPr>
      </w:pPr>
    </w:p>
    <w:p w14:paraId="4DF9EAFB" w14:textId="7343D5B1" w:rsidR="00904134" w:rsidRPr="00904134" w:rsidRDefault="00904134" w:rsidP="00904134">
      <w:pPr>
        <w:spacing w:before="100" w:beforeAutospacing="1" w:after="100" w:afterAutospacing="1" w:line="240" w:lineRule="auto"/>
        <w:rPr>
          <w:rFonts w:ascii="Times New Roman" w:hAnsi="Times New Roman" w:cs="Times New Roman"/>
          <w:kern w:val="0"/>
          <w14:ligatures w14:val="none"/>
        </w:rPr>
      </w:pPr>
      <w:r w:rsidRPr="00904134">
        <w:rPr>
          <w:rFonts w:ascii="Times New Roman" w:hAnsi="Times New Roman" w:cs="Times New Roman"/>
          <w:kern w:val="0"/>
          <w14:ligatures w14:val="none"/>
        </w:rPr>
        <w:t xml:space="preserve">Melkonian, E.A. and Schury, M.P. (2023) ‘Biochemistry, anaerobic glycolysis’, StatPearls. National Library of Medicine. Available at: </w:t>
      </w:r>
      <w:hyperlink r:id="rId10">
        <w:r w:rsidRPr="3D54D803">
          <w:rPr>
            <w:rStyle w:val="Hyperlink"/>
            <w:rFonts w:ascii="Times New Roman" w:hAnsi="Times New Roman" w:cs="Times New Roman"/>
          </w:rPr>
          <w:t>https://www.ncbi.nlm.nih.gov/books/NBK546695/</w:t>
        </w:r>
      </w:hyperlink>
      <w:r w:rsidR="42359369" w:rsidRPr="3D54D803">
        <w:rPr>
          <w:rFonts w:ascii="Times New Roman" w:hAnsi="Times New Roman" w:cs="Times New Roman"/>
        </w:rPr>
        <w:t xml:space="preserve"> </w:t>
      </w:r>
      <w:r w:rsidR="4C8305EF" w:rsidRPr="00904134">
        <w:rPr>
          <w:rFonts w:ascii="Times New Roman" w:hAnsi="Times New Roman" w:cs="Times New Roman"/>
          <w:kern w:val="0"/>
          <w14:ligatures w14:val="none"/>
        </w:rPr>
        <w:t>[</w:t>
      </w:r>
      <w:r w:rsidRPr="00904134">
        <w:rPr>
          <w:rFonts w:ascii="Times New Roman" w:hAnsi="Times New Roman" w:cs="Times New Roman"/>
          <w:kern w:val="0"/>
          <w14:ligatures w14:val="none"/>
        </w:rPr>
        <w:t>Accessed: 22 February 2026</w:t>
      </w:r>
      <w:r w:rsidR="27F01CD5" w:rsidRPr="00904134">
        <w:rPr>
          <w:rFonts w:ascii="Times New Roman" w:hAnsi="Times New Roman" w:cs="Times New Roman"/>
          <w:kern w:val="0"/>
          <w14:ligatures w14:val="none"/>
        </w:rPr>
        <w:t>]</w:t>
      </w:r>
      <w:r w:rsidRPr="00904134">
        <w:rPr>
          <w:rFonts w:ascii="Times New Roman" w:hAnsi="Times New Roman" w:cs="Times New Roman"/>
          <w:kern w:val="0"/>
          <w14:ligatures w14:val="none"/>
        </w:rPr>
        <w:t>.</w:t>
      </w:r>
    </w:p>
    <w:p w14:paraId="1835A476" w14:textId="77777777" w:rsidR="00460A17" w:rsidRDefault="00460A17" w:rsidP="000D4BEC">
      <w:pPr>
        <w:spacing w:before="100" w:beforeAutospacing="1" w:after="100" w:afterAutospacing="1" w:line="240" w:lineRule="auto"/>
        <w:rPr>
          <w:rFonts w:ascii="-webkit-standard" w:eastAsia="Times New Roman" w:hAnsi="-webkit-standard"/>
          <w:color w:val="000000"/>
          <w:sz w:val="27"/>
          <w:szCs w:val="27"/>
        </w:rPr>
      </w:pPr>
    </w:p>
    <w:p w14:paraId="1C34DE58" w14:textId="68BDB5BF" w:rsidR="000D4BEC" w:rsidRPr="000D4BEC" w:rsidRDefault="000D4BEC" w:rsidP="000D4BEC">
      <w:pPr>
        <w:spacing w:before="100" w:beforeAutospacing="1" w:after="100" w:afterAutospacing="1" w:line="240" w:lineRule="auto"/>
        <w:rPr>
          <w:rFonts w:ascii="Times New Roman" w:hAnsi="Times New Roman" w:cs="Times New Roman"/>
          <w:kern w:val="0"/>
          <w14:ligatures w14:val="none"/>
        </w:rPr>
      </w:pPr>
      <w:r w:rsidRPr="000D4BEC">
        <w:rPr>
          <w:rFonts w:ascii="Times New Roman" w:hAnsi="Times New Roman" w:cs="Times New Roman"/>
          <w:kern w:val="0"/>
          <w14:ligatures w14:val="none"/>
        </w:rPr>
        <w:t xml:space="preserve">Office for Health Improvement and Disparities (OHID) (2023) National diabetes audit and prevalence data. Available at: </w:t>
      </w:r>
      <w:hyperlink r:id="rId11">
        <w:r w:rsidRPr="481F8C5B">
          <w:rPr>
            <w:rStyle w:val="Hyperlink"/>
            <w:rFonts w:ascii="Times New Roman" w:hAnsi="Times New Roman" w:cs="Times New Roman"/>
          </w:rPr>
          <w:t>https://www.gov.uk/government/collections/national-diabetes-audit</w:t>
        </w:r>
      </w:hyperlink>
      <w:r w:rsidRPr="000D4BEC">
        <w:rPr>
          <w:rFonts w:ascii="Times New Roman" w:hAnsi="Times New Roman" w:cs="Times New Roman"/>
          <w:kern w:val="0"/>
          <w14:ligatures w14:val="none"/>
        </w:rPr>
        <w:t xml:space="preserve"> </w:t>
      </w:r>
      <w:r w:rsidR="554BC1C0" w:rsidRPr="000D4BEC">
        <w:rPr>
          <w:rFonts w:ascii="Times New Roman" w:hAnsi="Times New Roman" w:cs="Times New Roman"/>
          <w:kern w:val="0"/>
          <w14:ligatures w14:val="none"/>
        </w:rPr>
        <w:t xml:space="preserve"> </w:t>
      </w:r>
      <w:r w:rsidR="0D4385AA" w:rsidRPr="000D4BEC">
        <w:rPr>
          <w:rFonts w:ascii="Times New Roman" w:hAnsi="Times New Roman" w:cs="Times New Roman"/>
          <w:kern w:val="0"/>
          <w14:ligatures w14:val="none"/>
        </w:rPr>
        <w:t>[</w:t>
      </w:r>
      <w:r w:rsidRPr="000D4BEC">
        <w:rPr>
          <w:rFonts w:ascii="Times New Roman" w:hAnsi="Times New Roman" w:cs="Times New Roman"/>
          <w:kern w:val="0"/>
          <w14:ligatures w14:val="none"/>
        </w:rPr>
        <w:t xml:space="preserve">Accessed: </w:t>
      </w:r>
      <w:r w:rsidR="5C666685" w:rsidRPr="000D4BEC">
        <w:rPr>
          <w:rFonts w:ascii="Times New Roman" w:hAnsi="Times New Roman" w:cs="Times New Roman"/>
          <w:kern w:val="0"/>
          <w14:ligatures w14:val="none"/>
        </w:rPr>
        <w:t>19</w:t>
      </w:r>
      <w:r w:rsidRPr="000D4BEC">
        <w:rPr>
          <w:rFonts w:ascii="Times New Roman" w:hAnsi="Times New Roman" w:cs="Times New Roman"/>
          <w:kern w:val="0"/>
          <w14:ligatures w14:val="none"/>
        </w:rPr>
        <w:t xml:space="preserve"> February 2026</w:t>
      </w:r>
      <w:r w:rsidR="441A9C47" w:rsidRPr="000D4BEC">
        <w:rPr>
          <w:rFonts w:ascii="Times New Roman" w:hAnsi="Times New Roman" w:cs="Times New Roman"/>
          <w:kern w:val="0"/>
          <w14:ligatures w14:val="none"/>
        </w:rPr>
        <w:t>]</w:t>
      </w:r>
      <w:r w:rsidRPr="000D4BEC">
        <w:rPr>
          <w:rFonts w:ascii="Times New Roman" w:hAnsi="Times New Roman" w:cs="Times New Roman"/>
          <w:kern w:val="0"/>
          <w14:ligatures w14:val="none"/>
        </w:rPr>
        <w:t>.</w:t>
      </w:r>
    </w:p>
    <w:p w14:paraId="334293B6" w14:textId="77777777" w:rsidR="000D4BEC" w:rsidRPr="000D4BEC" w:rsidRDefault="000D4BEC" w:rsidP="000D4BEC">
      <w:pPr>
        <w:spacing w:before="100" w:beforeAutospacing="1" w:after="100" w:afterAutospacing="1" w:line="240" w:lineRule="auto"/>
        <w:rPr>
          <w:rFonts w:ascii="Times New Roman" w:hAnsi="Times New Roman" w:cs="Times New Roman"/>
          <w:kern w:val="0"/>
          <w14:ligatures w14:val="none"/>
        </w:rPr>
      </w:pPr>
    </w:p>
    <w:p w14:paraId="1C297A5F" w14:textId="77777777" w:rsidR="000D4BEC" w:rsidRPr="000D4BEC" w:rsidRDefault="000D4BEC" w:rsidP="1C345002">
      <w:pPr>
        <w:spacing w:before="100" w:beforeAutospacing="1" w:after="100" w:afterAutospacing="1" w:line="240" w:lineRule="auto"/>
        <w:rPr>
          <w:rFonts w:ascii="Times New Roman" w:hAnsi="Times New Roman" w:cs="Times New Roman"/>
          <w:kern w:val="0"/>
          <w14:ligatures w14:val="none"/>
        </w:rPr>
      </w:pPr>
      <w:r w:rsidRPr="000D4BEC">
        <w:rPr>
          <w:rFonts w:ascii="Times New Roman" w:hAnsi="Times New Roman" w:cs="Times New Roman"/>
          <w:kern w:val="0"/>
          <w14:ligatures w14:val="none"/>
        </w:rPr>
        <w:t>Tucker, L. and Foulston, J. (2015) An introductory guide to anatomy &amp; physiology. 5th edn. EMS Publishing.</w:t>
      </w:r>
    </w:p>
    <w:p w14:paraId="36A7E69B" w14:textId="6CDFD265" w:rsidR="000D4BEC" w:rsidRPr="000D4BEC" w:rsidRDefault="000D4BEC" w:rsidP="000D4BEC">
      <w:pPr>
        <w:spacing w:before="100" w:beforeAutospacing="1" w:after="100" w:afterAutospacing="1" w:line="240" w:lineRule="auto"/>
        <w:rPr>
          <w:rFonts w:ascii="Times New Roman" w:hAnsi="Times New Roman" w:cs="Times New Roman"/>
          <w:kern w:val="0"/>
          <w14:ligatures w14:val="none"/>
        </w:rPr>
      </w:pPr>
      <w:r w:rsidRPr="000D4BEC">
        <w:rPr>
          <w:rFonts w:ascii="Times New Roman" w:hAnsi="Times New Roman" w:cs="Times New Roman"/>
          <w:kern w:val="0"/>
          <w14:ligatures w14:val="none"/>
        </w:rPr>
        <w:t xml:space="preserve">World Health Organization (2023) Diabetes. Available at: </w:t>
      </w:r>
      <w:hyperlink r:id="rId12">
        <w:r w:rsidRPr="0D03060D">
          <w:rPr>
            <w:rStyle w:val="Hyperlink"/>
            <w:rFonts w:ascii="Times New Roman" w:hAnsi="Times New Roman" w:cs="Times New Roman"/>
          </w:rPr>
          <w:t>https://www.who.int/news-room/fact-sheets/detail/diabetes</w:t>
        </w:r>
      </w:hyperlink>
      <w:r w:rsidRPr="000D4BEC">
        <w:rPr>
          <w:rFonts w:ascii="Times New Roman" w:hAnsi="Times New Roman" w:cs="Times New Roman"/>
          <w:kern w:val="0"/>
          <w14:ligatures w14:val="none"/>
        </w:rPr>
        <w:t xml:space="preserve"> </w:t>
      </w:r>
      <w:r w:rsidR="2507EBB5" w:rsidRPr="000D4BEC">
        <w:rPr>
          <w:rFonts w:ascii="Times New Roman" w:hAnsi="Times New Roman" w:cs="Times New Roman"/>
          <w:kern w:val="0"/>
          <w14:ligatures w14:val="none"/>
        </w:rPr>
        <w:t xml:space="preserve"> </w:t>
      </w:r>
      <w:r w:rsidR="44622D24" w:rsidRPr="000D4BEC">
        <w:rPr>
          <w:rFonts w:ascii="Times New Roman" w:hAnsi="Times New Roman" w:cs="Times New Roman"/>
          <w:kern w:val="0"/>
          <w14:ligatures w14:val="none"/>
        </w:rPr>
        <w:t>[</w:t>
      </w:r>
      <w:r w:rsidRPr="000D4BEC">
        <w:rPr>
          <w:rFonts w:ascii="Times New Roman" w:hAnsi="Times New Roman" w:cs="Times New Roman"/>
          <w:kern w:val="0"/>
          <w14:ligatures w14:val="none"/>
        </w:rPr>
        <w:t>Accessed: 22 February 2026</w:t>
      </w:r>
      <w:r w:rsidR="506618E4" w:rsidRPr="000D4BEC">
        <w:rPr>
          <w:rFonts w:ascii="Times New Roman" w:hAnsi="Times New Roman" w:cs="Times New Roman"/>
          <w:kern w:val="0"/>
          <w14:ligatures w14:val="none"/>
        </w:rPr>
        <w:t>]</w:t>
      </w:r>
      <w:r w:rsidRPr="000D4BEC">
        <w:rPr>
          <w:rFonts w:ascii="Times New Roman" w:hAnsi="Times New Roman" w:cs="Times New Roman"/>
          <w:kern w:val="0"/>
          <w14:ligatures w14:val="none"/>
        </w:rPr>
        <w:t>.</w:t>
      </w:r>
    </w:p>
    <w:p w14:paraId="24E2F3D6" w14:textId="77777777" w:rsidR="00CB4234" w:rsidRDefault="00CB4234" w:rsidP="6197545D">
      <w:pPr>
        <w:spacing w:line="360" w:lineRule="auto"/>
        <w:rPr>
          <w:rFonts w:ascii="Arial" w:eastAsia="Arial" w:hAnsi="Arial" w:cs="Arial"/>
          <w:sz w:val="22"/>
          <w:szCs w:val="22"/>
        </w:rPr>
      </w:pPr>
    </w:p>
    <w:sectPr w:rsidR="00CB42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notTrueType/>
    <w:pitch w:val="default"/>
  </w:font>
  <w:font w:name="UICTFontTextStyleEmphasizedBody">
    <w:altName w:val="Cambria"/>
    <w:charset w:val="00"/>
    <w:family w:val="roman"/>
    <w:notTrueType/>
    <w:pitch w:val="default"/>
  </w:font>
  <w:font w:name="UICTFontTextStyleBody">
    <w:altName w:val="Cambria"/>
    <w:charset w:val="00"/>
    <w:family w:val="roman"/>
    <w:notTrueType/>
    <w:pitch w:val="default"/>
  </w:font>
  <w:font w:name="-webkit-standard">
    <w:altName w:val="Cambria"/>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B62"/>
    <w:rsid w:val="00005778"/>
    <w:rsid w:val="0001515E"/>
    <w:rsid w:val="00015A94"/>
    <w:rsid w:val="00016266"/>
    <w:rsid w:val="00026E12"/>
    <w:rsid w:val="00046CF0"/>
    <w:rsid w:val="000470CF"/>
    <w:rsid w:val="00052E2C"/>
    <w:rsid w:val="0005445B"/>
    <w:rsid w:val="0005724E"/>
    <w:rsid w:val="00063C8F"/>
    <w:rsid w:val="00064B89"/>
    <w:rsid w:val="00064D35"/>
    <w:rsid w:val="00066D92"/>
    <w:rsid w:val="00070656"/>
    <w:rsid w:val="00071649"/>
    <w:rsid w:val="00077A9E"/>
    <w:rsid w:val="00091A9D"/>
    <w:rsid w:val="00094C8E"/>
    <w:rsid w:val="0009667E"/>
    <w:rsid w:val="000A1F7C"/>
    <w:rsid w:val="000A29F0"/>
    <w:rsid w:val="000A3672"/>
    <w:rsid w:val="000B3233"/>
    <w:rsid w:val="000B7648"/>
    <w:rsid w:val="000C6192"/>
    <w:rsid w:val="000D0136"/>
    <w:rsid w:val="000D0A89"/>
    <w:rsid w:val="000D4193"/>
    <w:rsid w:val="000D4BEC"/>
    <w:rsid w:val="000D5468"/>
    <w:rsid w:val="000D6720"/>
    <w:rsid w:val="000E7943"/>
    <w:rsid w:val="000F327F"/>
    <w:rsid w:val="000F5793"/>
    <w:rsid w:val="00101C76"/>
    <w:rsid w:val="00106AAC"/>
    <w:rsid w:val="0010743A"/>
    <w:rsid w:val="00111979"/>
    <w:rsid w:val="00113A30"/>
    <w:rsid w:val="001232F5"/>
    <w:rsid w:val="0013063C"/>
    <w:rsid w:val="001316D7"/>
    <w:rsid w:val="00141CC8"/>
    <w:rsid w:val="00152B23"/>
    <w:rsid w:val="0015691D"/>
    <w:rsid w:val="0016472A"/>
    <w:rsid w:val="001676C7"/>
    <w:rsid w:val="00173E6C"/>
    <w:rsid w:val="001752F0"/>
    <w:rsid w:val="0017583E"/>
    <w:rsid w:val="00181338"/>
    <w:rsid w:val="001955CD"/>
    <w:rsid w:val="001A0314"/>
    <w:rsid w:val="001A39FE"/>
    <w:rsid w:val="001B0168"/>
    <w:rsid w:val="001C1B56"/>
    <w:rsid w:val="001C77A7"/>
    <w:rsid w:val="001D4612"/>
    <w:rsid w:val="001E0B41"/>
    <w:rsid w:val="001E1785"/>
    <w:rsid w:val="001E5807"/>
    <w:rsid w:val="001E6605"/>
    <w:rsid w:val="0020658F"/>
    <w:rsid w:val="002108B7"/>
    <w:rsid w:val="00224EB1"/>
    <w:rsid w:val="002278F0"/>
    <w:rsid w:val="00227F92"/>
    <w:rsid w:val="002377BB"/>
    <w:rsid w:val="00242DC4"/>
    <w:rsid w:val="0024681E"/>
    <w:rsid w:val="0025058C"/>
    <w:rsid w:val="00251D9E"/>
    <w:rsid w:val="002544AB"/>
    <w:rsid w:val="002643B9"/>
    <w:rsid w:val="002669F2"/>
    <w:rsid w:val="00267A51"/>
    <w:rsid w:val="00275844"/>
    <w:rsid w:val="002763F5"/>
    <w:rsid w:val="00276A10"/>
    <w:rsid w:val="002859AA"/>
    <w:rsid w:val="00286E57"/>
    <w:rsid w:val="0029234D"/>
    <w:rsid w:val="002B01AB"/>
    <w:rsid w:val="002C1BAD"/>
    <w:rsid w:val="002C3399"/>
    <w:rsid w:val="002C3795"/>
    <w:rsid w:val="002C6161"/>
    <w:rsid w:val="002D0886"/>
    <w:rsid w:val="002D2526"/>
    <w:rsid w:val="002D3CC1"/>
    <w:rsid w:val="002E2C8C"/>
    <w:rsid w:val="002E2D18"/>
    <w:rsid w:val="002E3D6D"/>
    <w:rsid w:val="002E4971"/>
    <w:rsid w:val="002E7D92"/>
    <w:rsid w:val="002F1BC1"/>
    <w:rsid w:val="002F3650"/>
    <w:rsid w:val="002F4699"/>
    <w:rsid w:val="002F7D6A"/>
    <w:rsid w:val="003001A9"/>
    <w:rsid w:val="00300C8B"/>
    <w:rsid w:val="00303388"/>
    <w:rsid w:val="0030516A"/>
    <w:rsid w:val="0031741A"/>
    <w:rsid w:val="003177B0"/>
    <w:rsid w:val="00324792"/>
    <w:rsid w:val="00324D2F"/>
    <w:rsid w:val="003374D9"/>
    <w:rsid w:val="00342257"/>
    <w:rsid w:val="00342D1F"/>
    <w:rsid w:val="0034450A"/>
    <w:rsid w:val="00345CBF"/>
    <w:rsid w:val="0034601E"/>
    <w:rsid w:val="003463C4"/>
    <w:rsid w:val="003466B2"/>
    <w:rsid w:val="0034712F"/>
    <w:rsid w:val="00352993"/>
    <w:rsid w:val="003623CA"/>
    <w:rsid w:val="00365ABD"/>
    <w:rsid w:val="00366CD6"/>
    <w:rsid w:val="0037097E"/>
    <w:rsid w:val="0038600C"/>
    <w:rsid w:val="0039047D"/>
    <w:rsid w:val="00391128"/>
    <w:rsid w:val="003B738B"/>
    <w:rsid w:val="003C4F3B"/>
    <w:rsid w:val="003D26DA"/>
    <w:rsid w:val="003E1AE2"/>
    <w:rsid w:val="003F1709"/>
    <w:rsid w:val="003F3383"/>
    <w:rsid w:val="00406D02"/>
    <w:rsid w:val="00406FBD"/>
    <w:rsid w:val="00407468"/>
    <w:rsid w:val="00414124"/>
    <w:rsid w:val="00417BF5"/>
    <w:rsid w:val="0042184B"/>
    <w:rsid w:val="0042203C"/>
    <w:rsid w:val="00431C86"/>
    <w:rsid w:val="00434D71"/>
    <w:rsid w:val="00440A81"/>
    <w:rsid w:val="00440E46"/>
    <w:rsid w:val="00442A53"/>
    <w:rsid w:val="00442ECD"/>
    <w:rsid w:val="00452885"/>
    <w:rsid w:val="00454DEE"/>
    <w:rsid w:val="00456794"/>
    <w:rsid w:val="00460A17"/>
    <w:rsid w:val="00466CFB"/>
    <w:rsid w:val="00472BBD"/>
    <w:rsid w:val="00472E56"/>
    <w:rsid w:val="00472FE0"/>
    <w:rsid w:val="00483B73"/>
    <w:rsid w:val="00484848"/>
    <w:rsid w:val="00487721"/>
    <w:rsid w:val="00487B9F"/>
    <w:rsid w:val="0049306A"/>
    <w:rsid w:val="004A315B"/>
    <w:rsid w:val="004A4A22"/>
    <w:rsid w:val="004A4B20"/>
    <w:rsid w:val="004A5A45"/>
    <w:rsid w:val="004B003D"/>
    <w:rsid w:val="004B3B07"/>
    <w:rsid w:val="004C3233"/>
    <w:rsid w:val="004D5E97"/>
    <w:rsid w:val="004E1CA2"/>
    <w:rsid w:val="004E6EB1"/>
    <w:rsid w:val="004F646C"/>
    <w:rsid w:val="005146FE"/>
    <w:rsid w:val="00517D0B"/>
    <w:rsid w:val="005219FA"/>
    <w:rsid w:val="00522C8B"/>
    <w:rsid w:val="005327C0"/>
    <w:rsid w:val="00537838"/>
    <w:rsid w:val="0054163B"/>
    <w:rsid w:val="00550401"/>
    <w:rsid w:val="0055477F"/>
    <w:rsid w:val="0055653B"/>
    <w:rsid w:val="0056766A"/>
    <w:rsid w:val="00577088"/>
    <w:rsid w:val="00577F0C"/>
    <w:rsid w:val="0058154E"/>
    <w:rsid w:val="00581A9F"/>
    <w:rsid w:val="005846BC"/>
    <w:rsid w:val="00595150"/>
    <w:rsid w:val="005953C1"/>
    <w:rsid w:val="00595742"/>
    <w:rsid w:val="00597473"/>
    <w:rsid w:val="00597C35"/>
    <w:rsid w:val="00597FED"/>
    <w:rsid w:val="005A0408"/>
    <w:rsid w:val="005A0E9E"/>
    <w:rsid w:val="005A55BB"/>
    <w:rsid w:val="005A6350"/>
    <w:rsid w:val="005B09CD"/>
    <w:rsid w:val="005B0ECA"/>
    <w:rsid w:val="005B1426"/>
    <w:rsid w:val="005B201F"/>
    <w:rsid w:val="005B2083"/>
    <w:rsid w:val="005B4447"/>
    <w:rsid w:val="005B6038"/>
    <w:rsid w:val="005B7C0F"/>
    <w:rsid w:val="005C12D2"/>
    <w:rsid w:val="005D19E0"/>
    <w:rsid w:val="005D3704"/>
    <w:rsid w:val="005D72EC"/>
    <w:rsid w:val="005E0E07"/>
    <w:rsid w:val="005E3CBD"/>
    <w:rsid w:val="005F068E"/>
    <w:rsid w:val="005F6096"/>
    <w:rsid w:val="006148AC"/>
    <w:rsid w:val="00622C24"/>
    <w:rsid w:val="006253E6"/>
    <w:rsid w:val="00627C25"/>
    <w:rsid w:val="006375DF"/>
    <w:rsid w:val="00637E07"/>
    <w:rsid w:val="006425D0"/>
    <w:rsid w:val="00646101"/>
    <w:rsid w:val="006505CC"/>
    <w:rsid w:val="00652E99"/>
    <w:rsid w:val="00660657"/>
    <w:rsid w:val="006655A3"/>
    <w:rsid w:val="00667430"/>
    <w:rsid w:val="006678AE"/>
    <w:rsid w:val="006719CB"/>
    <w:rsid w:val="00675F3F"/>
    <w:rsid w:val="00682203"/>
    <w:rsid w:val="006A0A18"/>
    <w:rsid w:val="006A475F"/>
    <w:rsid w:val="006A53ED"/>
    <w:rsid w:val="006A7F2F"/>
    <w:rsid w:val="006B391E"/>
    <w:rsid w:val="006B4C37"/>
    <w:rsid w:val="006C31C5"/>
    <w:rsid w:val="006D7C49"/>
    <w:rsid w:val="006D7D1F"/>
    <w:rsid w:val="006E050D"/>
    <w:rsid w:val="006F5858"/>
    <w:rsid w:val="007051F0"/>
    <w:rsid w:val="00705262"/>
    <w:rsid w:val="00713845"/>
    <w:rsid w:val="00717130"/>
    <w:rsid w:val="007264F6"/>
    <w:rsid w:val="00735C23"/>
    <w:rsid w:val="007450FE"/>
    <w:rsid w:val="00770A74"/>
    <w:rsid w:val="0077209A"/>
    <w:rsid w:val="00773AE9"/>
    <w:rsid w:val="0078357B"/>
    <w:rsid w:val="00784D1F"/>
    <w:rsid w:val="0079089D"/>
    <w:rsid w:val="00793274"/>
    <w:rsid w:val="007969F7"/>
    <w:rsid w:val="0079786B"/>
    <w:rsid w:val="007A1C3B"/>
    <w:rsid w:val="007B6D34"/>
    <w:rsid w:val="007C3841"/>
    <w:rsid w:val="007C58C9"/>
    <w:rsid w:val="007C5C09"/>
    <w:rsid w:val="007C6228"/>
    <w:rsid w:val="007C6E83"/>
    <w:rsid w:val="007D4027"/>
    <w:rsid w:val="007D5791"/>
    <w:rsid w:val="007D7587"/>
    <w:rsid w:val="007F235B"/>
    <w:rsid w:val="007F246A"/>
    <w:rsid w:val="007F4975"/>
    <w:rsid w:val="0080048C"/>
    <w:rsid w:val="00800F24"/>
    <w:rsid w:val="00804026"/>
    <w:rsid w:val="00810E18"/>
    <w:rsid w:val="00817747"/>
    <w:rsid w:val="00821943"/>
    <w:rsid w:val="0082701A"/>
    <w:rsid w:val="00827328"/>
    <w:rsid w:val="008358C2"/>
    <w:rsid w:val="00836771"/>
    <w:rsid w:val="00837AE8"/>
    <w:rsid w:val="00842187"/>
    <w:rsid w:val="00842F56"/>
    <w:rsid w:val="008605EB"/>
    <w:rsid w:val="008634C4"/>
    <w:rsid w:val="00867B30"/>
    <w:rsid w:val="00872E46"/>
    <w:rsid w:val="00872EC7"/>
    <w:rsid w:val="00877E67"/>
    <w:rsid w:val="00880373"/>
    <w:rsid w:val="0088636E"/>
    <w:rsid w:val="0089112F"/>
    <w:rsid w:val="008949BD"/>
    <w:rsid w:val="00895DE5"/>
    <w:rsid w:val="008A08BD"/>
    <w:rsid w:val="008A68E2"/>
    <w:rsid w:val="008A6B62"/>
    <w:rsid w:val="008B1187"/>
    <w:rsid w:val="008B167D"/>
    <w:rsid w:val="008B1C0B"/>
    <w:rsid w:val="008B536A"/>
    <w:rsid w:val="008B6B6B"/>
    <w:rsid w:val="008D6DB5"/>
    <w:rsid w:val="008D7B7A"/>
    <w:rsid w:val="008D7F76"/>
    <w:rsid w:val="008F1EC9"/>
    <w:rsid w:val="008F3B83"/>
    <w:rsid w:val="00900860"/>
    <w:rsid w:val="0090320B"/>
    <w:rsid w:val="00904134"/>
    <w:rsid w:val="00921FCF"/>
    <w:rsid w:val="00934E43"/>
    <w:rsid w:val="00945608"/>
    <w:rsid w:val="009461C3"/>
    <w:rsid w:val="009504B3"/>
    <w:rsid w:val="009655CA"/>
    <w:rsid w:val="009657E0"/>
    <w:rsid w:val="0097189B"/>
    <w:rsid w:val="00973523"/>
    <w:rsid w:val="009738BF"/>
    <w:rsid w:val="00995680"/>
    <w:rsid w:val="00995E19"/>
    <w:rsid w:val="009A3656"/>
    <w:rsid w:val="009B1DCD"/>
    <w:rsid w:val="009B2ACE"/>
    <w:rsid w:val="009C1C01"/>
    <w:rsid w:val="009C3665"/>
    <w:rsid w:val="009D0D4C"/>
    <w:rsid w:val="009E662D"/>
    <w:rsid w:val="009E793D"/>
    <w:rsid w:val="009F55A9"/>
    <w:rsid w:val="009F7B2B"/>
    <w:rsid w:val="00A00C44"/>
    <w:rsid w:val="00A019C9"/>
    <w:rsid w:val="00A14F93"/>
    <w:rsid w:val="00A36EB8"/>
    <w:rsid w:val="00A379D7"/>
    <w:rsid w:val="00A41A7D"/>
    <w:rsid w:val="00A6077B"/>
    <w:rsid w:val="00A62186"/>
    <w:rsid w:val="00A64D90"/>
    <w:rsid w:val="00A70263"/>
    <w:rsid w:val="00A71A93"/>
    <w:rsid w:val="00A7407A"/>
    <w:rsid w:val="00A76826"/>
    <w:rsid w:val="00A84C1F"/>
    <w:rsid w:val="00A90AE6"/>
    <w:rsid w:val="00A9526C"/>
    <w:rsid w:val="00A9605E"/>
    <w:rsid w:val="00A97A36"/>
    <w:rsid w:val="00A97D37"/>
    <w:rsid w:val="00A97FB0"/>
    <w:rsid w:val="00AA22F7"/>
    <w:rsid w:val="00AA2603"/>
    <w:rsid w:val="00AA745C"/>
    <w:rsid w:val="00AB09AC"/>
    <w:rsid w:val="00AB3B2E"/>
    <w:rsid w:val="00AC2962"/>
    <w:rsid w:val="00AC379F"/>
    <w:rsid w:val="00AC3850"/>
    <w:rsid w:val="00AC65DC"/>
    <w:rsid w:val="00AC7CF2"/>
    <w:rsid w:val="00AD1C4F"/>
    <w:rsid w:val="00AD1C55"/>
    <w:rsid w:val="00AE4D7D"/>
    <w:rsid w:val="00AE5210"/>
    <w:rsid w:val="00AF26EA"/>
    <w:rsid w:val="00AF568F"/>
    <w:rsid w:val="00B05217"/>
    <w:rsid w:val="00B071F8"/>
    <w:rsid w:val="00B20766"/>
    <w:rsid w:val="00B20D5B"/>
    <w:rsid w:val="00B2176B"/>
    <w:rsid w:val="00B23DEC"/>
    <w:rsid w:val="00B30C00"/>
    <w:rsid w:val="00B328DA"/>
    <w:rsid w:val="00B35168"/>
    <w:rsid w:val="00B45881"/>
    <w:rsid w:val="00B61323"/>
    <w:rsid w:val="00B67F41"/>
    <w:rsid w:val="00B72A14"/>
    <w:rsid w:val="00B75A2E"/>
    <w:rsid w:val="00B9373D"/>
    <w:rsid w:val="00BA71C4"/>
    <w:rsid w:val="00BB4E1E"/>
    <w:rsid w:val="00BB6AA3"/>
    <w:rsid w:val="00BB7480"/>
    <w:rsid w:val="00BC1D05"/>
    <w:rsid w:val="00BC6559"/>
    <w:rsid w:val="00BD7405"/>
    <w:rsid w:val="00BE068F"/>
    <w:rsid w:val="00BE4F25"/>
    <w:rsid w:val="00BF5202"/>
    <w:rsid w:val="00BF747D"/>
    <w:rsid w:val="00C00F15"/>
    <w:rsid w:val="00C1755A"/>
    <w:rsid w:val="00C31537"/>
    <w:rsid w:val="00C368FD"/>
    <w:rsid w:val="00C56FEC"/>
    <w:rsid w:val="00C60DCC"/>
    <w:rsid w:val="00C630A4"/>
    <w:rsid w:val="00C72BC6"/>
    <w:rsid w:val="00C74230"/>
    <w:rsid w:val="00C81315"/>
    <w:rsid w:val="00C82774"/>
    <w:rsid w:val="00C85FF0"/>
    <w:rsid w:val="00C86EF8"/>
    <w:rsid w:val="00C911A5"/>
    <w:rsid w:val="00CA0A6D"/>
    <w:rsid w:val="00CB0A85"/>
    <w:rsid w:val="00CB1341"/>
    <w:rsid w:val="00CB2617"/>
    <w:rsid w:val="00CB308D"/>
    <w:rsid w:val="00CB4234"/>
    <w:rsid w:val="00CB5D69"/>
    <w:rsid w:val="00CC435D"/>
    <w:rsid w:val="00CE6D0F"/>
    <w:rsid w:val="00CE7C8F"/>
    <w:rsid w:val="00CF3E7A"/>
    <w:rsid w:val="00CF5B1C"/>
    <w:rsid w:val="00D10DE4"/>
    <w:rsid w:val="00D175A9"/>
    <w:rsid w:val="00D17D97"/>
    <w:rsid w:val="00D20E0B"/>
    <w:rsid w:val="00D2262A"/>
    <w:rsid w:val="00D318C4"/>
    <w:rsid w:val="00D320B5"/>
    <w:rsid w:val="00D34ED6"/>
    <w:rsid w:val="00D40075"/>
    <w:rsid w:val="00D40E23"/>
    <w:rsid w:val="00D525C2"/>
    <w:rsid w:val="00D53F4A"/>
    <w:rsid w:val="00D56C0B"/>
    <w:rsid w:val="00D57304"/>
    <w:rsid w:val="00D61B91"/>
    <w:rsid w:val="00D61FCB"/>
    <w:rsid w:val="00D657F3"/>
    <w:rsid w:val="00D70418"/>
    <w:rsid w:val="00D7379F"/>
    <w:rsid w:val="00D74C35"/>
    <w:rsid w:val="00D80ACE"/>
    <w:rsid w:val="00D8355A"/>
    <w:rsid w:val="00D857F5"/>
    <w:rsid w:val="00D875D1"/>
    <w:rsid w:val="00D92D5C"/>
    <w:rsid w:val="00D93CEC"/>
    <w:rsid w:val="00D96397"/>
    <w:rsid w:val="00DB2DE3"/>
    <w:rsid w:val="00DC5DA7"/>
    <w:rsid w:val="00DD0500"/>
    <w:rsid w:val="00DD1FEB"/>
    <w:rsid w:val="00DD3F6F"/>
    <w:rsid w:val="00DF02FF"/>
    <w:rsid w:val="00E02555"/>
    <w:rsid w:val="00E03046"/>
    <w:rsid w:val="00E0419E"/>
    <w:rsid w:val="00E043D1"/>
    <w:rsid w:val="00E04776"/>
    <w:rsid w:val="00E06F18"/>
    <w:rsid w:val="00E13E9C"/>
    <w:rsid w:val="00E169AC"/>
    <w:rsid w:val="00E244EF"/>
    <w:rsid w:val="00E26D7A"/>
    <w:rsid w:val="00E26D9F"/>
    <w:rsid w:val="00E41936"/>
    <w:rsid w:val="00E44E96"/>
    <w:rsid w:val="00E56A67"/>
    <w:rsid w:val="00E57CCA"/>
    <w:rsid w:val="00E73C56"/>
    <w:rsid w:val="00E75DCC"/>
    <w:rsid w:val="00E763F1"/>
    <w:rsid w:val="00E831D5"/>
    <w:rsid w:val="00EA1A0A"/>
    <w:rsid w:val="00EB405B"/>
    <w:rsid w:val="00EC2DBE"/>
    <w:rsid w:val="00ED5213"/>
    <w:rsid w:val="00EE5DCD"/>
    <w:rsid w:val="00EE7462"/>
    <w:rsid w:val="00EF4D15"/>
    <w:rsid w:val="00F01EA6"/>
    <w:rsid w:val="00F02496"/>
    <w:rsid w:val="00F12801"/>
    <w:rsid w:val="00F12DA4"/>
    <w:rsid w:val="00F1618B"/>
    <w:rsid w:val="00F41E0F"/>
    <w:rsid w:val="00F4349F"/>
    <w:rsid w:val="00F43D44"/>
    <w:rsid w:val="00F5447D"/>
    <w:rsid w:val="00F70B8D"/>
    <w:rsid w:val="00F77DBE"/>
    <w:rsid w:val="00F8064A"/>
    <w:rsid w:val="00F83FAA"/>
    <w:rsid w:val="00F8556A"/>
    <w:rsid w:val="00F85FDA"/>
    <w:rsid w:val="00F92E09"/>
    <w:rsid w:val="00F96F8F"/>
    <w:rsid w:val="00FC4026"/>
    <w:rsid w:val="00FC5168"/>
    <w:rsid w:val="00FE5F82"/>
    <w:rsid w:val="00FF7778"/>
    <w:rsid w:val="0173C393"/>
    <w:rsid w:val="0174EC16"/>
    <w:rsid w:val="017B10E5"/>
    <w:rsid w:val="01D666E4"/>
    <w:rsid w:val="021284C3"/>
    <w:rsid w:val="0253868D"/>
    <w:rsid w:val="0274786E"/>
    <w:rsid w:val="02C8B57F"/>
    <w:rsid w:val="02F45864"/>
    <w:rsid w:val="0338F153"/>
    <w:rsid w:val="03A61895"/>
    <w:rsid w:val="03A813DA"/>
    <w:rsid w:val="041D529C"/>
    <w:rsid w:val="0432E9A5"/>
    <w:rsid w:val="044F4239"/>
    <w:rsid w:val="04C201AE"/>
    <w:rsid w:val="052A3930"/>
    <w:rsid w:val="054B541E"/>
    <w:rsid w:val="05FCD8C5"/>
    <w:rsid w:val="0672A8BD"/>
    <w:rsid w:val="06968025"/>
    <w:rsid w:val="076B9B43"/>
    <w:rsid w:val="0774C54B"/>
    <w:rsid w:val="07AE1072"/>
    <w:rsid w:val="07C20EBF"/>
    <w:rsid w:val="07FFC56B"/>
    <w:rsid w:val="089ABDF5"/>
    <w:rsid w:val="08BEB3C2"/>
    <w:rsid w:val="08C70DDF"/>
    <w:rsid w:val="093178DB"/>
    <w:rsid w:val="0AC48E49"/>
    <w:rsid w:val="0AE2D985"/>
    <w:rsid w:val="0B4E5339"/>
    <w:rsid w:val="0BF477B1"/>
    <w:rsid w:val="0CA2EB3C"/>
    <w:rsid w:val="0CE0EBE5"/>
    <w:rsid w:val="0CE873F3"/>
    <w:rsid w:val="0D03060D"/>
    <w:rsid w:val="0D2EB0D2"/>
    <w:rsid w:val="0D3FAD4E"/>
    <w:rsid w:val="0D4385AA"/>
    <w:rsid w:val="0D985EC2"/>
    <w:rsid w:val="0F28E6CE"/>
    <w:rsid w:val="0F67B635"/>
    <w:rsid w:val="0F872A91"/>
    <w:rsid w:val="0FE1D838"/>
    <w:rsid w:val="10148BF0"/>
    <w:rsid w:val="104F1621"/>
    <w:rsid w:val="10860E90"/>
    <w:rsid w:val="10AE3861"/>
    <w:rsid w:val="10F8FB5A"/>
    <w:rsid w:val="11A0CD11"/>
    <w:rsid w:val="12DE8162"/>
    <w:rsid w:val="12EEAAE5"/>
    <w:rsid w:val="12FAFED0"/>
    <w:rsid w:val="13001AF8"/>
    <w:rsid w:val="137DDF77"/>
    <w:rsid w:val="13D7469B"/>
    <w:rsid w:val="13F0A8C3"/>
    <w:rsid w:val="140F2D72"/>
    <w:rsid w:val="14684957"/>
    <w:rsid w:val="14DC53F2"/>
    <w:rsid w:val="14E36922"/>
    <w:rsid w:val="150090D6"/>
    <w:rsid w:val="16260980"/>
    <w:rsid w:val="162CCA3C"/>
    <w:rsid w:val="1640BAEB"/>
    <w:rsid w:val="171DC7E6"/>
    <w:rsid w:val="18F308B9"/>
    <w:rsid w:val="18F5D808"/>
    <w:rsid w:val="1901E00F"/>
    <w:rsid w:val="197F5B7F"/>
    <w:rsid w:val="198A9776"/>
    <w:rsid w:val="1A53E699"/>
    <w:rsid w:val="1ABC4216"/>
    <w:rsid w:val="1AC59568"/>
    <w:rsid w:val="1B33AFA2"/>
    <w:rsid w:val="1C345002"/>
    <w:rsid w:val="1C6420C6"/>
    <w:rsid w:val="1C68C51C"/>
    <w:rsid w:val="1CDE72A8"/>
    <w:rsid w:val="1CF8CE04"/>
    <w:rsid w:val="1D2CD2BB"/>
    <w:rsid w:val="1D5EB6E6"/>
    <w:rsid w:val="1D6D0B7B"/>
    <w:rsid w:val="1D73C459"/>
    <w:rsid w:val="1E5D03DD"/>
    <w:rsid w:val="1E6535C9"/>
    <w:rsid w:val="1ECB5ECF"/>
    <w:rsid w:val="1EE063A5"/>
    <w:rsid w:val="1EFD094B"/>
    <w:rsid w:val="1F0081F1"/>
    <w:rsid w:val="20A91D59"/>
    <w:rsid w:val="20D3EC23"/>
    <w:rsid w:val="213904FA"/>
    <w:rsid w:val="2166B018"/>
    <w:rsid w:val="219518B7"/>
    <w:rsid w:val="23018DA0"/>
    <w:rsid w:val="23355C5E"/>
    <w:rsid w:val="23DF3FCC"/>
    <w:rsid w:val="243779D4"/>
    <w:rsid w:val="247C22F4"/>
    <w:rsid w:val="2482C901"/>
    <w:rsid w:val="249F4332"/>
    <w:rsid w:val="2507EBB5"/>
    <w:rsid w:val="2513E062"/>
    <w:rsid w:val="25C2F8C6"/>
    <w:rsid w:val="25F70680"/>
    <w:rsid w:val="260114B9"/>
    <w:rsid w:val="2675EAF7"/>
    <w:rsid w:val="27055E78"/>
    <w:rsid w:val="27558C79"/>
    <w:rsid w:val="27D390C0"/>
    <w:rsid w:val="27DCCB8D"/>
    <w:rsid w:val="27F01CD5"/>
    <w:rsid w:val="284D44B0"/>
    <w:rsid w:val="2863CEEB"/>
    <w:rsid w:val="2864B4E6"/>
    <w:rsid w:val="286E55D6"/>
    <w:rsid w:val="2897374A"/>
    <w:rsid w:val="289ABC29"/>
    <w:rsid w:val="29082B8B"/>
    <w:rsid w:val="294AA420"/>
    <w:rsid w:val="29651F22"/>
    <w:rsid w:val="297FF3BE"/>
    <w:rsid w:val="2A148DC8"/>
    <w:rsid w:val="2A8197C0"/>
    <w:rsid w:val="2AEBC57F"/>
    <w:rsid w:val="2B8557C0"/>
    <w:rsid w:val="2BA80C16"/>
    <w:rsid w:val="2C142212"/>
    <w:rsid w:val="2C3A35CE"/>
    <w:rsid w:val="2C8B361D"/>
    <w:rsid w:val="2CB98A7A"/>
    <w:rsid w:val="2CD0CBBB"/>
    <w:rsid w:val="2D834068"/>
    <w:rsid w:val="2D88C7AD"/>
    <w:rsid w:val="2E0F375C"/>
    <w:rsid w:val="2E1689CE"/>
    <w:rsid w:val="2E56CA75"/>
    <w:rsid w:val="2E5B539D"/>
    <w:rsid w:val="2E639E7E"/>
    <w:rsid w:val="2E71CA87"/>
    <w:rsid w:val="2F5E189B"/>
    <w:rsid w:val="2F73C444"/>
    <w:rsid w:val="2FB6E55B"/>
    <w:rsid w:val="2FF93375"/>
    <w:rsid w:val="30188023"/>
    <w:rsid w:val="308D55D3"/>
    <w:rsid w:val="33A5F151"/>
    <w:rsid w:val="34419953"/>
    <w:rsid w:val="3553DB6E"/>
    <w:rsid w:val="35DA90B6"/>
    <w:rsid w:val="35E7673F"/>
    <w:rsid w:val="3604F841"/>
    <w:rsid w:val="36AE866E"/>
    <w:rsid w:val="370200A3"/>
    <w:rsid w:val="378745DB"/>
    <w:rsid w:val="3873D5FD"/>
    <w:rsid w:val="388A32DA"/>
    <w:rsid w:val="38929524"/>
    <w:rsid w:val="38F995B9"/>
    <w:rsid w:val="393724B9"/>
    <w:rsid w:val="395291F7"/>
    <w:rsid w:val="3A050034"/>
    <w:rsid w:val="3A397B52"/>
    <w:rsid w:val="3A95DEAE"/>
    <w:rsid w:val="3A9B9F2E"/>
    <w:rsid w:val="3ABF9DBD"/>
    <w:rsid w:val="3B381AF9"/>
    <w:rsid w:val="3B8D7BA6"/>
    <w:rsid w:val="3D54D803"/>
    <w:rsid w:val="3EAFE360"/>
    <w:rsid w:val="3F0BDA60"/>
    <w:rsid w:val="3F6C0945"/>
    <w:rsid w:val="3FFBB801"/>
    <w:rsid w:val="40E4F6B8"/>
    <w:rsid w:val="418C1F34"/>
    <w:rsid w:val="41962B2A"/>
    <w:rsid w:val="41AFB336"/>
    <w:rsid w:val="42359369"/>
    <w:rsid w:val="4289BE87"/>
    <w:rsid w:val="43F5EFEB"/>
    <w:rsid w:val="441A9C47"/>
    <w:rsid w:val="4455FB41"/>
    <w:rsid w:val="44622D24"/>
    <w:rsid w:val="447C2CC6"/>
    <w:rsid w:val="452A7597"/>
    <w:rsid w:val="45562C5E"/>
    <w:rsid w:val="460DBF4B"/>
    <w:rsid w:val="463CBE9F"/>
    <w:rsid w:val="468A281A"/>
    <w:rsid w:val="468E3F4A"/>
    <w:rsid w:val="46A23488"/>
    <w:rsid w:val="47962D95"/>
    <w:rsid w:val="47CA276C"/>
    <w:rsid w:val="481F8C5B"/>
    <w:rsid w:val="4883F4EC"/>
    <w:rsid w:val="48CCA75F"/>
    <w:rsid w:val="48E5DE75"/>
    <w:rsid w:val="492761DF"/>
    <w:rsid w:val="49285FBF"/>
    <w:rsid w:val="49CF7C1D"/>
    <w:rsid w:val="4AE542E5"/>
    <w:rsid w:val="4B0FFED9"/>
    <w:rsid w:val="4B93FAA7"/>
    <w:rsid w:val="4C8305EF"/>
    <w:rsid w:val="4D5AA814"/>
    <w:rsid w:val="4DA9FBA8"/>
    <w:rsid w:val="4DEB5E76"/>
    <w:rsid w:val="4E355ADD"/>
    <w:rsid w:val="4E3BD31A"/>
    <w:rsid w:val="4EE0CBFF"/>
    <w:rsid w:val="4F5E7264"/>
    <w:rsid w:val="4FBFA209"/>
    <w:rsid w:val="506618E4"/>
    <w:rsid w:val="50999CE1"/>
    <w:rsid w:val="50B48192"/>
    <w:rsid w:val="513816FF"/>
    <w:rsid w:val="513F4D8C"/>
    <w:rsid w:val="520B9856"/>
    <w:rsid w:val="520C1B11"/>
    <w:rsid w:val="52DDCFF9"/>
    <w:rsid w:val="52E57706"/>
    <w:rsid w:val="52EB69E8"/>
    <w:rsid w:val="530F2E80"/>
    <w:rsid w:val="53172488"/>
    <w:rsid w:val="53457239"/>
    <w:rsid w:val="536A03E0"/>
    <w:rsid w:val="53C06C6B"/>
    <w:rsid w:val="54178AB6"/>
    <w:rsid w:val="554BC1C0"/>
    <w:rsid w:val="55F1AC25"/>
    <w:rsid w:val="568E30F4"/>
    <w:rsid w:val="56B6B41A"/>
    <w:rsid w:val="577EE534"/>
    <w:rsid w:val="57EA8695"/>
    <w:rsid w:val="583B5309"/>
    <w:rsid w:val="588E5956"/>
    <w:rsid w:val="58E2FC64"/>
    <w:rsid w:val="5AAF36E3"/>
    <w:rsid w:val="5AC16D76"/>
    <w:rsid w:val="5AE1C667"/>
    <w:rsid w:val="5B9DC137"/>
    <w:rsid w:val="5BF16AE0"/>
    <w:rsid w:val="5C666685"/>
    <w:rsid w:val="5C71A6D3"/>
    <w:rsid w:val="5CB82530"/>
    <w:rsid w:val="5CC8863A"/>
    <w:rsid w:val="5D07B08D"/>
    <w:rsid w:val="5D135BE8"/>
    <w:rsid w:val="5D683F3A"/>
    <w:rsid w:val="5E433C6A"/>
    <w:rsid w:val="5E490566"/>
    <w:rsid w:val="5E562F20"/>
    <w:rsid w:val="5E92FA19"/>
    <w:rsid w:val="5FB24983"/>
    <w:rsid w:val="5FC513AA"/>
    <w:rsid w:val="5FF7C404"/>
    <w:rsid w:val="60552D24"/>
    <w:rsid w:val="61353E37"/>
    <w:rsid w:val="6197545D"/>
    <w:rsid w:val="621AB849"/>
    <w:rsid w:val="628C15CE"/>
    <w:rsid w:val="63965432"/>
    <w:rsid w:val="63B34806"/>
    <w:rsid w:val="63C8A0E4"/>
    <w:rsid w:val="64255785"/>
    <w:rsid w:val="64C14DA6"/>
    <w:rsid w:val="6508BAEB"/>
    <w:rsid w:val="66ABFC5E"/>
    <w:rsid w:val="66B28DC3"/>
    <w:rsid w:val="66E29FB6"/>
    <w:rsid w:val="66EA34FE"/>
    <w:rsid w:val="68069263"/>
    <w:rsid w:val="680DC81F"/>
    <w:rsid w:val="686A19C0"/>
    <w:rsid w:val="68E04377"/>
    <w:rsid w:val="68E717D6"/>
    <w:rsid w:val="69532258"/>
    <w:rsid w:val="69667C35"/>
    <w:rsid w:val="697144E7"/>
    <w:rsid w:val="6A9C6E50"/>
    <w:rsid w:val="6AADC3C3"/>
    <w:rsid w:val="6B74D5A4"/>
    <w:rsid w:val="6BC2DF72"/>
    <w:rsid w:val="6C6852A4"/>
    <w:rsid w:val="6D064C39"/>
    <w:rsid w:val="6D17601E"/>
    <w:rsid w:val="6D7E4144"/>
    <w:rsid w:val="6E480ACF"/>
    <w:rsid w:val="6EE80F1E"/>
    <w:rsid w:val="6EF5EF35"/>
    <w:rsid w:val="6EF6F603"/>
    <w:rsid w:val="6F1BE06C"/>
    <w:rsid w:val="6F5EBE7C"/>
    <w:rsid w:val="6F6DC248"/>
    <w:rsid w:val="6F8546D8"/>
    <w:rsid w:val="6FBF2763"/>
    <w:rsid w:val="7110DA6E"/>
    <w:rsid w:val="714866B5"/>
    <w:rsid w:val="714EEB87"/>
    <w:rsid w:val="715F01E4"/>
    <w:rsid w:val="7183F338"/>
    <w:rsid w:val="71AD6AA0"/>
    <w:rsid w:val="71C9546D"/>
    <w:rsid w:val="728AB08B"/>
    <w:rsid w:val="7299CB0A"/>
    <w:rsid w:val="72B74EE1"/>
    <w:rsid w:val="72DC3486"/>
    <w:rsid w:val="73271F92"/>
    <w:rsid w:val="732FC752"/>
    <w:rsid w:val="73D1027A"/>
    <w:rsid w:val="7448AA2D"/>
    <w:rsid w:val="75642438"/>
    <w:rsid w:val="7596DF39"/>
    <w:rsid w:val="75F1F01F"/>
    <w:rsid w:val="7607982D"/>
    <w:rsid w:val="762425DA"/>
    <w:rsid w:val="762D4D11"/>
    <w:rsid w:val="769DAC59"/>
    <w:rsid w:val="76A19CC9"/>
    <w:rsid w:val="76C7E806"/>
    <w:rsid w:val="76F5E5E7"/>
    <w:rsid w:val="77AB3BD4"/>
    <w:rsid w:val="78A2853E"/>
    <w:rsid w:val="7905530E"/>
    <w:rsid w:val="79099107"/>
    <w:rsid w:val="79E222DF"/>
    <w:rsid w:val="7A306A6D"/>
    <w:rsid w:val="7A56D1E6"/>
    <w:rsid w:val="7A6442F5"/>
    <w:rsid w:val="7AE1F144"/>
    <w:rsid w:val="7C2604C7"/>
    <w:rsid w:val="7C8B5FDD"/>
    <w:rsid w:val="7CCC8017"/>
    <w:rsid w:val="7CCDC953"/>
    <w:rsid w:val="7D02BFEA"/>
    <w:rsid w:val="7E254CC9"/>
    <w:rsid w:val="7E7FBDB9"/>
    <w:rsid w:val="7F1FE1D4"/>
    <w:rsid w:val="7F7C9ACE"/>
    <w:rsid w:val="7FB0A944"/>
    <w:rsid w:val="7FE6D256"/>
    <w:rsid w:val="7FEB841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293C7A2"/>
  <w15:chartTrackingRefBased/>
  <w15:docId w15:val="{B6348F12-20A0-4C9C-9DF4-86A9606B1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B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A6B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A6B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6B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6B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6B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B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B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B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B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A6B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A6B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6B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6B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6B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B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B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B62"/>
    <w:rPr>
      <w:rFonts w:eastAsiaTheme="majorEastAsia" w:cstheme="majorBidi"/>
      <w:color w:val="272727" w:themeColor="text1" w:themeTint="D8"/>
    </w:rPr>
  </w:style>
  <w:style w:type="paragraph" w:styleId="Title">
    <w:name w:val="Title"/>
    <w:basedOn w:val="Normal"/>
    <w:next w:val="Normal"/>
    <w:link w:val="TitleChar"/>
    <w:uiPriority w:val="10"/>
    <w:qFormat/>
    <w:rsid w:val="008A6B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B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B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B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B62"/>
    <w:pPr>
      <w:spacing w:before="160"/>
      <w:jc w:val="center"/>
    </w:pPr>
    <w:rPr>
      <w:i/>
      <w:iCs/>
      <w:color w:val="404040" w:themeColor="text1" w:themeTint="BF"/>
    </w:rPr>
  </w:style>
  <w:style w:type="character" w:customStyle="1" w:styleId="QuoteChar">
    <w:name w:val="Quote Char"/>
    <w:basedOn w:val="DefaultParagraphFont"/>
    <w:link w:val="Quote"/>
    <w:uiPriority w:val="29"/>
    <w:rsid w:val="008A6B62"/>
    <w:rPr>
      <w:i/>
      <w:iCs/>
      <w:color w:val="404040" w:themeColor="text1" w:themeTint="BF"/>
    </w:rPr>
  </w:style>
  <w:style w:type="paragraph" w:styleId="ListParagraph">
    <w:name w:val="List Paragraph"/>
    <w:basedOn w:val="Normal"/>
    <w:uiPriority w:val="34"/>
    <w:qFormat/>
    <w:rsid w:val="008A6B62"/>
    <w:pPr>
      <w:ind w:left="720"/>
      <w:contextualSpacing/>
    </w:pPr>
  </w:style>
  <w:style w:type="character" w:styleId="IntenseEmphasis">
    <w:name w:val="Intense Emphasis"/>
    <w:basedOn w:val="DefaultParagraphFont"/>
    <w:uiPriority w:val="21"/>
    <w:qFormat/>
    <w:rsid w:val="008A6B62"/>
    <w:rPr>
      <w:i/>
      <w:iCs/>
      <w:color w:val="2F5496" w:themeColor="accent1" w:themeShade="BF"/>
    </w:rPr>
  </w:style>
  <w:style w:type="paragraph" w:styleId="IntenseQuote">
    <w:name w:val="Intense Quote"/>
    <w:basedOn w:val="Normal"/>
    <w:next w:val="Normal"/>
    <w:link w:val="IntenseQuoteChar"/>
    <w:uiPriority w:val="30"/>
    <w:qFormat/>
    <w:rsid w:val="008A6B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6B62"/>
    <w:rPr>
      <w:i/>
      <w:iCs/>
      <w:color w:val="2F5496" w:themeColor="accent1" w:themeShade="BF"/>
    </w:rPr>
  </w:style>
  <w:style w:type="character" w:styleId="IntenseReference">
    <w:name w:val="Intense Reference"/>
    <w:basedOn w:val="DefaultParagraphFont"/>
    <w:uiPriority w:val="32"/>
    <w:qFormat/>
    <w:rsid w:val="008A6B62"/>
    <w:rPr>
      <w:b/>
      <w:bCs/>
      <w:smallCaps/>
      <w:color w:val="2F5496" w:themeColor="accent1" w:themeShade="BF"/>
      <w:spacing w:val="5"/>
    </w:rPr>
  </w:style>
  <w:style w:type="paragraph" w:customStyle="1" w:styleId="p1">
    <w:name w:val="p1"/>
    <w:basedOn w:val="Normal"/>
    <w:rsid w:val="004B3B07"/>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4B3B07"/>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4B3B07"/>
    <w:rPr>
      <w:rFonts w:ascii="UICTFontTextStyleEmphasizedBody" w:hAnsi="UICTFontTextStyleEmphasizedBody" w:hint="default"/>
      <w:b/>
      <w:bCs/>
      <w:i w:val="0"/>
      <w:iCs w:val="0"/>
      <w:sz w:val="26"/>
      <w:szCs w:val="26"/>
    </w:rPr>
  </w:style>
  <w:style w:type="character" w:customStyle="1" w:styleId="s2">
    <w:name w:val="s2"/>
    <w:basedOn w:val="DefaultParagraphFont"/>
    <w:rsid w:val="004B3B07"/>
    <w:rPr>
      <w:rFonts w:ascii="UICTFontTextStyleBody" w:hAnsi="UICTFontTextStyleBody" w:hint="default"/>
      <w:b w:val="0"/>
      <w:bCs w:val="0"/>
      <w:i w:val="0"/>
      <w:iCs w:val="0"/>
      <w:sz w:val="26"/>
      <w:szCs w:val="26"/>
    </w:rPr>
  </w:style>
  <w:style w:type="character" w:customStyle="1" w:styleId="s3">
    <w:name w:val="s3"/>
    <w:basedOn w:val="DefaultParagraphFont"/>
    <w:rsid w:val="004B3B07"/>
    <w:rPr>
      <w:b/>
      <w:bCs/>
      <w:i/>
      <w:iCs/>
      <w:sz w:val="26"/>
      <w:szCs w:val="26"/>
    </w:rPr>
  </w:style>
  <w:style w:type="paragraph" w:customStyle="1" w:styleId="p3">
    <w:name w:val="p3"/>
    <w:basedOn w:val="Normal"/>
    <w:rsid w:val="00026E12"/>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595742"/>
    <w:rPr>
      <w:color w:val="0563C1"/>
      <w:u w:val="single"/>
    </w:rPr>
  </w:style>
  <w:style w:type="character" w:customStyle="1" w:styleId="apple-converted-space">
    <w:name w:val="apple-converted-space"/>
    <w:basedOn w:val="DefaultParagraphFont"/>
    <w:rsid w:val="00B9373D"/>
  </w:style>
  <w:style w:type="character" w:customStyle="1" w:styleId="s6">
    <w:name w:val="s6"/>
    <w:basedOn w:val="DefaultParagraphFont"/>
    <w:rsid w:val="00B9373D"/>
  </w:style>
  <w:style w:type="character" w:customStyle="1" w:styleId="s7">
    <w:name w:val="s7"/>
    <w:basedOn w:val="DefaultParagraphFont"/>
    <w:rsid w:val="00B93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rsingtimes.ne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ice.org.uk/guidance/ng28" TargetMode="External"/><Relationship Id="rId12" Type="http://schemas.openxmlformats.org/officeDocument/2006/relationships/hyperlink" Target="https://www.who.int/news-room/fact-sheets/detail/diabet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abetes.org.uk/guide-to-diabetes/about-diabetes" TargetMode="External"/><Relationship Id="rId11" Type="http://schemas.openxmlformats.org/officeDocument/2006/relationships/hyperlink" Target="https://www.gov.uk/government/collections/national-diabetes-audit" TargetMode="External"/><Relationship Id="rId5" Type="http://schemas.openxmlformats.org/officeDocument/2006/relationships/hyperlink" Target="https://www.cdc.gov/diabetes/basics/type2.html" TargetMode="External"/><Relationship Id="rId10" Type="http://schemas.openxmlformats.org/officeDocument/2006/relationships/hyperlink" Target="https://www.ncbi.nlm.nih.gov/books/NBK546695/" TargetMode="External"/><Relationship Id="rId4" Type="http://schemas.openxmlformats.org/officeDocument/2006/relationships/hyperlink" Target="https://diabetesjournals.org/care/issue/46/Supplement_1" TargetMode="External"/><Relationship Id="rId9" Type="http://schemas.openxmlformats.org/officeDocument/2006/relationships/hyperlink" Target="https://www.ncbi.nlm.nih.gov/books/NBK55597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Mukendi Matumba (2426801)</dc:creator>
  <cp:keywords/>
  <dc:description/>
  <cp:lastModifiedBy>Mukendi Matumba (2426801)</cp:lastModifiedBy>
  <cp:revision>44</cp:revision>
  <dcterms:created xsi:type="dcterms:W3CDTF">2026-02-22T20:38:00Z</dcterms:created>
  <dcterms:modified xsi:type="dcterms:W3CDTF">2026-02-23T11:10:00Z</dcterms:modified>
</cp:coreProperties>
</file>