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14C9E" w14:textId="6E39011D" w:rsidR="00811CCD" w:rsidRDefault="00811CCD" w:rsidP="00D81811">
      <w:pPr>
        <w:spacing w:line="360" w:lineRule="auto"/>
      </w:pPr>
    </w:p>
    <w:p w14:paraId="5E113E83" w14:textId="77777777" w:rsidR="00F866D2" w:rsidRPr="00CE3E4C" w:rsidRDefault="00F866D2" w:rsidP="00D81811">
      <w:pPr>
        <w:spacing w:line="360" w:lineRule="auto"/>
        <w:rPr>
          <w:b/>
          <w:bCs/>
        </w:rPr>
      </w:pPr>
      <w:r w:rsidRPr="00CE3E4C">
        <w:rPr>
          <w:b/>
          <w:bCs/>
        </w:rPr>
        <w:t>HOW IMPORTANT IS THE CONCEPT OF AUTHENTICITY IN THE PRESENTATION OF HERITAGE?</w:t>
      </w:r>
    </w:p>
    <w:p w14:paraId="56981D3A" w14:textId="77777777" w:rsidR="00F866D2" w:rsidRDefault="00F866D2" w:rsidP="00D81811">
      <w:pPr>
        <w:spacing w:line="360" w:lineRule="auto"/>
      </w:pPr>
    </w:p>
    <w:p w14:paraId="24A61AA8" w14:textId="2EC00A20" w:rsidR="00F866D2" w:rsidRDefault="00F866D2" w:rsidP="00D81811">
      <w:pPr>
        <w:spacing w:line="360" w:lineRule="auto"/>
      </w:pPr>
      <w:r>
        <w:t>Heritage has been defined as ‘all inherited resources which people value for reasons beyond mere utility’</w:t>
      </w:r>
      <w:r w:rsidR="001A267D">
        <w:t xml:space="preserve"> </w:t>
      </w:r>
      <w:r w:rsidRPr="002D7743">
        <w:t>(Historic England n.d</w:t>
      </w:r>
      <w:r>
        <w:t xml:space="preserve">.). The definition of authenticity is less easy to pin down. The Oxford English Dictionary provides several definitions that reflect a range of meanings </w:t>
      </w:r>
      <w:r w:rsidR="0055081F">
        <w:t>including</w:t>
      </w:r>
      <w:r>
        <w:t xml:space="preserve"> factual, original, authoritative, truthful, sincere, being traditionally produced, being true to oneself, and being an accurate reflection of real life (</w:t>
      </w:r>
      <w:r w:rsidRPr="00B75C00">
        <w:t>OED 20</w:t>
      </w:r>
      <w:r w:rsidR="006976AA" w:rsidRPr="00B75C00">
        <w:t>19</w:t>
      </w:r>
      <w:r>
        <w:t xml:space="preserve">). Most of these </w:t>
      </w:r>
      <w:r w:rsidR="0055081F">
        <w:t>definitions</w:t>
      </w:r>
      <w:r>
        <w:t xml:space="preserve"> are open to interpretation</w:t>
      </w:r>
      <w:r w:rsidR="0055081F">
        <w:t>;</w:t>
      </w:r>
      <w:r>
        <w:t xml:space="preserve"> reflecting this, the discourse around authenticity in heritage goes far beyond a dichotomous appreciation of whether or not an object or site is ‘real’. The discussion that follows will mainly focus on museum-based heritage (as per Ambrose and Paine’s definition of a heritage centre </w:t>
      </w:r>
      <w:r w:rsidRPr="00C54EED">
        <w:t>(2018: 11)).</w:t>
      </w:r>
      <w:r>
        <w:t xml:space="preserve"> It will examine the various ways in which museums have utilised the notion of authenticity to encourage engagement; it will ask what makes an object authentic; and it will explore the latest development in heritage presentation – the role of emotion in shaping visitor experience. This essay will therefore discuss the many ways authenticity can be conceptualised, consider its link to value, and demonstrate that it remains, in all its forms, a key component in the presentation of heritage. </w:t>
      </w:r>
    </w:p>
    <w:p w14:paraId="135957AE" w14:textId="77777777" w:rsidR="00F866D2" w:rsidRDefault="00F866D2" w:rsidP="00D81811">
      <w:pPr>
        <w:spacing w:line="360" w:lineRule="auto"/>
      </w:pPr>
    </w:p>
    <w:p w14:paraId="65856DF9" w14:textId="26D0E0FD" w:rsidR="00F866D2" w:rsidRPr="00801D9F" w:rsidRDefault="00F866D2" w:rsidP="00D81811">
      <w:pPr>
        <w:spacing w:line="360" w:lineRule="auto"/>
      </w:pPr>
      <w:r>
        <w:t xml:space="preserve">Museums have been described as being ‘among </w:t>
      </w:r>
      <w:r w:rsidRPr="004F0F7D">
        <w:t>the last</w:t>
      </w:r>
      <w:r>
        <w:t xml:space="preserve"> bastions of authenticity’ </w:t>
      </w:r>
      <w:r w:rsidRPr="00DA1DEE">
        <w:t>(Fort Worth 2014</w:t>
      </w:r>
      <w:r>
        <w:t xml:space="preserve">). This statement, made by Ford W. Bell, ex-president of the American Alliance of </w:t>
      </w:r>
      <w:r w:rsidRPr="00DA1DEE">
        <w:t>Museums (AAM 2014), is worth examining in a historical context. As ‘keepers of collective memory’ (Ambrose and Paine 2018: 7),</w:t>
      </w:r>
      <w:r>
        <w:t xml:space="preserve"> museums have long been a place to safeguard items considered precious, exceptional, illustrative, or pedagogical. Early collections were centred around aesthetics and knowledge (</w:t>
      </w:r>
      <w:r w:rsidRPr="00BE1D6F">
        <w:t xml:space="preserve">Otero-Pailos </w:t>
      </w:r>
      <w:r w:rsidR="00E05E67" w:rsidRPr="00E05E67">
        <w:rPr>
          <w:i/>
          <w:iCs/>
        </w:rPr>
        <w:t>et al</w:t>
      </w:r>
      <w:r w:rsidR="00E05E67">
        <w:t>.</w:t>
      </w:r>
      <w:r w:rsidR="00BE1D6F" w:rsidRPr="00BE1D6F">
        <w:t xml:space="preserve"> </w:t>
      </w:r>
      <w:r w:rsidRPr="00BE1D6F">
        <w:t>2010).</w:t>
      </w:r>
      <w:r>
        <w:t xml:space="preserve"> However, </w:t>
      </w:r>
      <w:r w:rsidR="00226852">
        <w:t xml:space="preserve">public </w:t>
      </w:r>
      <w:r>
        <w:t>museums were born of Enlightenment thinking and colonialist expansion. They originally comprised of collections of objects removed from their original contexts and catalogued according to western taxonomy (</w:t>
      </w:r>
      <w:r w:rsidRPr="00EE456D">
        <w:t>West and Ansell 2010</w:t>
      </w:r>
      <w:r>
        <w:t>). This</w:t>
      </w:r>
      <w:r w:rsidR="00AB0841">
        <w:t xml:space="preserve"> </w:t>
      </w:r>
      <w:r>
        <w:t>could be construed as an elitist attempt to impose system and order onto the heterotopias that were the museum’s natural predecessors, travelling fairs and cabinets of curiosities (</w:t>
      </w:r>
      <w:r w:rsidRPr="00593260">
        <w:t>Bennett 1995</w:t>
      </w:r>
      <w:r>
        <w:t>). Thus, the value judgements made by early museums imposed a narrative on their collections that was subjective and not necessarily factual, framed as it was entirely by European beliefs about scientific thought and concepts of empire and nationhood (</w:t>
      </w:r>
      <w:r w:rsidRPr="00593260">
        <w:t>West and Ansell 2010: 9-11</w:t>
      </w:r>
      <w:r>
        <w:t>). This predisposition to rank and classify according to arbitrary assumptions of hierarchy (incorporat</w:t>
      </w:r>
      <w:r w:rsidR="00565F52">
        <w:t>ing</w:t>
      </w:r>
      <w:r>
        <w:t xml:space="preserve"> everything from individual objects to entire cultures) went unchallenged for a long time, but as </w:t>
      </w:r>
      <w:r w:rsidR="00EE68AA">
        <w:t>Pearce</w:t>
      </w:r>
      <w:r>
        <w:t xml:space="preserve"> notes, in the twenty first century, this ‘chosen order’, based on ‘evidence’, has been exposed </w:t>
      </w:r>
      <w:r>
        <w:lastRenderedPageBreak/>
        <w:t xml:space="preserve">as </w:t>
      </w:r>
      <w:r w:rsidRPr="00617194">
        <w:t xml:space="preserve">inaccurate (2010: </w:t>
      </w:r>
      <w:r w:rsidRPr="00617194">
        <w:rPr>
          <w:i/>
          <w:iCs/>
        </w:rPr>
        <w:t>xv</w:t>
      </w:r>
      <w:r w:rsidRPr="00617194">
        <w:t>)</w:t>
      </w:r>
      <w:r>
        <w:t xml:space="preserve"> and ‘inevitably political’ (2010: </w:t>
      </w:r>
      <w:r>
        <w:rPr>
          <w:i/>
          <w:iCs/>
        </w:rPr>
        <w:t>xviii</w:t>
      </w:r>
      <w:r>
        <w:t>). The concept of authenticity, however, sprang from these roots.</w:t>
      </w:r>
    </w:p>
    <w:p w14:paraId="4AD8D966" w14:textId="77777777" w:rsidR="00F866D2" w:rsidRDefault="00F866D2" w:rsidP="00D81811">
      <w:pPr>
        <w:spacing w:line="360" w:lineRule="auto"/>
      </w:pPr>
    </w:p>
    <w:p w14:paraId="7C190620" w14:textId="74399E13" w:rsidR="00F866D2" w:rsidRDefault="00F866D2" w:rsidP="00D81811">
      <w:pPr>
        <w:spacing w:line="360" w:lineRule="auto"/>
      </w:pPr>
      <w:r>
        <w:t xml:space="preserve">Nevertheless, authenticity remains a key factor in the presentation of heritage. As described above, a driving force of early modern museums was to provide a rational, scientific platform for the human need for aesthetic spectacle and the act of collecting and preserving the past. Authenticity of objects was established by scientific analysis, provenance, and academic expertise </w:t>
      </w:r>
      <w:r w:rsidRPr="00BB4D6C">
        <w:t>(Jones 2010).</w:t>
      </w:r>
      <w:r>
        <w:t xml:space="preserve"> Once an item was authenticated by a museum, the item in turn authenticated the museum’s cultural authority (</w:t>
      </w:r>
      <w:r w:rsidRPr="00226852">
        <w:t>Hess 2017</w:t>
      </w:r>
      <w:r>
        <w:t>). By placing prime examples of human endeavour on display and guaranteeing they were genuine, museums won public trust, becoming ‘places of learning and inspiration and excitement’ (</w:t>
      </w:r>
      <w:r w:rsidRPr="00226852">
        <w:t>Fort Worth 2014</w:t>
      </w:r>
      <w:r>
        <w:t xml:space="preserve">). </w:t>
      </w:r>
      <w:r w:rsidR="0035772D">
        <w:t>Authenticity matters to people (Penrose 20</w:t>
      </w:r>
      <w:r w:rsidR="00443B05">
        <w:t>18</w:t>
      </w:r>
      <w:r w:rsidR="0035772D">
        <w:t>), and w</w:t>
      </w:r>
      <w:r>
        <w:t xml:space="preserve">e still expect heritage institutions to tell the truth about what they display, and we still trust them to do so </w:t>
      </w:r>
      <w:r w:rsidRPr="00A06172">
        <w:t>(Dilenschnieder 2019</w:t>
      </w:r>
      <w:r w:rsidR="003B420B">
        <w:t>).</w:t>
      </w:r>
    </w:p>
    <w:p w14:paraId="670D054A" w14:textId="77777777" w:rsidR="00F866D2" w:rsidRDefault="00F866D2" w:rsidP="00D81811">
      <w:pPr>
        <w:spacing w:line="360" w:lineRule="auto"/>
      </w:pPr>
    </w:p>
    <w:p w14:paraId="7990D7E6" w14:textId="4818F920" w:rsidR="00F866D2" w:rsidRDefault="00F866D2" w:rsidP="00D81811">
      <w:pPr>
        <w:spacing w:line="360" w:lineRule="auto"/>
      </w:pPr>
      <w:r>
        <w:t>Museums and heritage sites came from the desire to preserve, protect and accurately record history. Heritage conservation was variously a response to industrialisation, the establishment of nation-states at a time when empires were falling and, later, to post-war modernisation (</w:t>
      </w:r>
      <w:r w:rsidR="00675BD7">
        <w:t>Smith 2006 17; Donnachie 2010: 117</w:t>
      </w:r>
      <w:r>
        <w:t xml:space="preserve">). The preservation of the past has not always been given priority. As Foucault states: ‘the idea of accumulating everything, of establishing a sort of general archive, the will to enclose in one place all times, all epochs, all forms… this whole idea belongs to our modernity’ (in </w:t>
      </w:r>
      <w:r w:rsidRPr="003358C4">
        <w:t>Bennett 1995: 1).</w:t>
      </w:r>
      <w:r>
        <w:t xml:space="preserve"> So, while heritage is presented as authentic, </w:t>
      </w:r>
      <w:r w:rsidR="00F72BE5">
        <w:t>wanting to freeze aspects of the past</w:t>
      </w:r>
      <w:r>
        <w:t xml:space="preserve"> could be </w:t>
      </w:r>
      <w:r w:rsidR="00F72BE5">
        <w:t>viewed as</w:t>
      </w:r>
      <w:r>
        <w:t xml:space="preserve"> unnatural</w:t>
      </w:r>
      <w:r w:rsidR="00F72BE5">
        <w:t>. ‘C</w:t>
      </w:r>
      <w:r>
        <w:t>lock-time’ is a</w:t>
      </w:r>
      <w:r w:rsidR="00FB5915">
        <w:t>nother</w:t>
      </w:r>
      <w:r>
        <w:t xml:space="preserve"> western concept stemming from industrialisation</w:t>
      </w:r>
      <w:r w:rsidR="00F72BE5">
        <w:t>; p</w:t>
      </w:r>
      <w:r>
        <w:t xml:space="preserve">rior to this, people </w:t>
      </w:r>
      <w:r w:rsidR="00FB5915">
        <w:t>lived by</w:t>
      </w:r>
      <w:r>
        <w:t xml:space="preserve"> the cyclical rhythms of nature </w:t>
      </w:r>
      <w:r w:rsidRPr="002F1684">
        <w:t>(Zadeh 2021)</w:t>
      </w:r>
      <w:r>
        <w:t xml:space="preserve">. Only high value objects were deliberately preserved – as Lovell and Bull note, what is left over from the past is usually the </w:t>
      </w:r>
      <w:r w:rsidR="00BB5932">
        <w:t>‘</w:t>
      </w:r>
      <w:r>
        <w:t xml:space="preserve">heritage of the wealthy’ </w:t>
      </w:r>
      <w:r w:rsidRPr="00FB5915">
        <w:t xml:space="preserve">(2018: </w:t>
      </w:r>
      <w:r w:rsidR="00C65B96">
        <w:t>26</w:t>
      </w:r>
      <w:r>
        <w:t xml:space="preserve">). </w:t>
      </w:r>
      <w:r w:rsidR="00F72BE5">
        <w:t>This need to preserve the past</w:t>
      </w:r>
      <w:r>
        <w:t xml:space="preserve"> </w:t>
      </w:r>
      <w:r w:rsidR="00F72BE5">
        <w:t xml:space="preserve">as it was </w:t>
      </w:r>
      <w:r>
        <w:t xml:space="preserve">has led to heritage being largely abandoned to tourism, while </w:t>
      </w:r>
      <w:r w:rsidR="00F72BE5">
        <w:t>‘</w:t>
      </w:r>
      <w:r>
        <w:t>real life</w:t>
      </w:r>
      <w:r w:rsidR="00F72BE5">
        <w:t>’</w:t>
      </w:r>
      <w:r>
        <w:t xml:space="preserve"> continues elsewhere. The </w:t>
      </w:r>
      <w:r w:rsidR="00F72BE5">
        <w:t>historic</w:t>
      </w:r>
      <w:r w:rsidR="00B251D3">
        <w:t xml:space="preserve"> centres</w:t>
      </w:r>
      <w:r>
        <w:t xml:space="preserve"> of Vienna </w:t>
      </w:r>
      <w:r w:rsidRPr="009978BC">
        <w:t>(UNESCO 2021</w:t>
      </w:r>
      <w:r>
        <w:t>) and Santa Fe (</w:t>
      </w:r>
      <w:r w:rsidR="009978BC" w:rsidRPr="00756098">
        <w:t xml:space="preserve">Alsayyad 2008: </w:t>
      </w:r>
      <w:r w:rsidRPr="00756098">
        <w:t>1</w:t>
      </w:r>
      <w:r w:rsidR="009978BC" w:rsidRPr="00756098">
        <w:t>60</w:t>
      </w:r>
      <w:r>
        <w:t xml:space="preserve">) are examples of ‘cultural objectification’ </w:t>
      </w:r>
      <w:r w:rsidR="0089002E">
        <w:t xml:space="preserve">creating </w:t>
      </w:r>
      <w:r w:rsidR="00367769">
        <w:t xml:space="preserve">civic spaces that </w:t>
      </w:r>
      <w:r w:rsidR="00B251D3">
        <w:t>are frozen in time</w:t>
      </w:r>
      <w:r>
        <w:t xml:space="preserve"> (ibid: 159). </w:t>
      </w:r>
      <w:r w:rsidR="007173C0">
        <w:t>Pearce</w:t>
      </w:r>
      <w:r>
        <w:t xml:space="preserve"> observes that heritage is ‘memory itself given material form’ (</w:t>
      </w:r>
      <w:r w:rsidRPr="007173C0">
        <w:t xml:space="preserve">2010: </w:t>
      </w:r>
      <w:r w:rsidRPr="007173C0">
        <w:rPr>
          <w:i/>
          <w:iCs/>
        </w:rPr>
        <w:t>xvi</w:t>
      </w:r>
      <w:r w:rsidRPr="007173C0">
        <w:t>).</w:t>
      </w:r>
    </w:p>
    <w:p w14:paraId="44B78199" w14:textId="77777777" w:rsidR="00F866D2" w:rsidRDefault="00F866D2" w:rsidP="00D81811">
      <w:pPr>
        <w:spacing w:line="360" w:lineRule="auto"/>
      </w:pPr>
    </w:p>
    <w:p w14:paraId="4EF3ABEA" w14:textId="7C7F58D0" w:rsidR="00F866D2" w:rsidRDefault="00F866D2" w:rsidP="00D81811">
      <w:pPr>
        <w:spacing w:line="360" w:lineRule="auto"/>
      </w:pPr>
      <w:r>
        <w:t xml:space="preserve">It has already been noted that authenticity can be defined in many ways. Above, the material definition was addressed. The presentation of an authentic object combined with a factual narrative – e.g., the </w:t>
      </w:r>
      <w:r w:rsidRPr="00E75A32">
        <w:rPr>
          <w:i/>
          <w:iCs/>
        </w:rPr>
        <w:t>Mona Lisa</w:t>
      </w:r>
      <w:r>
        <w:t xml:space="preserve"> is real, it is unique, it was created in the early 1500s and it was painted by da Vinci – is what we have come to expect from heritage institutions, and the assurance of authenticity </w:t>
      </w:r>
      <w:r>
        <w:lastRenderedPageBreak/>
        <w:t>remains a major strength and selling point of the museum and heritage sector. This version of authenticity (which is also described as indexical or essentialist (</w:t>
      </w:r>
      <w:r w:rsidRPr="00BC3AE7">
        <w:t>Thyne</w:t>
      </w:r>
      <w:r w:rsidR="00431A93">
        <w:t xml:space="preserve"> and Hede</w:t>
      </w:r>
      <w:r w:rsidRPr="00BC3AE7">
        <w:t xml:space="preserve"> 2016;</w:t>
      </w:r>
      <w:r>
        <w:t xml:space="preserve"> </w:t>
      </w:r>
      <w:r w:rsidRPr="00596CE3">
        <w:t>Chhabra 2010</w:t>
      </w:r>
      <w:r>
        <w:t>)), is viewed as objective and measurable (</w:t>
      </w:r>
      <w:r w:rsidRPr="00655FE0">
        <w:t>Jones 2010</w:t>
      </w:r>
      <w:r>
        <w:t xml:space="preserve">) and is received as </w:t>
      </w:r>
      <w:r w:rsidR="00655FE0">
        <w:t xml:space="preserve">the </w:t>
      </w:r>
      <w:r>
        <w:t>truth. There is no doubt that the object in the museum is ‘the real thing’ and people enjoy it as such (</w:t>
      </w:r>
      <w:r w:rsidRPr="00655FE0">
        <w:t>University of Cambridge 2013</w:t>
      </w:r>
      <w:r>
        <w:t>). However, authenticity may also be perceived in less straightforward ways.</w:t>
      </w:r>
    </w:p>
    <w:p w14:paraId="751707F9" w14:textId="77777777" w:rsidR="00F866D2" w:rsidRDefault="00F866D2" w:rsidP="00D81811">
      <w:pPr>
        <w:spacing w:line="360" w:lineRule="auto"/>
        <w:rPr>
          <w:b/>
          <w:bCs/>
          <w:color w:val="FF0000"/>
        </w:rPr>
      </w:pPr>
    </w:p>
    <w:p w14:paraId="0F99BEBE" w14:textId="193F481B" w:rsidR="00F866D2" w:rsidRDefault="00F866D2" w:rsidP="00D81811">
      <w:pPr>
        <w:spacing w:line="360" w:lineRule="auto"/>
      </w:pPr>
      <w:r>
        <w:t>One form of authenticity proposed by academic literature has been described as iconic. It is used in heritage settings to represent, rather than present, reality – for example, decorating a room with modern materials to evoke an historical era, or building a diorama or model to describe a scene (</w:t>
      </w:r>
      <w:r w:rsidRPr="00847234">
        <w:t xml:space="preserve">Thyne </w:t>
      </w:r>
      <w:r w:rsidR="00431A93" w:rsidRPr="00847234">
        <w:t xml:space="preserve">and Hede </w:t>
      </w:r>
      <w:r w:rsidRPr="00847234">
        <w:t>2016</w:t>
      </w:r>
      <w:r>
        <w:t>). The authenticity in this instance is emblematic rather than indexical. It would include instances where an object has been restored, so is no longer indexically authentic. Preservation or repair can involve altering material states, so with material authenticity lost, the focus then shifts to maintaining the ‘intrinsic nature’ of the object (</w:t>
      </w:r>
      <w:r w:rsidRPr="00D602D4">
        <w:t>Hess 2017: 288</w:t>
      </w:r>
      <w:r>
        <w:t>). Penrose (</w:t>
      </w:r>
      <w:r w:rsidRPr="00847234">
        <w:t>2020)</w:t>
      </w:r>
      <w:r>
        <w:t xml:space="preserve"> describes how iconic authenticity is used to good effect in Amsterdam’s Anne Frank House, where original artefacts are few. Thyne</w:t>
      </w:r>
      <w:r w:rsidR="00431A93">
        <w:t xml:space="preserve"> and Hede</w:t>
      </w:r>
      <w:r>
        <w:t xml:space="preserve"> (2016) examine the experience of visitors to New Zealand’s Janet Frame House, the empirically real ex-family home of the author, which lacks original artefacts entirely, but nevertheless manages to elicit an evocative experience via the period décor and candour and authority of the guides. The guides help visitors overcome the dissonance of being confronted with inauthentic objects, and so visitors are ‘still able to respect the museum for its expertise’ (2016: 1486). Hess (2017) outlines how the current manifestation of 2LO, the BBC’s first radio transmitter, cannot be considered authentic in material terms, but nevertheless represents an important and truthful account of the object’s (and therefore broadcasting) history. The philosophical conundrum of the </w:t>
      </w:r>
      <w:r w:rsidRPr="003A38D8">
        <w:t>Ship of Theseus</w:t>
      </w:r>
      <w:r>
        <w:t xml:space="preserve"> (or Trigger’s Broom, for a contemporary take), as </w:t>
      </w:r>
      <w:r w:rsidRPr="000D73C6">
        <w:t>mentioned</w:t>
      </w:r>
      <w:r>
        <w:t xml:space="preserve"> by Lovell and Bull </w:t>
      </w:r>
      <w:r w:rsidRPr="00A61AA7">
        <w:t>(2018</w:t>
      </w:r>
      <w:r>
        <w:t>: 36-3</w:t>
      </w:r>
      <w:r w:rsidR="00A61AA7">
        <w:t>8</w:t>
      </w:r>
      <w:r>
        <w:t xml:space="preserve">), illustrates the paradox of restored items, and these authors provide a further appropriately nautical example with </w:t>
      </w:r>
      <w:r>
        <w:rPr>
          <w:i/>
          <w:iCs/>
        </w:rPr>
        <w:t>HMS Victory</w:t>
      </w:r>
      <w:r>
        <w:t xml:space="preserve">, where extensive restoration has meant most of the original structure has been replaced, ‘yet the item still retains its identity and has evocative power as a recognisable object’ (2018: 41). (Compare this to the </w:t>
      </w:r>
      <w:r>
        <w:rPr>
          <w:i/>
          <w:iCs/>
        </w:rPr>
        <w:t>Mary Rose</w:t>
      </w:r>
      <w:r>
        <w:t>, whose incomplete, rotted remains have been preserved exactly as they were discovered on the seabed</w:t>
      </w:r>
      <w:r w:rsidR="007D695F">
        <w:t>; d</w:t>
      </w:r>
      <w:r>
        <w:t xml:space="preserve">espite their very different materialities, a visitor will experience both ships as real (2018: 38).) The plaster reproductions of the Elgin Marbles in the New Acropolis Museum, Athens, is another example of iconic authenticity. Visitors uncomfortable with the disputed provenance of the originals in the British Museum may prefer to see the copies in Greece. Chhabra states, ‘cultural representations are based on their ability to draw consumer dollars’ </w:t>
      </w:r>
      <w:r w:rsidRPr="00900602">
        <w:t>(2008: 429</w:t>
      </w:r>
      <w:r>
        <w:t xml:space="preserve">), and so heritage </w:t>
      </w:r>
      <w:r>
        <w:lastRenderedPageBreak/>
        <w:t xml:space="preserve">sites </w:t>
      </w:r>
      <w:r w:rsidR="00D70EA4">
        <w:t>deploy</w:t>
      </w:r>
      <w:r>
        <w:t xml:space="preserve"> iconic authenticity </w:t>
      </w:r>
      <w:r w:rsidR="00D70EA4">
        <w:t xml:space="preserve">to maintain the </w:t>
      </w:r>
      <w:r w:rsidR="0017383C">
        <w:t>perception of reality</w:t>
      </w:r>
      <w:r>
        <w:t xml:space="preserve"> when material authenticity has been lost.</w:t>
      </w:r>
    </w:p>
    <w:p w14:paraId="18372610" w14:textId="77777777" w:rsidR="00F866D2" w:rsidRDefault="00F866D2" w:rsidP="00D81811">
      <w:pPr>
        <w:spacing w:line="360" w:lineRule="auto"/>
      </w:pPr>
    </w:p>
    <w:p w14:paraId="16BBFFA5" w14:textId="782D2D8F" w:rsidR="00F866D2" w:rsidRDefault="00F866D2" w:rsidP="00D81811">
      <w:pPr>
        <w:spacing w:line="360" w:lineRule="auto"/>
      </w:pPr>
      <w:r>
        <w:t xml:space="preserve">Heritage and tourism are inextricably linked. Chhabra’s </w:t>
      </w:r>
      <w:r w:rsidR="009875B1">
        <w:t>earlier</w:t>
      </w:r>
      <w:r>
        <w:t xml:space="preserve"> study of heritage tourism found that feelings of authenticity can be attained even when the experience is completely divorced from its original cultural source (</w:t>
      </w:r>
      <w:r w:rsidRPr="003A68D0">
        <w:t>Chhabra 2003</w:t>
      </w:r>
      <w:r>
        <w:t>). This leads us to staged authenticity, which celebrates local history and traditions, arts and crafts, cultural events, and so on, at a far remove from the real thing. Battle re-enactments, medieval fayres, and the Scottish Highland Games (the focus of Chhabra’s study) are all examples of staged events that evoke a strong sense of connection to, and enjoyment of, the past. Chhabra posits that nostalgia and the linking of both the traditional and the present is the appeal of these events. The staged event is experienced as genuine by the participants because it has been explicitly designed to bring about an authentic sense of place or period through theatrical effect and sensory engagement (</w:t>
      </w:r>
      <w:r w:rsidRPr="003A68D0">
        <w:t>Lovell and Bull</w:t>
      </w:r>
      <w:r>
        <w:t xml:space="preserve"> 2018: 1</w:t>
      </w:r>
      <w:r w:rsidR="003A68D0">
        <w:t>47</w:t>
      </w:r>
      <w:r>
        <w:t xml:space="preserve">). This type of historical representation has been described as ‘real fake’ (ibid). Conversely, ‘fake </w:t>
      </w:r>
      <w:proofErr w:type="spellStart"/>
      <w:r>
        <w:t>fake</w:t>
      </w:r>
      <w:proofErr w:type="spellEnd"/>
      <w:r>
        <w:t>’ heritage representations make no attempt to generate a sense of authenticity, as exemplified in the built environment of Las Vegas Strip, where the Venice Campanile rubs shoulders with the Pyramid of Luxor, and visitors enjoy it (or not) for what it is.</w:t>
      </w:r>
    </w:p>
    <w:p w14:paraId="454B0986" w14:textId="77777777" w:rsidR="00F866D2" w:rsidRDefault="00F866D2" w:rsidP="00D81811">
      <w:pPr>
        <w:spacing w:line="360" w:lineRule="auto"/>
      </w:pPr>
    </w:p>
    <w:p w14:paraId="6AB93670" w14:textId="7521D251" w:rsidR="00F866D2" w:rsidRDefault="00F866D2" w:rsidP="00D81811">
      <w:pPr>
        <w:spacing w:line="360" w:lineRule="auto"/>
      </w:pPr>
      <w:r>
        <w:t xml:space="preserve">Fakery has long been an issue for the heritage sector, and this is an interesting area to explore when considering the importance of authenticity. </w:t>
      </w:r>
      <w:r w:rsidRPr="0067511D">
        <w:t>Smith</w:t>
      </w:r>
      <w:r>
        <w:t xml:space="preserve"> argues the ‘common sense assumption that ‘heritage’ can unproblematically be identified as old, grand, monumental and aesthetically pleasing sites, buildings, places and artefacts’ is essentially false (2006: 11). She states that to define it in these terms is to overlook all other social, cultural and historical interpretations about meaning and value. All things that exist in the world are material objects – this is indisputable. And yet an identical copy of an ancient item is seen as having less intrinsic value than the original, despite being of equal technical quality. This brings us back to the politics implicit within the act of authentication. Egyptology, for example, is rife with fakes, and frequently even expert eyes are fooled (</w:t>
      </w:r>
      <w:r w:rsidRPr="00B96A81">
        <w:t>Savage 2008</w:t>
      </w:r>
      <w:r>
        <w:t>). Errors are made, professionals are left with egg on their faces, but do the public care? This is debatable</w:t>
      </w:r>
      <w:r w:rsidRPr="002C5E97">
        <w:t>. Jones (2010</w:t>
      </w:r>
      <w:r>
        <w:t xml:space="preserve">) mentions research that shows that visitors </w:t>
      </w:r>
      <w:r w:rsidR="00E94F6D">
        <w:t xml:space="preserve">experience equal </w:t>
      </w:r>
      <w:r w:rsidR="00301AF5">
        <w:t>pleasure</w:t>
      </w:r>
      <w:r>
        <w:t xml:space="preserve"> when viewing a copy or an original as long as they do not know they are looking at a copy. Alternatively, a temporary exhibition of famous forgeries at the V&amp;A in 2010 drew significantly more visitors than a neighbouring display of new acquisitions featuring notable works of art </w:t>
      </w:r>
      <w:r w:rsidRPr="00C82706">
        <w:t>(Hardwick 2010</w:t>
      </w:r>
      <w:r>
        <w:t xml:space="preserve">). Harwick wryly notes that the prize exhibit, Shaun </w:t>
      </w:r>
      <w:r w:rsidR="00C82706">
        <w:t>Greenhalgh</w:t>
      </w:r>
      <w:r>
        <w:t xml:space="preserve">’s forged </w:t>
      </w:r>
      <w:r>
        <w:rPr>
          <w:i/>
          <w:iCs/>
        </w:rPr>
        <w:t>Amarna Princess</w:t>
      </w:r>
      <w:r>
        <w:t xml:space="preserve">, was ‘an invaluable witness to the twenty-first century state of British Egyptomania and Egyptology’ (2010: 407). With </w:t>
      </w:r>
      <w:r>
        <w:lastRenderedPageBreak/>
        <w:t xml:space="preserve">the help of his parents and brother, </w:t>
      </w:r>
      <w:r w:rsidR="00C82706">
        <w:t>Greenhalgh</w:t>
      </w:r>
      <w:r>
        <w:t xml:space="preserve"> produced artefacts that ranged across genre and era, and which fooled professionals for over a decade. He said of the </w:t>
      </w:r>
      <w:r>
        <w:rPr>
          <w:i/>
          <w:iCs/>
        </w:rPr>
        <w:t>Armana Princess</w:t>
      </w:r>
      <w:r>
        <w:t>, which was sold as original for £440,000, ‘there was no one more surprised than me that it was actually passed by the British Museum’ (</w:t>
      </w:r>
      <w:r w:rsidRPr="0015105B">
        <w:t>Chaudhari 2019</w:t>
      </w:r>
      <w:r>
        <w:t xml:space="preserve">). He suspected elitism was behind his success, saying that the London-based experts did not conceive that a working class family from Bolton would have the insider knowledge, the talent or the audacity required to infiltrate the art world to the extent that they did (ibid). Arguably the most interesting thing about </w:t>
      </w:r>
      <w:r w:rsidR="00C82706">
        <w:t>Greenhalgh</w:t>
      </w:r>
      <w:r>
        <w:t xml:space="preserve">’s and others’ forgeries is that they can come to have value in their own right, as noted in the </w:t>
      </w:r>
      <w:r w:rsidR="00C82706">
        <w:t>Greenhalgh</w:t>
      </w:r>
      <w:r>
        <w:t xml:space="preserve"> interview, and as evidenced by the success of the V&amp;A exhibition. When discovered, such forgeries become authentic fakes – given value by the narrative that has been constructed around them. The fake authenticity is placed centre stage by the museum, and this brings in visitors.</w:t>
      </w:r>
    </w:p>
    <w:p w14:paraId="5E6A61F1" w14:textId="77777777" w:rsidR="00F866D2" w:rsidRDefault="00F866D2" w:rsidP="00D81811">
      <w:pPr>
        <w:spacing w:line="360" w:lineRule="auto"/>
      </w:pPr>
    </w:p>
    <w:p w14:paraId="323C5309" w14:textId="26A19497" w:rsidR="00F866D2" w:rsidRDefault="00F866D2" w:rsidP="00D81811">
      <w:pPr>
        <w:spacing w:line="360" w:lineRule="auto"/>
      </w:pPr>
      <w:r>
        <w:t xml:space="preserve">The important issue re displaying fakes is that visitors are not being </w:t>
      </w:r>
      <w:r w:rsidRPr="00FC1171">
        <w:t>wilfully</w:t>
      </w:r>
      <w:r>
        <w:t xml:space="preserve"> deceived by the heritage institution: museums and other official heritage sites are ‘expected to behave in a socially responsible manner’ (</w:t>
      </w:r>
      <w:r w:rsidRPr="00C661F1">
        <w:t xml:space="preserve">Hede </w:t>
      </w:r>
      <w:r w:rsidR="00E05E67" w:rsidRPr="00C661F1">
        <w:rPr>
          <w:i/>
          <w:iCs/>
        </w:rPr>
        <w:t>et al</w:t>
      </w:r>
      <w:r w:rsidRPr="00C661F1">
        <w:t>. 2014:</w:t>
      </w:r>
      <w:r>
        <w:t xml:space="preserve"> 1400). As </w:t>
      </w:r>
      <w:r w:rsidRPr="00B04833">
        <w:t xml:space="preserve">Brita </w:t>
      </w:r>
      <w:r w:rsidR="00E05E67" w:rsidRPr="00B04833">
        <w:rPr>
          <w:i/>
          <w:iCs/>
        </w:rPr>
        <w:t>et al</w:t>
      </w:r>
      <w:r w:rsidR="00E05E67" w:rsidRPr="00B04833">
        <w:t>.</w:t>
      </w:r>
      <w:r w:rsidRPr="00B04833">
        <w:t xml:space="preserve"> observe</w:t>
      </w:r>
      <w:r>
        <w:t>, museums are full of inauthentic items that are held for pedagogical purposes, as props to enhance the overall experience, or to extend conservation practice through the reproduction of traditional crafts (201</w:t>
      </w:r>
      <w:r w:rsidR="00C661F1">
        <w:t>9</w:t>
      </w:r>
      <w:r>
        <w:t xml:space="preserve">: 2). </w:t>
      </w:r>
      <w:r w:rsidR="00EB7927">
        <w:t xml:space="preserve">One example </w:t>
      </w:r>
      <w:r w:rsidR="0099596D">
        <w:t xml:space="preserve">of this </w:t>
      </w:r>
      <w:r w:rsidR="00EB7927">
        <w:t>is the</w:t>
      </w:r>
      <w:r w:rsidR="00EB7927">
        <w:t xml:space="preserve"> ‘faithful replica’ of the Bayeux Tapestry</w:t>
      </w:r>
      <w:r w:rsidR="0099596D">
        <w:t xml:space="preserve"> </w:t>
      </w:r>
      <w:r w:rsidR="00EB7927">
        <w:t>on display in Reading Museum (</w:t>
      </w:r>
      <w:r w:rsidR="00BA2BD0">
        <w:t>Reading Museum n.d.</w:t>
      </w:r>
      <w:r w:rsidR="00EB7927">
        <w:t>)</w:t>
      </w:r>
      <w:r w:rsidR="00EB7927">
        <w:t xml:space="preserve">. </w:t>
      </w:r>
      <w:r w:rsidR="005A190B">
        <w:t xml:space="preserve">(To illustrate the appeal of the genuine over the copy, it is worth noting that </w:t>
      </w:r>
      <w:r w:rsidR="005A190B">
        <w:t xml:space="preserve">the original </w:t>
      </w:r>
      <w:r w:rsidR="005A190B">
        <w:t xml:space="preserve">tapestry </w:t>
      </w:r>
      <w:r w:rsidR="005A190B">
        <w:t xml:space="preserve">attracts four times as many </w:t>
      </w:r>
      <w:r w:rsidR="005A190B">
        <w:t xml:space="preserve">visitors </w:t>
      </w:r>
      <w:r w:rsidR="005A190B">
        <w:t>as the replica (</w:t>
      </w:r>
      <w:r w:rsidR="005A190B" w:rsidRPr="00E8635D">
        <w:t>Reading Museum 2021; Museums Association 2021</w:t>
      </w:r>
      <w:r w:rsidR="005A190B">
        <w:t>).</w:t>
      </w:r>
      <w:r w:rsidR="005A190B">
        <w:t>)</w:t>
      </w:r>
      <w:r w:rsidR="005A190B">
        <w:t xml:space="preserve"> </w:t>
      </w:r>
      <w:r w:rsidR="00EB7927">
        <w:t xml:space="preserve">Brita </w:t>
      </w:r>
      <w:r w:rsidR="00E05E67" w:rsidRPr="00E05E67">
        <w:rPr>
          <w:i/>
          <w:iCs/>
        </w:rPr>
        <w:t>et al</w:t>
      </w:r>
      <w:r w:rsidR="00EB7927">
        <w:t>.</w:t>
      </w:r>
      <w:r>
        <w:t xml:space="preserve"> also note that the original/copy dichotomy stems from western ideas, hence there are cultural differences in perceptions of authenticity (ibid). This view is backed up by a Chinese study that states that western notions of authenticity are ‘moralized’, whereas the Asian approach finds authenticity in the sensory, aesthetic and spiritual (</w:t>
      </w:r>
      <w:proofErr w:type="spellStart"/>
      <w:r w:rsidRPr="00F007E8">
        <w:t>Jin</w:t>
      </w:r>
      <w:proofErr w:type="spellEnd"/>
      <w:r w:rsidRPr="00F007E8">
        <w:t xml:space="preserve"> </w:t>
      </w:r>
      <w:r w:rsidR="00E05E67" w:rsidRPr="00F007E8">
        <w:rPr>
          <w:i/>
          <w:iCs/>
        </w:rPr>
        <w:t>et al</w:t>
      </w:r>
      <w:r w:rsidR="00E05E67" w:rsidRPr="00F007E8">
        <w:t>.</w:t>
      </w:r>
      <w:r w:rsidRPr="00F007E8">
        <w:t xml:space="preserve"> 2020</w:t>
      </w:r>
      <w:r>
        <w:t xml:space="preserve">: 8). Both papers express the view that in an Asian context, the authenticity of an object is more usually found in the appreciation of the long tradition of craftsmanship that went into its making, rather than in the object itself; an approach that allows a broader conceptualisation of heritage than the western approach of only applying it to items from the past. </w:t>
      </w:r>
      <w:r w:rsidRPr="00594DF4">
        <w:t>Field (200</w:t>
      </w:r>
      <w:r w:rsidR="00847EA8">
        <w:t>9</w:t>
      </w:r>
      <w:r w:rsidRPr="00594DF4">
        <w:t>)</w:t>
      </w:r>
      <w:r>
        <w:t xml:space="preserve"> also explores this theme, describing four kinds of authenticity central to both heritage and commercial activity: ethnographic; original high art; engineered; and branded. He </w:t>
      </w:r>
      <w:r w:rsidR="00A874C8">
        <w:t>states</w:t>
      </w:r>
      <w:r>
        <w:t xml:space="preserve"> that when an object accurately represents its originating culture, ethnographic authenticity is achieved</w:t>
      </w:r>
      <w:r w:rsidR="00925B88">
        <w:t>, but</w:t>
      </w:r>
      <w:r>
        <w:t xml:space="preserve"> this can lead to objects being ‘permitted to vary in appearance only in very narrow and predictable ways’ </w:t>
      </w:r>
      <w:r w:rsidRPr="00643F32">
        <w:t>(200</w:t>
      </w:r>
      <w:r w:rsidR="00DD70AE" w:rsidRPr="00643F32">
        <w:t>9</w:t>
      </w:r>
      <w:r w:rsidRPr="00643F32">
        <w:t xml:space="preserve">: </w:t>
      </w:r>
      <w:r w:rsidR="00643F32">
        <w:t>510</w:t>
      </w:r>
      <w:r>
        <w:t xml:space="preserve">). If ethnographic objects are being produced for commercial reasons (i.e., for the heritage tourism market), the imposition of western ideas of authenticity may be stifling artistic development by </w:t>
      </w:r>
      <w:r>
        <w:lastRenderedPageBreak/>
        <w:t>confining artists to producing what tourists think heritage should look like. On the other hand, as Lovell and Bull note, traditional artisanship is often mimetic, linking past and present together through traditional skills (</w:t>
      </w:r>
      <w:r w:rsidRPr="00AE2947">
        <w:t>2018</w:t>
      </w:r>
      <w:r w:rsidR="00AE2947" w:rsidRPr="00AE2947">
        <w:t>: 40)</w:t>
      </w:r>
      <w:r w:rsidRPr="00AE2947">
        <w:t>.</w:t>
      </w:r>
      <w:r>
        <w:t xml:space="preserve"> We are back to considering who decides what is authentic and why. As </w:t>
      </w:r>
      <w:r w:rsidRPr="002C5E97">
        <w:t>Jones st</w:t>
      </w:r>
      <w:r>
        <w:t xml:space="preserve">ates, even today ‘experts in various guises… actively produce and negotiate these realms of value’ (2010: 182). </w:t>
      </w:r>
    </w:p>
    <w:p w14:paraId="72E2B0AB" w14:textId="77777777" w:rsidR="00F866D2" w:rsidRDefault="00F866D2" w:rsidP="00D81811">
      <w:pPr>
        <w:spacing w:line="360" w:lineRule="auto"/>
      </w:pPr>
    </w:p>
    <w:p w14:paraId="7DA0847B" w14:textId="2C58D521" w:rsidR="00F866D2" w:rsidRDefault="00F866D2" w:rsidP="00D81811">
      <w:pPr>
        <w:spacing w:line="360" w:lineRule="auto"/>
      </w:pPr>
      <w:r>
        <w:t xml:space="preserve">Chhabra </w:t>
      </w:r>
      <w:r w:rsidR="000350BB">
        <w:t xml:space="preserve">observed </w:t>
      </w:r>
      <w:r>
        <w:t>that ‘experiential cultural tourism is becoming increasingly popular and it focuses on providing cultural empathy and ‘authentic, emotional, and spiritual experiences’’ (</w:t>
      </w:r>
      <w:r w:rsidRPr="00703A5C">
        <w:t>2008:</w:t>
      </w:r>
      <w:r>
        <w:t xml:space="preserve"> 430). Indeed, many museums now attempt to enable visitors to feel a personal connection to their displays, to engender a more emotional response that will remain with them after they have left. This interactive approach is intended to heighten a sense of inclusivity and encourage engagement. In the shift to what C</w:t>
      </w:r>
      <w:r w:rsidRPr="00C248BE">
        <w:t>asey</w:t>
      </w:r>
      <w:r>
        <w:t xml:space="preserve"> called ‘performative’ museums (2003) we find perhaps the most important development in how authenticity is presented within the heritage environment. Many have argued that authenticity is a personal construct – ‘not a tangible asset, but… a judgement of value placed on the setting by the observer’ (</w:t>
      </w:r>
      <w:proofErr w:type="spellStart"/>
      <w:r>
        <w:t>Moscardo</w:t>
      </w:r>
      <w:proofErr w:type="spellEnd"/>
      <w:r>
        <w:t xml:space="preserve"> and Pearce, quoted in </w:t>
      </w:r>
      <w:r w:rsidRPr="00C248BE">
        <w:t xml:space="preserve">Chhabra 2010: </w:t>
      </w:r>
      <w:r w:rsidR="00C248BE" w:rsidRPr="00C248BE">
        <w:t>794</w:t>
      </w:r>
      <w:r>
        <w:t xml:space="preserve">), and contemporary presentation of heritage increasingly relies on engineering a sense of emotional connection in visitors to what is on view. </w:t>
      </w:r>
      <w:r w:rsidRPr="009365F2">
        <w:t>Penrose</w:t>
      </w:r>
      <w:r>
        <w:t xml:space="preserve"> (20</w:t>
      </w:r>
      <w:r w:rsidR="00EA2F1A">
        <w:t>18</w:t>
      </w:r>
      <w:r>
        <w:t xml:space="preserve">) writes about how the successful transmission of a narrative relies equally on how objects are presented and how they are received. She notes that by expanding official interpretation to include visitors’ own understandings, contexts and narratives, subjective feelings of authenticity are enhanced, enriching the visitor experience and providing a </w:t>
      </w:r>
      <w:r w:rsidR="00445EFC">
        <w:t>personal</w:t>
      </w:r>
      <w:r>
        <w:t xml:space="preserve"> understanding of how the past connects to the present. While the interpretation is ostensibly made by the visitor, however, the museum goes to great lengths to ensure th</w:t>
      </w:r>
      <w:r w:rsidR="00C637A2">
        <w:t>e preferred</w:t>
      </w:r>
      <w:r>
        <w:t xml:space="preserve"> message is received. The Anne Frank House, for example, invokes experiential authenticity by emotive storytelling to convey its core message in a relatable and relevant way</w:t>
      </w:r>
      <w:r w:rsidR="00C637A2">
        <w:t>, so that t</w:t>
      </w:r>
      <w:r>
        <w:t>he profundity and significance of the historic events depicted is made real for visitors in a way that resonates with contemporary concerns and personal experience (</w:t>
      </w:r>
      <w:r w:rsidR="00443B05">
        <w:t>Penrose 2018</w:t>
      </w:r>
      <w:r>
        <w:t xml:space="preserve">). Museums achieve this </w:t>
      </w:r>
      <w:r w:rsidR="00793023">
        <w:t>type</w:t>
      </w:r>
      <w:r>
        <w:t xml:space="preserve"> of integrated learning not just through the objects on display but also through careful use of atmospheric cues that enhance perceptions of authenticity (</w:t>
      </w:r>
      <w:proofErr w:type="spellStart"/>
      <w:r w:rsidRPr="00875325">
        <w:t>Lourerio</w:t>
      </w:r>
      <w:proofErr w:type="spellEnd"/>
      <w:r w:rsidRPr="00875325">
        <w:t xml:space="preserve"> 2019</w:t>
      </w:r>
      <w:r>
        <w:t>). That so much effort is put into enhancing feelings of personal connection via authenticity demonstrates its importance to the heritage industry.</w:t>
      </w:r>
    </w:p>
    <w:p w14:paraId="12076656" w14:textId="77777777" w:rsidR="00F866D2" w:rsidRDefault="00F866D2" w:rsidP="00D81811">
      <w:pPr>
        <w:spacing w:line="360" w:lineRule="auto"/>
      </w:pPr>
    </w:p>
    <w:p w14:paraId="40EDAA43" w14:textId="0CD0F7E3" w:rsidR="00F866D2" w:rsidRDefault="00F866D2" w:rsidP="00D81811">
      <w:pPr>
        <w:spacing w:line="360" w:lineRule="auto"/>
      </w:pPr>
      <w:r>
        <w:t xml:space="preserve">However, narratives perceived to be inauthentic can generate strong dissonance reactions. For example, non-Christians </w:t>
      </w:r>
      <w:r w:rsidR="00683FB7">
        <w:t xml:space="preserve">may </w:t>
      </w:r>
      <w:r>
        <w:t>struggle with the Creation Museum’s biblical interpretation of dinosaur bones (</w:t>
      </w:r>
      <w:r w:rsidRPr="00A5395C">
        <w:t>Creation Museum 2021</w:t>
      </w:r>
      <w:r>
        <w:t xml:space="preserve">). In a discussion of ‘creative labelling’, </w:t>
      </w:r>
      <w:r w:rsidRPr="00C91D07">
        <w:t>Ting (2010</w:t>
      </w:r>
      <w:r>
        <w:t xml:space="preserve">) recounts how, </w:t>
      </w:r>
      <w:r>
        <w:lastRenderedPageBreak/>
        <w:t xml:space="preserve">while allowing individual visitors to apply their own interpretations to museum objects during a community engagement session, one attempt to label a twelfth century Chinese tea bowl as a Native American artefact left her deeply conflicted, especially as the labeller knew the object was Chinese. Despite respecting the sentiment behind the labelling, she was ‘reluctant to make such a liberal connection’ (2010: 200). She states that when a museum considers a personal interpretation to be </w:t>
      </w:r>
      <w:r w:rsidR="00683FB7">
        <w:t>‘</w:t>
      </w:r>
      <w:r>
        <w:t>trivial or even inappropriate</w:t>
      </w:r>
      <w:r w:rsidR="00683FB7">
        <w:t>’</w:t>
      </w:r>
      <w:r>
        <w:t xml:space="preserve"> it then feels obliged to take over interpretive authority to retain integrity (ibid). This example illustrates both how the need for authenticity is deeply felt and how, despite the recent shift into community engagement, heritage institutions still </w:t>
      </w:r>
      <w:r w:rsidR="00683FB7">
        <w:t>desire</w:t>
      </w:r>
      <w:r>
        <w:t xml:space="preserve"> to control the narrative.</w:t>
      </w:r>
    </w:p>
    <w:p w14:paraId="78A9AEF1" w14:textId="77777777" w:rsidR="00F866D2" w:rsidRDefault="00F866D2" w:rsidP="00D81811">
      <w:pPr>
        <w:spacing w:line="360" w:lineRule="auto"/>
      </w:pPr>
    </w:p>
    <w:p w14:paraId="20A95541" w14:textId="0A620DB2" w:rsidR="00F866D2" w:rsidRDefault="00F866D2" w:rsidP="00D81811">
      <w:pPr>
        <w:spacing w:line="360" w:lineRule="auto"/>
      </w:pPr>
      <w:r>
        <w:t xml:space="preserve">The thread running through all versions of authenticity offered by heritage institutions is the promotion of meaningful connection to the past. As competitors in a global tourism market, repackaging the past for consumer consumption has become just as important to the heritage sector as its original mission to collect, conserve and educate. Heritage has become a global industry that reflects not just history, but national, community and individual identity </w:t>
      </w:r>
      <w:r w:rsidR="006F6233">
        <w:t>(Ambrose and Paine 2018: 7</w:t>
      </w:r>
      <w:r>
        <w:t>). Furthermore,</w:t>
      </w:r>
      <w:r w:rsidR="006F6233">
        <w:t xml:space="preserve"> </w:t>
      </w:r>
      <w:r>
        <w:t xml:space="preserve">it is big business – at 2015, the museum sector in England </w:t>
      </w:r>
      <w:r w:rsidR="000350BB">
        <w:t xml:space="preserve">alone </w:t>
      </w:r>
      <w:r>
        <w:t xml:space="preserve">was contributing £1.45bn per year to the </w:t>
      </w:r>
      <w:r w:rsidR="004B3D5C">
        <w:t xml:space="preserve">British </w:t>
      </w:r>
      <w:r>
        <w:t xml:space="preserve">economy, and generating </w:t>
      </w:r>
      <w:r w:rsidR="00764890">
        <w:t xml:space="preserve">three times as much as it was receiving in </w:t>
      </w:r>
      <w:r>
        <w:t>grant</w:t>
      </w:r>
      <w:r w:rsidR="00764890">
        <w:t>s</w:t>
      </w:r>
      <w:r>
        <w:t xml:space="preserve"> (</w:t>
      </w:r>
      <w:r w:rsidRPr="000D623B">
        <w:t xml:space="preserve">Arts Council </w:t>
      </w:r>
      <w:r w:rsidR="000D623B" w:rsidRPr="000D623B">
        <w:t xml:space="preserve">England </w:t>
      </w:r>
      <w:r w:rsidRPr="000D623B">
        <w:t>2015</w:t>
      </w:r>
      <w:r>
        <w:t xml:space="preserve">). The Louvre </w:t>
      </w:r>
      <w:r w:rsidR="003D07F5">
        <w:t>continues to be</w:t>
      </w:r>
      <w:r>
        <w:t xml:space="preserve"> the most visited museum </w:t>
      </w:r>
      <w:r w:rsidR="003D07F5">
        <w:t>in the world</w:t>
      </w:r>
      <w:r w:rsidR="00D14818">
        <w:t xml:space="preserve"> </w:t>
      </w:r>
      <w:r>
        <w:t>(</w:t>
      </w:r>
      <w:r w:rsidR="000D1A86" w:rsidRPr="003D07F5">
        <w:t>Statista 2021</w:t>
      </w:r>
      <w:r w:rsidRPr="003D07F5">
        <w:t>)</w:t>
      </w:r>
      <w:r w:rsidR="00D14818" w:rsidRPr="003D07F5">
        <w:t>,</w:t>
      </w:r>
      <w:r w:rsidR="00D14818">
        <w:t xml:space="preserve"> and it anticipates that visitor numbers will continue to rise (</w:t>
      </w:r>
      <w:r w:rsidR="00D14818" w:rsidRPr="00A3178E">
        <w:t>Cascone 2014</w:t>
      </w:r>
      <w:r w:rsidR="00D14818">
        <w:t xml:space="preserve">). </w:t>
      </w:r>
      <w:r w:rsidR="000D1A86">
        <w:t>A</w:t>
      </w:r>
      <w:r>
        <w:t xml:space="preserve"> recent study of its visitors found that young people placed just as much importance on </w:t>
      </w:r>
      <w:r w:rsidR="00060E3F">
        <w:t>physical visits</w:t>
      </w:r>
      <w:r>
        <w:t xml:space="preserve"> as older visitors (</w:t>
      </w:r>
      <w:r w:rsidRPr="005B1194">
        <w:t>Evrard</w:t>
      </w:r>
      <w:r w:rsidR="00A3178E" w:rsidRPr="005B1194">
        <w:t xml:space="preserve"> and Krebs</w:t>
      </w:r>
      <w:r w:rsidRPr="005B1194">
        <w:t xml:space="preserve"> 201</w:t>
      </w:r>
      <w:r w:rsidR="00A3178E" w:rsidRPr="005B1194">
        <w:t>7</w:t>
      </w:r>
      <w:r>
        <w:t>)</w:t>
      </w:r>
      <w:r w:rsidR="00060E3F">
        <w:t xml:space="preserve">. If even </w:t>
      </w:r>
      <w:r w:rsidR="000D1A86">
        <w:t>digital natives</w:t>
      </w:r>
      <w:r w:rsidR="00101A2E">
        <w:t xml:space="preserve"> </w:t>
      </w:r>
      <w:r>
        <w:t xml:space="preserve">place high value on </w:t>
      </w:r>
      <w:r w:rsidR="00101A2E">
        <w:t xml:space="preserve">experiencing </w:t>
      </w:r>
      <w:r>
        <w:t>the real</w:t>
      </w:r>
      <w:r w:rsidR="00060E3F">
        <w:t>, the future looks bright for heritage.</w:t>
      </w:r>
    </w:p>
    <w:p w14:paraId="1B386247" w14:textId="77777777" w:rsidR="00F866D2" w:rsidRDefault="00F866D2" w:rsidP="00D81811">
      <w:pPr>
        <w:spacing w:line="360" w:lineRule="auto"/>
      </w:pPr>
    </w:p>
    <w:p w14:paraId="6EB54B3F" w14:textId="55AF7FCD" w:rsidR="00811CCD" w:rsidRDefault="00F866D2" w:rsidP="00D81811">
      <w:pPr>
        <w:spacing w:line="360" w:lineRule="auto"/>
      </w:pPr>
      <w:r>
        <w:t>As authenticity ‘functions not only in the realm of unique’ (</w:t>
      </w:r>
      <w:r w:rsidRPr="006C7915">
        <w:t>Field</w:t>
      </w:r>
      <w:r w:rsidR="006C7915" w:rsidRPr="006C7915">
        <w:t xml:space="preserve"> 2009</w:t>
      </w:r>
      <w:r w:rsidRPr="006C7915">
        <w:t xml:space="preserve">: </w:t>
      </w:r>
      <w:r w:rsidR="006C7915">
        <w:t>510</w:t>
      </w:r>
      <w:r>
        <w:t xml:space="preserve">), </w:t>
      </w:r>
      <w:r w:rsidR="00D14818">
        <w:t>museums</w:t>
      </w:r>
      <w:r>
        <w:t xml:space="preserve"> have </w:t>
      </w:r>
      <w:r w:rsidR="00D14818">
        <w:t>used it</w:t>
      </w:r>
      <w:r>
        <w:t xml:space="preserve"> to draw </w:t>
      </w:r>
      <w:r w:rsidR="00D14818">
        <w:t>out</w:t>
      </w:r>
      <w:r>
        <w:t xml:space="preserve"> visitors’ personal expectations, which then enhance</w:t>
      </w:r>
      <w:r w:rsidR="00D14818">
        <w:t>s</w:t>
      </w:r>
      <w:r>
        <w:t xml:space="preserve"> their reputations as ‘bastions of authenticity’ (q.v.). Whether authenticity is understood as factual, original, authoritative, truthful, sincere, traditionally produced, an accurate reflection of real life, or a facet of individualisation, it is ‘one of the most important… marketing constructs that has emerged… in the past few decades’ (</w:t>
      </w:r>
      <w:r w:rsidRPr="00EA0557">
        <w:t xml:space="preserve">Hede </w:t>
      </w:r>
      <w:r w:rsidR="00E05E67" w:rsidRPr="00EA0557">
        <w:rPr>
          <w:i/>
          <w:iCs/>
        </w:rPr>
        <w:t>et al.</w:t>
      </w:r>
      <w:r w:rsidRPr="00EA0557">
        <w:t xml:space="preserve"> 2014:</w:t>
      </w:r>
      <w:r>
        <w:t xml:space="preserve"> 1406) </w:t>
      </w:r>
      <w:r w:rsidR="00D14818">
        <w:t>and</w:t>
      </w:r>
      <w:r>
        <w:t xml:space="preserve"> museums rely on </w:t>
      </w:r>
      <w:r w:rsidR="00D14818">
        <w:t xml:space="preserve">it </w:t>
      </w:r>
      <w:r>
        <w:t xml:space="preserve">to generate income and keep customers coming back. Authenticity is ‘a fundamental measure of museum distinctiveness’ </w:t>
      </w:r>
      <w:r w:rsidRPr="00EA0557">
        <w:t>(Chhabra 2008</w:t>
      </w:r>
      <w:r>
        <w:t>: 430) and cultural construct or not, it remains of paramount importance in the presentation of heritage.</w:t>
      </w:r>
    </w:p>
    <w:p w14:paraId="6B5CFCA8" w14:textId="04BA9DD2" w:rsidR="00D81811" w:rsidRDefault="00D81811">
      <w:pPr>
        <w:rPr>
          <w:b/>
          <w:bCs/>
        </w:rPr>
      </w:pPr>
    </w:p>
    <w:p w14:paraId="6529C86C" w14:textId="77777777" w:rsidR="00632B47" w:rsidRDefault="00632B47">
      <w:pPr>
        <w:rPr>
          <w:b/>
          <w:bCs/>
        </w:rPr>
      </w:pPr>
      <w:r>
        <w:rPr>
          <w:b/>
          <w:bCs/>
        </w:rPr>
        <w:br w:type="page"/>
      </w:r>
    </w:p>
    <w:p w14:paraId="3C14A7D9" w14:textId="7EED0019" w:rsidR="00811CCD" w:rsidRDefault="00D708A4" w:rsidP="00D81811">
      <w:pPr>
        <w:spacing w:line="360" w:lineRule="auto"/>
      </w:pPr>
      <w:r>
        <w:rPr>
          <w:b/>
          <w:bCs/>
        </w:rPr>
        <w:lastRenderedPageBreak/>
        <w:t>REFERENCES</w:t>
      </w:r>
    </w:p>
    <w:p w14:paraId="264C79D2" w14:textId="77777777" w:rsidR="00C54EED" w:rsidRDefault="00C54EED" w:rsidP="00D81811">
      <w:pPr>
        <w:spacing w:line="360" w:lineRule="auto"/>
      </w:pPr>
    </w:p>
    <w:p w14:paraId="7EA87864" w14:textId="2FB8D62C" w:rsidR="009978BC" w:rsidRPr="009978BC" w:rsidRDefault="009978BC" w:rsidP="00D81811">
      <w:pPr>
        <w:spacing w:line="240" w:lineRule="auto"/>
      </w:pPr>
      <w:r>
        <w:t xml:space="preserve">Alsayyad, N. (2008) ‘The new challenges of globalization’, in Kalay, Y., Kvan, T. and Affleck, J. (eds.) </w:t>
      </w:r>
      <w:r>
        <w:rPr>
          <w:i/>
          <w:iCs/>
        </w:rPr>
        <w:t>New Heritage</w:t>
      </w:r>
      <w:r>
        <w:t>. Abingdon: Routledge.</w:t>
      </w:r>
    </w:p>
    <w:p w14:paraId="779D4B0C" w14:textId="77777777" w:rsidR="009978BC" w:rsidRDefault="009978BC" w:rsidP="00D81811">
      <w:pPr>
        <w:spacing w:line="240" w:lineRule="auto"/>
      </w:pPr>
    </w:p>
    <w:p w14:paraId="5EEA2EDA" w14:textId="4FB57078" w:rsidR="00C54EED" w:rsidRDefault="00C54EED" w:rsidP="00D81811">
      <w:pPr>
        <w:spacing w:line="240" w:lineRule="auto"/>
      </w:pPr>
      <w:r>
        <w:t xml:space="preserve">Ambrose, T. and Paine, C. (2018). </w:t>
      </w:r>
      <w:r>
        <w:rPr>
          <w:i/>
          <w:iCs/>
        </w:rPr>
        <w:t xml:space="preserve">Museum Basics: The International </w:t>
      </w:r>
      <w:r w:rsidRPr="0020593A">
        <w:rPr>
          <w:i/>
          <w:iCs/>
        </w:rPr>
        <w:t>Handbook</w:t>
      </w:r>
      <w:r>
        <w:t xml:space="preserve"> (</w:t>
      </w:r>
      <w:r w:rsidRPr="0020593A">
        <w:t>4th</w:t>
      </w:r>
      <w:r>
        <w:t xml:space="preserve"> ed). Abingdon: Routledge.</w:t>
      </w:r>
    </w:p>
    <w:p w14:paraId="200A9A29" w14:textId="6C01E78E" w:rsidR="00ED17C3" w:rsidRDefault="00ED17C3" w:rsidP="00D81811">
      <w:pPr>
        <w:spacing w:line="240" w:lineRule="auto"/>
      </w:pPr>
    </w:p>
    <w:p w14:paraId="346A5B99" w14:textId="2001AE7D" w:rsidR="00C51F22" w:rsidRPr="00E80B21" w:rsidRDefault="00EC42EE" w:rsidP="00D81811">
      <w:pPr>
        <w:spacing w:line="240" w:lineRule="auto"/>
      </w:pPr>
      <w:r>
        <w:t>American Association of Museums (2014)</w:t>
      </w:r>
      <w:r w:rsidR="00C51F22">
        <w:t>.</w:t>
      </w:r>
      <w:r w:rsidR="00E80B21">
        <w:t xml:space="preserve"> </w:t>
      </w:r>
      <w:r w:rsidR="00E80B21">
        <w:rPr>
          <w:i/>
          <w:iCs/>
        </w:rPr>
        <w:t>American Alliance of Museums President Ford W. Bell to retire in May, 2015</w:t>
      </w:r>
      <w:r w:rsidR="00E80B21">
        <w:t xml:space="preserve">. Available at </w:t>
      </w:r>
      <w:r w:rsidR="00E80B21" w:rsidRPr="00E80B21">
        <w:t>https://www.aam-us.org/2014/08/19/american-alliance-of-museums-president-ford-w-bell-to-retire-in-may-2015/</w:t>
      </w:r>
      <w:r w:rsidR="00E80B21">
        <w:t xml:space="preserve"> </w:t>
      </w:r>
      <w:r w:rsidR="00E80B21">
        <w:t>[accessed 17 October 2021].</w:t>
      </w:r>
    </w:p>
    <w:p w14:paraId="3E6DDB36" w14:textId="177F7AC4" w:rsidR="00BD1A21" w:rsidRDefault="00BD1A21" w:rsidP="00D81811">
      <w:pPr>
        <w:spacing w:line="240" w:lineRule="auto"/>
      </w:pPr>
    </w:p>
    <w:p w14:paraId="10956402" w14:textId="3CF93681" w:rsidR="00BD1A21" w:rsidRPr="00BD1A21" w:rsidRDefault="00BD1A21" w:rsidP="00D81811">
      <w:pPr>
        <w:spacing w:line="240" w:lineRule="auto"/>
      </w:pPr>
      <w:r>
        <w:t xml:space="preserve">Arts Council England (2015). </w:t>
      </w:r>
      <w:r>
        <w:rPr>
          <w:i/>
          <w:iCs/>
        </w:rPr>
        <w:t xml:space="preserve">The Economic Impact of Museums in England. </w:t>
      </w:r>
      <w:r>
        <w:t xml:space="preserve">Available at </w:t>
      </w:r>
      <w:r w:rsidRPr="00BD1A21">
        <w:t>https://www.artscouncil.org.uk/sites/default/files/download-file/Economic_Impact_of_</w:t>
      </w:r>
      <w:r>
        <w:t xml:space="preserve"> </w:t>
      </w:r>
      <w:r w:rsidRPr="00BD1A21">
        <w:t>Museums_in_England_report.pdf</w:t>
      </w:r>
      <w:r>
        <w:t xml:space="preserve"> </w:t>
      </w:r>
      <w:r>
        <w:t>[accessed 17 October 2021].</w:t>
      </w:r>
    </w:p>
    <w:p w14:paraId="4D42B503" w14:textId="13270B02" w:rsidR="006855BA" w:rsidRDefault="006855BA" w:rsidP="00D81811">
      <w:pPr>
        <w:spacing w:line="240" w:lineRule="auto"/>
      </w:pPr>
    </w:p>
    <w:p w14:paraId="5BDE1A2D" w14:textId="1903C1BC" w:rsidR="006855BA" w:rsidRDefault="006855BA" w:rsidP="00D81811">
      <w:pPr>
        <w:spacing w:line="240" w:lineRule="auto"/>
      </w:pPr>
      <w:r>
        <w:t xml:space="preserve">Bennett, T. (1995). </w:t>
      </w:r>
      <w:r>
        <w:rPr>
          <w:i/>
          <w:iCs/>
        </w:rPr>
        <w:t>The Birth of the Museum</w:t>
      </w:r>
      <w:r>
        <w:t>. London: Routledge.</w:t>
      </w:r>
    </w:p>
    <w:p w14:paraId="402C08C3" w14:textId="7458F4E8" w:rsidR="00C661F1" w:rsidRDefault="00C661F1" w:rsidP="00D81811">
      <w:pPr>
        <w:spacing w:line="240" w:lineRule="auto"/>
      </w:pPr>
    </w:p>
    <w:p w14:paraId="13B860D8" w14:textId="381B6E28" w:rsidR="00C661F1" w:rsidRDefault="00C661F1" w:rsidP="00D81811">
      <w:pPr>
        <w:spacing w:line="240" w:lineRule="auto"/>
      </w:pPr>
      <w:r>
        <w:t xml:space="preserve">Brita, B., Dam Christensen, H., and Hamran, O. (2019). </w:t>
      </w:r>
      <w:r>
        <w:rPr>
          <w:i/>
          <w:iCs/>
        </w:rPr>
        <w:t>Museums as Cultures of Copies.</w:t>
      </w:r>
      <w:r>
        <w:t xml:space="preserve"> Abingdon: Routledge. </w:t>
      </w:r>
      <w:r w:rsidR="005425BE">
        <w:t xml:space="preserve">Available at </w:t>
      </w:r>
      <w:r w:rsidR="005425BE" w:rsidRPr="005425BE">
        <w:t>https://www-vlebooks-com.ezproxy.uwtsd.ac.uk/Vleweb/Product/Index/2024665?page=0</w:t>
      </w:r>
      <w:r w:rsidR="005425BE">
        <w:t xml:space="preserve"> </w:t>
      </w:r>
      <w:r w:rsidR="005425BE">
        <w:t>[accessed 17 October 2021].</w:t>
      </w:r>
    </w:p>
    <w:p w14:paraId="19D97736" w14:textId="46BF166D" w:rsidR="00661708" w:rsidRDefault="00661708" w:rsidP="00D81811">
      <w:pPr>
        <w:spacing w:line="240" w:lineRule="auto"/>
      </w:pPr>
    </w:p>
    <w:p w14:paraId="2BCC3C33" w14:textId="3D670619" w:rsidR="00661708" w:rsidRPr="00661708" w:rsidRDefault="00661708" w:rsidP="00D81811">
      <w:pPr>
        <w:spacing w:line="240" w:lineRule="auto"/>
      </w:pPr>
      <w:r>
        <w:t xml:space="preserve">Cascone, S. (2014). ‘Louvre expects 12 million visitors per year by 2025’. </w:t>
      </w:r>
      <w:proofErr w:type="spellStart"/>
      <w:r>
        <w:rPr>
          <w:i/>
          <w:iCs/>
        </w:rPr>
        <w:t>ArtNet</w:t>
      </w:r>
      <w:proofErr w:type="spellEnd"/>
      <w:r>
        <w:rPr>
          <w:i/>
          <w:iCs/>
        </w:rPr>
        <w:t>.</w:t>
      </w:r>
      <w:r>
        <w:t xml:space="preserve"> Available at </w:t>
      </w:r>
      <w:r w:rsidRPr="00661708">
        <w:t>https://news.artnet.com/art-world/louvre-expects-12-million-visitors-per-year-by-2025-69408</w:t>
      </w:r>
      <w:r>
        <w:t xml:space="preserve"> </w:t>
      </w:r>
      <w:r>
        <w:t>[accessed 17 October 2021].</w:t>
      </w:r>
    </w:p>
    <w:p w14:paraId="3F996511" w14:textId="7AC71A9C" w:rsidR="00703A5C" w:rsidRDefault="00703A5C" w:rsidP="00D81811">
      <w:pPr>
        <w:spacing w:line="240" w:lineRule="auto"/>
      </w:pPr>
    </w:p>
    <w:p w14:paraId="4354BFEB" w14:textId="0CAC9828" w:rsidR="00703A5C" w:rsidRPr="00C661F1" w:rsidRDefault="00703A5C" w:rsidP="00D81811">
      <w:pPr>
        <w:spacing w:line="240" w:lineRule="auto"/>
      </w:pPr>
      <w:r>
        <w:t xml:space="preserve">Casey, V. (2003). </w:t>
      </w:r>
      <w:r>
        <w:rPr>
          <w:i/>
          <w:iCs/>
        </w:rPr>
        <w:t>The Museum Effect</w:t>
      </w:r>
      <w:r>
        <w:t xml:space="preserve">. Available at </w:t>
      </w:r>
      <w:r w:rsidRPr="0028357C">
        <w:t>http://valcasey.com/thesis/thesis_effect.html</w:t>
      </w:r>
      <w:r>
        <w:t xml:space="preserve"> [accessed 17 October 2021].</w:t>
      </w:r>
    </w:p>
    <w:p w14:paraId="3901C4C3" w14:textId="13E63F57" w:rsidR="00AB019A" w:rsidRDefault="00AB019A" w:rsidP="00D81811">
      <w:pPr>
        <w:spacing w:line="240" w:lineRule="auto"/>
      </w:pPr>
    </w:p>
    <w:p w14:paraId="3A669E81" w14:textId="3E8D4050" w:rsidR="00AB019A" w:rsidRPr="00C82706" w:rsidRDefault="00AB019A" w:rsidP="00D81811">
      <w:pPr>
        <w:spacing w:line="240" w:lineRule="auto"/>
      </w:pPr>
      <w:r>
        <w:t>Chaudhari</w:t>
      </w:r>
      <w:r w:rsidR="00C82706">
        <w:t>, S.</w:t>
      </w:r>
      <w:r>
        <w:t xml:space="preserve"> </w:t>
      </w:r>
      <w:r w:rsidR="00C82706">
        <w:t>(</w:t>
      </w:r>
      <w:r>
        <w:t>2019</w:t>
      </w:r>
      <w:r w:rsidR="00C82706">
        <w:t xml:space="preserve">). ‘Master forger Shaun Greenhalgh speaks about his ‘art’ in rare public interview’. </w:t>
      </w:r>
      <w:r w:rsidR="00C82706">
        <w:rPr>
          <w:i/>
          <w:iCs/>
        </w:rPr>
        <w:t>The Bolton News</w:t>
      </w:r>
      <w:r w:rsidR="00C82706">
        <w:t xml:space="preserve">, 15 October. Available at </w:t>
      </w:r>
    </w:p>
    <w:p w14:paraId="0DDB906F" w14:textId="4A3C85CE" w:rsidR="00AB019A" w:rsidRDefault="00C82706" w:rsidP="00D81811">
      <w:pPr>
        <w:spacing w:line="240" w:lineRule="auto"/>
      </w:pPr>
      <w:r w:rsidRPr="00C82706">
        <w:t>https://www.theboltonnews.co.uk/news/17967558.master-forger-shaun-greenhalgh-speaks-art-rare-public-interview/</w:t>
      </w:r>
      <w:r>
        <w:t xml:space="preserve"> </w:t>
      </w:r>
      <w:r>
        <w:t>[accessed 17 October 2021].</w:t>
      </w:r>
    </w:p>
    <w:p w14:paraId="3CA39E6F" w14:textId="77777777" w:rsidR="00AB019A" w:rsidRDefault="00AB019A" w:rsidP="00D81811">
      <w:pPr>
        <w:spacing w:line="240" w:lineRule="auto"/>
      </w:pPr>
    </w:p>
    <w:p w14:paraId="5AC76F5B" w14:textId="6F8BD403" w:rsidR="00ED17C3" w:rsidRDefault="00ED17C3" w:rsidP="00D81811">
      <w:pPr>
        <w:spacing w:line="240" w:lineRule="auto"/>
      </w:pPr>
      <w:r>
        <w:t>Chhabra</w:t>
      </w:r>
      <w:r w:rsidR="00EC3F74">
        <w:t>, D. (</w:t>
      </w:r>
      <w:r>
        <w:t>2003</w:t>
      </w:r>
      <w:r w:rsidR="00EC3F74">
        <w:t>). ‘</w:t>
      </w:r>
      <w:r>
        <w:t>Staged authenticity and heritage tourism</w:t>
      </w:r>
      <w:r w:rsidR="00EC3F74">
        <w:t xml:space="preserve">’ in </w:t>
      </w:r>
      <w:r w:rsidR="00EC3F74">
        <w:rPr>
          <w:i/>
          <w:iCs/>
        </w:rPr>
        <w:t>Annals of Tourism Research</w:t>
      </w:r>
      <w:r w:rsidR="00EC3F74">
        <w:t xml:space="preserve"> 30(3) pp.702-719. Available at</w:t>
      </w:r>
      <w:r>
        <w:t xml:space="preserve"> </w:t>
      </w:r>
      <w:r w:rsidR="001C3D2F" w:rsidRPr="001C3D2F">
        <w:t>https://doi.org/10.1016/S0160-7383(03)00044-6</w:t>
      </w:r>
      <w:r w:rsidR="001C3D2F">
        <w:t xml:space="preserve"> </w:t>
      </w:r>
      <w:r w:rsidR="001C3D2F">
        <w:t>[accessed 17 October 2021].</w:t>
      </w:r>
    </w:p>
    <w:p w14:paraId="1D442C7D" w14:textId="1C0DBD4B" w:rsidR="00BC3AE7" w:rsidRDefault="00BC3AE7" w:rsidP="00D81811">
      <w:pPr>
        <w:spacing w:line="240" w:lineRule="auto"/>
      </w:pPr>
    </w:p>
    <w:p w14:paraId="3045A41A" w14:textId="29A8349D" w:rsidR="00673D69" w:rsidRPr="00BC3AE7" w:rsidRDefault="004F5027" w:rsidP="00673D69">
      <w:pPr>
        <w:spacing w:line="240" w:lineRule="auto"/>
      </w:pPr>
      <w:r>
        <w:t xml:space="preserve">Chhabra, D. (2008). ‘Positioning museums on an authenticity continuum’ in </w:t>
      </w:r>
      <w:r w:rsidR="00673D69">
        <w:rPr>
          <w:i/>
          <w:iCs/>
        </w:rPr>
        <w:t>Annals of Tourism Research</w:t>
      </w:r>
      <w:r w:rsidR="00673D69">
        <w:t xml:space="preserve"> 35(2) pp.427-447. Available at </w:t>
      </w:r>
      <w:r w:rsidR="00673D69" w:rsidRPr="00673D69">
        <w:t>https://doi.org/10.1016/j.annals.2007.12.001</w:t>
      </w:r>
      <w:r w:rsidR="00673D69">
        <w:t xml:space="preserve"> </w:t>
      </w:r>
      <w:r w:rsidR="00673D69">
        <w:t>[accessed 17 October 2021].</w:t>
      </w:r>
    </w:p>
    <w:p w14:paraId="5623AF3A" w14:textId="7AB537A2" w:rsidR="004F5027" w:rsidRPr="00673D69" w:rsidRDefault="004F5027" w:rsidP="00D81811">
      <w:pPr>
        <w:spacing w:line="240" w:lineRule="auto"/>
      </w:pPr>
    </w:p>
    <w:p w14:paraId="46B06CF1" w14:textId="4A2D7090" w:rsidR="00BC3AE7" w:rsidRDefault="00BC3AE7" w:rsidP="00D81811">
      <w:pPr>
        <w:spacing w:line="240" w:lineRule="auto"/>
      </w:pPr>
      <w:r>
        <w:t xml:space="preserve">Chhabra, D. (2010). ‘Back to the past: a sub-segment of Generation Y’s perceptions of authenticity’ in </w:t>
      </w:r>
      <w:r>
        <w:rPr>
          <w:i/>
          <w:iCs/>
        </w:rPr>
        <w:t>Journal of Sustainable Tourism</w:t>
      </w:r>
      <w:r>
        <w:t xml:space="preserve"> </w:t>
      </w:r>
      <w:r w:rsidR="00431A93">
        <w:t>18(6) pp.</w:t>
      </w:r>
      <w:r w:rsidR="00596CE3">
        <w:t xml:space="preserve">793-809. Available at </w:t>
      </w:r>
      <w:r w:rsidR="00751331" w:rsidRPr="00751331">
        <w:t>https://doi-org.ezproxy.uwtsd.ac.uk/10.1080/09669582.2010.483280</w:t>
      </w:r>
      <w:r w:rsidR="00751331">
        <w:t xml:space="preserve"> </w:t>
      </w:r>
      <w:r w:rsidR="00751331">
        <w:t>[accessed 17 October 2021].</w:t>
      </w:r>
    </w:p>
    <w:p w14:paraId="4C442592" w14:textId="6D622309" w:rsidR="00EA0557" w:rsidRDefault="00EA0557" w:rsidP="00D81811">
      <w:pPr>
        <w:spacing w:line="240" w:lineRule="auto"/>
      </w:pPr>
    </w:p>
    <w:p w14:paraId="7FB84E6F" w14:textId="639E62FF" w:rsidR="00EA0557" w:rsidRDefault="00EA0557" w:rsidP="00EA0557">
      <w:pPr>
        <w:spacing w:line="240" w:lineRule="auto"/>
      </w:pPr>
      <w:r>
        <w:t xml:space="preserve">Creation Museum (2021). </w:t>
      </w:r>
      <w:r>
        <w:rPr>
          <w:i/>
          <w:iCs/>
        </w:rPr>
        <w:t>Dinosaur Bones</w:t>
      </w:r>
      <w:r>
        <w:t xml:space="preserve">. Available at </w:t>
      </w:r>
      <w:r w:rsidRPr="00EA0557">
        <w:t>https://creationmuseum.org/dinosaurs-dragons/bones/</w:t>
      </w:r>
      <w:r>
        <w:t xml:space="preserve"> [accessed 17 October 2021].</w:t>
      </w:r>
    </w:p>
    <w:p w14:paraId="68E6F7AB" w14:textId="77777777" w:rsidR="00EA0557" w:rsidRPr="00BC3AE7" w:rsidRDefault="00EA0557" w:rsidP="00D81811">
      <w:pPr>
        <w:spacing w:line="240" w:lineRule="auto"/>
      </w:pPr>
    </w:p>
    <w:p w14:paraId="3007D8E4" w14:textId="77777777" w:rsidR="00ED17C3" w:rsidRDefault="00ED17C3" w:rsidP="00D81811">
      <w:pPr>
        <w:spacing w:line="240" w:lineRule="auto"/>
      </w:pPr>
    </w:p>
    <w:p w14:paraId="5998C428" w14:textId="77777777" w:rsidR="00EC42EE" w:rsidRDefault="00EC42EE" w:rsidP="00D81811">
      <w:pPr>
        <w:spacing w:line="240" w:lineRule="auto"/>
      </w:pPr>
      <w:r>
        <w:lastRenderedPageBreak/>
        <w:t xml:space="preserve">Dilenschneider, C. (2019). </w:t>
      </w:r>
      <w:r>
        <w:rPr>
          <w:i/>
          <w:iCs/>
        </w:rPr>
        <w:t>In Museums We Trust. Here’s How Much.</w:t>
      </w:r>
      <w:r>
        <w:t xml:space="preserve"> Available at </w:t>
      </w:r>
      <w:r w:rsidRPr="007B3F7D">
        <w:t>https://www.colleendilen.com/2019/03/06/in-museums-we-trust-heres-how-much-data-update/</w:t>
      </w:r>
    </w:p>
    <w:p w14:paraId="54AA1B5B" w14:textId="5781709E" w:rsidR="00EC42EE" w:rsidRDefault="00EC42EE" w:rsidP="00D81811">
      <w:pPr>
        <w:spacing w:line="240" w:lineRule="auto"/>
      </w:pPr>
      <w:r>
        <w:t>[accessed 17 October 2021]</w:t>
      </w:r>
      <w:r w:rsidR="00C54603">
        <w:t>.</w:t>
      </w:r>
    </w:p>
    <w:p w14:paraId="1BCA3E0F" w14:textId="38BB8510" w:rsidR="009F0469" w:rsidRDefault="009F0469" w:rsidP="00D81811">
      <w:pPr>
        <w:spacing w:line="240" w:lineRule="auto"/>
      </w:pPr>
    </w:p>
    <w:p w14:paraId="7E647E9D" w14:textId="61A13D00" w:rsidR="002D14B4" w:rsidRDefault="009F0469" w:rsidP="00D81811">
      <w:pPr>
        <w:spacing w:line="240" w:lineRule="auto"/>
      </w:pPr>
      <w:r>
        <w:t xml:space="preserve">Donnachie, </w:t>
      </w:r>
      <w:r w:rsidR="002D14B4">
        <w:t xml:space="preserve">I. (2010). ‘World Heritage’, </w:t>
      </w:r>
      <w:r w:rsidR="002D14B4">
        <w:t>in West, S. (ed</w:t>
      </w:r>
      <w:r w:rsidR="009978BC">
        <w:t>.</w:t>
      </w:r>
      <w:r w:rsidR="002D14B4">
        <w:t xml:space="preserve">) </w:t>
      </w:r>
      <w:r w:rsidR="002D14B4">
        <w:rPr>
          <w:i/>
          <w:iCs/>
        </w:rPr>
        <w:t>Understanding Heritage in Practice</w:t>
      </w:r>
      <w:r w:rsidR="002D14B4">
        <w:t>. Manchester: Open University.</w:t>
      </w:r>
    </w:p>
    <w:p w14:paraId="01AE017F" w14:textId="0B7C061C" w:rsidR="00A3178E" w:rsidRDefault="00A3178E" w:rsidP="00D81811">
      <w:pPr>
        <w:spacing w:line="240" w:lineRule="auto"/>
      </w:pPr>
    </w:p>
    <w:p w14:paraId="300310A7" w14:textId="3B748F2A" w:rsidR="00A3178E" w:rsidRPr="00A3178E" w:rsidRDefault="00A3178E" w:rsidP="00D81811">
      <w:pPr>
        <w:spacing w:line="240" w:lineRule="auto"/>
      </w:pPr>
      <w:r>
        <w:t xml:space="preserve">Evrard, Y. and Krebs, A. (2017). ‘The authenticity of the museum experience in the digital age: the case of the Louvre’ in </w:t>
      </w:r>
      <w:r>
        <w:rPr>
          <w:i/>
          <w:iCs/>
        </w:rPr>
        <w:t>Journal of Cultural Economics</w:t>
      </w:r>
      <w:r>
        <w:t xml:space="preserve"> 42(3) pp.</w:t>
      </w:r>
      <w:r w:rsidRPr="00A3178E">
        <w:t xml:space="preserve"> </w:t>
      </w:r>
      <w:r w:rsidRPr="00A3178E">
        <w:t>353-363</w:t>
      </w:r>
      <w:r>
        <w:t xml:space="preserve">. Available at </w:t>
      </w:r>
      <w:r w:rsidRPr="00A3178E">
        <w:t>https://doi.org/10.1007/s10824-017-9309-x</w:t>
      </w:r>
      <w:r>
        <w:t xml:space="preserve"> </w:t>
      </w:r>
      <w:r>
        <w:t>[accessed 17 October 2021].</w:t>
      </w:r>
    </w:p>
    <w:p w14:paraId="3C5046F0" w14:textId="6EBE41B9" w:rsidR="00F007E8" w:rsidRDefault="00F007E8" w:rsidP="00D81811">
      <w:pPr>
        <w:spacing w:line="240" w:lineRule="auto"/>
      </w:pPr>
    </w:p>
    <w:p w14:paraId="13EC3C90" w14:textId="480F2919" w:rsidR="00F007E8" w:rsidRPr="00F007E8" w:rsidRDefault="00F007E8" w:rsidP="00D81811">
      <w:pPr>
        <w:spacing w:line="240" w:lineRule="auto"/>
      </w:pPr>
      <w:r>
        <w:t>Field, L. (200</w:t>
      </w:r>
      <w:r w:rsidR="00B641F7">
        <w:t>9</w:t>
      </w:r>
      <w:r>
        <w:t xml:space="preserve">). ‘Four kinds of authenticity?’ in </w:t>
      </w:r>
      <w:r>
        <w:rPr>
          <w:i/>
          <w:iCs/>
        </w:rPr>
        <w:t>American Ethnologist</w:t>
      </w:r>
      <w:r>
        <w:t xml:space="preserve"> 36(3) pp.507-520. Available at </w:t>
      </w:r>
      <w:r w:rsidR="00DD70AE" w:rsidRPr="00DD70AE">
        <w:t>DOI: 10.1111/j.1548-1425.2009.01176.x</w:t>
      </w:r>
      <w:r w:rsidR="00DD70AE" w:rsidRPr="00DD70AE">
        <w:t xml:space="preserve"> </w:t>
      </w:r>
      <w:r>
        <w:t>[accessed 17 October 2021].</w:t>
      </w:r>
    </w:p>
    <w:p w14:paraId="740E66D1" w14:textId="77777777" w:rsidR="00EE68AA" w:rsidRDefault="00EE68AA" w:rsidP="00D81811">
      <w:pPr>
        <w:spacing w:line="240" w:lineRule="auto"/>
      </w:pPr>
    </w:p>
    <w:p w14:paraId="47D66981" w14:textId="35A0AB73" w:rsidR="00CF0F25" w:rsidRDefault="00CF0F25" w:rsidP="00D81811">
      <w:pPr>
        <w:spacing w:line="240" w:lineRule="auto"/>
      </w:pPr>
      <w:r>
        <w:t xml:space="preserve">Fort Worth Museum of Science and History (2014). </w:t>
      </w:r>
      <w:r>
        <w:rPr>
          <w:i/>
          <w:iCs/>
        </w:rPr>
        <w:t>Ford W Bell – Keynote Speaker</w:t>
      </w:r>
      <w:r>
        <w:t xml:space="preserve"> [video]. Available at </w:t>
      </w:r>
      <w:r w:rsidRPr="0056358C">
        <w:t>https://www.youtube.com/watch?v=YAHg8e5mfnU</w:t>
      </w:r>
      <w:r>
        <w:t xml:space="preserve"> </w:t>
      </w:r>
      <w:r w:rsidR="002D7743">
        <w:t>[accessed 17 October 2021]</w:t>
      </w:r>
      <w:r w:rsidR="00C54603">
        <w:t>.</w:t>
      </w:r>
      <w:r>
        <w:t xml:space="preserve"> </w:t>
      </w:r>
    </w:p>
    <w:p w14:paraId="6FDE33F0" w14:textId="3A7B843C" w:rsidR="005E15E9" w:rsidRDefault="005E15E9" w:rsidP="00D81811">
      <w:pPr>
        <w:spacing w:line="240" w:lineRule="auto"/>
      </w:pPr>
    </w:p>
    <w:p w14:paraId="2F8CC9FD" w14:textId="3903C997" w:rsidR="005E15E9" w:rsidRDefault="005E15E9" w:rsidP="00D81811">
      <w:pPr>
        <w:spacing w:line="240" w:lineRule="auto"/>
      </w:pPr>
      <w:r>
        <w:t xml:space="preserve">Hardwick, T. (2010). ‘”The sophisticated answer”: a recent display of forgeries held at the Victoria and Albert Museum’ in </w:t>
      </w:r>
      <w:r>
        <w:rPr>
          <w:i/>
          <w:iCs/>
        </w:rPr>
        <w:t>The Burlington Magazine</w:t>
      </w:r>
      <w:r>
        <w:t xml:space="preserve"> 152(1287) pp.406-408. Available at </w:t>
      </w:r>
      <w:r w:rsidR="00776445" w:rsidRPr="00776445">
        <w:t>www.jstor.org/stable/27823204</w:t>
      </w:r>
      <w:r w:rsidR="00776445">
        <w:t xml:space="preserve"> </w:t>
      </w:r>
      <w:r w:rsidR="00776445">
        <w:t>[accessed 17 October 2021].</w:t>
      </w:r>
    </w:p>
    <w:p w14:paraId="615970DB" w14:textId="3F4B7AF1" w:rsidR="00291877" w:rsidRDefault="00291877" w:rsidP="00D81811">
      <w:pPr>
        <w:spacing w:line="240" w:lineRule="auto"/>
      </w:pPr>
    </w:p>
    <w:p w14:paraId="4DB85348" w14:textId="15239ECF" w:rsidR="00291877" w:rsidRPr="00291877" w:rsidRDefault="00291877" w:rsidP="00D81811">
      <w:pPr>
        <w:spacing w:line="240" w:lineRule="auto"/>
      </w:pPr>
      <w:r>
        <w:t xml:space="preserve">Hede, A. </w:t>
      </w:r>
      <w:r>
        <w:rPr>
          <w:i/>
          <w:iCs/>
        </w:rPr>
        <w:t>et al.</w:t>
      </w:r>
      <w:r>
        <w:t xml:space="preserve"> (201</w:t>
      </w:r>
      <w:r w:rsidR="00FF31BD">
        <w:t>4</w:t>
      </w:r>
      <w:r>
        <w:t>). ‘</w:t>
      </w:r>
      <w:r w:rsidR="00EA0557">
        <w:t>he</w:t>
      </w:r>
      <w:r>
        <w:t xml:space="preserve"> in </w:t>
      </w:r>
      <w:r>
        <w:rPr>
          <w:i/>
          <w:iCs/>
        </w:rPr>
        <w:t>European Journal of Marketing</w:t>
      </w:r>
      <w:r>
        <w:t xml:space="preserve"> 48(7/8) pp. 1395-1412. Available at </w:t>
      </w:r>
      <w:r w:rsidRPr="00291877">
        <w:t>DOI:10.1108/EJM-12-2011-0771</w:t>
      </w:r>
      <w:r>
        <w:t xml:space="preserve"> </w:t>
      </w:r>
      <w:r>
        <w:t>[accessed 17 October 2021].</w:t>
      </w:r>
    </w:p>
    <w:p w14:paraId="079A4FA9" w14:textId="77777777" w:rsidR="00CF0F25" w:rsidRDefault="00CF0F25" w:rsidP="00D81811">
      <w:pPr>
        <w:spacing w:line="240" w:lineRule="auto"/>
      </w:pPr>
    </w:p>
    <w:p w14:paraId="45EEB90C" w14:textId="28AC042D" w:rsidR="00CF0F25" w:rsidRPr="00254926" w:rsidRDefault="00CF0F25" w:rsidP="00D81811">
      <w:pPr>
        <w:spacing w:line="240" w:lineRule="auto"/>
      </w:pPr>
      <w:r>
        <w:t>Hess, A. (2017). ‘</w:t>
      </w:r>
      <w:r w:rsidR="00C54603">
        <w:t>Authenticity, alterations and museum objects: A close encounter with 2LO, the BBC’s first radio transmitter</w:t>
      </w:r>
      <w:r w:rsidR="00C54603">
        <w:t xml:space="preserve">’ in </w:t>
      </w:r>
      <w:r w:rsidR="00C54603">
        <w:rPr>
          <w:i/>
          <w:iCs/>
        </w:rPr>
        <w:t>Journal of Material Culture</w:t>
      </w:r>
      <w:r w:rsidR="00C54603">
        <w:t xml:space="preserve"> 22(3) pp.281-298. Available at </w:t>
      </w:r>
      <w:proofErr w:type="spellStart"/>
      <w:r w:rsidR="00C54603" w:rsidRPr="00C54603">
        <w:t>doi</w:t>
      </w:r>
      <w:proofErr w:type="spellEnd"/>
      <w:r w:rsidR="00C54603" w:rsidRPr="00C54603">
        <w:t>/10.1177/1359183517702685</w:t>
      </w:r>
      <w:r w:rsidR="00C54603">
        <w:t xml:space="preserve"> </w:t>
      </w:r>
      <w:r w:rsidR="002D7743">
        <w:t>[accessed 17 October 2021]</w:t>
      </w:r>
      <w:r w:rsidR="00C54603">
        <w:t>.</w:t>
      </w:r>
    </w:p>
    <w:p w14:paraId="723DD31A" w14:textId="77777777" w:rsidR="00CF0F25" w:rsidRDefault="00CF0F25" w:rsidP="00D81811">
      <w:pPr>
        <w:spacing w:line="240" w:lineRule="auto"/>
      </w:pPr>
    </w:p>
    <w:p w14:paraId="48D8932B" w14:textId="243AAA54" w:rsidR="00CF0F25" w:rsidRDefault="00CF0F25" w:rsidP="00D81811">
      <w:pPr>
        <w:spacing w:line="240" w:lineRule="auto"/>
      </w:pPr>
      <w:r>
        <w:t xml:space="preserve">Historic England (n.d.). </w:t>
      </w:r>
      <w:r>
        <w:rPr>
          <w:i/>
          <w:iCs/>
        </w:rPr>
        <w:t>Heritage Definitions</w:t>
      </w:r>
      <w:r>
        <w:t xml:space="preserve">. Available at </w:t>
      </w:r>
      <w:r w:rsidRPr="00BC5E24">
        <w:t>https://historicengland.org.uk/advice/hpg/hpr-definitions/</w:t>
      </w:r>
      <w:r>
        <w:t xml:space="preserve"> [accessed </w:t>
      </w:r>
      <w:r w:rsidR="002D7743">
        <w:t>17 October 2021</w:t>
      </w:r>
      <w:r>
        <w:t>]</w:t>
      </w:r>
      <w:r w:rsidR="00C54603">
        <w:t>.</w:t>
      </w:r>
    </w:p>
    <w:p w14:paraId="79A51AC0" w14:textId="4E002778" w:rsidR="00CF4EF0" w:rsidRDefault="00CF4EF0" w:rsidP="00D81811">
      <w:pPr>
        <w:spacing w:line="240" w:lineRule="auto"/>
      </w:pPr>
    </w:p>
    <w:p w14:paraId="76F6F9D6" w14:textId="03D11479" w:rsidR="00CF4EF0" w:rsidRPr="00CF4EF0" w:rsidRDefault="00CF4EF0" w:rsidP="00D81811">
      <w:pPr>
        <w:spacing w:line="240" w:lineRule="auto"/>
      </w:pPr>
      <w:proofErr w:type="spellStart"/>
      <w:r>
        <w:t>Jin</w:t>
      </w:r>
      <w:proofErr w:type="spellEnd"/>
      <w:r>
        <w:t xml:space="preserve">, L., Xiao, H. and Shen, H. (2020). ‘Experiential authenticity in heritage museums’ in </w:t>
      </w:r>
      <w:r>
        <w:rPr>
          <w:i/>
          <w:iCs/>
        </w:rPr>
        <w:t>Journal of Destination Marketing &amp; Management</w:t>
      </w:r>
      <w:r>
        <w:t xml:space="preserve"> 18. Available at </w:t>
      </w:r>
      <w:r w:rsidR="00AD5FFC" w:rsidRPr="00AD5FFC">
        <w:t>https://doi.org/10.1016/j.jdmm.2020.100493</w:t>
      </w:r>
      <w:r w:rsidR="00AD5FFC">
        <w:t xml:space="preserve"> </w:t>
      </w:r>
      <w:r w:rsidR="00AD5FFC">
        <w:t>[accessed 17 October 2021].</w:t>
      </w:r>
    </w:p>
    <w:p w14:paraId="757A9900" w14:textId="7B4C8E75" w:rsidR="00C51C4A" w:rsidRDefault="00C51C4A" w:rsidP="00D81811">
      <w:pPr>
        <w:spacing w:line="240" w:lineRule="auto"/>
      </w:pPr>
    </w:p>
    <w:p w14:paraId="3792A2E0" w14:textId="5982EA43" w:rsidR="00CF0F25" w:rsidRDefault="00C51C4A" w:rsidP="00D81811">
      <w:pPr>
        <w:spacing w:line="240" w:lineRule="auto"/>
      </w:pPr>
      <w:r>
        <w:t xml:space="preserve">Jones, S. (2010). ‘Negotiating authentic objects and authentic selves: Beyond the deconstruction of authenticity’ in </w:t>
      </w:r>
      <w:r>
        <w:rPr>
          <w:i/>
          <w:iCs/>
        </w:rPr>
        <w:t>Journal of Material Culture</w:t>
      </w:r>
      <w:r>
        <w:t xml:space="preserve"> 15(2) pp.181-203. Available at </w:t>
      </w:r>
      <w:proofErr w:type="spellStart"/>
      <w:r w:rsidRPr="00C51C4A">
        <w:t>doi</w:t>
      </w:r>
      <w:proofErr w:type="spellEnd"/>
      <w:r w:rsidRPr="00C51C4A">
        <w:t>/10.1177/1359183510364074</w:t>
      </w:r>
      <w:r>
        <w:t xml:space="preserve"> </w:t>
      </w:r>
      <w:r>
        <w:t>[accessed 17 October 2021]</w:t>
      </w:r>
      <w:r w:rsidR="00C54603">
        <w:t>.</w:t>
      </w:r>
    </w:p>
    <w:p w14:paraId="0E61F0E6" w14:textId="5E6351E3" w:rsidR="0071435F" w:rsidRDefault="0071435F" w:rsidP="00D81811">
      <w:pPr>
        <w:spacing w:line="240" w:lineRule="auto"/>
      </w:pPr>
    </w:p>
    <w:p w14:paraId="2349635C" w14:textId="7AA87D53" w:rsidR="0071435F" w:rsidRPr="0071435F" w:rsidRDefault="0071435F" w:rsidP="00D81811">
      <w:pPr>
        <w:spacing w:line="240" w:lineRule="auto"/>
      </w:pPr>
      <w:r>
        <w:t xml:space="preserve">Loureiro, S. M. (2019). ‘Exploring the role of atmospheric cues and authentic pride on perceived authenticity assessment of museum visitors’ in </w:t>
      </w:r>
      <w:r>
        <w:rPr>
          <w:i/>
          <w:iCs/>
        </w:rPr>
        <w:t>International Journal of Tourism Research</w:t>
      </w:r>
      <w:r>
        <w:t xml:space="preserve"> 21(4) pp.413-426. Available at DOI:</w:t>
      </w:r>
      <w:r w:rsidRPr="0071435F">
        <w:t xml:space="preserve"> </w:t>
      </w:r>
      <w:r w:rsidRPr="0071435F">
        <w:t>10.1002/jtr.2265</w:t>
      </w:r>
      <w:r>
        <w:t xml:space="preserve"> </w:t>
      </w:r>
      <w:r>
        <w:t>[accessed 17 October 2021].</w:t>
      </w:r>
    </w:p>
    <w:p w14:paraId="5CCF92D1" w14:textId="6D826AA6" w:rsidR="00D00598" w:rsidRDefault="00D00598" w:rsidP="00D81811">
      <w:pPr>
        <w:spacing w:line="240" w:lineRule="auto"/>
      </w:pPr>
    </w:p>
    <w:p w14:paraId="16413C06" w14:textId="7A87753C" w:rsidR="00D00598" w:rsidRPr="00D00598" w:rsidRDefault="00D00598" w:rsidP="00D81811">
      <w:pPr>
        <w:spacing w:line="240" w:lineRule="auto"/>
      </w:pPr>
      <w:r>
        <w:t xml:space="preserve">Lovell, J. and Bull, C. (2018). </w:t>
      </w:r>
      <w:r>
        <w:rPr>
          <w:i/>
          <w:iCs/>
        </w:rPr>
        <w:t>Authentic and Inauthentic Places in Tourism</w:t>
      </w:r>
      <w:r>
        <w:t xml:space="preserve">. </w:t>
      </w:r>
      <w:r w:rsidR="00906353">
        <w:t>Abingdon: Routledge.</w:t>
      </w:r>
    </w:p>
    <w:p w14:paraId="03BA1785" w14:textId="77777777" w:rsidR="00C51C4A" w:rsidRDefault="00C51C4A" w:rsidP="00D81811">
      <w:pPr>
        <w:spacing w:line="240" w:lineRule="auto"/>
      </w:pPr>
    </w:p>
    <w:p w14:paraId="0F7F4571" w14:textId="77777777" w:rsidR="00CF0F25" w:rsidRPr="001F643E" w:rsidRDefault="00CF0F25" w:rsidP="00D81811">
      <w:pPr>
        <w:spacing w:line="240" w:lineRule="auto"/>
      </w:pPr>
      <w:r>
        <w:t xml:space="preserve">Museums Association (2021) </w:t>
      </w:r>
      <w:r>
        <w:rPr>
          <w:i/>
          <w:iCs/>
        </w:rPr>
        <w:t>Bayeux Tapestry loan on hold due to poor condition</w:t>
      </w:r>
      <w:r>
        <w:t>. Available at</w:t>
      </w:r>
    </w:p>
    <w:p w14:paraId="2097C044" w14:textId="56B29E6E" w:rsidR="00CF0F25" w:rsidRDefault="00CF0F25" w:rsidP="00D81811">
      <w:pPr>
        <w:spacing w:line="240" w:lineRule="auto"/>
      </w:pPr>
      <w:r w:rsidRPr="001E429D">
        <w:t>https://www.museumsassociation.org/museums-journal/news/2021/04/bayeux-tapestry-loan-on-hold-due-to-poor-condition/</w:t>
      </w:r>
      <w:r>
        <w:t xml:space="preserve"> </w:t>
      </w:r>
      <w:r w:rsidR="002D7743">
        <w:t>[accessed 17 October 2021]</w:t>
      </w:r>
      <w:r w:rsidR="00C54603">
        <w:t>.</w:t>
      </w:r>
    </w:p>
    <w:p w14:paraId="59858EBF" w14:textId="77777777" w:rsidR="00DA1DEE" w:rsidRDefault="00DA1DEE" w:rsidP="00D81811">
      <w:pPr>
        <w:spacing w:line="240" w:lineRule="auto"/>
      </w:pPr>
    </w:p>
    <w:p w14:paraId="04148EC7" w14:textId="5622D0F1" w:rsidR="00C51F22" w:rsidRPr="00C51F22" w:rsidRDefault="00C51F22" w:rsidP="00D81811">
      <w:pPr>
        <w:spacing w:line="240" w:lineRule="auto"/>
      </w:pPr>
      <w:r>
        <w:t xml:space="preserve">Otero-Pailos, J., Gaiger, J. and West, S. (2010). ‘Heritage </w:t>
      </w:r>
      <w:r w:rsidR="000D2663">
        <w:t>v</w:t>
      </w:r>
      <w:r>
        <w:t xml:space="preserve">alues’, in West, S. (ed) </w:t>
      </w:r>
      <w:r>
        <w:rPr>
          <w:i/>
          <w:iCs/>
        </w:rPr>
        <w:t>Understanding Heritage in Practice</w:t>
      </w:r>
      <w:r>
        <w:t>. Manchester: Open University.</w:t>
      </w:r>
    </w:p>
    <w:p w14:paraId="1E736DCC" w14:textId="77777777" w:rsidR="00C51F22" w:rsidRDefault="00C51F22" w:rsidP="00D81811">
      <w:pPr>
        <w:spacing w:line="240" w:lineRule="auto"/>
      </w:pPr>
    </w:p>
    <w:p w14:paraId="6CC28338" w14:textId="27BD9D94" w:rsidR="00DA1DEE" w:rsidRDefault="00DA1DEE" w:rsidP="00D81811">
      <w:pPr>
        <w:spacing w:line="240" w:lineRule="auto"/>
      </w:pPr>
      <w:r>
        <w:t>Oxford English Dictionary (20</w:t>
      </w:r>
      <w:r w:rsidR="006976AA">
        <w:t>19</w:t>
      </w:r>
      <w:r>
        <w:t>)</w:t>
      </w:r>
      <w:r w:rsidR="006976AA">
        <w:t xml:space="preserve">. Third edition. </w:t>
      </w:r>
      <w:r w:rsidR="0023342B">
        <w:t xml:space="preserve">Oxford: Oxford University Press. </w:t>
      </w:r>
      <w:r w:rsidR="006976AA">
        <w:t xml:space="preserve">Available at </w:t>
      </w:r>
      <w:r w:rsidR="006976AA" w:rsidRPr="006707AE">
        <w:t>https://www.oed.com/view/Entry/13325?redirectedFrom=authenticity#eid</w:t>
      </w:r>
      <w:r w:rsidR="006976AA">
        <w:t xml:space="preserve"> </w:t>
      </w:r>
      <w:r w:rsidR="006707AE">
        <w:t>[accessed 17 October 2021]</w:t>
      </w:r>
      <w:r w:rsidR="006707AE">
        <w:t>.</w:t>
      </w:r>
    </w:p>
    <w:p w14:paraId="6EB578D0" w14:textId="42E8B9A6" w:rsidR="00EE68AA" w:rsidRDefault="00EE68AA" w:rsidP="00D81811">
      <w:pPr>
        <w:spacing w:line="240" w:lineRule="auto"/>
      </w:pPr>
    </w:p>
    <w:p w14:paraId="7526F955" w14:textId="0289675C" w:rsidR="00EE68AA" w:rsidRDefault="00EE68AA" w:rsidP="00D81811">
      <w:pPr>
        <w:spacing w:line="240" w:lineRule="auto"/>
      </w:pPr>
      <w:r>
        <w:t>Pearce, S. M. (2010). ‘Foreword’, in Dudley, S. H. (ed</w:t>
      </w:r>
      <w:r w:rsidR="005B6DE1">
        <w:t>.</w:t>
      </w:r>
      <w:r>
        <w:t xml:space="preserve">) </w:t>
      </w:r>
      <w:r>
        <w:rPr>
          <w:i/>
          <w:iCs/>
        </w:rPr>
        <w:t>Museum Materialities</w:t>
      </w:r>
      <w:r>
        <w:t>. Abingdon: Routledge.</w:t>
      </w:r>
    </w:p>
    <w:p w14:paraId="63396499" w14:textId="77777777" w:rsidR="007173C0" w:rsidRDefault="007173C0" w:rsidP="00D81811">
      <w:pPr>
        <w:spacing w:line="240" w:lineRule="auto"/>
      </w:pPr>
    </w:p>
    <w:p w14:paraId="38E9DC80" w14:textId="0CB8977E" w:rsidR="0035772D" w:rsidRPr="0035772D" w:rsidRDefault="0035772D" w:rsidP="00D81811">
      <w:pPr>
        <w:spacing w:line="240" w:lineRule="auto"/>
      </w:pPr>
      <w:r>
        <w:t>Penrose, J. (20</w:t>
      </w:r>
      <w:r w:rsidR="00443B05">
        <w:t>18</w:t>
      </w:r>
      <w:r>
        <w:t xml:space="preserve">). ‘Authenticity, authentication and experiential authenticity: telling stories in museums’ in </w:t>
      </w:r>
      <w:r>
        <w:rPr>
          <w:i/>
          <w:iCs/>
        </w:rPr>
        <w:t>Social and Cultural Geography</w:t>
      </w:r>
      <w:r>
        <w:t xml:space="preserve"> 21(9) pp.1245-1267. Available at </w:t>
      </w:r>
      <w:proofErr w:type="spellStart"/>
      <w:r w:rsidR="00443B05" w:rsidRPr="00443B05">
        <w:t>doi</w:t>
      </w:r>
      <w:proofErr w:type="spellEnd"/>
      <w:r w:rsidR="00443B05" w:rsidRPr="00443B05">
        <w:t>/full/10.1080/14649365.2018.1550581</w:t>
      </w:r>
      <w:r w:rsidR="00443B05">
        <w:t xml:space="preserve"> </w:t>
      </w:r>
      <w:r w:rsidR="006976AA">
        <w:t>[accessed 17 October 2021]</w:t>
      </w:r>
      <w:r w:rsidR="006976AA">
        <w:t>.</w:t>
      </w:r>
    </w:p>
    <w:p w14:paraId="78B7BDBA" w14:textId="77777777" w:rsidR="00CF0F25" w:rsidRDefault="00CF0F25" w:rsidP="00D81811">
      <w:pPr>
        <w:spacing w:line="240" w:lineRule="auto"/>
      </w:pPr>
    </w:p>
    <w:p w14:paraId="3BF67E49" w14:textId="20987113" w:rsidR="00CF0F25" w:rsidRDefault="00CF0F25" w:rsidP="00D81811">
      <w:pPr>
        <w:spacing w:line="240" w:lineRule="auto"/>
      </w:pPr>
      <w:r>
        <w:t>Reading Museum (n.d.)</w:t>
      </w:r>
      <w:r w:rsidR="00BA2BD0">
        <w:t xml:space="preserve"> </w:t>
      </w:r>
      <w:r w:rsidR="00BA2BD0">
        <w:rPr>
          <w:i/>
          <w:iCs/>
        </w:rPr>
        <w:t>Bayeux Gallery.</w:t>
      </w:r>
      <w:r w:rsidR="00BA2BD0">
        <w:t xml:space="preserve"> Available at</w:t>
      </w:r>
      <w:r>
        <w:t xml:space="preserve"> </w:t>
      </w:r>
      <w:r w:rsidRPr="00BA2BD0">
        <w:t>https://www.readingmuseum.org.uk/your-visit/permanent-galleries/bayeux-gallery</w:t>
      </w:r>
      <w:r>
        <w:t xml:space="preserve"> </w:t>
      </w:r>
      <w:r w:rsidR="002D7743">
        <w:t>[accessed 17 October 2021]</w:t>
      </w:r>
      <w:r w:rsidR="006976AA">
        <w:t>.</w:t>
      </w:r>
    </w:p>
    <w:p w14:paraId="7A5777C7" w14:textId="77777777" w:rsidR="00CF0F25" w:rsidRDefault="00CF0F25" w:rsidP="00D81811">
      <w:pPr>
        <w:spacing w:line="240" w:lineRule="auto"/>
      </w:pPr>
    </w:p>
    <w:p w14:paraId="089B1584" w14:textId="1336B781" w:rsidR="00CF0F25" w:rsidRPr="001F643E" w:rsidRDefault="00CF0F25" w:rsidP="00D81811">
      <w:pPr>
        <w:spacing w:line="240" w:lineRule="auto"/>
      </w:pPr>
      <w:r>
        <w:t xml:space="preserve">Reading Museum (2021) </w:t>
      </w:r>
      <w:r>
        <w:rPr>
          <w:i/>
          <w:iCs/>
        </w:rPr>
        <w:t>Reading Museum Forward Plan 2020-2025</w:t>
      </w:r>
      <w:r>
        <w:t xml:space="preserve">. Available at </w:t>
      </w:r>
      <w:r w:rsidRPr="003F3F87">
        <w:t>https://www.readingmuseum.org.uk/sites/default/files/downloads/Reading%20Museum%20Forward%20Plan%202020-2025.pdf</w:t>
      </w:r>
      <w:r>
        <w:t xml:space="preserve"> </w:t>
      </w:r>
      <w:r w:rsidR="002D7743">
        <w:t>[accessed 17 October 2021]</w:t>
      </w:r>
      <w:r w:rsidR="006976AA">
        <w:t>.</w:t>
      </w:r>
    </w:p>
    <w:p w14:paraId="4095251F" w14:textId="77777777" w:rsidR="00CF0F25" w:rsidRDefault="00CF0F25" w:rsidP="00D81811">
      <w:pPr>
        <w:spacing w:line="240" w:lineRule="auto"/>
      </w:pPr>
    </w:p>
    <w:p w14:paraId="6737A1A4" w14:textId="76363970" w:rsidR="00EC42EE" w:rsidRDefault="00EC42EE" w:rsidP="00D81811">
      <w:pPr>
        <w:spacing w:line="240" w:lineRule="auto"/>
      </w:pPr>
      <w:r>
        <w:t>Savage</w:t>
      </w:r>
      <w:r w:rsidR="00477491">
        <w:t>, S.</w:t>
      </w:r>
      <w:r>
        <w:t xml:space="preserve"> </w:t>
      </w:r>
      <w:r w:rsidR="00477491">
        <w:t>(</w:t>
      </w:r>
      <w:r>
        <w:t>2008</w:t>
      </w:r>
      <w:r w:rsidR="00477491">
        <w:t>) ‘Museum to exhibit fake Egyptian artifacts’</w:t>
      </w:r>
      <w:r w:rsidR="004C6F2B">
        <w:t xml:space="preserve">. </w:t>
      </w:r>
      <w:r w:rsidR="004C6F2B">
        <w:rPr>
          <w:i/>
          <w:iCs/>
        </w:rPr>
        <w:t>Red Orbit</w:t>
      </w:r>
      <w:r w:rsidR="004C6F2B">
        <w:t>. Available at</w:t>
      </w:r>
      <w:r w:rsidR="00477491">
        <w:t xml:space="preserve"> </w:t>
      </w:r>
      <w:r w:rsidR="00B07E0B" w:rsidRPr="00BF4221">
        <w:t>https://www.redorbit.com/news/science/1523064/museum_to_exhibit_fake_egyptian_artifacts/</w:t>
      </w:r>
      <w:r w:rsidR="00B07E0B">
        <w:t xml:space="preserve"> </w:t>
      </w:r>
      <w:r w:rsidR="00B07E0B">
        <w:t>[accessed 17 October 2021].</w:t>
      </w:r>
    </w:p>
    <w:p w14:paraId="5C40F3DB" w14:textId="54F477A8" w:rsidR="00EC42EE" w:rsidRDefault="00EC42EE" w:rsidP="00D81811">
      <w:pPr>
        <w:spacing w:line="240" w:lineRule="auto"/>
      </w:pPr>
    </w:p>
    <w:p w14:paraId="419F5846" w14:textId="332A7B1D" w:rsidR="00675BD7" w:rsidRDefault="00675BD7" w:rsidP="00D81811">
      <w:pPr>
        <w:spacing w:line="240" w:lineRule="auto"/>
      </w:pPr>
      <w:r>
        <w:t xml:space="preserve">Smith, L. (2006). </w:t>
      </w:r>
      <w:r>
        <w:rPr>
          <w:i/>
          <w:iCs/>
        </w:rPr>
        <w:t>Uses of Heritage</w:t>
      </w:r>
      <w:r>
        <w:t>. Abingdon: Routledge.</w:t>
      </w:r>
    </w:p>
    <w:p w14:paraId="7FC1D263" w14:textId="49B10B69" w:rsidR="008C7607" w:rsidRDefault="008C7607" w:rsidP="00D81811">
      <w:pPr>
        <w:spacing w:line="240" w:lineRule="auto"/>
      </w:pPr>
    </w:p>
    <w:p w14:paraId="280FA745" w14:textId="2C4D1005" w:rsidR="008C7607" w:rsidRPr="008C7607" w:rsidRDefault="008C7607" w:rsidP="00D81811">
      <w:pPr>
        <w:spacing w:line="240" w:lineRule="auto"/>
      </w:pPr>
      <w:r>
        <w:t xml:space="preserve">Statista (2021). </w:t>
      </w:r>
      <w:r>
        <w:rPr>
          <w:i/>
          <w:iCs/>
        </w:rPr>
        <w:t>Most visited museums worldwide in 2019 and 2020</w:t>
      </w:r>
      <w:r>
        <w:t xml:space="preserve">. Available at </w:t>
      </w:r>
      <w:r w:rsidRPr="008C7607">
        <w:t>https://www.statista.com/statistics/901072/museums-by-total-attendance-worldwide/</w:t>
      </w:r>
      <w:r>
        <w:t xml:space="preserve"> </w:t>
      </w:r>
      <w:r>
        <w:t>[accessed 17 October 2021].</w:t>
      </w:r>
    </w:p>
    <w:p w14:paraId="752B1CCC" w14:textId="11FCC788" w:rsidR="00F471C5" w:rsidRDefault="00F471C5" w:rsidP="00D81811">
      <w:pPr>
        <w:spacing w:line="240" w:lineRule="auto"/>
      </w:pPr>
    </w:p>
    <w:p w14:paraId="297F64FB" w14:textId="2CB1CF2D" w:rsidR="00F471C5" w:rsidRDefault="00F471C5" w:rsidP="00D81811">
      <w:pPr>
        <w:spacing w:line="240" w:lineRule="auto"/>
      </w:pPr>
      <w:r>
        <w:t xml:space="preserve">Thyne, M. </w:t>
      </w:r>
      <w:r w:rsidR="00431A93">
        <w:t xml:space="preserve">and Hede, A. </w:t>
      </w:r>
      <w:r>
        <w:t xml:space="preserve">(2016). ‘Approaches to managing co-production for the co-creation of value in a museum setting: when authenticity matters’ in </w:t>
      </w:r>
      <w:r>
        <w:rPr>
          <w:i/>
          <w:iCs/>
        </w:rPr>
        <w:t>Journal of Marketing Management</w:t>
      </w:r>
      <w:r>
        <w:t xml:space="preserve"> 32(15-16) pp.1478-1493. Available at </w:t>
      </w:r>
      <w:r w:rsidRPr="00F471C5">
        <w:t>https://doi.org/10.1080/0267257X.2016.1198824</w:t>
      </w:r>
      <w:r>
        <w:t xml:space="preserve"> </w:t>
      </w:r>
      <w:r>
        <w:t>[accessed 17 October 2021].</w:t>
      </w:r>
    </w:p>
    <w:p w14:paraId="3C65ADD1" w14:textId="23C9F4CF" w:rsidR="005B6DE1" w:rsidRDefault="005B6DE1" w:rsidP="00D81811">
      <w:pPr>
        <w:spacing w:line="240" w:lineRule="auto"/>
      </w:pPr>
    </w:p>
    <w:p w14:paraId="15C1606D" w14:textId="2AD84C15" w:rsidR="005B6DE1" w:rsidRPr="005B6DE1" w:rsidRDefault="005B6DE1" w:rsidP="00D81811">
      <w:pPr>
        <w:spacing w:line="240" w:lineRule="auto"/>
      </w:pPr>
      <w:r>
        <w:t xml:space="preserve">Ting, W. Y. V. (2010). ‘Dancing Pot and Pregnant Jar’ in Dudley, S. (ed.) </w:t>
      </w:r>
      <w:r>
        <w:rPr>
          <w:i/>
          <w:iCs/>
        </w:rPr>
        <w:t>Museum Materialities</w:t>
      </w:r>
      <w:r>
        <w:t xml:space="preserve">. </w:t>
      </w:r>
      <w:r>
        <w:t>Abingdon: Routledge.</w:t>
      </w:r>
    </w:p>
    <w:p w14:paraId="0C8AB8B7" w14:textId="77777777" w:rsidR="00675BD7" w:rsidRDefault="00675BD7" w:rsidP="00D81811">
      <w:pPr>
        <w:spacing w:line="240" w:lineRule="auto"/>
      </w:pPr>
    </w:p>
    <w:p w14:paraId="10DCDB9C" w14:textId="7168E59C" w:rsidR="00F72BE5" w:rsidRDefault="00CF0F25" w:rsidP="00D81811">
      <w:pPr>
        <w:spacing w:line="240" w:lineRule="auto"/>
      </w:pPr>
      <w:r>
        <w:t xml:space="preserve">UNESCO (n.d.). </w:t>
      </w:r>
      <w:r w:rsidR="00F72BE5">
        <w:rPr>
          <w:i/>
          <w:iCs/>
        </w:rPr>
        <w:t xml:space="preserve">Historic Centre of Vienna. </w:t>
      </w:r>
      <w:r>
        <w:t xml:space="preserve">Available at </w:t>
      </w:r>
      <w:r w:rsidR="00F72BE5" w:rsidRPr="00F72BE5">
        <w:t>https://whc.unesco.org/en/list/1033</w:t>
      </w:r>
      <w:r w:rsidR="00F72BE5">
        <w:t xml:space="preserve"> </w:t>
      </w:r>
      <w:r w:rsidR="002D7743">
        <w:t>[accessed 17 October 2021]</w:t>
      </w:r>
      <w:r w:rsidR="00AC02B7">
        <w:t>.</w:t>
      </w:r>
    </w:p>
    <w:p w14:paraId="74DF108E" w14:textId="77777777" w:rsidR="00CF0F25" w:rsidRDefault="00CF0F25" w:rsidP="00D81811">
      <w:pPr>
        <w:spacing w:line="240" w:lineRule="auto"/>
      </w:pPr>
    </w:p>
    <w:p w14:paraId="2C8B1145" w14:textId="4674D14F" w:rsidR="00CF0F25" w:rsidRPr="00E969C3" w:rsidRDefault="00CF0F25" w:rsidP="00D81811">
      <w:pPr>
        <w:spacing w:line="240" w:lineRule="auto"/>
      </w:pPr>
      <w:r>
        <w:t xml:space="preserve">University of Cambridge (2013). </w:t>
      </w:r>
      <w:r>
        <w:rPr>
          <w:i/>
          <w:iCs/>
        </w:rPr>
        <w:t>Research: We ask the experts: why do we put things into museums?</w:t>
      </w:r>
      <w:r>
        <w:t xml:space="preserve"> Available at </w:t>
      </w:r>
      <w:r w:rsidRPr="00E969C3">
        <w:t>https://www.cam.ac.uk/research/discussion/we-ask-the-experts-why-do-we-put-things-into-museums</w:t>
      </w:r>
      <w:r>
        <w:t xml:space="preserve"> </w:t>
      </w:r>
      <w:r w:rsidR="002D7743">
        <w:t>[accessed 17 October 2021]</w:t>
      </w:r>
      <w:r w:rsidR="00F471C5">
        <w:t>.</w:t>
      </w:r>
    </w:p>
    <w:p w14:paraId="6E225D4E" w14:textId="77777777" w:rsidR="00CF0F25" w:rsidRDefault="00CF0F25" w:rsidP="00D81811">
      <w:pPr>
        <w:spacing w:line="240" w:lineRule="auto"/>
      </w:pPr>
    </w:p>
    <w:p w14:paraId="448643BC" w14:textId="77777777" w:rsidR="000D2663" w:rsidRPr="00C51F22" w:rsidRDefault="00CF0F25" w:rsidP="00D81811">
      <w:pPr>
        <w:spacing w:line="240" w:lineRule="auto"/>
      </w:pPr>
      <w:r>
        <w:t>West</w:t>
      </w:r>
      <w:r w:rsidR="000D2663">
        <w:t>, S.</w:t>
      </w:r>
      <w:r>
        <w:t xml:space="preserve"> and Ansell</w:t>
      </w:r>
      <w:r w:rsidR="000D2663">
        <w:t>, J. (</w:t>
      </w:r>
      <w:r>
        <w:t>2010</w:t>
      </w:r>
      <w:r w:rsidR="000D2663">
        <w:t xml:space="preserve">). ‘A history of heritage’, </w:t>
      </w:r>
      <w:r w:rsidR="000D2663">
        <w:t xml:space="preserve">in West, S. (ed) </w:t>
      </w:r>
      <w:r w:rsidR="000D2663">
        <w:rPr>
          <w:i/>
          <w:iCs/>
        </w:rPr>
        <w:t>Understanding Heritage in Practice</w:t>
      </w:r>
      <w:r w:rsidR="000D2663">
        <w:t>. Manchester: Open University.</w:t>
      </w:r>
    </w:p>
    <w:p w14:paraId="37625FFD" w14:textId="136F43C6" w:rsidR="00CF0F25" w:rsidRDefault="00CF0F25" w:rsidP="00D81811">
      <w:pPr>
        <w:spacing w:line="240" w:lineRule="auto"/>
      </w:pPr>
    </w:p>
    <w:p w14:paraId="0947FCAA" w14:textId="77777777" w:rsidR="00AC02B7" w:rsidRDefault="00FB184E" w:rsidP="00D81811">
      <w:pPr>
        <w:spacing w:line="240" w:lineRule="auto"/>
      </w:pPr>
      <w:r>
        <w:t xml:space="preserve">Zadeh, J. (2021). ‘The Tyranny of Time’. </w:t>
      </w:r>
      <w:r>
        <w:rPr>
          <w:i/>
          <w:iCs/>
        </w:rPr>
        <w:t>Noema</w:t>
      </w:r>
      <w:r w:rsidR="00AC02B7">
        <w:t xml:space="preserve"> [online]. Available at </w:t>
      </w:r>
      <w:r w:rsidR="00AC02B7" w:rsidRPr="00AC02B7">
        <w:t>https://www.noemamag.com/the-tyranny-of-time/</w:t>
      </w:r>
      <w:r w:rsidR="00AC02B7">
        <w:t xml:space="preserve"> </w:t>
      </w:r>
      <w:r w:rsidR="00AC02B7">
        <w:t>[accessed 17 October 2021].</w:t>
      </w:r>
    </w:p>
    <w:p w14:paraId="2E87C46B" w14:textId="29B4B6C3" w:rsidR="00FB184E" w:rsidRPr="00AC02B7" w:rsidRDefault="00FB184E" w:rsidP="00D81811">
      <w:pPr>
        <w:spacing w:line="240" w:lineRule="auto"/>
      </w:pPr>
    </w:p>
    <w:p w14:paraId="7F780253" w14:textId="77777777" w:rsidR="00811CCD" w:rsidRDefault="00811CCD" w:rsidP="00D81811">
      <w:pPr>
        <w:spacing w:line="240" w:lineRule="auto"/>
      </w:pPr>
    </w:p>
    <w:sectPr w:rsidR="00811CC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D98C7" w14:textId="77777777" w:rsidR="001F579D" w:rsidRDefault="001F579D" w:rsidP="00361889">
      <w:pPr>
        <w:spacing w:line="240" w:lineRule="auto"/>
      </w:pPr>
      <w:r>
        <w:separator/>
      </w:r>
    </w:p>
  </w:endnote>
  <w:endnote w:type="continuationSeparator" w:id="0">
    <w:p w14:paraId="4CEFF8FF" w14:textId="77777777" w:rsidR="001F579D" w:rsidRDefault="001F579D" w:rsidP="003618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A405A" w14:textId="77777777" w:rsidR="001F579D" w:rsidRDefault="001F579D" w:rsidP="00361889">
      <w:pPr>
        <w:spacing w:line="240" w:lineRule="auto"/>
      </w:pPr>
      <w:r>
        <w:separator/>
      </w:r>
    </w:p>
  </w:footnote>
  <w:footnote w:type="continuationSeparator" w:id="0">
    <w:p w14:paraId="0F68402A" w14:textId="77777777" w:rsidR="001F579D" w:rsidRDefault="001F579D" w:rsidP="0036188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2EB914" w14:textId="1F65360A" w:rsidR="00361889" w:rsidRDefault="00091DB1" w:rsidP="00361889">
    <w:pPr>
      <w:pStyle w:val="Header"/>
      <w:rPr>
        <w:color w:val="A6A6A6" w:themeColor="background1" w:themeShade="A6"/>
      </w:rPr>
    </w:pPr>
    <w:r w:rsidRPr="00091DB1">
      <w:rPr>
        <w:color w:val="A6A6A6" w:themeColor="background1" w:themeShade="A6"/>
      </w:rPr>
      <w:t>HPH</w:t>
    </w:r>
    <w:r w:rsidR="009A478C">
      <w:rPr>
        <w:color w:val="A6A6A6" w:themeColor="background1" w:themeShade="A6"/>
      </w:rPr>
      <w:t>E5008</w:t>
    </w:r>
    <w:r w:rsidRPr="00091DB1">
      <w:rPr>
        <w:color w:val="A6A6A6" w:themeColor="background1" w:themeShade="A6"/>
      </w:rPr>
      <w:t xml:space="preserve"> </w:t>
    </w:r>
    <w:r w:rsidR="00361889" w:rsidRPr="00091DB1">
      <w:rPr>
        <w:color w:val="A6A6A6" w:themeColor="background1" w:themeShade="A6"/>
      </w:rPr>
      <w:t>–</w:t>
    </w:r>
    <w:r w:rsidR="00361889">
      <w:rPr>
        <w:color w:val="A6A6A6" w:themeColor="background1" w:themeShade="A6"/>
      </w:rPr>
      <w:t xml:space="preserve"> </w:t>
    </w:r>
    <w:r w:rsidR="009A478C">
      <w:rPr>
        <w:color w:val="A6A6A6" w:themeColor="background1" w:themeShade="A6"/>
      </w:rPr>
      <w:t>Museums Heritage &amp; Representation</w:t>
    </w:r>
    <w:r>
      <w:rPr>
        <w:color w:val="A6A6A6" w:themeColor="background1" w:themeShade="A6"/>
      </w:rPr>
      <w:tab/>
    </w:r>
    <w:r w:rsidR="00361889">
      <w:rPr>
        <w:color w:val="A6A6A6" w:themeColor="background1" w:themeShade="A6"/>
      </w:rPr>
      <w:tab/>
      <w:t>Lisa Holland (2014459)</w:t>
    </w:r>
  </w:p>
  <w:p w14:paraId="2F7EFF7F" w14:textId="120E522E" w:rsidR="00361889" w:rsidRDefault="009A478C" w:rsidP="00361889">
    <w:pPr>
      <w:pStyle w:val="Header"/>
    </w:pPr>
    <w:r>
      <w:rPr>
        <w:color w:val="A6A6A6" w:themeColor="background1" w:themeShade="A6"/>
      </w:rPr>
      <w:t>3</w:t>
    </w:r>
    <w:r w:rsidR="00361889">
      <w:rPr>
        <w:color w:val="A6A6A6" w:themeColor="background1" w:themeShade="A6"/>
      </w:rPr>
      <w:t xml:space="preserve">000-word </w:t>
    </w:r>
    <w:r w:rsidR="00091DB1">
      <w:rPr>
        <w:color w:val="A6A6A6" w:themeColor="background1" w:themeShade="A6"/>
      </w:rPr>
      <w:t>essay</w:t>
    </w:r>
    <w:r w:rsidR="00091DB1">
      <w:rPr>
        <w:color w:val="A6A6A6" w:themeColor="background1" w:themeShade="A6"/>
      </w:rPr>
      <w:tab/>
    </w:r>
    <w:r w:rsidR="00361889">
      <w:rPr>
        <w:color w:val="A6A6A6" w:themeColor="background1" w:themeShade="A6"/>
      </w:rPr>
      <w:tab/>
      <w:t xml:space="preserve"> </w:t>
    </w:r>
    <w:r w:rsidR="00811CCD">
      <w:rPr>
        <w:color w:val="A6A6A6" w:themeColor="background1" w:themeShade="A6"/>
      </w:rPr>
      <w:t>1</w:t>
    </w:r>
    <w:r>
      <w:rPr>
        <w:color w:val="A6A6A6" w:themeColor="background1" w:themeShade="A6"/>
      </w:rPr>
      <w:t>7 October</w:t>
    </w:r>
    <w:r w:rsidR="00361889">
      <w:rPr>
        <w:color w:val="A6A6A6" w:themeColor="background1" w:themeShade="A6"/>
      </w:rPr>
      <w:t xml:space="preserve"> 2021</w:t>
    </w:r>
  </w:p>
  <w:p w14:paraId="5DDE168B" w14:textId="77777777" w:rsidR="00361889" w:rsidRDefault="0036188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889"/>
    <w:rsid w:val="000350BB"/>
    <w:rsid w:val="00060E3F"/>
    <w:rsid w:val="00070C34"/>
    <w:rsid w:val="00080748"/>
    <w:rsid w:val="00091DB1"/>
    <w:rsid w:val="000D1A86"/>
    <w:rsid w:val="000D2663"/>
    <w:rsid w:val="000D623B"/>
    <w:rsid w:val="00101A2E"/>
    <w:rsid w:val="0015105B"/>
    <w:rsid w:val="0016124C"/>
    <w:rsid w:val="0017383C"/>
    <w:rsid w:val="001A267D"/>
    <w:rsid w:val="001C3D2F"/>
    <w:rsid w:val="001D60EB"/>
    <w:rsid w:val="001E429D"/>
    <w:rsid w:val="001E76EA"/>
    <w:rsid w:val="001F579D"/>
    <w:rsid w:val="00226852"/>
    <w:rsid w:val="0023342B"/>
    <w:rsid w:val="0026727E"/>
    <w:rsid w:val="00291877"/>
    <w:rsid w:val="002C5E97"/>
    <w:rsid w:val="002D14B4"/>
    <w:rsid w:val="002D7743"/>
    <w:rsid w:val="002F1684"/>
    <w:rsid w:val="00301AF5"/>
    <w:rsid w:val="00315A2F"/>
    <w:rsid w:val="003358C4"/>
    <w:rsid w:val="0035772D"/>
    <w:rsid w:val="00361889"/>
    <w:rsid w:val="00367769"/>
    <w:rsid w:val="003A38D8"/>
    <w:rsid w:val="003A68D0"/>
    <w:rsid w:val="003B420B"/>
    <w:rsid w:val="003B66C8"/>
    <w:rsid w:val="003D07F5"/>
    <w:rsid w:val="003F3F87"/>
    <w:rsid w:val="00431A93"/>
    <w:rsid w:val="00443B05"/>
    <w:rsid w:val="004448DC"/>
    <w:rsid w:val="00445EFC"/>
    <w:rsid w:val="00477491"/>
    <w:rsid w:val="004B3D5C"/>
    <w:rsid w:val="004C6F2B"/>
    <w:rsid w:val="004F5027"/>
    <w:rsid w:val="005425BE"/>
    <w:rsid w:val="0055081F"/>
    <w:rsid w:val="00565F52"/>
    <w:rsid w:val="005837D5"/>
    <w:rsid w:val="00593260"/>
    <w:rsid w:val="005936C3"/>
    <w:rsid w:val="00594DF4"/>
    <w:rsid w:val="00596CE3"/>
    <w:rsid w:val="005A190B"/>
    <w:rsid w:val="005B1194"/>
    <w:rsid w:val="005B6DE1"/>
    <w:rsid w:val="005C20BF"/>
    <w:rsid w:val="005E15E9"/>
    <w:rsid w:val="00617194"/>
    <w:rsid w:val="00632B47"/>
    <w:rsid w:val="00643F32"/>
    <w:rsid w:val="00655FE0"/>
    <w:rsid w:val="00661708"/>
    <w:rsid w:val="006707AE"/>
    <w:rsid w:val="00673D69"/>
    <w:rsid w:val="0067511D"/>
    <w:rsid w:val="00675BD7"/>
    <w:rsid w:val="00683FB7"/>
    <w:rsid w:val="006855BA"/>
    <w:rsid w:val="006955D2"/>
    <w:rsid w:val="006976AA"/>
    <w:rsid w:val="006C7915"/>
    <w:rsid w:val="006D749B"/>
    <w:rsid w:val="006F6233"/>
    <w:rsid w:val="00703A5C"/>
    <w:rsid w:val="0071435F"/>
    <w:rsid w:val="007173C0"/>
    <w:rsid w:val="00751331"/>
    <w:rsid w:val="00753F40"/>
    <w:rsid w:val="00756098"/>
    <w:rsid w:val="00764890"/>
    <w:rsid w:val="00776445"/>
    <w:rsid w:val="00793023"/>
    <w:rsid w:val="007D3AC1"/>
    <w:rsid w:val="007D48CC"/>
    <w:rsid w:val="007D695F"/>
    <w:rsid w:val="00811CCD"/>
    <w:rsid w:val="00847234"/>
    <w:rsid w:val="00847EA8"/>
    <w:rsid w:val="00875325"/>
    <w:rsid w:val="0089002E"/>
    <w:rsid w:val="008C7607"/>
    <w:rsid w:val="00900602"/>
    <w:rsid w:val="00906353"/>
    <w:rsid w:val="00925B88"/>
    <w:rsid w:val="00944FD0"/>
    <w:rsid w:val="00964654"/>
    <w:rsid w:val="009875B1"/>
    <w:rsid w:val="0099596D"/>
    <w:rsid w:val="009978BC"/>
    <w:rsid w:val="009A478C"/>
    <w:rsid w:val="009E4AC0"/>
    <w:rsid w:val="009F0469"/>
    <w:rsid w:val="009F04A4"/>
    <w:rsid w:val="00A06172"/>
    <w:rsid w:val="00A3178E"/>
    <w:rsid w:val="00A424BF"/>
    <w:rsid w:val="00A5395C"/>
    <w:rsid w:val="00A61AA7"/>
    <w:rsid w:val="00A874C8"/>
    <w:rsid w:val="00AB019A"/>
    <w:rsid w:val="00AB0841"/>
    <w:rsid w:val="00AC02B7"/>
    <w:rsid w:val="00AD5FFC"/>
    <w:rsid w:val="00AE2947"/>
    <w:rsid w:val="00B04833"/>
    <w:rsid w:val="00B07E0B"/>
    <w:rsid w:val="00B251D3"/>
    <w:rsid w:val="00B641F7"/>
    <w:rsid w:val="00B72A0A"/>
    <w:rsid w:val="00B75C00"/>
    <w:rsid w:val="00B96A81"/>
    <w:rsid w:val="00BA2BD0"/>
    <w:rsid w:val="00BB4D6C"/>
    <w:rsid w:val="00BB5932"/>
    <w:rsid w:val="00BB631C"/>
    <w:rsid w:val="00BC3AE7"/>
    <w:rsid w:val="00BD1A21"/>
    <w:rsid w:val="00BE1D6F"/>
    <w:rsid w:val="00BF4221"/>
    <w:rsid w:val="00C0098D"/>
    <w:rsid w:val="00C248BE"/>
    <w:rsid w:val="00C430D1"/>
    <w:rsid w:val="00C51C4A"/>
    <w:rsid w:val="00C51F22"/>
    <w:rsid w:val="00C54603"/>
    <w:rsid w:val="00C54EED"/>
    <w:rsid w:val="00C55F53"/>
    <w:rsid w:val="00C637A2"/>
    <w:rsid w:val="00C65B96"/>
    <w:rsid w:val="00C661F1"/>
    <w:rsid w:val="00C75CBC"/>
    <w:rsid w:val="00C82706"/>
    <w:rsid w:val="00C91D07"/>
    <w:rsid w:val="00CA6D0C"/>
    <w:rsid w:val="00CF0F25"/>
    <w:rsid w:val="00CF4EF0"/>
    <w:rsid w:val="00D00598"/>
    <w:rsid w:val="00D01FBD"/>
    <w:rsid w:val="00D14818"/>
    <w:rsid w:val="00D32603"/>
    <w:rsid w:val="00D57D6D"/>
    <w:rsid w:val="00D602D4"/>
    <w:rsid w:val="00D708A4"/>
    <w:rsid w:val="00D70EA4"/>
    <w:rsid w:val="00D76200"/>
    <w:rsid w:val="00D81811"/>
    <w:rsid w:val="00DA1DEE"/>
    <w:rsid w:val="00DD70AE"/>
    <w:rsid w:val="00E05E67"/>
    <w:rsid w:val="00E80B21"/>
    <w:rsid w:val="00E8635D"/>
    <w:rsid w:val="00E94F6D"/>
    <w:rsid w:val="00EA0557"/>
    <w:rsid w:val="00EA2F1A"/>
    <w:rsid w:val="00EB7927"/>
    <w:rsid w:val="00EC3F74"/>
    <w:rsid w:val="00EC42EE"/>
    <w:rsid w:val="00ED17C3"/>
    <w:rsid w:val="00EE456D"/>
    <w:rsid w:val="00EE68AA"/>
    <w:rsid w:val="00F007E8"/>
    <w:rsid w:val="00F07034"/>
    <w:rsid w:val="00F3274D"/>
    <w:rsid w:val="00F471C5"/>
    <w:rsid w:val="00F72BE5"/>
    <w:rsid w:val="00F866D2"/>
    <w:rsid w:val="00F87D37"/>
    <w:rsid w:val="00FB184E"/>
    <w:rsid w:val="00FB4B0A"/>
    <w:rsid w:val="00FB5915"/>
    <w:rsid w:val="00FF3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679C4"/>
  <w15:chartTrackingRefBased/>
  <w15:docId w15:val="{81E842BA-6E14-4575-8B31-2CF1897AC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1889"/>
    <w:pPr>
      <w:tabs>
        <w:tab w:val="center" w:pos="4513"/>
        <w:tab w:val="right" w:pos="9026"/>
      </w:tabs>
      <w:spacing w:line="240" w:lineRule="auto"/>
    </w:pPr>
  </w:style>
  <w:style w:type="character" w:customStyle="1" w:styleId="HeaderChar">
    <w:name w:val="Header Char"/>
    <w:basedOn w:val="DefaultParagraphFont"/>
    <w:link w:val="Header"/>
    <w:uiPriority w:val="99"/>
    <w:rsid w:val="00361889"/>
  </w:style>
  <w:style w:type="paragraph" w:styleId="Footer">
    <w:name w:val="footer"/>
    <w:basedOn w:val="Normal"/>
    <w:link w:val="FooterChar"/>
    <w:uiPriority w:val="99"/>
    <w:unhideWhenUsed/>
    <w:rsid w:val="00361889"/>
    <w:pPr>
      <w:tabs>
        <w:tab w:val="center" w:pos="4513"/>
        <w:tab w:val="right" w:pos="9026"/>
      </w:tabs>
      <w:spacing w:line="240" w:lineRule="auto"/>
    </w:pPr>
  </w:style>
  <w:style w:type="character" w:customStyle="1" w:styleId="FooterChar">
    <w:name w:val="Footer Char"/>
    <w:basedOn w:val="DefaultParagraphFont"/>
    <w:link w:val="Footer"/>
    <w:uiPriority w:val="99"/>
    <w:rsid w:val="00361889"/>
  </w:style>
  <w:style w:type="character" w:styleId="Hyperlink">
    <w:name w:val="Hyperlink"/>
    <w:basedOn w:val="DefaultParagraphFont"/>
    <w:uiPriority w:val="99"/>
    <w:unhideWhenUsed/>
    <w:rsid w:val="00091DB1"/>
    <w:rPr>
      <w:color w:val="0000FF"/>
      <w:u w:val="single"/>
    </w:rPr>
  </w:style>
  <w:style w:type="paragraph" w:customStyle="1" w:styleId="western">
    <w:name w:val="western"/>
    <w:basedOn w:val="Normal"/>
    <w:rsid w:val="00811CCD"/>
    <w:pPr>
      <w:spacing w:before="100" w:beforeAutospacing="1" w:after="119"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C02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050387">
      <w:bodyDiv w:val="1"/>
      <w:marLeft w:val="0"/>
      <w:marRight w:val="0"/>
      <w:marTop w:val="0"/>
      <w:marBottom w:val="0"/>
      <w:divBdr>
        <w:top w:val="none" w:sz="0" w:space="0" w:color="auto"/>
        <w:left w:val="none" w:sz="0" w:space="0" w:color="auto"/>
        <w:bottom w:val="none" w:sz="0" w:space="0" w:color="auto"/>
        <w:right w:val="none" w:sz="0" w:space="0" w:color="auto"/>
      </w:divBdr>
    </w:div>
    <w:div w:id="830371300">
      <w:bodyDiv w:val="1"/>
      <w:marLeft w:val="0"/>
      <w:marRight w:val="0"/>
      <w:marTop w:val="0"/>
      <w:marBottom w:val="0"/>
      <w:divBdr>
        <w:top w:val="none" w:sz="0" w:space="0" w:color="auto"/>
        <w:left w:val="none" w:sz="0" w:space="0" w:color="auto"/>
        <w:bottom w:val="none" w:sz="0" w:space="0" w:color="auto"/>
        <w:right w:val="none" w:sz="0" w:space="0" w:color="auto"/>
      </w:divBdr>
    </w:div>
    <w:div w:id="1316686512">
      <w:bodyDiv w:val="1"/>
      <w:marLeft w:val="0"/>
      <w:marRight w:val="0"/>
      <w:marTop w:val="0"/>
      <w:marBottom w:val="0"/>
      <w:divBdr>
        <w:top w:val="none" w:sz="0" w:space="0" w:color="auto"/>
        <w:left w:val="none" w:sz="0" w:space="0" w:color="auto"/>
        <w:bottom w:val="none" w:sz="0" w:space="0" w:color="auto"/>
        <w:right w:val="none" w:sz="0" w:space="0" w:color="auto"/>
      </w:divBdr>
    </w:div>
    <w:div w:id="1501314270">
      <w:bodyDiv w:val="1"/>
      <w:marLeft w:val="0"/>
      <w:marRight w:val="0"/>
      <w:marTop w:val="0"/>
      <w:marBottom w:val="0"/>
      <w:divBdr>
        <w:top w:val="none" w:sz="0" w:space="0" w:color="auto"/>
        <w:left w:val="none" w:sz="0" w:space="0" w:color="auto"/>
        <w:bottom w:val="none" w:sz="0" w:space="0" w:color="auto"/>
        <w:right w:val="none" w:sz="0" w:space="0" w:color="auto"/>
      </w:divBdr>
    </w:div>
    <w:div w:id="1628663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289</TotalTime>
  <Pages>10</Pages>
  <Words>4343</Words>
  <Characters>24367</Characters>
  <Application>Microsoft Office Word</Application>
  <DocSecurity>0</DocSecurity>
  <Lines>435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Anne Holland (2014459)</dc:creator>
  <cp:keywords/>
  <dc:description/>
  <cp:lastModifiedBy>Elizabeth Anne</cp:lastModifiedBy>
  <cp:revision>136</cp:revision>
  <dcterms:created xsi:type="dcterms:W3CDTF">2021-10-17T15:35:00Z</dcterms:created>
  <dcterms:modified xsi:type="dcterms:W3CDTF">2021-10-17T20:27:00Z</dcterms:modified>
</cp:coreProperties>
</file>