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96F7F" w14:textId="0E40B123" w:rsidR="00731AFB" w:rsidRDefault="00731AFB" w:rsidP="00731AFB">
      <w:r w:rsidRPr="00731AFB">
        <w:rPr>
          <w:rFonts w:asciiTheme="minorHAnsi" w:hAnsiTheme="minorHAnsi"/>
          <w:noProof/>
          <w:kern w:val="2"/>
          <w:sz w:val="24"/>
          <w:szCs w:val="24"/>
          <w:lang w:bidi="ar-SA"/>
          <w14:ligatures w14:val="standardContextual"/>
        </w:rPr>
        <w:drawing>
          <wp:anchor distT="0" distB="0" distL="114300" distR="114300" simplePos="0" relativeHeight="251659264" behindDoc="1" locked="0" layoutInCell="1" allowOverlap="1" wp14:anchorId="3AAD01E7" wp14:editId="175A5809">
            <wp:simplePos x="0" y="0"/>
            <wp:positionH relativeFrom="margin">
              <wp:posOffset>754735</wp:posOffset>
            </wp:positionH>
            <wp:positionV relativeFrom="page">
              <wp:posOffset>552893</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F6D263C" w14:textId="208AF75F" w:rsidR="00731AFB" w:rsidRPr="00731AFB" w:rsidRDefault="00731AFB" w:rsidP="00731AFB">
      <w:pPr>
        <w:spacing w:line="278" w:lineRule="auto"/>
        <w:jc w:val="left"/>
        <w:rPr>
          <w:rFonts w:asciiTheme="minorHAnsi" w:hAnsiTheme="minorHAnsi"/>
          <w:kern w:val="2"/>
          <w:sz w:val="24"/>
          <w:szCs w:val="24"/>
          <w:lang w:bidi="ar-SA"/>
          <w14:ligatures w14:val="standardContextual"/>
        </w:rPr>
      </w:pPr>
    </w:p>
    <w:p w14:paraId="5C47C390" w14:textId="77777777" w:rsidR="00731AFB" w:rsidRPr="00731AFB" w:rsidRDefault="00731AFB" w:rsidP="00731AFB">
      <w:pPr>
        <w:spacing w:line="278" w:lineRule="auto"/>
        <w:ind w:right="1229"/>
        <w:jc w:val="center"/>
        <w:rPr>
          <w:rFonts w:asciiTheme="minorHAnsi" w:hAnsiTheme="minorHAnsi"/>
          <w:kern w:val="2"/>
          <w:sz w:val="24"/>
          <w:szCs w:val="24"/>
          <w:lang w:bidi="ar-SA"/>
          <w14:ligatures w14:val="standardContextual"/>
        </w:rPr>
      </w:pPr>
    </w:p>
    <w:p w14:paraId="4826412E" w14:textId="77777777" w:rsidR="00731AFB" w:rsidRPr="00731AFB" w:rsidRDefault="00731AFB" w:rsidP="00731AFB">
      <w:pPr>
        <w:spacing w:line="278" w:lineRule="auto"/>
        <w:ind w:right="1229"/>
        <w:jc w:val="center"/>
        <w:rPr>
          <w:rFonts w:asciiTheme="minorHAnsi" w:hAnsiTheme="minorHAnsi" w:cs="Arial"/>
          <w:kern w:val="2"/>
          <w:sz w:val="60"/>
          <w:szCs w:val="60"/>
          <w:lang w:bidi="ar-SA"/>
          <w14:ligatures w14:val="standardContextual"/>
        </w:rPr>
      </w:pPr>
      <w:r w:rsidRPr="00731AFB">
        <w:rPr>
          <w:rFonts w:asciiTheme="minorHAnsi" w:hAnsiTheme="minorHAnsi" w:cs="Arial"/>
          <w:kern w:val="2"/>
          <w:sz w:val="60"/>
          <w:szCs w:val="60"/>
          <w:lang w:bidi="ar-SA"/>
          <w14:ligatures w14:val="standardContextual"/>
        </w:rPr>
        <w:t>Institute of Inner-City Learning Birmingham Campus</w:t>
      </w:r>
    </w:p>
    <w:p w14:paraId="7E9F61B1" w14:textId="77777777" w:rsidR="00731AFB" w:rsidRPr="00731AFB" w:rsidRDefault="00731AFB" w:rsidP="00731AFB">
      <w:pPr>
        <w:widowControl w:val="0"/>
        <w:autoSpaceDE w:val="0"/>
        <w:autoSpaceDN w:val="0"/>
        <w:spacing w:after="0" w:line="240" w:lineRule="auto"/>
        <w:jc w:val="center"/>
        <w:rPr>
          <w:rFonts w:ascii="Aptos" w:eastAsia="Calibri Light" w:hAnsi="Aptos" w:cs="Arial"/>
          <w:sz w:val="20"/>
          <w:lang w:eastAsia="en-GB" w:bidi="en-GB"/>
        </w:rPr>
      </w:pPr>
    </w:p>
    <w:p w14:paraId="4373B74A" w14:textId="77777777" w:rsidR="00731AFB" w:rsidRPr="00731AFB" w:rsidRDefault="00731AFB" w:rsidP="00731AFB">
      <w:pPr>
        <w:spacing w:line="813" w:lineRule="exact"/>
        <w:jc w:val="center"/>
        <w:rPr>
          <w:rFonts w:asciiTheme="minorHAnsi" w:hAnsiTheme="minorHAnsi" w:cs="Arial"/>
          <w:kern w:val="2"/>
          <w:sz w:val="60"/>
          <w:szCs w:val="60"/>
          <w:lang w:bidi="ar-SA"/>
          <w14:ligatures w14:val="standardContextual"/>
        </w:rPr>
      </w:pPr>
      <w:r w:rsidRPr="00731AFB">
        <w:rPr>
          <w:rFonts w:asciiTheme="minorHAnsi" w:hAnsiTheme="minorHAnsi" w:cs="Arial"/>
          <w:kern w:val="2"/>
          <w:sz w:val="60"/>
          <w:szCs w:val="60"/>
          <w:lang w:bidi="ar-SA"/>
          <w14:ligatures w14:val="standardContextual"/>
        </w:rPr>
        <w:t>BSc (Hons) Health and Social Care</w:t>
      </w:r>
      <w:r w:rsidRPr="00731AFB">
        <w:rPr>
          <w:rFonts w:asciiTheme="minorHAnsi" w:hAnsiTheme="minorHAnsi" w:cs="Arial"/>
          <w:kern w:val="2"/>
          <w:sz w:val="60"/>
          <w:szCs w:val="60"/>
          <w:lang w:bidi="ar-SA"/>
          <w14:ligatures w14:val="standardContextual"/>
        </w:rPr>
        <w:br/>
      </w:r>
    </w:p>
    <w:p w14:paraId="494B729D" w14:textId="77777777" w:rsidR="00731AFB" w:rsidRPr="00731AFB" w:rsidRDefault="00731AFB" w:rsidP="00731AFB">
      <w:pPr>
        <w:jc w:val="center"/>
        <w:rPr>
          <w:rFonts w:ascii="Aptos" w:hAnsi="Aptos" w:cs="Arial"/>
          <w:b/>
          <w:bCs/>
          <w:sz w:val="32"/>
          <w:szCs w:val="32"/>
          <w:lang w:bidi="ar-SA"/>
        </w:rPr>
      </w:pPr>
      <w:r w:rsidRPr="00731AFB">
        <w:rPr>
          <w:rFonts w:ascii="Aptos" w:hAnsi="Aptos" w:cs="Arial"/>
          <w:b/>
          <w:bCs/>
          <w:sz w:val="32"/>
          <w:szCs w:val="32"/>
          <w:lang w:bidi="ar-SA"/>
        </w:rPr>
        <w:t>Assignment Title:</w:t>
      </w:r>
      <w:r w:rsidRPr="00731AFB">
        <w:rPr>
          <w:rFonts w:ascii="Times New Roman" w:hAnsi="Times New Roman"/>
          <w:sz w:val="32"/>
          <w:szCs w:val="32"/>
          <w:lang w:bidi="ar-SA"/>
        </w:rPr>
        <w:t xml:space="preserve"> </w:t>
      </w:r>
      <w:r w:rsidRPr="00731AFB">
        <w:rPr>
          <w:rFonts w:cs="Arial"/>
          <w:b/>
          <w:bCs/>
          <w:sz w:val="32"/>
          <w:szCs w:val="32"/>
          <w:lang w:bidi="ar-SA"/>
        </w:rPr>
        <w:t>Component 2: Dissertation</w:t>
      </w:r>
    </w:p>
    <w:p w14:paraId="6E78DDFA" w14:textId="3D601318" w:rsidR="00731AFB" w:rsidRPr="00731AFB" w:rsidRDefault="00731AFB" w:rsidP="00731AFB">
      <w:pPr>
        <w:jc w:val="center"/>
        <w:rPr>
          <w:rFonts w:ascii="Aptos" w:hAnsi="Aptos" w:cs="Arial"/>
          <w:b/>
          <w:bCs/>
          <w:sz w:val="32"/>
          <w:szCs w:val="32"/>
          <w:lang w:bidi="ar-SA"/>
        </w:rPr>
      </w:pPr>
      <w:r w:rsidRPr="00731AFB">
        <w:rPr>
          <w:rFonts w:ascii="Aptos" w:hAnsi="Aptos" w:cs="Arial"/>
          <w:b/>
          <w:bCs/>
          <w:sz w:val="32"/>
          <w:szCs w:val="32"/>
          <w:lang w:bidi="ar-SA"/>
        </w:rPr>
        <w:t xml:space="preserve">Student Name: </w:t>
      </w:r>
      <w:r>
        <w:rPr>
          <w:rFonts w:ascii="Aptos" w:hAnsi="Aptos" w:cs="Arial"/>
          <w:b/>
          <w:bCs/>
          <w:sz w:val="32"/>
          <w:szCs w:val="32"/>
          <w:lang w:bidi="ar-SA"/>
        </w:rPr>
        <w:t>Rizwan Ahmed</w:t>
      </w:r>
    </w:p>
    <w:p w14:paraId="2DE8C412" w14:textId="335E899B" w:rsidR="00731AFB" w:rsidRPr="00731AFB" w:rsidRDefault="00731AFB" w:rsidP="00731AFB">
      <w:pPr>
        <w:jc w:val="center"/>
        <w:rPr>
          <w:rFonts w:ascii="Aptos" w:hAnsi="Aptos" w:cs="Arial"/>
          <w:b/>
          <w:bCs/>
          <w:sz w:val="32"/>
          <w:szCs w:val="32"/>
          <w:lang w:bidi="ar-SA"/>
        </w:rPr>
      </w:pPr>
      <w:r w:rsidRPr="00731AFB">
        <w:rPr>
          <w:rFonts w:ascii="Aptos" w:hAnsi="Aptos" w:cs="Arial"/>
          <w:b/>
          <w:bCs/>
          <w:sz w:val="32"/>
          <w:szCs w:val="32"/>
          <w:lang w:bidi="ar-SA"/>
        </w:rPr>
        <w:t>Student Number: 222</w:t>
      </w:r>
      <w:r>
        <w:rPr>
          <w:rFonts w:ascii="Aptos" w:hAnsi="Aptos" w:cs="Arial"/>
          <w:b/>
          <w:bCs/>
          <w:sz w:val="32"/>
          <w:szCs w:val="32"/>
          <w:lang w:bidi="ar-SA"/>
        </w:rPr>
        <w:t>7934</w:t>
      </w:r>
    </w:p>
    <w:p w14:paraId="55B6B0F1" w14:textId="77777777" w:rsidR="00731AFB" w:rsidRPr="00731AFB" w:rsidRDefault="00731AFB" w:rsidP="00731AFB">
      <w:pPr>
        <w:jc w:val="center"/>
        <w:rPr>
          <w:rFonts w:ascii="Aptos" w:hAnsi="Aptos" w:cs="Arial"/>
          <w:b/>
          <w:bCs/>
          <w:sz w:val="32"/>
          <w:szCs w:val="32"/>
          <w:lang w:bidi="ar-SA"/>
        </w:rPr>
      </w:pPr>
      <w:r w:rsidRPr="00731AFB">
        <w:rPr>
          <w:rFonts w:ascii="Aptos" w:hAnsi="Aptos" w:cs="Arial"/>
          <w:b/>
          <w:bCs/>
          <w:sz w:val="32"/>
          <w:szCs w:val="32"/>
          <w:lang w:bidi="ar-SA"/>
        </w:rPr>
        <w:t>Module Title: Independent Project</w:t>
      </w:r>
    </w:p>
    <w:p w14:paraId="5CAEF58D" w14:textId="77777777" w:rsidR="00731AFB" w:rsidRPr="00731AFB" w:rsidRDefault="00731AFB" w:rsidP="00731AFB">
      <w:pPr>
        <w:jc w:val="center"/>
        <w:rPr>
          <w:rFonts w:ascii="Aptos" w:hAnsi="Aptos" w:cs="Arial"/>
          <w:b/>
          <w:bCs/>
          <w:sz w:val="32"/>
          <w:szCs w:val="32"/>
          <w:lang w:bidi="ar-SA"/>
        </w:rPr>
      </w:pPr>
      <w:r w:rsidRPr="00731AFB">
        <w:rPr>
          <w:rFonts w:ascii="Aptos" w:hAnsi="Aptos" w:cs="Arial"/>
          <w:b/>
          <w:bCs/>
          <w:sz w:val="32"/>
          <w:szCs w:val="32"/>
          <w:lang w:bidi="ar-SA"/>
        </w:rPr>
        <w:t>Module Code: BMHP6020</w:t>
      </w:r>
    </w:p>
    <w:p w14:paraId="3F0F008F" w14:textId="77777777" w:rsidR="00731AFB" w:rsidRPr="00731AFB" w:rsidRDefault="00731AFB" w:rsidP="00731AFB">
      <w:pPr>
        <w:jc w:val="center"/>
        <w:rPr>
          <w:rFonts w:ascii="Aptos" w:hAnsi="Aptos" w:cs="Arial"/>
          <w:sz w:val="32"/>
          <w:szCs w:val="32"/>
          <w:lang w:bidi="ar-SA"/>
        </w:rPr>
      </w:pPr>
      <w:r w:rsidRPr="00731AFB">
        <w:rPr>
          <w:rFonts w:ascii="Aptos" w:hAnsi="Aptos" w:cs="Arial"/>
          <w:b/>
          <w:bCs/>
          <w:sz w:val="32"/>
          <w:szCs w:val="32"/>
          <w:lang w:bidi="ar-SA"/>
        </w:rPr>
        <w:t>Lecturer’s Name: Danielle Dunne</w:t>
      </w:r>
    </w:p>
    <w:p w14:paraId="3D953BBA" w14:textId="77777777" w:rsidR="00731AFB" w:rsidRPr="00731AFB" w:rsidRDefault="00731AFB" w:rsidP="00731AFB">
      <w:pPr>
        <w:jc w:val="center"/>
        <w:rPr>
          <w:rFonts w:ascii="Aptos" w:hAnsi="Aptos" w:cs="Arial"/>
          <w:sz w:val="32"/>
          <w:szCs w:val="32"/>
          <w:lang w:bidi="ar-SA"/>
        </w:rPr>
      </w:pPr>
    </w:p>
    <w:p w14:paraId="212116E1" w14:textId="77777777" w:rsidR="00731AFB" w:rsidRPr="00731AFB" w:rsidRDefault="00731AFB" w:rsidP="00731AFB">
      <w:pPr>
        <w:keepNext/>
        <w:keepLines/>
        <w:spacing w:before="360" w:after="80" w:line="278" w:lineRule="auto"/>
        <w:jc w:val="left"/>
        <w:outlineLvl w:val="0"/>
        <w:rPr>
          <w:rFonts w:ascii="Aptos" w:eastAsiaTheme="majorEastAsia" w:hAnsi="Aptos" w:cs="Arial"/>
          <w:b/>
          <w:bCs/>
          <w:color w:val="2F5496" w:themeColor="accent1" w:themeShade="BF"/>
          <w:kern w:val="2"/>
          <w:sz w:val="40"/>
          <w:szCs w:val="40"/>
          <w:lang w:bidi="ar-SA"/>
          <w14:ligatures w14:val="standardContextual"/>
        </w:rPr>
      </w:pPr>
      <w:bookmarkStart w:id="0" w:name="_Toc225060474"/>
      <w:r w:rsidRPr="00731AFB">
        <w:rPr>
          <w:rFonts w:ascii="Aptos" w:eastAsiaTheme="majorEastAsia" w:hAnsi="Aptos" w:cs="Arial"/>
          <w:b/>
          <w:bCs/>
          <w:color w:val="2F5496" w:themeColor="accent1" w:themeShade="BF"/>
          <w:kern w:val="2"/>
          <w:sz w:val="40"/>
          <w:szCs w:val="40"/>
          <w:lang w:bidi="ar-SA"/>
          <w14:ligatures w14:val="standardContextual"/>
        </w:rPr>
        <w:t>Disclaimer</w:t>
      </w:r>
      <w:bookmarkEnd w:id="0"/>
    </w:p>
    <w:p w14:paraId="0D777415" w14:textId="77777777" w:rsidR="00731AFB" w:rsidRPr="00731AFB" w:rsidRDefault="00731AFB" w:rsidP="00731AFB">
      <w:pPr>
        <w:spacing w:before="62" w:line="278" w:lineRule="auto"/>
        <w:ind w:right="96"/>
        <w:jc w:val="left"/>
        <w:rPr>
          <w:rFonts w:asciiTheme="minorHAnsi" w:hAnsiTheme="minorHAnsi" w:cs="Arial"/>
          <w:kern w:val="2"/>
          <w:sz w:val="20"/>
          <w:szCs w:val="24"/>
          <w:lang w:bidi="ar-SA"/>
          <w14:ligatures w14:val="standardContextual"/>
        </w:rPr>
      </w:pPr>
      <w:r w:rsidRPr="00731AFB">
        <w:rPr>
          <w:rFonts w:asciiTheme="minorHAnsi" w:hAnsiTheme="minorHAnsi" w:cs="Arial"/>
          <w:kern w:val="2"/>
          <w:sz w:val="20"/>
          <w:szCs w:val="24"/>
          <w:lang w:bidi="ar-SA"/>
          <w14:ligatures w14:val="standardContextual"/>
        </w:rPr>
        <w:t xml:space="preserve">This document was correct at the time of publication. The Module Coordinator reserves the right to modify any </w:t>
      </w:r>
      <w:proofErr w:type="gramStart"/>
      <w:r w:rsidRPr="00731AFB">
        <w:rPr>
          <w:rFonts w:asciiTheme="minorHAnsi" w:hAnsiTheme="minorHAnsi" w:cs="Arial"/>
          <w:kern w:val="2"/>
          <w:sz w:val="20"/>
          <w:szCs w:val="24"/>
          <w:lang w:bidi="ar-SA"/>
          <w14:ligatures w14:val="standardContextual"/>
        </w:rPr>
        <w:t>statement</w:t>
      </w:r>
      <w:proofErr w:type="gramEnd"/>
      <w:r w:rsidRPr="00731AFB">
        <w:rPr>
          <w:rFonts w:asciiTheme="minorHAnsi" w:hAnsiTheme="minorHAnsi" w:cs="Arial"/>
          <w:kern w:val="2"/>
          <w:sz w:val="20"/>
          <w:szCs w:val="24"/>
          <w:lang w:bidi="ar-SA"/>
          <w14:ligatures w14:val="standardContextual"/>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33BD54E6" w14:textId="77777777" w:rsidR="00731AFB" w:rsidRDefault="00731AFB" w:rsidP="00731AFB"/>
    <w:p w14:paraId="5D18908A" w14:textId="77777777" w:rsidR="00731AFB" w:rsidRPr="00731AFB" w:rsidRDefault="00731AFB" w:rsidP="00731AFB">
      <w:pPr>
        <w:spacing w:before="62" w:line="278" w:lineRule="auto"/>
        <w:ind w:right="96"/>
        <w:jc w:val="center"/>
        <w:rPr>
          <w:rFonts w:cs="Arial"/>
          <w:kern w:val="2"/>
          <w:sz w:val="20"/>
          <w:szCs w:val="24"/>
          <w:lang w:bidi="ar-SA"/>
          <w14:ligatures w14:val="standardContextual"/>
        </w:rPr>
      </w:pPr>
      <w:r w:rsidRPr="00731AFB">
        <w:rPr>
          <w:rFonts w:eastAsia="Times New Roman" w:cs="Arial"/>
          <w:b/>
          <w:kern w:val="2"/>
          <w:sz w:val="28"/>
          <w:szCs w:val="28"/>
          <w:lang w:bidi="ar-SA"/>
          <w14:ligatures w14:val="standardContextual"/>
        </w:rPr>
        <w:t>DECLARATION</w:t>
      </w:r>
    </w:p>
    <w:p w14:paraId="126DF62C" w14:textId="77777777" w:rsidR="00731AFB" w:rsidRPr="00731AFB" w:rsidRDefault="00731AFB" w:rsidP="00731AFB">
      <w:pPr>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This work has not previously been accepted in substance for any degree and is not being concurrently submitted in candidature for any degree</w:t>
      </w:r>
    </w:p>
    <w:p w14:paraId="1F89A903" w14:textId="0C753BD2" w:rsidR="00731AFB" w:rsidRPr="00731AFB" w:rsidRDefault="00731AFB" w:rsidP="00731AFB">
      <w:pPr>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Signed…………………</w:t>
      </w:r>
      <w:proofErr w:type="spellStart"/>
      <w:proofErr w:type="gramStart"/>
      <w:r>
        <w:rPr>
          <w:rFonts w:eastAsia="Times New Roman" w:cs="Arial"/>
          <w:kern w:val="2"/>
          <w:lang w:bidi="ar-SA"/>
          <w14:ligatures w14:val="standardContextual"/>
        </w:rPr>
        <w:t>R.Ahmed</w:t>
      </w:r>
      <w:proofErr w:type="spellEnd"/>
      <w:proofErr w:type="gramEnd"/>
      <w:r w:rsidRPr="00731AFB">
        <w:rPr>
          <w:rFonts w:eastAsia="Times New Roman" w:cs="Arial"/>
          <w:kern w:val="2"/>
          <w:lang w:bidi="ar-SA"/>
          <w14:ligatures w14:val="standardContextual"/>
        </w:rPr>
        <w:t>…………………………</w:t>
      </w:r>
    </w:p>
    <w:p w14:paraId="7F25A650" w14:textId="77777777" w:rsidR="00731AFB" w:rsidRPr="00731AFB" w:rsidRDefault="00731AFB" w:rsidP="00731AFB">
      <w:pPr>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Date………………22.03.2026………………………………</w:t>
      </w:r>
    </w:p>
    <w:p w14:paraId="626A3D2D" w14:textId="77777777" w:rsidR="00731AFB" w:rsidRPr="00731AFB" w:rsidRDefault="00731AFB" w:rsidP="00731AFB">
      <w:pPr>
        <w:spacing w:line="278" w:lineRule="auto"/>
        <w:jc w:val="left"/>
        <w:rPr>
          <w:rFonts w:eastAsia="Times New Roman" w:cs="Arial"/>
          <w:bCs/>
          <w:kern w:val="32"/>
          <w:sz w:val="28"/>
          <w:szCs w:val="28"/>
          <w:lang w:bidi="ar-SA"/>
          <w14:ligatures w14:val="standardContextual"/>
        </w:rPr>
      </w:pPr>
      <w:r w:rsidRPr="00731AFB">
        <w:rPr>
          <w:rFonts w:eastAsia="Times New Roman" w:cs="Arial"/>
          <w:b/>
          <w:kern w:val="2"/>
          <w:sz w:val="28"/>
          <w:szCs w:val="28"/>
          <w:lang w:bidi="ar-SA"/>
          <w14:ligatures w14:val="standardContextual"/>
        </w:rPr>
        <w:t xml:space="preserve">STATEMENT 1 </w:t>
      </w:r>
    </w:p>
    <w:p w14:paraId="20B9D9C4" w14:textId="77777777" w:rsidR="00731AFB" w:rsidRPr="00731AFB" w:rsidRDefault="00731AFB" w:rsidP="00731AFB">
      <w:pPr>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This dissertation is being submitted in partial fulfilment of the requirements for the degree of BSc.</w:t>
      </w:r>
    </w:p>
    <w:p w14:paraId="14E3F5B2" w14:textId="4C14B9CF" w:rsidR="00731AFB" w:rsidRPr="00731AFB" w:rsidRDefault="00731AFB" w:rsidP="00731AFB">
      <w:pPr>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Signed…………………</w:t>
      </w:r>
      <w:r w:rsidRPr="00731AFB">
        <w:rPr>
          <w:rFonts w:eastAsia="Times New Roman" w:cs="Arial"/>
          <w:kern w:val="2"/>
          <w:lang w:bidi="ar-SA"/>
          <w14:ligatures w14:val="standardContextual"/>
        </w:rPr>
        <w:t xml:space="preserve"> </w:t>
      </w:r>
      <w:proofErr w:type="spellStart"/>
      <w:proofErr w:type="gramStart"/>
      <w:r>
        <w:rPr>
          <w:rFonts w:eastAsia="Times New Roman" w:cs="Arial"/>
          <w:kern w:val="2"/>
          <w:lang w:bidi="ar-SA"/>
          <w14:ligatures w14:val="standardContextual"/>
        </w:rPr>
        <w:t>R.Ahmed</w:t>
      </w:r>
      <w:proofErr w:type="spellEnd"/>
      <w:proofErr w:type="gramEnd"/>
      <w:r w:rsidRPr="00731AFB">
        <w:rPr>
          <w:rFonts w:eastAsia="Times New Roman" w:cs="Arial"/>
          <w:kern w:val="2"/>
          <w:lang w:bidi="ar-SA"/>
          <w14:ligatures w14:val="standardContextual"/>
        </w:rPr>
        <w:t xml:space="preserve"> </w:t>
      </w:r>
      <w:r w:rsidRPr="00731AFB">
        <w:rPr>
          <w:rFonts w:eastAsia="Times New Roman" w:cs="Arial"/>
          <w:kern w:val="2"/>
          <w:lang w:bidi="ar-SA"/>
          <w14:ligatures w14:val="standardContextual"/>
        </w:rPr>
        <w:t xml:space="preserve">…………………………. </w:t>
      </w:r>
    </w:p>
    <w:p w14:paraId="085557B4" w14:textId="77777777" w:rsidR="00731AFB" w:rsidRPr="00731AFB" w:rsidRDefault="00731AFB" w:rsidP="00731AFB">
      <w:pPr>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Date…………………………22.03.2026……………………</w:t>
      </w:r>
    </w:p>
    <w:p w14:paraId="4D12440B" w14:textId="77777777" w:rsidR="00731AFB" w:rsidRPr="00731AFB" w:rsidRDefault="00731AFB" w:rsidP="00731AFB">
      <w:pPr>
        <w:spacing w:line="278" w:lineRule="auto"/>
        <w:jc w:val="left"/>
        <w:rPr>
          <w:rFonts w:eastAsia="Times New Roman" w:cs="Arial"/>
          <w:kern w:val="2"/>
          <w:sz w:val="28"/>
          <w:szCs w:val="28"/>
          <w:lang w:bidi="ar-SA"/>
          <w14:ligatures w14:val="standardContextual"/>
        </w:rPr>
      </w:pPr>
      <w:r w:rsidRPr="00731AFB">
        <w:rPr>
          <w:rFonts w:eastAsia="Times New Roman" w:cs="Arial"/>
          <w:b/>
          <w:kern w:val="2"/>
          <w:sz w:val="28"/>
          <w:szCs w:val="28"/>
          <w:lang w:bidi="ar-SA"/>
          <w14:ligatures w14:val="standardContextual"/>
        </w:rPr>
        <w:t>STATEMENT 2</w:t>
      </w:r>
    </w:p>
    <w:p w14:paraId="50C947EA" w14:textId="77777777" w:rsidR="00731AFB" w:rsidRPr="00731AFB" w:rsidRDefault="00731AFB" w:rsidP="00731AFB">
      <w:pPr>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This dissertation is the result of my own independent work/investigation, except where otherwise stated. Other sources are acknowledged by footnotes giving explicit references.  A bibliography is appended.</w:t>
      </w:r>
    </w:p>
    <w:p w14:paraId="54D8C7C1" w14:textId="6D2E46B0" w:rsidR="00731AFB" w:rsidRPr="00731AFB" w:rsidRDefault="00731AFB" w:rsidP="00731AFB">
      <w:pPr>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Signed………………</w:t>
      </w:r>
      <w:r w:rsidRPr="00731AFB">
        <w:rPr>
          <w:rFonts w:eastAsia="Times New Roman" w:cs="Arial"/>
          <w:kern w:val="2"/>
          <w:lang w:bidi="ar-SA"/>
          <w14:ligatures w14:val="standardContextual"/>
        </w:rPr>
        <w:t xml:space="preserve"> </w:t>
      </w:r>
      <w:proofErr w:type="spellStart"/>
      <w:proofErr w:type="gramStart"/>
      <w:r>
        <w:rPr>
          <w:rFonts w:eastAsia="Times New Roman" w:cs="Arial"/>
          <w:kern w:val="2"/>
          <w:lang w:bidi="ar-SA"/>
          <w14:ligatures w14:val="standardContextual"/>
        </w:rPr>
        <w:t>R.Ahmed</w:t>
      </w:r>
      <w:proofErr w:type="spellEnd"/>
      <w:proofErr w:type="gramEnd"/>
      <w:r w:rsidRPr="00731AFB">
        <w:rPr>
          <w:rFonts w:eastAsia="Times New Roman" w:cs="Arial"/>
          <w:kern w:val="2"/>
          <w:lang w:bidi="ar-SA"/>
          <w14:ligatures w14:val="standardContextual"/>
        </w:rPr>
        <w:tab/>
        <w:t>……………………………</w:t>
      </w:r>
    </w:p>
    <w:p w14:paraId="1B741899" w14:textId="77777777" w:rsidR="00731AFB" w:rsidRPr="00731AFB" w:rsidRDefault="00731AFB" w:rsidP="00731AFB">
      <w:pPr>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 xml:space="preserve">Date……………………22.03.2026………………………… </w:t>
      </w:r>
    </w:p>
    <w:p w14:paraId="4FE0651F" w14:textId="77777777" w:rsidR="00731AFB" w:rsidRPr="00731AFB" w:rsidRDefault="00731AFB" w:rsidP="00731AFB">
      <w:pPr>
        <w:spacing w:line="278" w:lineRule="auto"/>
        <w:jc w:val="left"/>
        <w:rPr>
          <w:rFonts w:eastAsia="Times New Roman" w:cs="Arial"/>
          <w:kern w:val="2"/>
          <w:sz w:val="28"/>
          <w:szCs w:val="28"/>
          <w:lang w:bidi="ar-SA"/>
          <w14:ligatures w14:val="standardContextual"/>
        </w:rPr>
      </w:pPr>
      <w:r w:rsidRPr="00731AFB">
        <w:rPr>
          <w:rFonts w:eastAsia="Times New Roman" w:cs="Arial"/>
          <w:b/>
          <w:kern w:val="2"/>
          <w:sz w:val="28"/>
          <w:szCs w:val="28"/>
          <w:lang w:bidi="ar-SA"/>
          <w14:ligatures w14:val="standardContextual"/>
        </w:rPr>
        <w:t>STATEMENT 3</w:t>
      </w:r>
    </w:p>
    <w:p w14:paraId="6E94314C" w14:textId="77777777" w:rsidR="00731AFB" w:rsidRPr="00731AFB" w:rsidRDefault="00731AFB" w:rsidP="00731AFB">
      <w:pPr>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I hereby give consent for my dissertation, if accepted, to be available for photocopying and for interlibrary loan, and for the title and summary to be made available to outside organisations.</w:t>
      </w:r>
    </w:p>
    <w:p w14:paraId="4634250C" w14:textId="1E075A75" w:rsidR="00731AFB" w:rsidRPr="00731AFB" w:rsidRDefault="00731AFB" w:rsidP="00731AFB">
      <w:pPr>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Signed…………………</w:t>
      </w:r>
      <w:r w:rsidRPr="00731AFB">
        <w:rPr>
          <w:rFonts w:eastAsia="Times New Roman" w:cs="Arial"/>
          <w:kern w:val="2"/>
          <w:lang w:bidi="ar-SA"/>
          <w14:ligatures w14:val="standardContextual"/>
        </w:rPr>
        <w:t xml:space="preserve"> </w:t>
      </w:r>
      <w:proofErr w:type="spellStart"/>
      <w:proofErr w:type="gramStart"/>
      <w:r>
        <w:rPr>
          <w:rFonts w:eastAsia="Times New Roman" w:cs="Arial"/>
          <w:kern w:val="2"/>
          <w:lang w:bidi="ar-SA"/>
          <w14:ligatures w14:val="standardContextual"/>
        </w:rPr>
        <w:t>R.Ahmed</w:t>
      </w:r>
      <w:proofErr w:type="spellEnd"/>
      <w:proofErr w:type="gramEnd"/>
      <w:r w:rsidRPr="00731AFB">
        <w:rPr>
          <w:rFonts w:eastAsia="Times New Roman" w:cs="Arial"/>
          <w:kern w:val="2"/>
          <w:lang w:bidi="ar-SA"/>
          <w14:ligatures w14:val="standardContextual"/>
        </w:rPr>
        <w:t xml:space="preserve"> </w:t>
      </w:r>
      <w:r w:rsidRPr="00731AFB">
        <w:rPr>
          <w:rFonts w:eastAsia="Times New Roman" w:cs="Arial"/>
          <w:kern w:val="2"/>
          <w:lang w:bidi="ar-SA"/>
          <w14:ligatures w14:val="standardContextual"/>
        </w:rPr>
        <w:t>……………………………</w:t>
      </w:r>
    </w:p>
    <w:p w14:paraId="597E21B0" w14:textId="77777777" w:rsidR="00731AFB" w:rsidRPr="00731AFB" w:rsidRDefault="00731AFB" w:rsidP="00731AF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Date………………………22.03.2026…………………</w:t>
      </w:r>
    </w:p>
    <w:p w14:paraId="56DF3F18" w14:textId="77777777" w:rsidR="00731AFB" w:rsidRPr="00731AFB" w:rsidRDefault="00731AFB" w:rsidP="00731AFB">
      <w:pPr>
        <w:spacing w:line="278" w:lineRule="auto"/>
        <w:jc w:val="left"/>
        <w:rPr>
          <w:rFonts w:eastAsia="Times New Roman" w:cs="Arial"/>
          <w:b/>
          <w:kern w:val="2"/>
          <w:sz w:val="24"/>
          <w:szCs w:val="24"/>
          <w:lang w:bidi="ar-SA"/>
          <w14:ligatures w14:val="standardContextual"/>
        </w:rPr>
      </w:pPr>
      <w:r w:rsidRPr="00731AFB">
        <w:rPr>
          <w:rFonts w:eastAsia="Times New Roman" w:cs="Arial"/>
          <w:b/>
          <w:kern w:val="2"/>
          <w:sz w:val="24"/>
          <w:szCs w:val="24"/>
          <w:lang w:bidi="ar-SA"/>
          <w14:ligatures w14:val="standardContextual"/>
        </w:rPr>
        <w:t>STATEMENT 4</w:t>
      </w:r>
    </w:p>
    <w:p w14:paraId="4D84539C" w14:textId="77777777" w:rsidR="00731AFB" w:rsidRPr="00731AFB" w:rsidRDefault="00731AFB" w:rsidP="00731AFB">
      <w:pPr>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I hereby give consent for my dissertation, if accepted, to be available on the university’s IT system to those who have consent to use the system.</w:t>
      </w:r>
    </w:p>
    <w:p w14:paraId="688863FB" w14:textId="379F0E8E" w:rsidR="00731AFB" w:rsidRPr="00731AFB" w:rsidRDefault="00731AFB" w:rsidP="00731AFB">
      <w:pPr>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Signed……………</w:t>
      </w:r>
      <w:r w:rsidRPr="00731AFB">
        <w:rPr>
          <w:rFonts w:eastAsia="Times New Roman" w:cs="Arial"/>
          <w:kern w:val="2"/>
          <w:lang w:bidi="ar-SA"/>
          <w14:ligatures w14:val="standardContextual"/>
        </w:rPr>
        <w:t xml:space="preserve"> </w:t>
      </w:r>
      <w:proofErr w:type="spellStart"/>
      <w:proofErr w:type="gramStart"/>
      <w:r>
        <w:rPr>
          <w:rFonts w:eastAsia="Times New Roman" w:cs="Arial"/>
          <w:kern w:val="2"/>
          <w:lang w:bidi="ar-SA"/>
          <w14:ligatures w14:val="standardContextual"/>
        </w:rPr>
        <w:t>R.Ahmed</w:t>
      </w:r>
      <w:proofErr w:type="spellEnd"/>
      <w:proofErr w:type="gramEnd"/>
      <w:r w:rsidRPr="00731AFB">
        <w:rPr>
          <w:rFonts w:eastAsia="Times New Roman" w:cs="Arial"/>
          <w:kern w:val="2"/>
          <w:lang w:bidi="ar-SA"/>
          <w14:ligatures w14:val="standardContextual"/>
        </w:rPr>
        <w:t xml:space="preserve"> </w:t>
      </w:r>
      <w:r w:rsidRPr="00731AFB">
        <w:rPr>
          <w:rFonts w:eastAsia="Times New Roman" w:cs="Arial"/>
          <w:kern w:val="2"/>
          <w:lang w:bidi="ar-SA"/>
          <w14:ligatures w14:val="standardContextual"/>
        </w:rPr>
        <w:t>…………………………………</w:t>
      </w:r>
    </w:p>
    <w:p w14:paraId="53708BFE" w14:textId="77777777" w:rsidR="00731AFB" w:rsidRPr="00731AFB" w:rsidRDefault="00731AFB" w:rsidP="00731AF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278" w:lineRule="auto"/>
        <w:jc w:val="left"/>
        <w:rPr>
          <w:rFonts w:eastAsia="Times New Roman" w:cs="Arial"/>
          <w:kern w:val="2"/>
          <w:lang w:bidi="ar-SA"/>
          <w14:ligatures w14:val="standardContextual"/>
        </w:rPr>
      </w:pPr>
      <w:r w:rsidRPr="00731AFB">
        <w:rPr>
          <w:rFonts w:eastAsia="Times New Roman" w:cs="Arial"/>
          <w:kern w:val="2"/>
          <w:lang w:bidi="ar-SA"/>
          <w14:ligatures w14:val="standardContextual"/>
        </w:rPr>
        <w:t>Date………………………22.03.2026…………………………</w:t>
      </w:r>
    </w:p>
    <w:p w14:paraId="1FB77A20" w14:textId="77777777" w:rsidR="00731AFB" w:rsidRPr="00731AFB" w:rsidRDefault="00731AFB" w:rsidP="00731AFB">
      <w:pPr>
        <w:rPr>
          <w:rFonts w:cs="Arial"/>
          <w:b/>
          <w:bCs/>
          <w:kern w:val="2"/>
          <w:lang w:bidi="ar-SA"/>
          <w14:ligatures w14:val="standardContextual"/>
        </w:rPr>
      </w:pPr>
    </w:p>
    <w:p w14:paraId="13D2374E" w14:textId="77777777" w:rsidR="00731AFB" w:rsidRDefault="00731AFB" w:rsidP="00731AFB"/>
    <w:p w14:paraId="60D4A708" w14:textId="77777777" w:rsidR="00731AFB" w:rsidRDefault="00731AFB" w:rsidP="00731AFB"/>
    <w:p w14:paraId="268E5919" w14:textId="77777777" w:rsidR="00731AFB" w:rsidRDefault="00731AFB" w:rsidP="00731AFB"/>
    <w:p w14:paraId="2635A27A" w14:textId="77777777" w:rsidR="00731AFB" w:rsidRDefault="00731AFB" w:rsidP="00731AFB"/>
    <w:p w14:paraId="06A9962C" w14:textId="77777777" w:rsidR="00731AFB" w:rsidRDefault="00731AFB" w:rsidP="00731AFB"/>
    <w:p w14:paraId="264D0F5F" w14:textId="77777777" w:rsidR="00731AFB" w:rsidRDefault="00731AFB" w:rsidP="00731AFB"/>
    <w:p w14:paraId="1BE98B7F" w14:textId="77777777" w:rsidR="00731AFB" w:rsidRDefault="00731AFB" w:rsidP="00731AFB">
      <w:pPr>
        <w:jc w:val="center"/>
      </w:pPr>
    </w:p>
    <w:p w14:paraId="64F87BFA" w14:textId="77777777" w:rsidR="00793A71" w:rsidRPr="00DE6D1F" w:rsidRDefault="000E0E12" w:rsidP="00731AFB">
      <w:pPr>
        <w:pStyle w:val="Title"/>
        <w:rPr>
          <w:rFonts w:cs="Arial"/>
        </w:rPr>
      </w:pPr>
      <w:r w:rsidRPr="00DE6D1F">
        <w:rPr>
          <w:rFonts w:cs="Arial"/>
        </w:rPr>
        <w:t>Exploring the impact of the COVID-19 pandemic on the Asian Community living in the UK</w:t>
      </w:r>
    </w:p>
    <w:p w14:paraId="76C6DEF0" w14:textId="77777777" w:rsidR="00793A71" w:rsidRPr="00DE6D1F" w:rsidRDefault="00793A71" w:rsidP="00D66F31">
      <w:pPr>
        <w:jc w:val="left"/>
        <w:rPr>
          <w:rFonts w:eastAsiaTheme="majorEastAsia" w:cs="Arial"/>
          <w:b/>
          <w:spacing w:val="-10"/>
          <w:kern w:val="28"/>
          <w:sz w:val="32"/>
          <w:szCs w:val="56"/>
          <w14:ligatures w14:val="standardContextual"/>
        </w:rPr>
      </w:pPr>
      <w:r w:rsidRPr="00DE6D1F">
        <w:rPr>
          <w:rFonts w:cs="Arial"/>
        </w:rPr>
        <w:br w:type="page"/>
      </w:r>
    </w:p>
    <w:p w14:paraId="5AAB08EF" w14:textId="77777777" w:rsidR="00793A71" w:rsidRPr="00DE6D1F" w:rsidRDefault="00793A71" w:rsidP="00D66F31">
      <w:pPr>
        <w:rPr>
          <w:b/>
          <w:bCs/>
          <w:sz w:val="32"/>
          <w:szCs w:val="32"/>
        </w:rPr>
      </w:pPr>
      <w:r w:rsidRPr="00DE6D1F">
        <w:rPr>
          <w:b/>
          <w:bCs/>
          <w:sz w:val="32"/>
          <w:szCs w:val="32"/>
        </w:rPr>
        <w:lastRenderedPageBreak/>
        <w:t xml:space="preserve">Abstract </w:t>
      </w:r>
    </w:p>
    <w:p w14:paraId="6E82A4A5" w14:textId="77777777" w:rsidR="00793A71" w:rsidRPr="00DE6D1F" w:rsidRDefault="00793A71" w:rsidP="00D66F31">
      <w:pPr>
        <w:rPr>
          <w:rFonts w:cs="Arial"/>
        </w:rPr>
      </w:pPr>
      <w:r w:rsidRPr="00DE6D1F">
        <w:rPr>
          <w:rFonts w:cs="Arial"/>
        </w:rPr>
        <w:t xml:space="preserve">The aim of this study is to critically analyse the disproportionate impact of the pandemic on the British Asian minorities. The findings from the research are further used to present recommendations for addressing existing care inequalities. Existing research offers empirical evidence showcasing the greater occupational risks, poorer standards of living and more cases of Covid-19 for the Asian minorities. The inherent racial discrimination identified in such an imbalance and the need to replace it with inclusive healthcare justifies the rationale for this study. The study is based on secondary qualitative research. Accordingly, academic sources and credible websites were reviewed for a thematic analysis. The inclusion and exclusion criteria, along with the validation process, ensured that only relevant and updated data is considered. The first two themes that emerge from the analysis centre around structural, cultural and technological barriers faced by the Asian minorities. Similarly, the third theme concerns the differences between government policy and local community interventions. Although the findings establish institutional racial discrimination in the UK, government support for community action is also revealed. Despite its contributions to existing literature, this study suffers from the limitations of secondary research. This can constrain objectivity in practice due to a lack of insights into lived experiences. The study concludes with recommendations for mainstreaming community work, educational programmes and socio-economic reforms in the UK. </w:t>
      </w:r>
    </w:p>
    <w:p w14:paraId="3EE5186E" w14:textId="2BB9177D" w:rsidR="000E0E12" w:rsidRPr="00DE6D1F" w:rsidRDefault="000E0E12" w:rsidP="00D66F31">
      <w:pPr>
        <w:rPr>
          <w:rFonts w:cs="Arial"/>
        </w:rPr>
      </w:pPr>
      <w:r w:rsidRPr="00DE6D1F">
        <w:rPr>
          <w:rFonts w:cs="Arial"/>
        </w:rPr>
        <w:br w:type="page"/>
      </w:r>
    </w:p>
    <w:sdt>
      <w:sdtPr>
        <w:rPr>
          <w:rFonts w:ascii="Arial" w:eastAsiaTheme="minorHAnsi" w:hAnsi="Arial" w:cs="Arial"/>
          <w:color w:val="auto"/>
          <w:sz w:val="22"/>
          <w:szCs w:val="22"/>
          <w:lang w:eastAsia="en-US"/>
        </w:rPr>
        <w:id w:val="545252280"/>
        <w:docPartObj>
          <w:docPartGallery w:val="Table of Contents"/>
          <w:docPartUnique/>
        </w:docPartObj>
      </w:sdtPr>
      <w:sdtEndPr>
        <w:rPr>
          <w:b/>
          <w:bCs/>
        </w:rPr>
      </w:sdtEndPr>
      <w:sdtContent>
        <w:p w14:paraId="32F83E10" w14:textId="07317AC5" w:rsidR="000E0E12" w:rsidRPr="00DE6D1F" w:rsidRDefault="000E0E12" w:rsidP="00D66F31">
          <w:pPr>
            <w:pStyle w:val="TOCHeading"/>
            <w:spacing w:line="360" w:lineRule="auto"/>
            <w:jc w:val="center"/>
            <w:rPr>
              <w:rFonts w:ascii="Arial" w:hAnsi="Arial" w:cs="Arial"/>
              <w:b/>
              <w:bCs/>
              <w:color w:val="auto"/>
            </w:rPr>
          </w:pPr>
          <w:r w:rsidRPr="00DE6D1F">
            <w:rPr>
              <w:rFonts w:ascii="Arial" w:hAnsi="Arial" w:cs="Arial"/>
              <w:b/>
              <w:bCs/>
              <w:color w:val="auto"/>
            </w:rPr>
            <w:t>Table of Contents</w:t>
          </w:r>
        </w:p>
        <w:p w14:paraId="25CBA180" w14:textId="196A5325" w:rsidR="00D66F31" w:rsidRPr="00DE6D1F" w:rsidRDefault="000E0E12">
          <w:pPr>
            <w:pStyle w:val="TOC1"/>
            <w:tabs>
              <w:tab w:val="right" w:leader="dot" w:pos="9350"/>
            </w:tabs>
            <w:rPr>
              <w:rFonts w:asciiTheme="minorHAnsi" w:eastAsiaTheme="minorEastAsia" w:hAnsiTheme="minorHAnsi"/>
              <w:noProof/>
              <w:kern w:val="2"/>
              <w:sz w:val="24"/>
              <w:szCs w:val="21"/>
              <w:lang w:eastAsia="en-GB"/>
              <w14:ligatures w14:val="standardContextual"/>
            </w:rPr>
          </w:pPr>
          <w:r w:rsidRPr="00DE6D1F">
            <w:rPr>
              <w:rFonts w:cs="Arial"/>
            </w:rPr>
            <w:fldChar w:fldCharType="begin"/>
          </w:r>
          <w:r w:rsidRPr="00DE6D1F">
            <w:rPr>
              <w:rFonts w:cs="Arial"/>
            </w:rPr>
            <w:instrText xml:space="preserve"> TOC \o "1-3" \h \z \u </w:instrText>
          </w:r>
          <w:r w:rsidRPr="00DE6D1F">
            <w:rPr>
              <w:rFonts w:cs="Arial"/>
            </w:rPr>
            <w:fldChar w:fldCharType="separate"/>
          </w:r>
          <w:hyperlink w:anchor="_Toc223650624" w:history="1">
            <w:r w:rsidR="00D66F31" w:rsidRPr="00DE6D1F">
              <w:rPr>
                <w:rStyle w:val="Hyperlink"/>
                <w:rFonts w:cs="Arial"/>
                <w:noProof/>
              </w:rPr>
              <w:t>CHAPTER 1: Introduction</w:t>
            </w:r>
            <w:r w:rsidR="00D66F31" w:rsidRPr="00DE6D1F">
              <w:rPr>
                <w:noProof/>
                <w:webHidden/>
              </w:rPr>
              <w:tab/>
            </w:r>
            <w:r w:rsidR="00D66F31" w:rsidRPr="00DE6D1F">
              <w:rPr>
                <w:noProof/>
                <w:webHidden/>
              </w:rPr>
              <w:fldChar w:fldCharType="begin"/>
            </w:r>
            <w:r w:rsidR="00D66F31" w:rsidRPr="00DE6D1F">
              <w:rPr>
                <w:noProof/>
                <w:webHidden/>
              </w:rPr>
              <w:instrText xml:space="preserve"> PAGEREF _Toc223650624 \h </w:instrText>
            </w:r>
            <w:r w:rsidR="00D66F31" w:rsidRPr="00DE6D1F">
              <w:rPr>
                <w:noProof/>
                <w:webHidden/>
              </w:rPr>
            </w:r>
            <w:r w:rsidR="00D66F31" w:rsidRPr="00DE6D1F">
              <w:rPr>
                <w:noProof/>
                <w:webHidden/>
              </w:rPr>
              <w:fldChar w:fldCharType="separate"/>
            </w:r>
            <w:r w:rsidR="00A0541D">
              <w:rPr>
                <w:noProof/>
                <w:webHidden/>
              </w:rPr>
              <w:t>5</w:t>
            </w:r>
            <w:r w:rsidR="00D66F31" w:rsidRPr="00DE6D1F">
              <w:rPr>
                <w:noProof/>
                <w:webHidden/>
              </w:rPr>
              <w:fldChar w:fldCharType="end"/>
            </w:r>
          </w:hyperlink>
        </w:p>
        <w:p w14:paraId="0FFF84E5" w14:textId="7D1F01DA" w:rsidR="00D66F31" w:rsidRPr="00DE6D1F" w:rsidRDefault="00D66F31">
          <w:pPr>
            <w:pStyle w:val="TOC2"/>
            <w:tabs>
              <w:tab w:val="left" w:pos="960"/>
              <w:tab w:val="right" w:leader="dot" w:pos="9350"/>
            </w:tabs>
            <w:rPr>
              <w:rFonts w:asciiTheme="minorHAnsi" w:eastAsiaTheme="minorEastAsia" w:hAnsiTheme="minorHAnsi"/>
              <w:noProof/>
              <w:kern w:val="2"/>
              <w:sz w:val="24"/>
              <w:szCs w:val="21"/>
              <w:lang w:eastAsia="en-GB"/>
              <w14:ligatures w14:val="standardContextual"/>
            </w:rPr>
          </w:pPr>
          <w:hyperlink w:anchor="_Toc223650625" w:history="1">
            <w:r w:rsidRPr="00DE6D1F">
              <w:rPr>
                <w:rStyle w:val="Hyperlink"/>
                <w:noProof/>
              </w:rPr>
              <w:t>1.1</w:t>
            </w:r>
            <w:r w:rsidRPr="00DE6D1F">
              <w:rPr>
                <w:rFonts w:asciiTheme="minorHAnsi" w:eastAsiaTheme="minorEastAsia" w:hAnsiTheme="minorHAnsi"/>
                <w:noProof/>
                <w:kern w:val="2"/>
                <w:sz w:val="24"/>
                <w:szCs w:val="21"/>
                <w:lang w:eastAsia="en-GB"/>
                <w14:ligatures w14:val="standardContextual"/>
              </w:rPr>
              <w:tab/>
            </w:r>
            <w:r w:rsidRPr="00DE6D1F">
              <w:rPr>
                <w:rStyle w:val="Hyperlink"/>
                <w:noProof/>
              </w:rPr>
              <w:t>Introduction</w:t>
            </w:r>
            <w:r w:rsidRPr="00DE6D1F">
              <w:rPr>
                <w:noProof/>
                <w:webHidden/>
              </w:rPr>
              <w:tab/>
            </w:r>
            <w:r w:rsidRPr="00DE6D1F">
              <w:rPr>
                <w:noProof/>
                <w:webHidden/>
              </w:rPr>
              <w:fldChar w:fldCharType="begin"/>
            </w:r>
            <w:r w:rsidRPr="00DE6D1F">
              <w:rPr>
                <w:noProof/>
                <w:webHidden/>
              </w:rPr>
              <w:instrText xml:space="preserve"> PAGEREF _Toc223650625 \h </w:instrText>
            </w:r>
            <w:r w:rsidRPr="00DE6D1F">
              <w:rPr>
                <w:noProof/>
                <w:webHidden/>
              </w:rPr>
            </w:r>
            <w:r w:rsidRPr="00DE6D1F">
              <w:rPr>
                <w:noProof/>
                <w:webHidden/>
              </w:rPr>
              <w:fldChar w:fldCharType="separate"/>
            </w:r>
            <w:r w:rsidR="00A0541D">
              <w:rPr>
                <w:noProof/>
                <w:webHidden/>
              </w:rPr>
              <w:t>5</w:t>
            </w:r>
            <w:r w:rsidRPr="00DE6D1F">
              <w:rPr>
                <w:noProof/>
                <w:webHidden/>
              </w:rPr>
              <w:fldChar w:fldCharType="end"/>
            </w:r>
          </w:hyperlink>
        </w:p>
        <w:p w14:paraId="5899ED0D" w14:textId="2638961F"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26" w:history="1">
            <w:r w:rsidRPr="00DE6D1F">
              <w:rPr>
                <w:rStyle w:val="Hyperlink"/>
                <w:noProof/>
              </w:rPr>
              <w:t>1.2 Definitions and Terminology</w:t>
            </w:r>
            <w:r w:rsidRPr="00DE6D1F">
              <w:rPr>
                <w:noProof/>
                <w:webHidden/>
              </w:rPr>
              <w:tab/>
            </w:r>
            <w:r w:rsidRPr="00DE6D1F">
              <w:rPr>
                <w:noProof/>
                <w:webHidden/>
              </w:rPr>
              <w:fldChar w:fldCharType="begin"/>
            </w:r>
            <w:r w:rsidRPr="00DE6D1F">
              <w:rPr>
                <w:noProof/>
                <w:webHidden/>
              </w:rPr>
              <w:instrText xml:space="preserve"> PAGEREF _Toc223650626 \h </w:instrText>
            </w:r>
            <w:r w:rsidRPr="00DE6D1F">
              <w:rPr>
                <w:noProof/>
                <w:webHidden/>
              </w:rPr>
            </w:r>
            <w:r w:rsidRPr="00DE6D1F">
              <w:rPr>
                <w:noProof/>
                <w:webHidden/>
              </w:rPr>
              <w:fldChar w:fldCharType="separate"/>
            </w:r>
            <w:r w:rsidR="00A0541D">
              <w:rPr>
                <w:noProof/>
                <w:webHidden/>
              </w:rPr>
              <w:t>5</w:t>
            </w:r>
            <w:r w:rsidRPr="00DE6D1F">
              <w:rPr>
                <w:noProof/>
                <w:webHidden/>
              </w:rPr>
              <w:fldChar w:fldCharType="end"/>
            </w:r>
          </w:hyperlink>
        </w:p>
        <w:p w14:paraId="2427FDD7" w14:textId="12824B9E"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27" w:history="1">
            <w:r w:rsidRPr="00DE6D1F">
              <w:rPr>
                <w:rStyle w:val="Hyperlink"/>
                <w:noProof/>
              </w:rPr>
              <w:t>1.3 Rationale for Research</w:t>
            </w:r>
            <w:r w:rsidRPr="00DE6D1F">
              <w:rPr>
                <w:noProof/>
                <w:webHidden/>
              </w:rPr>
              <w:tab/>
            </w:r>
            <w:r w:rsidRPr="00DE6D1F">
              <w:rPr>
                <w:noProof/>
                <w:webHidden/>
              </w:rPr>
              <w:fldChar w:fldCharType="begin"/>
            </w:r>
            <w:r w:rsidRPr="00DE6D1F">
              <w:rPr>
                <w:noProof/>
                <w:webHidden/>
              </w:rPr>
              <w:instrText xml:space="preserve"> PAGEREF _Toc223650627 \h </w:instrText>
            </w:r>
            <w:r w:rsidRPr="00DE6D1F">
              <w:rPr>
                <w:noProof/>
                <w:webHidden/>
              </w:rPr>
            </w:r>
            <w:r w:rsidRPr="00DE6D1F">
              <w:rPr>
                <w:noProof/>
                <w:webHidden/>
              </w:rPr>
              <w:fldChar w:fldCharType="separate"/>
            </w:r>
            <w:r w:rsidR="00A0541D">
              <w:rPr>
                <w:noProof/>
                <w:webHidden/>
              </w:rPr>
              <w:t>6</w:t>
            </w:r>
            <w:r w:rsidRPr="00DE6D1F">
              <w:rPr>
                <w:noProof/>
                <w:webHidden/>
              </w:rPr>
              <w:fldChar w:fldCharType="end"/>
            </w:r>
          </w:hyperlink>
        </w:p>
        <w:p w14:paraId="2D41ED16" w14:textId="68F7C860"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28" w:history="1">
            <w:r w:rsidRPr="00DE6D1F">
              <w:rPr>
                <w:rStyle w:val="Hyperlink"/>
                <w:noProof/>
                <w:lang w:val="en-IN"/>
              </w:rPr>
              <w:t>1.4 Research Aim and Objectives</w:t>
            </w:r>
            <w:r w:rsidRPr="00DE6D1F">
              <w:rPr>
                <w:noProof/>
                <w:webHidden/>
              </w:rPr>
              <w:tab/>
            </w:r>
            <w:r w:rsidRPr="00DE6D1F">
              <w:rPr>
                <w:noProof/>
                <w:webHidden/>
              </w:rPr>
              <w:fldChar w:fldCharType="begin"/>
            </w:r>
            <w:r w:rsidRPr="00DE6D1F">
              <w:rPr>
                <w:noProof/>
                <w:webHidden/>
              </w:rPr>
              <w:instrText xml:space="preserve"> PAGEREF _Toc223650628 \h </w:instrText>
            </w:r>
            <w:r w:rsidRPr="00DE6D1F">
              <w:rPr>
                <w:noProof/>
                <w:webHidden/>
              </w:rPr>
            </w:r>
            <w:r w:rsidRPr="00DE6D1F">
              <w:rPr>
                <w:noProof/>
                <w:webHidden/>
              </w:rPr>
              <w:fldChar w:fldCharType="separate"/>
            </w:r>
            <w:r w:rsidR="00A0541D">
              <w:rPr>
                <w:noProof/>
                <w:webHidden/>
              </w:rPr>
              <w:t>7</w:t>
            </w:r>
            <w:r w:rsidRPr="00DE6D1F">
              <w:rPr>
                <w:noProof/>
                <w:webHidden/>
              </w:rPr>
              <w:fldChar w:fldCharType="end"/>
            </w:r>
          </w:hyperlink>
        </w:p>
        <w:p w14:paraId="55311F83" w14:textId="47EB5CA1"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29" w:history="1">
            <w:r w:rsidRPr="00DE6D1F">
              <w:rPr>
                <w:rStyle w:val="Hyperlink"/>
                <w:rFonts w:cs="Arial"/>
                <w:noProof/>
                <w:lang w:val="en-IN"/>
              </w:rPr>
              <w:t>1.4.1 Aim</w:t>
            </w:r>
            <w:r w:rsidRPr="00DE6D1F">
              <w:rPr>
                <w:noProof/>
                <w:webHidden/>
              </w:rPr>
              <w:tab/>
            </w:r>
            <w:r w:rsidRPr="00DE6D1F">
              <w:rPr>
                <w:noProof/>
                <w:webHidden/>
              </w:rPr>
              <w:fldChar w:fldCharType="begin"/>
            </w:r>
            <w:r w:rsidRPr="00DE6D1F">
              <w:rPr>
                <w:noProof/>
                <w:webHidden/>
              </w:rPr>
              <w:instrText xml:space="preserve"> PAGEREF _Toc223650629 \h </w:instrText>
            </w:r>
            <w:r w:rsidRPr="00DE6D1F">
              <w:rPr>
                <w:noProof/>
                <w:webHidden/>
              </w:rPr>
            </w:r>
            <w:r w:rsidRPr="00DE6D1F">
              <w:rPr>
                <w:noProof/>
                <w:webHidden/>
              </w:rPr>
              <w:fldChar w:fldCharType="separate"/>
            </w:r>
            <w:r w:rsidR="00A0541D">
              <w:rPr>
                <w:noProof/>
                <w:webHidden/>
              </w:rPr>
              <w:t>7</w:t>
            </w:r>
            <w:r w:rsidRPr="00DE6D1F">
              <w:rPr>
                <w:noProof/>
                <w:webHidden/>
              </w:rPr>
              <w:fldChar w:fldCharType="end"/>
            </w:r>
          </w:hyperlink>
        </w:p>
        <w:p w14:paraId="5892B91C" w14:textId="2317DDBB"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30" w:history="1">
            <w:r w:rsidRPr="00DE6D1F">
              <w:rPr>
                <w:rStyle w:val="Hyperlink"/>
                <w:rFonts w:cs="Arial"/>
                <w:noProof/>
                <w:lang w:val="en-IN"/>
              </w:rPr>
              <w:t>1.4.2 Objectives</w:t>
            </w:r>
            <w:r w:rsidRPr="00DE6D1F">
              <w:rPr>
                <w:noProof/>
                <w:webHidden/>
              </w:rPr>
              <w:tab/>
            </w:r>
            <w:r w:rsidRPr="00DE6D1F">
              <w:rPr>
                <w:noProof/>
                <w:webHidden/>
              </w:rPr>
              <w:fldChar w:fldCharType="begin"/>
            </w:r>
            <w:r w:rsidRPr="00DE6D1F">
              <w:rPr>
                <w:noProof/>
                <w:webHidden/>
              </w:rPr>
              <w:instrText xml:space="preserve"> PAGEREF _Toc223650630 \h </w:instrText>
            </w:r>
            <w:r w:rsidRPr="00DE6D1F">
              <w:rPr>
                <w:noProof/>
                <w:webHidden/>
              </w:rPr>
            </w:r>
            <w:r w:rsidRPr="00DE6D1F">
              <w:rPr>
                <w:noProof/>
                <w:webHidden/>
              </w:rPr>
              <w:fldChar w:fldCharType="separate"/>
            </w:r>
            <w:r w:rsidR="00A0541D">
              <w:rPr>
                <w:noProof/>
                <w:webHidden/>
              </w:rPr>
              <w:t>7</w:t>
            </w:r>
            <w:r w:rsidRPr="00DE6D1F">
              <w:rPr>
                <w:noProof/>
                <w:webHidden/>
              </w:rPr>
              <w:fldChar w:fldCharType="end"/>
            </w:r>
          </w:hyperlink>
        </w:p>
        <w:p w14:paraId="0FD43CD1" w14:textId="6A1CB026"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31" w:history="1">
            <w:r w:rsidRPr="00DE6D1F">
              <w:rPr>
                <w:rStyle w:val="Hyperlink"/>
                <w:noProof/>
              </w:rPr>
              <w:t>1.5 Conclusion</w:t>
            </w:r>
            <w:r w:rsidRPr="00DE6D1F">
              <w:rPr>
                <w:noProof/>
                <w:webHidden/>
              </w:rPr>
              <w:tab/>
            </w:r>
            <w:r w:rsidRPr="00DE6D1F">
              <w:rPr>
                <w:noProof/>
                <w:webHidden/>
              </w:rPr>
              <w:fldChar w:fldCharType="begin"/>
            </w:r>
            <w:r w:rsidRPr="00DE6D1F">
              <w:rPr>
                <w:noProof/>
                <w:webHidden/>
              </w:rPr>
              <w:instrText xml:space="preserve"> PAGEREF _Toc223650631 \h </w:instrText>
            </w:r>
            <w:r w:rsidRPr="00DE6D1F">
              <w:rPr>
                <w:noProof/>
                <w:webHidden/>
              </w:rPr>
            </w:r>
            <w:r w:rsidRPr="00DE6D1F">
              <w:rPr>
                <w:noProof/>
                <w:webHidden/>
              </w:rPr>
              <w:fldChar w:fldCharType="separate"/>
            </w:r>
            <w:r w:rsidR="00A0541D">
              <w:rPr>
                <w:noProof/>
                <w:webHidden/>
              </w:rPr>
              <w:t>7</w:t>
            </w:r>
            <w:r w:rsidRPr="00DE6D1F">
              <w:rPr>
                <w:noProof/>
                <w:webHidden/>
              </w:rPr>
              <w:fldChar w:fldCharType="end"/>
            </w:r>
          </w:hyperlink>
        </w:p>
        <w:p w14:paraId="5C2DE901" w14:textId="1BC7F17F" w:rsidR="00D66F31" w:rsidRPr="00DE6D1F" w:rsidRDefault="00D66F31">
          <w:pPr>
            <w:pStyle w:val="TOC1"/>
            <w:tabs>
              <w:tab w:val="right" w:leader="dot" w:pos="9350"/>
            </w:tabs>
            <w:rPr>
              <w:rFonts w:asciiTheme="minorHAnsi" w:eastAsiaTheme="minorEastAsia" w:hAnsiTheme="minorHAnsi"/>
              <w:noProof/>
              <w:kern w:val="2"/>
              <w:sz w:val="24"/>
              <w:szCs w:val="21"/>
              <w:lang w:eastAsia="en-GB"/>
              <w14:ligatures w14:val="standardContextual"/>
            </w:rPr>
          </w:pPr>
          <w:hyperlink w:anchor="_Toc223650632" w:history="1">
            <w:r w:rsidRPr="00DE6D1F">
              <w:rPr>
                <w:rStyle w:val="Hyperlink"/>
                <w:rFonts w:cs="Arial"/>
                <w:noProof/>
              </w:rPr>
              <w:t>CHAPTER 2 – Background Information and Analysis</w:t>
            </w:r>
            <w:r w:rsidRPr="00DE6D1F">
              <w:rPr>
                <w:noProof/>
                <w:webHidden/>
              </w:rPr>
              <w:tab/>
            </w:r>
            <w:r w:rsidRPr="00DE6D1F">
              <w:rPr>
                <w:noProof/>
                <w:webHidden/>
              </w:rPr>
              <w:fldChar w:fldCharType="begin"/>
            </w:r>
            <w:r w:rsidRPr="00DE6D1F">
              <w:rPr>
                <w:noProof/>
                <w:webHidden/>
              </w:rPr>
              <w:instrText xml:space="preserve"> PAGEREF _Toc223650632 \h </w:instrText>
            </w:r>
            <w:r w:rsidRPr="00DE6D1F">
              <w:rPr>
                <w:noProof/>
                <w:webHidden/>
              </w:rPr>
            </w:r>
            <w:r w:rsidRPr="00DE6D1F">
              <w:rPr>
                <w:noProof/>
                <w:webHidden/>
              </w:rPr>
              <w:fldChar w:fldCharType="separate"/>
            </w:r>
            <w:r w:rsidR="00A0541D">
              <w:rPr>
                <w:noProof/>
                <w:webHidden/>
              </w:rPr>
              <w:t>7</w:t>
            </w:r>
            <w:r w:rsidRPr="00DE6D1F">
              <w:rPr>
                <w:noProof/>
                <w:webHidden/>
              </w:rPr>
              <w:fldChar w:fldCharType="end"/>
            </w:r>
          </w:hyperlink>
        </w:p>
        <w:p w14:paraId="6850A55A" w14:textId="59EA50AC"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33" w:history="1">
            <w:r w:rsidRPr="00DE6D1F">
              <w:rPr>
                <w:rStyle w:val="Hyperlink"/>
                <w:noProof/>
              </w:rPr>
              <w:t>2.1 Introduction</w:t>
            </w:r>
            <w:r w:rsidRPr="00DE6D1F">
              <w:rPr>
                <w:noProof/>
                <w:webHidden/>
              </w:rPr>
              <w:tab/>
            </w:r>
            <w:r w:rsidRPr="00DE6D1F">
              <w:rPr>
                <w:noProof/>
                <w:webHidden/>
              </w:rPr>
              <w:fldChar w:fldCharType="begin"/>
            </w:r>
            <w:r w:rsidRPr="00DE6D1F">
              <w:rPr>
                <w:noProof/>
                <w:webHidden/>
              </w:rPr>
              <w:instrText xml:space="preserve"> PAGEREF _Toc223650633 \h </w:instrText>
            </w:r>
            <w:r w:rsidRPr="00DE6D1F">
              <w:rPr>
                <w:noProof/>
                <w:webHidden/>
              </w:rPr>
            </w:r>
            <w:r w:rsidRPr="00DE6D1F">
              <w:rPr>
                <w:noProof/>
                <w:webHidden/>
              </w:rPr>
              <w:fldChar w:fldCharType="separate"/>
            </w:r>
            <w:r w:rsidR="00A0541D">
              <w:rPr>
                <w:noProof/>
                <w:webHidden/>
              </w:rPr>
              <w:t>7</w:t>
            </w:r>
            <w:r w:rsidRPr="00DE6D1F">
              <w:rPr>
                <w:noProof/>
                <w:webHidden/>
              </w:rPr>
              <w:fldChar w:fldCharType="end"/>
            </w:r>
          </w:hyperlink>
        </w:p>
        <w:p w14:paraId="78E44D4D" w14:textId="37D82370"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34" w:history="1">
            <w:r w:rsidRPr="00DE6D1F">
              <w:rPr>
                <w:rStyle w:val="Hyperlink"/>
                <w:noProof/>
              </w:rPr>
              <w:t>2.2 Historical Background</w:t>
            </w:r>
            <w:r w:rsidRPr="00DE6D1F">
              <w:rPr>
                <w:noProof/>
                <w:webHidden/>
              </w:rPr>
              <w:tab/>
            </w:r>
            <w:r w:rsidRPr="00DE6D1F">
              <w:rPr>
                <w:noProof/>
                <w:webHidden/>
              </w:rPr>
              <w:fldChar w:fldCharType="begin"/>
            </w:r>
            <w:r w:rsidRPr="00DE6D1F">
              <w:rPr>
                <w:noProof/>
                <w:webHidden/>
              </w:rPr>
              <w:instrText xml:space="preserve"> PAGEREF _Toc223650634 \h </w:instrText>
            </w:r>
            <w:r w:rsidRPr="00DE6D1F">
              <w:rPr>
                <w:noProof/>
                <w:webHidden/>
              </w:rPr>
            </w:r>
            <w:r w:rsidRPr="00DE6D1F">
              <w:rPr>
                <w:noProof/>
                <w:webHidden/>
              </w:rPr>
              <w:fldChar w:fldCharType="separate"/>
            </w:r>
            <w:r w:rsidR="00A0541D">
              <w:rPr>
                <w:noProof/>
                <w:webHidden/>
              </w:rPr>
              <w:t>8</w:t>
            </w:r>
            <w:r w:rsidRPr="00DE6D1F">
              <w:rPr>
                <w:noProof/>
                <w:webHidden/>
              </w:rPr>
              <w:fldChar w:fldCharType="end"/>
            </w:r>
          </w:hyperlink>
        </w:p>
        <w:p w14:paraId="69767A7B" w14:textId="5BE1085C"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35" w:history="1">
            <w:r w:rsidRPr="00DE6D1F">
              <w:rPr>
                <w:rStyle w:val="Hyperlink"/>
                <w:noProof/>
              </w:rPr>
              <w:t>2.3 Theoretical Background</w:t>
            </w:r>
            <w:r w:rsidRPr="00DE6D1F">
              <w:rPr>
                <w:noProof/>
                <w:webHidden/>
              </w:rPr>
              <w:tab/>
            </w:r>
            <w:r w:rsidRPr="00DE6D1F">
              <w:rPr>
                <w:noProof/>
                <w:webHidden/>
              </w:rPr>
              <w:fldChar w:fldCharType="begin"/>
            </w:r>
            <w:r w:rsidRPr="00DE6D1F">
              <w:rPr>
                <w:noProof/>
                <w:webHidden/>
              </w:rPr>
              <w:instrText xml:space="preserve"> PAGEREF _Toc223650635 \h </w:instrText>
            </w:r>
            <w:r w:rsidRPr="00DE6D1F">
              <w:rPr>
                <w:noProof/>
                <w:webHidden/>
              </w:rPr>
            </w:r>
            <w:r w:rsidRPr="00DE6D1F">
              <w:rPr>
                <w:noProof/>
                <w:webHidden/>
              </w:rPr>
              <w:fldChar w:fldCharType="separate"/>
            </w:r>
            <w:r w:rsidR="00A0541D">
              <w:rPr>
                <w:noProof/>
                <w:webHidden/>
              </w:rPr>
              <w:t>9</w:t>
            </w:r>
            <w:r w:rsidRPr="00DE6D1F">
              <w:rPr>
                <w:noProof/>
                <w:webHidden/>
              </w:rPr>
              <w:fldChar w:fldCharType="end"/>
            </w:r>
          </w:hyperlink>
        </w:p>
        <w:p w14:paraId="0145B61A" w14:textId="03719CF2"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36" w:history="1">
            <w:r w:rsidRPr="00DE6D1F">
              <w:rPr>
                <w:rStyle w:val="Hyperlink"/>
                <w:rFonts w:cs="Arial"/>
                <w:noProof/>
              </w:rPr>
              <w:t>2.3.1 Critical Race Theory</w:t>
            </w:r>
            <w:r w:rsidRPr="00DE6D1F">
              <w:rPr>
                <w:noProof/>
                <w:webHidden/>
              </w:rPr>
              <w:tab/>
            </w:r>
            <w:r w:rsidRPr="00DE6D1F">
              <w:rPr>
                <w:noProof/>
                <w:webHidden/>
              </w:rPr>
              <w:fldChar w:fldCharType="begin"/>
            </w:r>
            <w:r w:rsidRPr="00DE6D1F">
              <w:rPr>
                <w:noProof/>
                <w:webHidden/>
              </w:rPr>
              <w:instrText xml:space="preserve"> PAGEREF _Toc223650636 \h </w:instrText>
            </w:r>
            <w:r w:rsidRPr="00DE6D1F">
              <w:rPr>
                <w:noProof/>
                <w:webHidden/>
              </w:rPr>
            </w:r>
            <w:r w:rsidRPr="00DE6D1F">
              <w:rPr>
                <w:noProof/>
                <w:webHidden/>
              </w:rPr>
              <w:fldChar w:fldCharType="separate"/>
            </w:r>
            <w:r w:rsidR="00A0541D">
              <w:rPr>
                <w:noProof/>
                <w:webHidden/>
              </w:rPr>
              <w:t>9</w:t>
            </w:r>
            <w:r w:rsidRPr="00DE6D1F">
              <w:rPr>
                <w:noProof/>
                <w:webHidden/>
              </w:rPr>
              <w:fldChar w:fldCharType="end"/>
            </w:r>
          </w:hyperlink>
        </w:p>
        <w:p w14:paraId="6A67A8C2" w14:textId="386C0472"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37" w:history="1">
            <w:r w:rsidRPr="00DE6D1F">
              <w:rPr>
                <w:rStyle w:val="Hyperlink"/>
                <w:rFonts w:cs="Arial"/>
                <w:noProof/>
              </w:rPr>
              <w:t>2.3.2 Socioecological Theory</w:t>
            </w:r>
            <w:r w:rsidRPr="00DE6D1F">
              <w:rPr>
                <w:noProof/>
                <w:webHidden/>
              </w:rPr>
              <w:tab/>
            </w:r>
            <w:r w:rsidRPr="00DE6D1F">
              <w:rPr>
                <w:noProof/>
                <w:webHidden/>
              </w:rPr>
              <w:fldChar w:fldCharType="begin"/>
            </w:r>
            <w:r w:rsidRPr="00DE6D1F">
              <w:rPr>
                <w:noProof/>
                <w:webHidden/>
              </w:rPr>
              <w:instrText xml:space="preserve"> PAGEREF _Toc223650637 \h </w:instrText>
            </w:r>
            <w:r w:rsidRPr="00DE6D1F">
              <w:rPr>
                <w:noProof/>
                <w:webHidden/>
              </w:rPr>
            </w:r>
            <w:r w:rsidRPr="00DE6D1F">
              <w:rPr>
                <w:noProof/>
                <w:webHidden/>
              </w:rPr>
              <w:fldChar w:fldCharType="separate"/>
            </w:r>
            <w:r w:rsidR="00A0541D">
              <w:rPr>
                <w:noProof/>
                <w:webHidden/>
              </w:rPr>
              <w:t>10</w:t>
            </w:r>
            <w:r w:rsidRPr="00DE6D1F">
              <w:rPr>
                <w:noProof/>
                <w:webHidden/>
              </w:rPr>
              <w:fldChar w:fldCharType="end"/>
            </w:r>
          </w:hyperlink>
        </w:p>
        <w:p w14:paraId="25C205DA" w14:textId="6EEC6BAF"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38" w:history="1">
            <w:r w:rsidRPr="00DE6D1F">
              <w:rPr>
                <w:rStyle w:val="Hyperlink"/>
                <w:noProof/>
              </w:rPr>
              <w:t>2.4 International Context</w:t>
            </w:r>
            <w:r w:rsidRPr="00DE6D1F">
              <w:rPr>
                <w:noProof/>
                <w:webHidden/>
              </w:rPr>
              <w:tab/>
            </w:r>
            <w:r w:rsidRPr="00DE6D1F">
              <w:rPr>
                <w:noProof/>
                <w:webHidden/>
              </w:rPr>
              <w:fldChar w:fldCharType="begin"/>
            </w:r>
            <w:r w:rsidRPr="00DE6D1F">
              <w:rPr>
                <w:noProof/>
                <w:webHidden/>
              </w:rPr>
              <w:instrText xml:space="preserve"> PAGEREF _Toc223650638 \h </w:instrText>
            </w:r>
            <w:r w:rsidRPr="00DE6D1F">
              <w:rPr>
                <w:noProof/>
                <w:webHidden/>
              </w:rPr>
            </w:r>
            <w:r w:rsidRPr="00DE6D1F">
              <w:rPr>
                <w:noProof/>
                <w:webHidden/>
              </w:rPr>
              <w:fldChar w:fldCharType="separate"/>
            </w:r>
            <w:r w:rsidR="00A0541D">
              <w:rPr>
                <w:noProof/>
                <w:webHidden/>
              </w:rPr>
              <w:t>11</w:t>
            </w:r>
            <w:r w:rsidRPr="00DE6D1F">
              <w:rPr>
                <w:noProof/>
                <w:webHidden/>
              </w:rPr>
              <w:fldChar w:fldCharType="end"/>
            </w:r>
          </w:hyperlink>
        </w:p>
        <w:p w14:paraId="1F67464D" w14:textId="698531DF"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39" w:history="1">
            <w:r w:rsidRPr="00DE6D1F">
              <w:rPr>
                <w:rStyle w:val="Hyperlink"/>
                <w:noProof/>
              </w:rPr>
              <w:t>2.5 Local Context</w:t>
            </w:r>
            <w:r w:rsidRPr="00DE6D1F">
              <w:rPr>
                <w:noProof/>
                <w:webHidden/>
              </w:rPr>
              <w:tab/>
            </w:r>
            <w:r w:rsidRPr="00DE6D1F">
              <w:rPr>
                <w:noProof/>
                <w:webHidden/>
              </w:rPr>
              <w:fldChar w:fldCharType="begin"/>
            </w:r>
            <w:r w:rsidRPr="00DE6D1F">
              <w:rPr>
                <w:noProof/>
                <w:webHidden/>
              </w:rPr>
              <w:instrText xml:space="preserve"> PAGEREF _Toc223650639 \h </w:instrText>
            </w:r>
            <w:r w:rsidRPr="00DE6D1F">
              <w:rPr>
                <w:noProof/>
                <w:webHidden/>
              </w:rPr>
            </w:r>
            <w:r w:rsidRPr="00DE6D1F">
              <w:rPr>
                <w:noProof/>
                <w:webHidden/>
              </w:rPr>
              <w:fldChar w:fldCharType="separate"/>
            </w:r>
            <w:r w:rsidR="00A0541D">
              <w:rPr>
                <w:noProof/>
                <w:webHidden/>
              </w:rPr>
              <w:t>12</w:t>
            </w:r>
            <w:r w:rsidRPr="00DE6D1F">
              <w:rPr>
                <w:noProof/>
                <w:webHidden/>
              </w:rPr>
              <w:fldChar w:fldCharType="end"/>
            </w:r>
          </w:hyperlink>
        </w:p>
        <w:p w14:paraId="5800C419" w14:textId="6F60DCDB"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40" w:history="1">
            <w:r w:rsidRPr="00DE6D1F">
              <w:rPr>
                <w:rStyle w:val="Hyperlink"/>
                <w:noProof/>
              </w:rPr>
              <w:t>2.6 Conclusion</w:t>
            </w:r>
            <w:r w:rsidRPr="00DE6D1F">
              <w:rPr>
                <w:noProof/>
                <w:webHidden/>
              </w:rPr>
              <w:tab/>
            </w:r>
            <w:r w:rsidRPr="00DE6D1F">
              <w:rPr>
                <w:noProof/>
                <w:webHidden/>
              </w:rPr>
              <w:fldChar w:fldCharType="begin"/>
            </w:r>
            <w:r w:rsidRPr="00DE6D1F">
              <w:rPr>
                <w:noProof/>
                <w:webHidden/>
              </w:rPr>
              <w:instrText xml:space="preserve"> PAGEREF _Toc223650640 \h </w:instrText>
            </w:r>
            <w:r w:rsidRPr="00DE6D1F">
              <w:rPr>
                <w:noProof/>
                <w:webHidden/>
              </w:rPr>
            </w:r>
            <w:r w:rsidRPr="00DE6D1F">
              <w:rPr>
                <w:noProof/>
                <w:webHidden/>
              </w:rPr>
              <w:fldChar w:fldCharType="separate"/>
            </w:r>
            <w:r w:rsidR="00A0541D">
              <w:rPr>
                <w:noProof/>
                <w:webHidden/>
              </w:rPr>
              <w:t>13</w:t>
            </w:r>
            <w:r w:rsidRPr="00DE6D1F">
              <w:rPr>
                <w:noProof/>
                <w:webHidden/>
              </w:rPr>
              <w:fldChar w:fldCharType="end"/>
            </w:r>
          </w:hyperlink>
        </w:p>
        <w:p w14:paraId="306FE1E7" w14:textId="2F8BFD15" w:rsidR="00D66F31" w:rsidRPr="00DE6D1F" w:rsidRDefault="00D66F31">
          <w:pPr>
            <w:pStyle w:val="TOC1"/>
            <w:tabs>
              <w:tab w:val="right" w:leader="dot" w:pos="9350"/>
            </w:tabs>
            <w:rPr>
              <w:rFonts w:asciiTheme="minorHAnsi" w:eastAsiaTheme="minorEastAsia" w:hAnsiTheme="minorHAnsi"/>
              <w:noProof/>
              <w:kern w:val="2"/>
              <w:sz w:val="24"/>
              <w:szCs w:val="21"/>
              <w:lang w:eastAsia="en-GB"/>
              <w14:ligatures w14:val="standardContextual"/>
            </w:rPr>
          </w:pPr>
          <w:hyperlink w:anchor="_Toc223650641" w:history="1">
            <w:r w:rsidRPr="00DE6D1F">
              <w:rPr>
                <w:rStyle w:val="Hyperlink"/>
                <w:rFonts w:cs="Arial"/>
                <w:noProof/>
              </w:rPr>
              <w:t>CHAPTER 3 – Methods and Search Strategy</w:t>
            </w:r>
            <w:r w:rsidRPr="00DE6D1F">
              <w:rPr>
                <w:noProof/>
                <w:webHidden/>
              </w:rPr>
              <w:tab/>
            </w:r>
            <w:r w:rsidRPr="00DE6D1F">
              <w:rPr>
                <w:noProof/>
                <w:webHidden/>
              </w:rPr>
              <w:fldChar w:fldCharType="begin"/>
            </w:r>
            <w:r w:rsidRPr="00DE6D1F">
              <w:rPr>
                <w:noProof/>
                <w:webHidden/>
              </w:rPr>
              <w:instrText xml:space="preserve"> PAGEREF _Toc223650641 \h </w:instrText>
            </w:r>
            <w:r w:rsidRPr="00DE6D1F">
              <w:rPr>
                <w:noProof/>
                <w:webHidden/>
              </w:rPr>
            </w:r>
            <w:r w:rsidRPr="00DE6D1F">
              <w:rPr>
                <w:noProof/>
                <w:webHidden/>
              </w:rPr>
              <w:fldChar w:fldCharType="separate"/>
            </w:r>
            <w:r w:rsidR="00A0541D">
              <w:rPr>
                <w:noProof/>
                <w:webHidden/>
              </w:rPr>
              <w:t>14</w:t>
            </w:r>
            <w:r w:rsidRPr="00DE6D1F">
              <w:rPr>
                <w:noProof/>
                <w:webHidden/>
              </w:rPr>
              <w:fldChar w:fldCharType="end"/>
            </w:r>
          </w:hyperlink>
        </w:p>
        <w:p w14:paraId="4F3A2732" w14:textId="5B94AE75"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42" w:history="1">
            <w:r w:rsidRPr="00DE6D1F">
              <w:rPr>
                <w:rStyle w:val="Hyperlink"/>
                <w:noProof/>
              </w:rPr>
              <w:t>3.1 Introduction</w:t>
            </w:r>
            <w:r w:rsidRPr="00DE6D1F">
              <w:rPr>
                <w:noProof/>
                <w:webHidden/>
              </w:rPr>
              <w:tab/>
            </w:r>
            <w:r w:rsidRPr="00DE6D1F">
              <w:rPr>
                <w:noProof/>
                <w:webHidden/>
              </w:rPr>
              <w:fldChar w:fldCharType="begin"/>
            </w:r>
            <w:r w:rsidRPr="00DE6D1F">
              <w:rPr>
                <w:noProof/>
                <w:webHidden/>
              </w:rPr>
              <w:instrText xml:space="preserve"> PAGEREF _Toc223650642 \h </w:instrText>
            </w:r>
            <w:r w:rsidRPr="00DE6D1F">
              <w:rPr>
                <w:noProof/>
                <w:webHidden/>
              </w:rPr>
            </w:r>
            <w:r w:rsidRPr="00DE6D1F">
              <w:rPr>
                <w:noProof/>
                <w:webHidden/>
              </w:rPr>
              <w:fldChar w:fldCharType="separate"/>
            </w:r>
            <w:r w:rsidR="00A0541D">
              <w:rPr>
                <w:noProof/>
                <w:webHidden/>
              </w:rPr>
              <w:t>14</w:t>
            </w:r>
            <w:r w:rsidRPr="00DE6D1F">
              <w:rPr>
                <w:noProof/>
                <w:webHidden/>
              </w:rPr>
              <w:fldChar w:fldCharType="end"/>
            </w:r>
          </w:hyperlink>
        </w:p>
        <w:p w14:paraId="04FE7F8F" w14:textId="402AA618"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43" w:history="1">
            <w:r w:rsidRPr="00DE6D1F">
              <w:rPr>
                <w:rStyle w:val="Hyperlink"/>
                <w:noProof/>
              </w:rPr>
              <w:t>3.2 Search Strategy</w:t>
            </w:r>
            <w:r w:rsidRPr="00DE6D1F">
              <w:rPr>
                <w:noProof/>
                <w:webHidden/>
              </w:rPr>
              <w:tab/>
            </w:r>
            <w:r w:rsidRPr="00DE6D1F">
              <w:rPr>
                <w:noProof/>
                <w:webHidden/>
              </w:rPr>
              <w:fldChar w:fldCharType="begin"/>
            </w:r>
            <w:r w:rsidRPr="00DE6D1F">
              <w:rPr>
                <w:noProof/>
                <w:webHidden/>
              </w:rPr>
              <w:instrText xml:space="preserve"> PAGEREF _Toc223650643 \h </w:instrText>
            </w:r>
            <w:r w:rsidRPr="00DE6D1F">
              <w:rPr>
                <w:noProof/>
                <w:webHidden/>
              </w:rPr>
            </w:r>
            <w:r w:rsidRPr="00DE6D1F">
              <w:rPr>
                <w:noProof/>
                <w:webHidden/>
              </w:rPr>
              <w:fldChar w:fldCharType="separate"/>
            </w:r>
            <w:r w:rsidR="00A0541D">
              <w:rPr>
                <w:noProof/>
                <w:webHidden/>
              </w:rPr>
              <w:t>15</w:t>
            </w:r>
            <w:r w:rsidRPr="00DE6D1F">
              <w:rPr>
                <w:noProof/>
                <w:webHidden/>
              </w:rPr>
              <w:fldChar w:fldCharType="end"/>
            </w:r>
          </w:hyperlink>
        </w:p>
        <w:p w14:paraId="327054FC" w14:textId="7D64D397"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44" w:history="1">
            <w:r w:rsidRPr="00DE6D1F">
              <w:rPr>
                <w:rStyle w:val="Hyperlink"/>
                <w:rFonts w:cs="Arial"/>
                <w:noProof/>
              </w:rPr>
              <w:t>3.2.1 Keywords</w:t>
            </w:r>
            <w:r w:rsidRPr="00DE6D1F">
              <w:rPr>
                <w:noProof/>
                <w:webHidden/>
              </w:rPr>
              <w:tab/>
            </w:r>
            <w:r w:rsidRPr="00DE6D1F">
              <w:rPr>
                <w:noProof/>
                <w:webHidden/>
              </w:rPr>
              <w:fldChar w:fldCharType="begin"/>
            </w:r>
            <w:r w:rsidRPr="00DE6D1F">
              <w:rPr>
                <w:noProof/>
                <w:webHidden/>
              </w:rPr>
              <w:instrText xml:space="preserve"> PAGEREF _Toc223650644 \h </w:instrText>
            </w:r>
            <w:r w:rsidRPr="00DE6D1F">
              <w:rPr>
                <w:noProof/>
                <w:webHidden/>
              </w:rPr>
            </w:r>
            <w:r w:rsidRPr="00DE6D1F">
              <w:rPr>
                <w:noProof/>
                <w:webHidden/>
              </w:rPr>
              <w:fldChar w:fldCharType="separate"/>
            </w:r>
            <w:r w:rsidR="00A0541D">
              <w:rPr>
                <w:noProof/>
                <w:webHidden/>
              </w:rPr>
              <w:t>15</w:t>
            </w:r>
            <w:r w:rsidRPr="00DE6D1F">
              <w:rPr>
                <w:noProof/>
                <w:webHidden/>
              </w:rPr>
              <w:fldChar w:fldCharType="end"/>
            </w:r>
          </w:hyperlink>
        </w:p>
        <w:p w14:paraId="1A791EB1" w14:textId="081DC8F5"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45" w:history="1">
            <w:r w:rsidRPr="00DE6D1F">
              <w:rPr>
                <w:rStyle w:val="Hyperlink"/>
                <w:rFonts w:cs="Arial"/>
                <w:noProof/>
              </w:rPr>
              <w:t>3.2.2 Boolean Operators</w:t>
            </w:r>
            <w:r w:rsidRPr="00DE6D1F">
              <w:rPr>
                <w:noProof/>
                <w:webHidden/>
              </w:rPr>
              <w:tab/>
            </w:r>
            <w:r w:rsidRPr="00DE6D1F">
              <w:rPr>
                <w:noProof/>
                <w:webHidden/>
              </w:rPr>
              <w:fldChar w:fldCharType="begin"/>
            </w:r>
            <w:r w:rsidRPr="00DE6D1F">
              <w:rPr>
                <w:noProof/>
                <w:webHidden/>
              </w:rPr>
              <w:instrText xml:space="preserve"> PAGEREF _Toc223650645 \h </w:instrText>
            </w:r>
            <w:r w:rsidRPr="00DE6D1F">
              <w:rPr>
                <w:noProof/>
                <w:webHidden/>
              </w:rPr>
            </w:r>
            <w:r w:rsidRPr="00DE6D1F">
              <w:rPr>
                <w:noProof/>
                <w:webHidden/>
              </w:rPr>
              <w:fldChar w:fldCharType="separate"/>
            </w:r>
            <w:r w:rsidR="00A0541D">
              <w:rPr>
                <w:noProof/>
                <w:webHidden/>
              </w:rPr>
              <w:t>15</w:t>
            </w:r>
            <w:r w:rsidRPr="00DE6D1F">
              <w:rPr>
                <w:noProof/>
                <w:webHidden/>
              </w:rPr>
              <w:fldChar w:fldCharType="end"/>
            </w:r>
          </w:hyperlink>
        </w:p>
        <w:p w14:paraId="339B294B" w14:textId="4F39B2BB"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46" w:history="1">
            <w:r w:rsidRPr="00DE6D1F">
              <w:rPr>
                <w:rStyle w:val="Hyperlink"/>
                <w:noProof/>
              </w:rPr>
              <w:t>3.3 Searching for Information</w:t>
            </w:r>
            <w:r w:rsidRPr="00DE6D1F">
              <w:rPr>
                <w:noProof/>
                <w:webHidden/>
              </w:rPr>
              <w:tab/>
            </w:r>
            <w:r w:rsidRPr="00DE6D1F">
              <w:rPr>
                <w:noProof/>
                <w:webHidden/>
              </w:rPr>
              <w:fldChar w:fldCharType="begin"/>
            </w:r>
            <w:r w:rsidRPr="00DE6D1F">
              <w:rPr>
                <w:noProof/>
                <w:webHidden/>
              </w:rPr>
              <w:instrText xml:space="preserve"> PAGEREF _Toc223650646 \h </w:instrText>
            </w:r>
            <w:r w:rsidRPr="00DE6D1F">
              <w:rPr>
                <w:noProof/>
                <w:webHidden/>
              </w:rPr>
            </w:r>
            <w:r w:rsidRPr="00DE6D1F">
              <w:rPr>
                <w:noProof/>
                <w:webHidden/>
              </w:rPr>
              <w:fldChar w:fldCharType="separate"/>
            </w:r>
            <w:r w:rsidR="00A0541D">
              <w:rPr>
                <w:noProof/>
                <w:webHidden/>
              </w:rPr>
              <w:t>16</w:t>
            </w:r>
            <w:r w:rsidRPr="00DE6D1F">
              <w:rPr>
                <w:noProof/>
                <w:webHidden/>
              </w:rPr>
              <w:fldChar w:fldCharType="end"/>
            </w:r>
          </w:hyperlink>
        </w:p>
        <w:p w14:paraId="628BF68A" w14:textId="15ECBB41"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47" w:history="1">
            <w:r w:rsidRPr="00DE6D1F">
              <w:rPr>
                <w:rStyle w:val="Hyperlink"/>
                <w:noProof/>
              </w:rPr>
              <w:t>3.4 Research Validation</w:t>
            </w:r>
            <w:r w:rsidRPr="00DE6D1F">
              <w:rPr>
                <w:noProof/>
                <w:webHidden/>
              </w:rPr>
              <w:tab/>
            </w:r>
            <w:r w:rsidRPr="00DE6D1F">
              <w:rPr>
                <w:noProof/>
                <w:webHidden/>
              </w:rPr>
              <w:fldChar w:fldCharType="begin"/>
            </w:r>
            <w:r w:rsidRPr="00DE6D1F">
              <w:rPr>
                <w:noProof/>
                <w:webHidden/>
              </w:rPr>
              <w:instrText xml:space="preserve"> PAGEREF _Toc223650647 \h </w:instrText>
            </w:r>
            <w:r w:rsidRPr="00DE6D1F">
              <w:rPr>
                <w:noProof/>
                <w:webHidden/>
              </w:rPr>
            </w:r>
            <w:r w:rsidRPr="00DE6D1F">
              <w:rPr>
                <w:noProof/>
                <w:webHidden/>
              </w:rPr>
              <w:fldChar w:fldCharType="separate"/>
            </w:r>
            <w:r w:rsidR="00A0541D">
              <w:rPr>
                <w:noProof/>
                <w:webHidden/>
              </w:rPr>
              <w:t>16</w:t>
            </w:r>
            <w:r w:rsidRPr="00DE6D1F">
              <w:rPr>
                <w:noProof/>
                <w:webHidden/>
              </w:rPr>
              <w:fldChar w:fldCharType="end"/>
            </w:r>
          </w:hyperlink>
        </w:p>
        <w:p w14:paraId="2E7DF33C" w14:textId="6B73871B"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48" w:history="1">
            <w:r w:rsidRPr="00DE6D1F">
              <w:rPr>
                <w:rStyle w:val="Hyperlink"/>
                <w:noProof/>
              </w:rPr>
              <w:t>3.5 Inclusion and Exclusion Criteria</w:t>
            </w:r>
            <w:r w:rsidRPr="00DE6D1F">
              <w:rPr>
                <w:noProof/>
                <w:webHidden/>
              </w:rPr>
              <w:tab/>
            </w:r>
            <w:r w:rsidRPr="00DE6D1F">
              <w:rPr>
                <w:noProof/>
                <w:webHidden/>
              </w:rPr>
              <w:fldChar w:fldCharType="begin"/>
            </w:r>
            <w:r w:rsidRPr="00DE6D1F">
              <w:rPr>
                <w:noProof/>
                <w:webHidden/>
              </w:rPr>
              <w:instrText xml:space="preserve"> PAGEREF _Toc223650648 \h </w:instrText>
            </w:r>
            <w:r w:rsidRPr="00DE6D1F">
              <w:rPr>
                <w:noProof/>
                <w:webHidden/>
              </w:rPr>
            </w:r>
            <w:r w:rsidRPr="00DE6D1F">
              <w:rPr>
                <w:noProof/>
                <w:webHidden/>
              </w:rPr>
              <w:fldChar w:fldCharType="separate"/>
            </w:r>
            <w:r w:rsidR="00A0541D">
              <w:rPr>
                <w:noProof/>
                <w:webHidden/>
              </w:rPr>
              <w:t>17</w:t>
            </w:r>
            <w:r w:rsidRPr="00DE6D1F">
              <w:rPr>
                <w:noProof/>
                <w:webHidden/>
              </w:rPr>
              <w:fldChar w:fldCharType="end"/>
            </w:r>
          </w:hyperlink>
        </w:p>
        <w:p w14:paraId="30E91C3D" w14:textId="4977B15C"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49" w:history="1">
            <w:r w:rsidRPr="00DE6D1F">
              <w:rPr>
                <w:rStyle w:val="Hyperlink"/>
                <w:noProof/>
              </w:rPr>
              <w:t>3.5.1 Inclusion Criteria</w:t>
            </w:r>
            <w:r w:rsidRPr="00DE6D1F">
              <w:rPr>
                <w:noProof/>
                <w:webHidden/>
              </w:rPr>
              <w:tab/>
            </w:r>
            <w:r w:rsidRPr="00DE6D1F">
              <w:rPr>
                <w:noProof/>
                <w:webHidden/>
              </w:rPr>
              <w:fldChar w:fldCharType="begin"/>
            </w:r>
            <w:r w:rsidRPr="00DE6D1F">
              <w:rPr>
                <w:noProof/>
                <w:webHidden/>
              </w:rPr>
              <w:instrText xml:space="preserve"> PAGEREF _Toc223650649 \h </w:instrText>
            </w:r>
            <w:r w:rsidRPr="00DE6D1F">
              <w:rPr>
                <w:noProof/>
                <w:webHidden/>
              </w:rPr>
            </w:r>
            <w:r w:rsidRPr="00DE6D1F">
              <w:rPr>
                <w:noProof/>
                <w:webHidden/>
              </w:rPr>
              <w:fldChar w:fldCharType="separate"/>
            </w:r>
            <w:r w:rsidR="00A0541D">
              <w:rPr>
                <w:noProof/>
                <w:webHidden/>
              </w:rPr>
              <w:t>17</w:t>
            </w:r>
            <w:r w:rsidRPr="00DE6D1F">
              <w:rPr>
                <w:noProof/>
                <w:webHidden/>
              </w:rPr>
              <w:fldChar w:fldCharType="end"/>
            </w:r>
          </w:hyperlink>
        </w:p>
        <w:p w14:paraId="79ED2906" w14:textId="756E717F"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50" w:history="1">
            <w:r w:rsidRPr="00DE6D1F">
              <w:rPr>
                <w:rStyle w:val="Hyperlink"/>
                <w:rFonts w:cs="Arial"/>
                <w:noProof/>
              </w:rPr>
              <w:t>3.5.2 Exclusion Criteria</w:t>
            </w:r>
            <w:r w:rsidRPr="00DE6D1F">
              <w:rPr>
                <w:noProof/>
                <w:webHidden/>
              </w:rPr>
              <w:tab/>
            </w:r>
            <w:r w:rsidRPr="00DE6D1F">
              <w:rPr>
                <w:noProof/>
                <w:webHidden/>
              </w:rPr>
              <w:fldChar w:fldCharType="begin"/>
            </w:r>
            <w:r w:rsidRPr="00DE6D1F">
              <w:rPr>
                <w:noProof/>
                <w:webHidden/>
              </w:rPr>
              <w:instrText xml:space="preserve"> PAGEREF _Toc223650650 \h </w:instrText>
            </w:r>
            <w:r w:rsidRPr="00DE6D1F">
              <w:rPr>
                <w:noProof/>
                <w:webHidden/>
              </w:rPr>
            </w:r>
            <w:r w:rsidRPr="00DE6D1F">
              <w:rPr>
                <w:noProof/>
                <w:webHidden/>
              </w:rPr>
              <w:fldChar w:fldCharType="separate"/>
            </w:r>
            <w:r w:rsidR="00A0541D">
              <w:rPr>
                <w:noProof/>
                <w:webHidden/>
              </w:rPr>
              <w:t>17</w:t>
            </w:r>
            <w:r w:rsidRPr="00DE6D1F">
              <w:rPr>
                <w:noProof/>
                <w:webHidden/>
              </w:rPr>
              <w:fldChar w:fldCharType="end"/>
            </w:r>
          </w:hyperlink>
        </w:p>
        <w:p w14:paraId="1A4BB55B" w14:textId="2BD48828"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51" w:history="1">
            <w:r w:rsidRPr="00DE6D1F">
              <w:rPr>
                <w:rStyle w:val="Hyperlink"/>
                <w:noProof/>
              </w:rPr>
              <w:t>3.6 Analysing Research</w:t>
            </w:r>
            <w:r w:rsidRPr="00DE6D1F">
              <w:rPr>
                <w:noProof/>
                <w:webHidden/>
              </w:rPr>
              <w:tab/>
            </w:r>
            <w:r w:rsidRPr="00DE6D1F">
              <w:rPr>
                <w:noProof/>
                <w:webHidden/>
              </w:rPr>
              <w:fldChar w:fldCharType="begin"/>
            </w:r>
            <w:r w:rsidRPr="00DE6D1F">
              <w:rPr>
                <w:noProof/>
                <w:webHidden/>
              </w:rPr>
              <w:instrText xml:space="preserve"> PAGEREF _Toc223650651 \h </w:instrText>
            </w:r>
            <w:r w:rsidRPr="00DE6D1F">
              <w:rPr>
                <w:noProof/>
                <w:webHidden/>
              </w:rPr>
            </w:r>
            <w:r w:rsidRPr="00DE6D1F">
              <w:rPr>
                <w:noProof/>
                <w:webHidden/>
              </w:rPr>
              <w:fldChar w:fldCharType="separate"/>
            </w:r>
            <w:r w:rsidR="00A0541D">
              <w:rPr>
                <w:noProof/>
                <w:webHidden/>
              </w:rPr>
              <w:t>17</w:t>
            </w:r>
            <w:r w:rsidRPr="00DE6D1F">
              <w:rPr>
                <w:noProof/>
                <w:webHidden/>
              </w:rPr>
              <w:fldChar w:fldCharType="end"/>
            </w:r>
          </w:hyperlink>
        </w:p>
        <w:p w14:paraId="6579265E" w14:textId="0AD8CCDA"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52" w:history="1">
            <w:r w:rsidRPr="00DE6D1F">
              <w:rPr>
                <w:rStyle w:val="Hyperlink"/>
                <w:noProof/>
              </w:rPr>
              <w:t>3.7 Ethical Considerations</w:t>
            </w:r>
            <w:r w:rsidRPr="00DE6D1F">
              <w:rPr>
                <w:noProof/>
                <w:webHidden/>
              </w:rPr>
              <w:tab/>
            </w:r>
            <w:r w:rsidRPr="00DE6D1F">
              <w:rPr>
                <w:noProof/>
                <w:webHidden/>
              </w:rPr>
              <w:fldChar w:fldCharType="begin"/>
            </w:r>
            <w:r w:rsidRPr="00DE6D1F">
              <w:rPr>
                <w:noProof/>
                <w:webHidden/>
              </w:rPr>
              <w:instrText xml:space="preserve"> PAGEREF _Toc223650652 \h </w:instrText>
            </w:r>
            <w:r w:rsidRPr="00DE6D1F">
              <w:rPr>
                <w:noProof/>
                <w:webHidden/>
              </w:rPr>
            </w:r>
            <w:r w:rsidRPr="00DE6D1F">
              <w:rPr>
                <w:noProof/>
                <w:webHidden/>
              </w:rPr>
              <w:fldChar w:fldCharType="separate"/>
            </w:r>
            <w:r w:rsidR="00A0541D">
              <w:rPr>
                <w:noProof/>
                <w:webHidden/>
              </w:rPr>
              <w:t>18</w:t>
            </w:r>
            <w:r w:rsidRPr="00DE6D1F">
              <w:rPr>
                <w:noProof/>
                <w:webHidden/>
              </w:rPr>
              <w:fldChar w:fldCharType="end"/>
            </w:r>
          </w:hyperlink>
        </w:p>
        <w:p w14:paraId="73C1DAD5" w14:textId="77839728"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53" w:history="1">
            <w:r w:rsidRPr="00DE6D1F">
              <w:rPr>
                <w:rStyle w:val="Hyperlink"/>
                <w:noProof/>
              </w:rPr>
              <w:t>3.8 Chapter Conclusion</w:t>
            </w:r>
            <w:r w:rsidRPr="00DE6D1F">
              <w:rPr>
                <w:noProof/>
                <w:webHidden/>
              </w:rPr>
              <w:tab/>
            </w:r>
            <w:r w:rsidRPr="00DE6D1F">
              <w:rPr>
                <w:noProof/>
                <w:webHidden/>
              </w:rPr>
              <w:fldChar w:fldCharType="begin"/>
            </w:r>
            <w:r w:rsidRPr="00DE6D1F">
              <w:rPr>
                <w:noProof/>
                <w:webHidden/>
              </w:rPr>
              <w:instrText xml:space="preserve"> PAGEREF _Toc223650653 \h </w:instrText>
            </w:r>
            <w:r w:rsidRPr="00DE6D1F">
              <w:rPr>
                <w:noProof/>
                <w:webHidden/>
              </w:rPr>
            </w:r>
            <w:r w:rsidRPr="00DE6D1F">
              <w:rPr>
                <w:noProof/>
                <w:webHidden/>
              </w:rPr>
              <w:fldChar w:fldCharType="separate"/>
            </w:r>
            <w:r w:rsidR="00A0541D">
              <w:rPr>
                <w:noProof/>
                <w:webHidden/>
              </w:rPr>
              <w:t>18</w:t>
            </w:r>
            <w:r w:rsidRPr="00DE6D1F">
              <w:rPr>
                <w:noProof/>
                <w:webHidden/>
              </w:rPr>
              <w:fldChar w:fldCharType="end"/>
            </w:r>
          </w:hyperlink>
        </w:p>
        <w:p w14:paraId="6EF512CA" w14:textId="3BE275A3" w:rsidR="00D66F31" w:rsidRPr="00DE6D1F" w:rsidRDefault="00D66F31">
          <w:pPr>
            <w:pStyle w:val="TOC1"/>
            <w:tabs>
              <w:tab w:val="right" w:leader="dot" w:pos="9350"/>
            </w:tabs>
            <w:rPr>
              <w:rFonts w:asciiTheme="minorHAnsi" w:eastAsiaTheme="minorEastAsia" w:hAnsiTheme="minorHAnsi"/>
              <w:noProof/>
              <w:kern w:val="2"/>
              <w:sz w:val="24"/>
              <w:szCs w:val="21"/>
              <w:lang w:eastAsia="en-GB"/>
              <w14:ligatures w14:val="standardContextual"/>
            </w:rPr>
          </w:pPr>
          <w:hyperlink w:anchor="_Toc223650654" w:history="1">
            <w:r w:rsidRPr="00DE6D1F">
              <w:rPr>
                <w:rStyle w:val="Hyperlink"/>
                <w:rFonts w:cs="Arial"/>
                <w:noProof/>
              </w:rPr>
              <w:t>CHAPTER 4 – Findings and Discussion</w:t>
            </w:r>
            <w:r w:rsidRPr="00DE6D1F">
              <w:rPr>
                <w:noProof/>
                <w:webHidden/>
              </w:rPr>
              <w:tab/>
            </w:r>
            <w:r w:rsidRPr="00DE6D1F">
              <w:rPr>
                <w:noProof/>
                <w:webHidden/>
              </w:rPr>
              <w:fldChar w:fldCharType="begin"/>
            </w:r>
            <w:r w:rsidRPr="00DE6D1F">
              <w:rPr>
                <w:noProof/>
                <w:webHidden/>
              </w:rPr>
              <w:instrText xml:space="preserve"> PAGEREF _Toc223650654 \h </w:instrText>
            </w:r>
            <w:r w:rsidRPr="00DE6D1F">
              <w:rPr>
                <w:noProof/>
                <w:webHidden/>
              </w:rPr>
            </w:r>
            <w:r w:rsidRPr="00DE6D1F">
              <w:rPr>
                <w:noProof/>
                <w:webHidden/>
              </w:rPr>
              <w:fldChar w:fldCharType="separate"/>
            </w:r>
            <w:r w:rsidR="00A0541D">
              <w:rPr>
                <w:noProof/>
                <w:webHidden/>
              </w:rPr>
              <w:t>19</w:t>
            </w:r>
            <w:r w:rsidRPr="00DE6D1F">
              <w:rPr>
                <w:noProof/>
                <w:webHidden/>
              </w:rPr>
              <w:fldChar w:fldCharType="end"/>
            </w:r>
          </w:hyperlink>
        </w:p>
        <w:p w14:paraId="4ADEC180" w14:textId="142A3F20"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55" w:history="1">
            <w:r w:rsidRPr="00DE6D1F">
              <w:rPr>
                <w:rStyle w:val="Hyperlink"/>
                <w:noProof/>
              </w:rPr>
              <w:t>4.1 Introduction</w:t>
            </w:r>
            <w:r w:rsidRPr="00DE6D1F">
              <w:rPr>
                <w:noProof/>
                <w:webHidden/>
              </w:rPr>
              <w:tab/>
            </w:r>
            <w:r w:rsidRPr="00DE6D1F">
              <w:rPr>
                <w:noProof/>
                <w:webHidden/>
              </w:rPr>
              <w:fldChar w:fldCharType="begin"/>
            </w:r>
            <w:r w:rsidRPr="00DE6D1F">
              <w:rPr>
                <w:noProof/>
                <w:webHidden/>
              </w:rPr>
              <w:instrText xml:space="preserve"> PAGEREF _Toc223650655 \h </w:instrText>
            </w:r>
            <w:r w:rsidRPr="00DE6D1F">
              <w:rPr>
                <w:noProof/>
                <w:webHidden/>
              </w:rPr>
            </w:r>
            <w:r w:rsidRPr="00DE6D1F">
              <w:rPr>
                <w:noProof/>
                <w:webHidden/>
              </w:rPr>
              <w:fldChar w:fldCharType="separate"/>
            </w:r>
            <w:r w:rsidR="00A0541D">
              <w:rPr>
                <w:noProof/>
                <w:webHidden/>
              </w:rPr>
              <w:t>19</w:t>
            </w:r>
            <w:r w:rsidRPr="00DE6D1F">
              <w:rPr>
                <w:noProof/>
                <w:webHidden/>
              </w:rPr>
              <w:fldChar w:fldCharType="end"/>
            </w:r>
          </w:hyperlink>
        </w:p>
        <w:p w14:paraId="5EB2178D" w14:textId="153E8A55"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56" w:history="1">
            <w:r w:rsidRPr="00DE6D1F">
              <w:rPr>
                <w:rStyle w:val="Hyperlink"/>
                <w:noProof/>
              </w:rPr>
              <w:t>4.2 Thematic Analysis</w:t>
            </w:r>
            <w:r w:rsidRPr="00DE6D1F">
              <w:rPr>
                <w:noProof/>
                <w:webHidden/>
              </w:rPr>
              <w:tab/>
            </w:r>
            <w:r w:rsidRPr="00DE6D1F">
              <w:rPr>
                <w:noProof/>
                <w:webHidden/>
              </w:rPr>
              <w:fldChar w:fldCharType="begin"/>
            </w:r>
            <w:r w:rsidRPr="00DE6D1F">
              <w:rPr>
                <w:noProof/>
                <w:webHidden/>
              </w:rPr>
              <w:instrText xml:space="preserve"> PAGEREF _Toc223650656 \h </w:instrText>
            </w:r>
            <w:r w:rsidRPr="00DE6D1F">
              <w:rPr>
                <w:noProof/>
                <w:webHidden/>
              </w:rPr>
            </w:r>
            <w:r w:rsidRPr="00DE6D1F">
              <w:rPr>
                <w:noProof/>
                <w:webHidden/>
              </w:rPr>
              <w:fldChar w:fldCharType="separate"/>
            </w:r>
            <w:r w:rsidR="00A0541D">
              <w:rPr>
                <w:noProof/>
                <w:webHidden/>
              </w:rPr>
              <w:t>19</w:t>
            </w:r>
            <w:r w:rsidRPr="00DE6D1F">
              <w:rPr>
                <w:noProof/>
                <w:webHidden/>
              </w:rPr>
              <w:fldChar w:fldCharType="end"/>
            </w:r>
          </w:hyperlink>
        </w:p>
        <w:p w14:paraId="713E6412" w14:textId="3EEEB513"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57" w:history="1">
            <w:r w:rsidRPr="00DE6D1F">
              <w:rPr>
                <w:rStyle w:val="Hyperlink"/>
                <w:noProof/>
              </w:rPr>
              <w:t>4.3 Theme 1: Structural challenges related to socio-economic vulnerability and occupational exposure</w:t>
            </w:r>
            <w:r w:rsidRPr="00DE6D1F">
              <w:rPr>
                <w:noProof/>
                <w:webHidden/>
              </w:rPr>
              <w:tab/>
            </w:r>
            <w:r w:rsidRPr="00DE6D1F">
              <w:rPr>
                <w:noProof/>
                <w:webHidden/>
              </w:rPr>
              <w:fldChar w:fldCharType="begin"/>
            </w:r>
            <w:r w:rsidRPr="00DE6D1F">
              <w:rPr>
                <w:noProof/>
                <w:webHidden/>
              </w:rPr>
              <w:instrText xml:space="preserve"> PAGEREF _Toc223650657 \h </w:instrText>
            </w:r>
            <w:r w:rsidRPr="00DE6D1F">
              <w:rPr>
                <w:noProof/>
                <w:webHidden/>
              </w:rPr>
            </w:r>
            <w:r w:rsidRPr="00DE6D1F">
              <w:rPr>
                <w:noProof/>
                <w:webHidden/>
              </w:rPr>
              <w:fldChar w:fldCharType="separate"/>
            </w:r>
            <w:r w:rsidR="00A0541D">
              <w:rPr>
                <w:noProof/>
                <w:webHidden/>
              </w:rPr>
              <w:t>19</w:t>
            </w:r>
            <w:r w:rsidRPr="00DE6D1F">
              <w:rPr>
                <w:noProof/>
                <w:webHidden/>
              </w:rPr>
              <w:fldChar w:fldCharType="end"/>
            </w:r>
          </w:hyperlink>
        </w:p>
        <w:p w14:paraId="0191FD4E" w14:textId="27848AA5"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58" w:history="1">
            <w:r w:rsidRPr="00DE6D1F">
              <w:rPr>
                <w:rStyle w:val="Hyperlink"/>
                <w:rFonts w:cs="Arial"/>
                <w:noProof/>
              </w:rPr>
              <w:t>4.3.1 Definition</w:t>
            </w:r>
            <w:r w:rsidRPr="00DE6D1F">
              <w:rPr>
                <w:noProof/>
                <w:webHidden/>
              </w:rPr>
              <w:tab/>
            </w:r>
            <w:r w:rsidRPr="00DE6D1F">
              <w:rPr>
                <w:noProof/>
                <w:webHidden/>
              </w:rPr>
              <w:fldChar w:fldCharType="begin"/>
            </w:r>
            <w:r w:rsidRPr="00DE6D1F">
              <w:rPr>
                <w:noProof/>
                <w:webHidden/>
              </w:rPr>
              <w:instrText xml:space="preserve"> PAGEREF _Toc223650658 \h </w:instrText>
            </w:r>
            <w:r w:rsidRPr="00DE6D1F">
              <w:rPr>
                <w:noProof/>
                <w:webHidden/>
              </w:rPr>
            </w:r>
            <w:r w:rsidRPr="00DE6D1F">
              <w:rPr>
                <w:noProof/>
                <w:webHidden/>
              </w:rPr>
              <w:fldChar w:fldCharType="separate"/>
            </w:r>
            <w:r w:rsidR="00A0541D">
              <w:rPr>
                <w:noProof/>
                <w:webHidden/>
              </w:rPr>
              <w:t>19</w:t>
            </w:r>
            <w:r w:rsidRPr="00DE6D1F">
              <w:rPr>
                <w:noProof/>
                <w:webHidden/>
              </w:rPr>
              <w:fldChar w:fldCharType="end"/>
            </w:r>
          </w:hyperlink>
        </w:p>
        <w:p w14:paraId="58AF4910" w14:textId="3049C874"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59" w:history="1">
            <w:r w:rsidRPr="00DE6D1F">
              <w:rPr>
                <w:rStyle w:val="Hyperlink"/>
                <w:rFonts w:cs="Arial"/>
                <w:noProof/>
              </w:rPr>
              <w:t>4.3.2 Background Information</w:t>
            </w:r>
            <w:r w:rsidRPr="00DE6D1F">
              <w:rPr>
                <w:noProof/>
                <w:webHidden/>
              </w:rPr>
              <w:tab/>
            </w:r>
            <w:r w:rsidRPr="00DE6D1F">
              <w:rPr>
                <w:noProof/>
                <w:webHidden/>
              </w:rPr>
              <w:fldChar w:fldCharType="begin"/>
            </w:r>
            <w:r w:rsidRPr="00DE6D1F">
              <w:rPr>
                <w:noProof/>
                <w:webHidden/>
              </w:rPr>
              <w:instrText xml:space="preserve"> PAGEREF _Toc223650659 \h </w:instrText>
            </w:r>
            <w:r w:rsidRPr="00DE6D1F">
              <w:rPr>
                <w:noProof/>
                <w:webHidden/>
              </w:rPr>
            </w:r>
            <w:r w:rsidRPr="00DE6D1F">
              <w:rPr>
                <w:noProof/>
                <w:webHidden/>
              </w:rPr>
              <w:fldChar w:fldCharType="separate"/>
            </w:r>
            <w:r w:rsidR="00A0541D">
              <w:rPr>
                <w:noProof/>
                <w:webHidden/>
              </w:rPr>
              <w:t>20</w:t>
            </w:r>
            <w:r w:rsidRPr="00DE6D1F">
              <w:rPr>
                <w:noProof/>
                <w:webHidden/>
              </w:rPr>
              <w:fldChar w:fldCharType="end"/>
            </w:r>
          </w:hyperlink>
        </w:p>
        <w:p w14:paraId="5792DFB3" w14:textId="43E7B809"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60" w:history="1">
            <w:r w:rsidRPr="00DE6D1F">
              <w:rPr>
                <w:rStyle w:val="Hyperlink"/>
                <w:rFonts w:cs="Arial"/>
                <w:noProof/>
              </w:rPr>
              <w:t>4.3.3 Impact on research objective</w:t>
            </w:r>
            <w:r w:rsidRPr="00DE6D1F">
              <w:rPr>
                <w:noProof/>
                <w:webHidden/>
              </w:rPr>
              <w:tab/>
            </w:r>
            <w:r w:rsidRPr="00DE6D1F">
              <w:rPr>
                <w:noProof/>
                <w:webHidden/>
              </w:rPr>
              <w:fldChar w:fldCharType="begin"/>
            </w:r>
            <w:r w:rsidRPr="00DE6D1F">
              <w:rPr>
                <w:noProof/>
                <w:webHidden/>
              </w:rPr>
              <w:instrText xml:space="preserve"> PAGEREF _Toc223650660 \h </w:instrText>
            </w:r>
            <w:r w:rsidRPr="00DE6D1F">
              <w:rPr>
                <w:noProof/>
                <w:webHidden/>
              </w:rPr>
            </w:r>
            <w:r w:rsidRPr="00DE6D1F">
              <w:rPr>
                <w:noProof/>
                <w:webHidden/>
              </w:rPr>
              <w:fldChar w:fldCharType="separate"/>
            </w:r>
            <w:r w:rsidR="00A0541D">
              <w:rPr>
                <w:noProof/>
                <w:webHidden/>
              </w:rPr>
              <w:t>20</w:t>
            </w:r>
            <w:r w:rsidRPr="00DE6D1F">
              <w:rPr>
                <w:noProof/>
                <w:webHidden/>
              </w:rPr>
              <w:fldChar w:fldCharType="end"/>
            </w:r>
          </w:hyperlink>
        </w:p>
        <w:p w14:paraId="389CC91E" w14:textId="7969E910"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61" w:history="1">
            <w:r w:rsidRPr="00DE6D1F">
              <w:rPr>
                <w:rStyle w:val="Hyperlink"/>
                <w:rFonts w:cs="Arial"/>
                <w:noProof/>
              </w:rPr>
              <w:t>4.3.4 Statistical Information</w:t>
            </w:r>
            <w:r w:rsidRPr="00DE6D1F">
              <w:rPr>
                <w:noProof/>
                <w:webHidden/>
              </w:rPr>
              <w:tab/>
            </w:r>
            <w:r w:rsidRPr="00DE6D1F">
              <w:rPr>
                <w:noProof/>
                <w:webHidden/>
              </w:rPr>
              <w:fldChar w:fldCharType="begin"/>
            </w:r>
            <w:r w:rsidRPr="00DE6D1F">
              <w:rPr>
                <w:noProof/>
                <w:webHidden/>
              </w:rPr>
              <w:instrText xml:space="preserve"> PAGEREF _Toc223650661 \h </w:instrText>
            </w:r>
            <w:r w:rsidRPr="00DE6D1F">
              <w:rPr>
                <w:noProof/>
                <w:webHidden/>
              </w:rPr>
            </w:r>
            <w:r w:rsidRPr="00DE6D1F">
              <w:rPr>
                <w:noProof/>
                <w:webHidden/>
              </w:rPr>
              <w:fldChar w:fldCharType="separate"/>
            </w:r>
            <w:r w:rsidR="00A0541D">
              <w:rPr>
                <w:noProof/>
                <w:webHidden/>
              </w:rPr>
              <w:t>20</w:t>
            </w:r>
            <w:r w:rsidRPr="00DE6D1F">
              <w:rPr>
                <w:noProof/>
                <w:webHidden/>
              </w:rPr>
              <w:fldChar w:fldCharType="end"/>
            </w:r>
          </w:hyperlink>
        </w:p>
        <w:p w14:paraId="71DC5DBC" w14:textId="5EDDBEF9"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62" w:history="1">
            <w:r w:rsidRPr="00DE6D1F">
              <w:rPr>
                <w:rStyle w:val="Hyperlink"/>
                <w:rFonts w:cs="Arial"/>
                <w:noProof/>
              </w:rPr>
              <w:t>4.3.5 Theories, Policies and Legislation</w:t>
            </w:r>
            <w:r w:rsidRPr="00DE6D1F">
              <w:rPr>
                <w:noProof/>
                <w:webHidden/>
              </w:rPr>
              <w:tab/>
            </w:r>
            <w:r w:rsidRPr="00DE6D1F">
              <w:rPr>
                <w:noProof/>
                <w:webHidden/>
              </w:rPr>
              <w:fldChar w:fldCharType="begin"/>
            </w:r>
            <w:r w:rsidRPr="00DE6D1F">
              <w:rPr>
                <w:noProof/>
                <w:webHidden/>
              </w:rPr>
              <w:instrText xml:space="preserve"> PAGEREF _Toc223650662 \h </w:instrText>
            </w:r>
            <w:r w:rsidRPr="00DE6D1F">
              <w:rPr>
                <w:noProof/>
                <w:webHidden/>
              </w:rPr>
            </w:r>
            <w:r w:rsidRPr="00DE6D1F">
              <w:rPr>
                <w:noProof/>
                <w:webHidden/>
              </w:rPr>
              <w:fldChar w:fldCharType="separate"/>
            </w:r>
            <w:r w:rsidR="00A0541D">
              <w:rPr>
                <w:noProof/>
                <w:webHidden/>
              </w:rPr>
              <w:t>21</w:t>
            </w:r>
            <w:r w:rsidRPr="00DE6D1F">
              <w:rPr>
                <w:noProof/>
                <w:webHidden/>
              </w:rPr>
              <w:fldChar w:fldCharType="end"/>
            </w:r>
          </w:hyperlink>
        </w:p>
        <w:p w14:paraId="2E04ED55" w14:textId="64BAABF1"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63" w:history="1">
            <w:r w:rsidRPr="00DE6D1F">
              <w:rPr>
                <w:rStyle w:val="Hyperlink"/>
                <w:rFonts w:cs="Arial"/>
                <w:noProof/>
              </w:rPr>
              <w:t>4.3.6 Implications</w:t>
            </w:r>
            <w:r w:rsidRPr="00DE6D1F">
              <w:rPr>
                <w:noProof/>
                <w:webHidden/>
              </w:rPr>
              <w:tab/>
            </w:r>
            <w:r w:rsidRPr="00DE6D1F">
              <w:rPr>
                <w:noProof/>
                <w:webHidden/>
              </w:rPr>
              <w:fldChar w:fldCharType="begin"/>
            </w:r>
            <w:r w:rsidRPr="00DE6D1F">
              <w:rPr>
                <w:noProof/>
                <w:webHidden/>
              </w:rPr>
              <w:instrText xml:space="preserve"> PAGEREF _Toc223650663 \h </w:instrText>
            </w:r>
            <w:r w:rsidRPr="00DE6D1F">
              <w:rPr>
                <w:noProof/>
                <w:webHidden/>
              </w:rPr>
            </w:r>
            <w:r w:rsidRPr="00DE6D1F">
              <w:rPr>
                <w:noProof/>
                <w:webHidden/>
              </w:rPr>
              <w:fldChar w:fldCharType="separate"/>
            </w:r>
            <w:r w:rsidR="00A0541D">
              <w:rPr>
                <w:noProof/>
                <w:webHidden/>
              </w:rPr>
              <w:t>21</w:t>
            </w:r>
            <w:r w:rsidRPr="00DE6D1F">
              <w:rPr>
                <w:noProof/>
                <w:webHidden/>
              </w:rPr>
              <w:fldChar w:fldCharType="end"/>
            </w:r>
          </w:hyperlink>
        </w:p>
        <w:p w14:paraId="0E11AF6C" w14:textId="1D739E36"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64" w:history="1">
            <w:r w:rsidRPr="00DE6D1F">
              <w:rPr>
                <w:rStyle w:val="Hyperlink"/>
                <w:rFonts w:cs="Arial"/>
                <w:noProof/>
              </w:rPr>
              <w:t>4.3.7 Examples from articles</w:t>
            </w:r>
            <w:r w:rsidRPr="00DE6D1F">
              <w:rPr>
                <w:noProof/>
                <w:webHidden/>
              </w:rPr>
              <w:tab/>
            </w:r>
            <w:r w:rsidRPr="00DE6D1F">
              <w:rPr>
                <w:noProof/>
                <w:webHidden/>
              </w:rPr>
              <w:fldChar w:fldCharType="begin"/>
            </w:r>
            <w:r w:rsidRPr="00DE6D1F">
              <w:rPr>
                <w:noProof/>
                <w:webHidden/>
              </w:rPr>
              <w:instrText xml:space="preserve"> PAGEREF _Toc223650664 \h </w:instrText>
            </w:r>
            <w:r w:rsidRPr="00DE6D1F">
              <w:rPr>
                <w:noProof/>
                <w:webHidden/>
              </w:rPr>
            </w:r>
            <w:r w:rsidRPr="00DE6D1F">
              <w:rPr>
                <w:noProof/>
                <w:webHidden/>
              </w:rPr>
              <w:fldChar w:fldCharType="separate"/>
            </w:r>
            <w:r w:rsidR="00A0541D">
              <w:rPr>
                <w:noProof/>
                <w:webHidden/>
              </w:rPr>
              <w:t>22</w:t>
            </w:r>
            <w:r w:rsidRPr="00DE6D1F">
              <w:rPr>
                <w:noProof/>
                <w:webHidden/>
              </w:rPr>
              <w:fldChar w:fldCharType="end"/>
            </w:r>
          </w:hyperlink>
        </w:p>
        <w:p w14:paraId="57837808" w14:textId="2DA1C447"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65" w:history="1">
            <w:r w:rsidRPr="00DE6D1F">
              <w:rPr>
                <w:rStyle w:val="Hyperlink"/>
                <w:rFonts w:cs="Arial"/>
                <w:noProof/>
              </w:rPr>
              <w:t>4.3.8 Connections to other themes</w:t>
            </w:r>
            <w:r w:rsidRPr="00DE6D1F">
              <w:rPr>
                <w:noProof/>
                <w:webHidden/>
              </w:rPr>
              <w:tab/>
            </w:r>
            <w:r w:rsidRPr="00DE6D1F">
              <w:rPr>
                <w:noProof/>
                <w:webHidden/>
              </w:rPr>
              <w:fldChar w:fldCharType="begin"/>
            </w:r>
            <w:r w:rsidRPr="00DE6D1F">
              <w:rPr>
                <w:noProof/>
                <w:webHidden/>
              </w:rPr>
              <w:instrText xml:space="preserve"> PAGEREF _Toc223650665 \h </w:instrText>
            </w:r>
            <w:r w:rsidRPr="00DE6D1F">
              <w:rPr>
                <w:noProof/>
                <w:webHidden/>
              </w:rPr>
            </w:r>
            <w:r w:rsidRPr="00DE6D1F">
              <w:rPr>
                <w:noProof/>
                <w:webHidden/>
              </w:rPr>
              <w:fldChar w:fldCharType="separate"/>
            </w:r>
            <w:r w:rsidR="00A0541D">
              <w:rPr>
                <w:noProof/>
                <w:webHidden/>
              </w:rPr>
              <w:t>22</w:t>
            </w:r>
            <w:r w:rsidRPr="00DE6D1F">
              <w:rPr>
                <w:noProof/>
                <w:webHidden/>
              </w:rPr>
              <w:fldChar w:fldCharType="end"/>
            </w:r>
          </w:hyperlink>
        </w:p>
        <w:p w14:paraId="69A0B4C7" w14:textId="1F9D9B37"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66" w:history="1">
            <w:r w:rsidRPr="00DE6D1F">
              <w:rPr>
                <w:rStyle w:val="Hyperlink"/>
                <w:noProof/>
              </w:rPr>
              <w:t>4.4 Theme 2: Cultural and technological barriers to health care access</w:t>
            </w:r>
            <w:r w:rsidRPr="00DE6D1F">
              <w:rPr>
                <w:noProof/>
                <w:webHidden/>
              </w:rPr>
              <w:tab/>
            </w:r>
            <w:r w:rsidRPr="00DE6D1F">
              <w:rPr>
                <w:noProof/>
                <w:webHidden/>
              </w:rPr>
              <w:fldChar w:fldCharType="begin"/>
            </w:r>
            <w:r w:rsidRPr="00DE6D1F">
              <w:rPr>
                <w:noProof/>
                <w:webHidden/>
              </w:rPr>
              <w:instrText xml:space="preserve"> PAGEREF _Toc223650666 \h </w:instrText>
            </w:r>
            <w:r w:rsidRPr="00DE6D1F">
              <w:rPr>
                <w:noProof/>
                <w:webHidden/>
              </w:rPr>
            </w:r>
            <w:r w:rsidRPr="00DE6D1F">
              <w:rPr>
                <w:noProof/>
                <w:webHidden/>
              </w:rPr>
              <w:fldChar w:fldCharType="separate"/>
            </w:r>
            <w:r w:rsidR="00A0541D">
              <w:rPr>
                <w:noProof/>
                <w:webHidden/>
              </w:rPr>
              <w:t>22</w:t>
            </w:r>
            <w:r w:rsidRPr="00DE6D1F">
              <w:rPr>
                <w:noProof/>
                <w:webHidden/>
              </w:rPr>
              <w:fldChar w:fldCharType="end"/>
            </w:r>
          </w:hyperlink>
        </w:p>
        <w:p w14:paraId="55442962" w14:textId="03F38162"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67" w:history="1">
            <w:r w:rsidRPr="00DE6D1F">
              <w:rPr>
                <w:rStyle w:val="Hyperlink"/>
                <w:rFonts w:cs="Arial"/>
                <w:noProof/>
              </w:rPr>
              <w:t>4.4.1 Definition</w:t>
            </w:r>
            <w:r w:rsidRPr="00DE6D1F">
              <w:rPr>
                <w:noProof/>
                <w:webHidden/>
              </w:rPr>
              <w:tab/>
            </w:r>
            <w:r w:rsidRPr="00DE6D1F">
              <w:rPr>
                <w:noProof/>
                <w:webHidden/>
              </w:rPr>
              <w:fldChar w:fldCharType="begin"/>
            </w:r>
            <w:r w:rsidRPr="00DE6D1F">
              <w:rPr>
                <w:noProof/>
                <w:webHidden/>
              </w:rPr>
              <w:instrText xml:space="preserve"> PAGEREF _Toc223650667 \h </w:instrText>
            </w:r>
            <w:r w:rsidRPr="00DE6D1F">
              <w:rPr>
                <w:noProof/>
                <w:webHidden/>
              </w:rPr>
            </w:r>
            <w:r w:rsidRPr="00DE6D1F">
              <w:rPr>
                <w:noProof/>
                <w:webHidden/>
              </w:rPr>
              <w:fldChar w:fldCharType="separate"/>
            </w:r>
            <w:r w:rsidR="00A0541D">
              <w:rPr>
                <w:noProof/>
                <w:webHidden/>
              </w:rPr>
              <w:t>23</w:t>
            </w:r>
            <w:r w:rsidRPr="00DE6D1F">
              <w:rPr>
                <w:noProof/>
                <w:webHidden/>
              </w:rPr>
              <w:fldChar w:fldCharType="end"/>
            </w:r>
          </w:hyperlink>
        </w:p>
        <w:p w14:paraId="32F46E71" w14:textId="769B90A2"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68" w:history="1">
            <w:r w:rsidRPr="00DE6D1F">
              <w:rPr>
                <w:rStyle w:val="Hyperlink"/>
                <w:rFonts w:cs="Arial"/>
                <w:noProof/>
              </w:rPr>
              <w:t>4.4.2 Background Information</w:t>
            </w:r>
            <w:r w:rsidRPr="00DE6D1F">
              <w:rPr>
                <w:noProof/>
                <w:webHidden/>
              </w:rPr>
              <w:tab/>
            </w:r>
            <w:r w:rsidRPr="00DE6D1F">
              <w:rPr>
                <w:noProof/>
                <w:webHidden/>
              </w:rPr>
              <w:fldChar w:fldCharType="begin"/>
            </w:r>
            <w:r w:rsidRPr="00DE6D1F">
              <w:rPr>
                <w:noProof/>
                <w:webHidden/>
              </w:rPr>
              <w:instrText xml:space="preserve"> PAGEREF _Toc223650668 \h </w:instrText>
            </w:r>
            <w:r w:rsidRPr="00DE6D1F">
              <w:rPr>
                <w:noProof/>
                <w:webHidden/>
              </w:rPr>
            </w:r>
            <w:r w:rsidRPr="00DE6D1F">
              <w:rPr>
                <w:noProof/>
                <w:webHidden/>
              </w:rPr>
              <w:fldChar w:fldCharType="separate"/>
            </w:r>
            <w:r w:rsidR="00A0541D">
              <w:rPr>
                <w:noProof/>
                <w:webHidden/>
              </w:rPr>
              <w:t>23</w:t>
            </w:r>
            <w:r w:rsidRPr="00DE6D1F">
              <w:rPr>
                <w:noProof/>
                <w:webHidden/>
              </w:rPr>
              <w:fldChar w:fldCharType="end"/>
            </w:r>
          </w:hyperlink>
        </w:p>
        <w:p w14:paraId="663DB6B8" w14:textId="1197313F"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69" w:history="1">
            <w:r w:rsidRPr="00DE6D1F">
              <w:rPr>
                <w:rStyle w:val="Hyperlink"/>
                <w:rFonts w:cs="Arial"/>
                <w:noProof/>
              </w:rPr>
              <w:t>4.4.3 Impact on research objective</w:t>
            </w:r>
            <w:r w:rsidRPr="00DE6D1F">
              <w:rPr>
                <w:noProof/>
                <w:webHidden/>
              </w:rPr>
              <w:tab/>
            </w:r>
            <w:r w:rsidRPr="00DE6D1F">
              <w:rPr>
                <w:noProof/>
                <w:webHidden/>
              </w:rPr>
              <w:fldChar w:fldCharType="begin"/>
            </w:r>
            <w:r w:rsidRPr="00DE6D1F">
              <w:rPr>
                <w:noProof/>
                <w:webHidden/>
              </w:rPr>
              <w:instrText xml:space="preserve"> PAGEREF _Toc223650669 \h </w:instrText>
            </w:r>
            <w:r w:rsidRPr="00DE6D1F">
              <w:rPr>
                <w:noProof/>
                <w:webHidden/>
              </w:rPr>
            </w:r>
            <w:r w:rsidRPr="00DE6D1F">
              <w:rPr>
                <w:noProof/>
                <w:webHidden/>
              </w:rPr>
              <w:fldChar w:fldCharType="separate"/>
            </w:r>
            <w:r w:rsidR="00A0541D">
              <w:rPr>
                <w:noProof/>
                <w:webHidden/>
              </w:rPr>
              <w:t>23</w:t>
            </w:r>
            <w:r w:rsidRPr="00DE6D1F">
              <w:rPr>
                <w:noProof/>
                <w:webHidden/>
              </w:rPr>
              <w:fldChar w:fldCharType="end"/>
            </w:r>
          </w:hyperlink>
        </w:p>
        <w:p w14:paraId="6897B098" w14:textId="3B3F2880"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70" w:history="1">
            <w:r w:rsidRPr="00DE6D1F">
              <w:rPr>
                <w:rStyle w:val="Hyperlink"/>
                <w:rFonts w:cs="Arial"/>
                <w:noProof/>
              </w:rPr>
              <w:t>4.4.4 Statistical Information</w:t>
            </w:r>
            <w:r w:rsidRPr="00DE6D1F">
              <w:rPr>
                <w:noProof/>
                <w:webHidden/>
              </w:rPr>
              <w:tab/>
            </w:r>
            <w:r w:rsidRPr="00DE6D1F">
              <w:rPr>
                <w:noProof/>
                <w:webHidden/>
              </w:rPr>
              <w:fldChar w:fldCharType="begin"/>
            </w:r>
            <w:r w:rsidRPr="00DE6D1F">
              <w:rPr>
                <w:noProof/>
                <w:webHidden/>
              </w:rPr>
              <w:instrText xml:space="preserve"> PAGEREF _Toc223650670 \h </w:instrText>
            </w:r>
            <w:r w:rsidRPr="00DE6D1F">
              <w:rPr>
                <w:noProof/>
                <w:webHidden/>
              </w:rPr>
            </w:r>
            <w:r w:rsidRPr="00DE6D1F">
              <w:rPr>
                <w:noProof/>
                <w:webHidden/>
              </w:rPr>
              <w:fldChar w:fldCharType="separate"/>
            </w:r>
            <w:r w:rsidR="00A0541D">
              <w:rPr>
                <w:noProof/>
                <w:webHidden/>
              </w:rPr>
              <w:t>24</w:t>
            </w:r>
            <w:r w:rsidRPr="00DE6D1F">
              <w:rPr>
                <w:noProof/>
                <w:webHidden/>
              </w:rPr>
              <w:fldChar w:fldCharType="end"/>
            </w:r>
          </w:hyperlink>
        </w:p>
        <w:p w14:paraId="1E5EABCF" w14:textId="25064164"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71" w:history="1">
            <w:r w:rsidRPr="00DE6D1F">
              <w:rPr>
                <w:rStyle w:val="Hyperlink"/>
                <w:rFonts w:cs="Arial"/>
                <w:noProof/>
              </w:rPr>
              <w:t>4.4.5 Theories, Policies, and Legislation</w:t>
            </w:r>
            <w:r w:rsidRPr="00DE6D1F">
              <w:rPr>
                <w:noProof/>
                <w:webHidden/>
              </w:rPr>
              <w:tab/>
            </w:r>
            <w:r w:rsidRPr="00DE6D1F">
              <w:rPr>
                <w:noProof/>
                <w:webHidden/>
              </w:rPr>
              <w:fldChar w:fldCharType="begin"/>
            </w:r>
            <w:r w:rsidRPr="00DE6D1F">
              <w:rPr>
                <w:noProof/>
                <w:webHidden/>
              </w:rPr>
              <w:instrText xml:space="preserve"> PAGEREF _Toc223650671 \h </w:instrText>
            </w:r>
            <w:r w:rsidRPr="00DE6D1F">
              <w:rPr>
                <w:noProof/>
                <w:webHidden/>
              </w:rPr>
            </w:r>
            <w:r w:rsidRPr="00DE6D1F">
              <w:rPr>
                <w:noProof/>
                <w:webHidden/>
              </w:rPr>
              <w:fldChar w:fldCharType="separate"/>
            </w:r>
            <w:r w:rsidR="00A0541D">
              <w:rPr>
                <w:noProof/>
                <w:webHidden/>
              </w:rPr>
              <w:t>24</w:t>
            </w:r>
            <w:r w:rsidRPr="00DE6D1F">
              <w:rPr>
                <w:noProof/>
                <w:webHidden/>
              </w:rPr>
              <w:fldChar w:fldCharType="end"/>
            </w:r>
          </w:hyperlink>
        </w:p>
        <w:p w14:paraId="30F1EFF4" w14:textId="7791925E"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72" w:history="1">
            <w:r w:rsidRPr="00DE6D1F">
              <w:rPr>
                <w:rStyle w:val="Hyperlink"/>
                <w:rFonts w:cs="Arial"/>
                <w:noProof/>
              </w:rPr>
              <w:t>4.4.6 Implications</w:t>
            </w:r>
            <w:r w:rsidRPr="00DE6D1F">
              <w:rPr>
                <w:noProof/>
                <w:webHidden/>
              </w:rPr>
              <w:tab/>
            </w:r>
            <w:r w:rsidRPr="00DE6D1F">
              <w:rPr>
                <w:noProof/>
                <w:webHidden/>
              </w:rPr>
              <w:fldChar w:fldCharType="begin"/>
            </w:r>
            <w:r w:rsidRPr="00DE6D1F">
              <w:rPr>
                <w:noProof/>
                <w:webHidden/>
              </w:rPr>
              <w:instrText xml:space="preserve"> PAGEREF _Toc223650672 \h </w:instrText>
            </w:r>
            <w:r w:rsidRPr="00DE6D1F">
              <w:rPr>
                <w:noProof/>
                <w:webHidden/>
              </w:rPr>
            </w:r>
            <w:r w:rsidRPr="00DE6D1F">
              <w:rPr>
                <w:noProof/>
                <w:webHidden/>
              </w:rPr>
              <w:fldChar w:fldCharType="separate"/>
            </w:r>
            <w:r w:rsidR="00A0541D">
              <w:rPr>
                <w:noProof/>
                <w:webHidden/>
              </w:rPr>
              <w:t>25</w:t>
            </w:r>
            <w:r w:rsidRPr="00DE6D1F">
              <w:rPr>
                <w:noProof/>
                <w:webHidden/>
              </w:rPr>
              <w:fldChar w:fldCharType="end"/>
            </w:r>
          </w:hyperlink>
        </w:p>
        <w:p w14:paraId="4C8F2F9E" w14:textId="1E6B20F2"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73" w:history="1">
            <w:r w:rsidRPr="00DE6D1F">
              <w:rPr>
                <w:rStyle w:val="Hyperlink"/>
                <w:rFonts w:cs="Arial"/>
                <w:noProof/>
              </w:rPr>
              <w:t>4.4.7 Examples from articles</w:t>
            </w:r>
            <w:r w:rsidRPr="00DE6D1F">
              <w:rPr>
                <w:noProof/>
                <w:webHidden/>
              </w:rPr>
              <w:tab/>
            </w:r>
            <w:r w:rsidRPr="00DE6D1F">
              <w:rPr>
                <w:noProof/>
                <w:webHidden/>
              </w:rPr>
              <w:fldChar w:fldCharType="begin"/>
            </w:r>
            <w:r w:rsidRPr="00DE6D1F">
              <w:rPr>
                <w:noProof/>
                <w:webHidden/>
              </w:rPr>
              <w:instrText xml:space="preserve"> PAGEREF _Toc223650673 \h </w:instrText>
            </w:r>
            <w:r w:rsidRPr="00DE6D1F">
              <w:rPr>
                <w:noProof/>
                <w:webHidden/>
              </w:rPr>
            </w:r>
            <w:r w:rsidRPr="00DE6D1F">
              <w:rPr>
                <w:noProof/>
                <w:webHidden/>
              </w:rPr>
              <w:fldChar w:fldCharType="separate"/>
            </w:r>
            <w:r w:rsidR="00A0541D">
              <w:rPr>
                <w:noProof/>
                <w:webHidden/>
              </w:rPr>
              <w:t>25</w:t>
            </w:r>
            <w:r w:rsidRPr="00DE6D1F">
              <w:rPr>
                <w:noProof/>
                <w:webHidden/>
              </w:rPr>
              <w:fldChar w:fldCharType="end"/>
            </w:r>
          </w:hyperlink>
        </w:p>
        <w:p w14:paraId="2C22A148" w14:textId="08240D68"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74" w:history="1">
            <w:r w:rsidRPr="00DE6D1F">
              <w:rPr>
                <w:rStyle w:val="Hyperlink"/>
                <w:rFonts w:cs="Arial"/>
                <w:noProof/>
              </w:rPr>
              <w:t>4.4.8 Connections to Other Themes</w:t>
            </w:r>
            <w:r w:rsidRPr="00DE6D1F">
              <w:rPr>
                <w:noProof/>
                <w:webHidden/>
              </w:rPr>
              <w:tab/>
            </w:r>
            <w:r w:rsidRPr="00DE6D1F">
              <w:rPr>
                <w:noProof/>
                <w:webHidden/>
              </w:rPr>
              <w:fldChar w:fldCharType="begin"/>
            </w:r>
            <w:r w:rsidRPr="00DE6D1F">
              <w:rPr>
                <w:noProof/>
                <w:webHidden/>
              </w:rPr>
              <w:instrText xml:space="preserve"> PAGEREF _Toc223650674 \h </w:instrText>
            </w:r>
            <w:r w:rsidRPr="00DE6D1F">
              <w:rPr>
                <w:noProof/>
                <w:webHidden/>
              </w:rPr>
            </w:r>
            <w:r w:rsidRPr="00DE6D1F">
              <w:rPr>
                <w:noProof/>
                <w:webHidden/>
              </w:rPr>
              <w:fldChar w:fldCharType="separate"/>
            </w:r>
            <w:r w:rsidR="00A0541D">
              <w:rPr>
                <w:noProof/>
                <w:webHidden/>
              </w:rPr>
              <w:t>26</w:t>
            </w:r>
            <w:r w:rsidRPr="00DE6D1F">
              <w:rPr>
                <w:noProof/>
                <w:webHidden/>
              </w:rPr>
              <w:fldChar w:fldCharType="end"/>
            </w:r>
          </w:hyperlink>
        </w:p>
        <w:p w14:paraId="47921BAD" w14:textId="2BE07677"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75" w:history="1">
            <w:r w:rsidRPr="00DE6D1F">
              <w:rPr>
                <w:rStyle w:val="Hyperlink"/>
                <w:noProof/>
              </w:rPr>
              <w:t>4.5 Theme 3: Top-down government policies vs community-driven initiatives</w:t>
            </w:r>
            <w:r w:rsidRPr="00DE6D1F">
              <w:rPr>
                <w:noProof/>
                <w:webHidden/>
              </w:rPr>
              <w:tab/>
            </w:r>
            <w:r w:rsidRPr="00DE6D1F">
              <w:rPr>
                <w:noProof/>
                <w:webHidden/>
              </w:rPr>
              <w:fldChar w:fldCharType="begin"/>
            </w:r>
            <w:r w:rsidRPr="00DE6D1F">
              <w:rPr>
                <w:noProof/>
                <w:webHidden/>
              </w:rPr>
              <w:instrText xml:space="preserve"> PAGEREF _Toc223650675 \h </w:instrText>
            </w:r>
            <w:r w:rsidRPr="00DE6D1F">
              <w:rPr>
                <w:noProof/>
                <w:webHidden/>
              </w:rPr>
            </w:r>
            <w:r w:rsidRPr="00DE6D1F">
              <w:rPr>
                <w:noProof/>
                <w:webHidden/>
              </w:rPr>
              <w:fldChar w:fldCharType="separate"/>
            </w:r>
            <w:r w:rsidR="00A0541D">
              <w:rPr>
                <w:noProof/>
                <w:webHidden/>
              </w:rPr>
              <w:t>26</w:t>
            </w:r>
            <w:r w:rsidRPr="00DE6D1F">
              <w:rPr>
                <w:noProof/>
                <w:webHidden/>
              </w:rPr>
              <w:fldChar w:fldCharType="end"/>
            </w:r>
          </w:hyperlink>
        </w:p>
        <w:p w14:paraId="4B3C917E" w14:textId="4F8C040C"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76" w:history="1">
            <w:r w:rsidRPr="00DE6D1F">
              <w:rPr>
                <w:rStyle w:val="Hyperlink"/>
                <w:rFonts w:cs="Arial"/>
                <w:noProof/>
              </w:rPr>
              <w:t>4.5.1 Definition</w:t>
            </w:r>
            <w:r w:rsidRPr="00DE6D1F">
              <w:rPr>
                <w:noProof/>
                <w:webHidden/>
              </w:rPr>
              <w:tab/>
            </w:r>
            <w:r w:rsidRPr="00DE6D1F">
              <w:rPr>
                <w:noProof/>
                <w:webHidden/>
              </w:rPr>
              <w:fldChar w:fldCharType="begin"/>
            </w:r>
            <w:r w:rsidRPr="00DE6D1F">
              <w:rPr>
                <w:noProof/>
                <w:webHidden/>
              </w:rPr>
              <w:instrText xml:space="preserve"> PAGEREF _Toc223650676 \h </w:instrText>
            </w:r>
            <w:r w:rsidRPr="00DE6D1F">
              <w:rPr>
                <w:noProof/>
                <w:webHidden/>
              </w:rPr>
            </w:r>
            <w:r w:rsidRPr="00DE6D1F">
              <w:rPr>
                <w:noProof/>
                <w:webHidden/>
              </w:rPr>
              <w:fldChar w:fldCharType="separate"/>
            </w:r>
            <w:r w:rsidR="00A0541D">
              <w:rPr>
                <w:noProof/>
                <w:webHidden/>
              </w:rPr>
              <w:t>26</w:t>
            </w:r>
            <w:r w:rsidRPr="00DE6D1F">
              <w:rPr>
                <w:noProof/>
                <w:webHidden/>
              </w:rPr>
              <w:fldChar w:fldCharType="end"/>
            </w:r>
          </w:hyperlink>
        </w:p>
        <w:p w14:paraId="6DA659D9" w14:textId="3B59F231"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77" w:history="1">
            <w:r w:rsidRPr="00DE6D1F">
              <w:rPr>
                <w:rStyle w:val="Hyperlink"/>
                <w:rFonts w:cs="Arial"/>
                <w:noProof/>
              </w:rPr>
              <w:t>4.5.2 Background Information</w:t>
            </w:r>
            <w:r w:rsidRPr="00DE6D1F">
              <w:rPr>
                <w:noProof/>
                <w:webHidden/>
              </w:rPr>
              <w:tab/>
            </w:r>
            <w:r w:rsidRPr="00DE6D1F">
              <w:rPr>
                <w:noProof/>
                <w:webHidden/>
              </w:rPr>
              <w:fldChar w:fldCharType="begin"/>
            </w:r>
            <w:r w:rsidRPr="00DE6D1F">
              <w:rPr>
                <w:noProof/>
                <w:webHidden/>
              </w:rPr>
              <w:instrText xml:space="preserve"> PAGEREF _Toc223650677 \h </w:instrText>
            </w:r>
            <w:r w:rsidRPr="00DE6D1F">
              <w:rPr>
                <w:noProof/>
                <w:webHidden/>
              </w:rPr>
            </w:r>
            <w:r w:rsidRPr="00DE6D1F">
              <w:rPr>
                <w:noProof/>
                <w:webHidden/>
              </w:rPr>
              <w:fldChar w:fldCharType="separate"/>
            </w:r>
            <w:r w:rsidR="00A0541D">
              <w:rPr>
                <w:noProof/>
                <w:webHidden/>
              </w:rPr>
              <w:t>26</w:t>
            </w:r>
            <w:r w:rsidRPr="00DE6D1F">
              <w:rPr>
                <w:noProof/>
                <w:webHidden/>
              </w:rPr>
              <w:fldChar w:fldCharType="end"/>
            </w:r>
          </w:hyperlink>
        </w:p>
        <w:p w14:paraId="21D1DA30" w14:textId="74864B0E"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78" w:history="1">
            <w:r w:rsidRPr="00DE6D1F">
              <w:rPr>
                <w:rStyle w:val="Hyperlink"/>
                <w:rFonts w:cs="Arial"/>
                <w:noProof/>
              </w:rPr>
              <w:t>4.5.3 Impact on research objective</w:t>
            </w:r>
            <w:r w:rsidRPr="00DE6D1F">
              <w:rPr>
                <w:noProof/>
                <w:webHidden/>
              </w:rPr>
              <w:tab/>
            </w:r>
            <w:r w:rsidRPr="00DE6D1F">
              <w:rPr>
                <w:noProof/>
                <w:webHidden/>
              </w:rPr>
              <w:fldChar w:fldCharType="begin"/>
            </w:r>
            <w:r w:rsidRPr="00DE6D1F">
              <w:rPr>
                <w:noProof/>
                <w:webHidden/>
              </w:rPr>
              <w:instrText xml:space="preserve"> PAGEREF _Toc223650678 \h </w:instrText>
            </w:r>
            <w:r w:rsidRPr="00DE6D1F">
              <w:rPr>
                <w:noProof/>
                <w:webHidden/>
              </w:rPr>
            </w:r>
            <w:r w:rsidRPr="00DE6D1F">
              <w:rPr>
                <w:noProof/>
                <w:webHidden/>
              </w:rPr>
              <w:fldChar w:fldCharType="separate"/>
            </w:r>
            <w:r w:rsidR="00A0541D">
              <w:rPr>
                <w:noProof/>
                <w:webHidden/>
              </w:rPr>
              <w:t>27</w:t>
            </w:r>
            <w:r w:rsidRPr="00DE6D1F">
              <w:rPr>
                <w:noProof/>
                <w:webHidden/>
              </w:rPr>
              <w:fldChar w:fldCharType="end"/>
            </w:r>
          </w:hyperlink>
        </w:p>
        <w:p w14:paraId="0AAC1CC3" w14:textId="0FF914B8"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79" w:history="1">
            <w:r w:rsidRPr="00DE6D1F">
              <w:rPr>
                <w:rStyle w:val="Hyperlink"/>
                <w:rFonts w:cs="Arial"/>
                <w:noProof/>
              </w:rPr>
              <w:t>4.5.4 Statistical Information</w:t>
            </w:r>
            <w:r w:rsidRPr="00DE6D1F">
              <w:rPr>
                <w:noProof/>
                <w:webHidden/>
              </w:rPr>
              <w:tab/>
            </w:r>
            <w:r w:rsidRPr="00DE6D1F">
              <w:rPr>
                <w:noProof/>
                <w:webHidden/>
              </w:rPr>
              <w:fldChar w:fldCharType="begin"/>
            </w:r>
            <w:r w:rsidRPr="00DE6D1F">
              <w:rPr>
                <w:noProof/>
                <w:webHidden/>
              </w:rPr>
              <w:instrText xml:space="preserve"> PAGEREF _Toc223650679 \h </w:instrText>
            </w:r>
            <w:r w:rsidRPr="00DE6D1F">
              <w:rPr>
                <w:noProof/>
                <w:webHidden/>
              </w:rPr>
            </w:r>
            <w:r w:rsidRPr="00DE6D1F">
              <w:rPr>
                <w:noProof/>
                <w:webHidden/>
              </w:rPr>
              <w:fldChar w:fldCharType="separate"/>
            </w:r>
            <w:r w:rsidR="00A0541D">
              <w:rPr>
                <w:noProof/>
                <w:webHidden/>
              </w:rPr>
              <w:t>27</w:t>
            </w:r>
            <w:r w:rsidRPr="00DE6D1F">
              <w:rPr>
                <w:noProof/>
                <w:webHidden/>
              </w:rPr>
              <w:fldChar w:fldCharType="end"/>
            </w:r>
          </w:hyperlink>
        </w:p>
        <w:p w14:paraId="07D81699" w14:textId="0025288D"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80" w:history="1">
            <w:r w:rsidRPr="00DE6D1F">
              <w:rPr>
                <w:rStyle w:val="Hyperlink"/>
                <w:rFonts w:cs="Arial"/>
                <w:noProof/>
              </w:rPr>
              <w:t>4.5.5 Theories, Policies, and Legislation</w:t>
            </w:r>
            <w:r w:rsidRPr="00DE6D1F">
              <w:rPr>
                <w:noProof/>
                <w:webHidden/>
              </w:rPr>
              <w:tab/>
            </w:r>
            <w:r w:rsidRPr="00DE6D1F">
              <w:rPr>
                <w:noProof/>
                <w:webHidden/>
              </w:rPr>
              <w:fldChar w:fldCharType="begin"/>
            </w:r>
            <w:r w:rsidRPr="00DE6D1F">
              <w:rPr>
                <w:noProof/>
                <w:webHidden/>
              </w:rPr>
              <w:instrText xml:space="preserve"> PAGEREF _Toc223650680 \h </w:instrText>
            </w:r>
            <w:r w:rsidRPr="00DE6D1F">
              <w:rPr>
                <w:noProof/>
                <w:webHidden/>
              </w:rPr>
            </w:r>
            <w:r w:rsidRPr="00DE6D1F">
              <w:rPr>
                <w:noProof/>
                <w:webHidden/>
              </w:rPr>
              <w:fldChar w:fldCharType="separate"/>
            </w:r>
            <w:r w:rsidR="00A0541D">
              <w:rPr>
                <w:noProof/>
                <w:webHidden/>
              </w:rPr>
              <w:t>28</w:t>
            </w:r>
            <w:r w:rsidRPr="00DE6D1F">
              <w:rPr>
                <w:noProof/>
                <w:webHidden/>
              </w:rPr>
              <w:fldChar w:fldCharType="end"/>
            </w:r>
          </w:hyperlink>
        </w:p>
        <w:p w14:paraId="07E79013" w14:textId="1E462AB1"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81" w:history="1">
            <w:r w:rsidRPr="00DE6D1F">
              <w:rPr>
                <w:rStyle w:val="Hyperlink"/>
                <w:rFonts w:cs="Arial"/>
                <w:noProof/>
              </w:rPr>
              <w:t>4.5.6 Implications</w:t>
            </w:r>
            <w:r w:rsidRPr="00DE6D1F">
              <w:rPr>
                <w:noProof/>
                <w:webHidden/>
              </w:rPr>
              <w:tab/>
            </w:r>
            <w:r w:rsidRPr="00DE6D1F">
              <w:rPr>
                <w:noProof/>
                <w:webHidden/>
              </w:rPr>
              <w:fldChar w:fldCharType="begin"/>
            </w:r>
            <w:r w:rsidRPr="00DE6D1F">
              <w:rPr>
                <w:noProof/>
                <w:webHidden/>
              </w:rPr>
              <w:instrText xml:space="preserve"> PAGEREF _Toc223650681 \h </w:instrText>
            </w:r>
            <w:r w:rsidRPr="00DE6D1F">
              <w:rPr>
                <w:noProof/>
                <w:webHidden/>
              </w:rPr>
            </w:r>
            <w:r w:rsidRPr="00DE6D1F">
              <w:rPr>
                <w:noProof/>
                <w:webHidden/>
              </w:rPr>
              <w:fldChar w:fldCharType="separate"/>
            </w:r>
            <w:r w:rsidR="00A0541D">
              <w:rPr>
                <w:noProof/>
                <w:webHidden/>
              </w:rPr>
              <w:t>28</w:t>
            </w:r>
            <w:r w:rsidRPr="00DE6D1F">
              <w:rPr>
                <w:noProof/>
                <w:webHidden/>
              </w:rPr>
              <w:fldChar w:fldCharType="end"/>
            </w:r>
          </w:hyperlink>
        </w:p>
        <w:p w14:paraId="598EEDFC" w14:textId="6E9FE9E5"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82" w:history="1">
            <w:r w:rsidRPr="00DE6D1F">
              <w:rPr>
                <w:rStyle w:val="Hyperlink"/>
                <w:rFonts w:cs="Arial"/>
                <w:noProof/>
              </w:rPr>
              <w:t>4.5.7 Examples from articles</w:t>
            </w:r>
            <w:r w:rsidRPr="00DE6D1F">
              <w:rPr>
                <w:noProof/>
                <w:webHidden/>
              </w:rPr>
              <w:tab/>
            </w:r>
            <w:r w:rsidRPr="00DE6D1F">
              <w:rPr>
                <w:noProof/>
                <w:webHidden/>
              </w:rPr>
              <w:fldChar w:fldCharType="begin"/>
            </w:r>
            <w:r w:rsidRPr="00DE6D1F">
              <w:rPr>
                <w:noProof/>
                <w:webHidden/>
              </w:rPr>
              <w:instrText xml:space="preserve"> PAGEREF _Toc223650682 \h </w:instrText>
            </w:r>
            <w:r w:rsidRPr="00DE6D1F">
              <w:rPr>
                <w:noProof/>
                <w:webHidden/>
              </w:rPr>
            </w:r>
            <w:r w:rsidRPr="00DE6D1F">
              <w:rPr>
                <w:noProof/>
                <w:webHidden/>
              </w:rPr>
              <w:fldChar w:fldCharType="separate"/>
            </w:r>
            <w:r w:rsidR="00A0541D">
              <w:rPr>
                <w:noProof/>
                <w:webHidden/>
              </w:rPr>
              <w:t>28</w:t>
            </w:r>
            <w:r w:rsidRPr="00DE6D1F">
              <w:rPr>
                <w:noProof/>
                <w:webHidden/>
              </w:rPr>
              <w:fldChar w:fldCharType="end"/>
            </w:r>
          </w:hyperlink>
        </w:p>
        <w:p w14:paraId="5B4CC884" w14:textId="31FDA833"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83" w:history="1">
            <w:r w:rsidRPr="00DE6D1F">
              <w:rPr>
                <w:rStyle w:val="Hyperlink"/>
                <w:rFonts w:cs="Arial"/>
                <w:noProof/>
              </w:rPr>
              <w:t>4.5.8 Connections to Other Themes</w:t>
            </w:r>
            <w:r w:rsidRPr="00DE6D1F">
              <w:rPr>
                <w:noProof/>
                <w:webHidden/>
              </w:rPr>
              <w:tab/>
            </w:r>
            <w:r w:rsidRPr="00DE6D1F">
              <w:rPr>
                <w:noProof/>
                <w:webHidden/>
              </w:rPr>
              <w:fldChar w:fldCharType="begin"/>
            </w:r>
            <w:r w:rsidRPr="00DE6D1F">
              <w:rPr>
                <w:noProof/>
                <w:webHidden/>
              </w:rPr>
              <w:instrText xml:space="preserve"> PAGEREF _Toc223650683 \h </w:instrText>
            </w:r>
            <w:r w:rsidRPr="00DE6D1F">
              <w:rPr>
                <w:noProof/>
                <w:webHidden/>
              </w:rPr>
            </w:r>
            <w:r w:rsidRPr="00DE6D1F">
              <w:rPr>
                <w:noProof/>
                <w:webHidden/>
              </w:rPr>
              <w:fldChar w:fldCharType="separate"/>
            </w:r>
            <w:r w:rsidR="00A0541D">
              <w:rPr>
                <w:noProof/>
                <w:webHidden/>
              </w:rPr>
              <w:t>28</w:t>
            </w:r>
            <w:r w:rsidRPr="00DE6D1F">
              <w:rPr>
                <w:noProof/>
                <w:webHidden/>
              </w:rPr>
              <w:fldChar w:fldCharType="end"/>
            </w:r>
          </w:hyperlink>
        </w:p>
        <w:p w14:paraId="2BB56657" w14:textId="79583DF1"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84" w:history="1">
            <w:r w:rsidRPr="00DE6D1F">
              <w:rPr>
                <w:rStyle w:val="Hyperlink"/>
                <w:noProof/>
              </w:rPr>
              <w:t>4.6 Chapter Conclusion</w:t>
            </w:r>
            <w:r w:rsidRPr="00DE6D1F">
              <w:rPr>
                <w:noProof/>
                <w:webHidden/>
              </w:rPr>
              <w:tab/>
            </w:r>
            <w:r w:rsidRPr="00DE6D1F">
              <w:rPr>
                <w:noProof/>
                <w:webHidden/>
              </w:rPr>
              <w:fldChar w:fldCharType="begin"/>
            </w:r>
            <w:r w:rsidRPr="00DE6D1F">
              <w:rPr>
                <w:noProof/>
                <w:webHidden/>
              </w:rPr>
              <w:instrText xml:space="preserve"> PAGEREF _Toc223650684 \h </w:instrText>
            </w:r>
            <w:r w:rsidRPr="00DE6D1F">
              <w:rPr>
                <w:noProof/>
                <w:webHidden/>
              </w:rPr>
            </w:r>
            <w:r w:rsidRPr="00DE6D1F">
              <w:rPr>
                <w:noProof/>
                <w:webHidden/>
              </w:rPr>
              <w:fldChar w:fldCharType="separate"/>
            </w:r>
            <w:r w:rsidR="00A0541D">
              <w:rPr>
                <w:noProof/>
                <w:webHidden/>
              </w:rPr>
              <w:t>28</w:t>
            </w:r>
            <w:r w:rsidRPr="00DE6D1F">
              <w:rPr>
                <w:noProof/>
                <w:webHidden/>
              </w:rPr>
              <w:fldChar w:fldCharType="end"/>
            </w:r>
          </w:hyperlink>
        </w:p>
        <w:p w14:paraId="6923F125" w14:textId="075CA9EB" w:rsidR="00D66F31" w:rsidRPr="00DE6D1F" w:rsidRDefault="00D66F31">
          <w:pPr>
            <w:pStyle w:val="TOC1"/>
            <w:tabs>
              <w:tab w:val="right" w:leader="dot" w:pos="9350"/>
            </w:tabs>
            <w:rPr>
              <w:rFonts w:asciiTheme="minorHAnsi" w:eastAsiaTheme="minorEastAsia" w:hAnsiTheme="minorHAnsi"/>
              <w:noProof/>
              <w:kern w:val="2"/>
              <w:sz w:val="24"/>
              <w:szCs w:val="21"/>
              <w:lang w:eastAsia="en-GB"/>
              <w14:ligatures w14:val="standardContextual"/>
            </w:rPr>
          </w:pPr>
          <w:hyperlink w:anchor="_Toc223650685" w:history="1">
            <w:r w:rsidRPr="00DE6D1F">
              <w:rPr>
                <w:rStyle w:val="Hyperlink"/>
                <w:rFonts w:cs="Arial"/>
                <w:noProof/>
              </w:rPr>
              <w:t>CHAPTER 5 – Conclusion and Recommendations</w:t>
            </w:r>
            <w:r w:rsidRPr="00DE6D1F">
              <w:rPr>
                <w:noProof/>
                <w:webHidden/>
              </w:rPr>
              <w:tab/>
            </w:r>
            <w:r w:rsidRPr="00DE6D1F">
              <w:rPr>
                <w:noProof/>
                <w:webHidden/>
              </w:rPr>
              <w:fldChar w:fldCharType="begin"/>
            </w:r>
            <w:r w:rsidRPr="00DE6D1F">
              <w:rPr>
                <w:noProof/>
                <w:webHidden/>
              </w:rPr>
              <w:instrText xml:space="preserve"> PAGEREF _Toc223650685 \h </w:instrText>
            </w:r>
            <w:r w:rsidRPr="00DE6D1F">
              <w:rPr>
                <w:noProof/>
                <w:webHidden/>
              </w:rPr>
            </w:r>
            <w:r w:rsidRPr="00DE6D1F">
              <w:rPr>
                <w:noProof/>
                <w:webHidden/>
              </w:rPr>
              <w:fldChar w:fldCharType="separate"/>
            </w:r>
            <w:r w:rsidR="00A0541D">
              <w:rPr>
                <w:noProof/>
                <w:webHidden/>
              </w:rPr>
              <w:t>29</w:t>
            </w:r>
            <w:r w:rsidRPr="00DE6D1F">
              <w:rPr>
                <w:noProof/>
                <w:webHidden/>
              </w:rPr>
              <w:fldChar w:fldCharType="end"/>
            </w:r>
          </w:hyperlink>
        </w:p>
        <w:p w14:paraId="22E6F49B" w14:textId="33C046B1"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86" w:history="1">
            <w:r w:rsidRPr="00DE6D1F">
              <w:rPr>
                <w:rStyle w:val="Hyperlink"/>
                <w:noProof/>
              </w:rPr>
              <w:t>5.1 Overall Conclusion</w:t>
            </w:r>
            <w:r w:rsidRPr="00DE6D1F">
              <w:rPr>
                <w:noProof/>
                <w:webHidden/>
              </w:rPr>
              <w:tab/>
            </w:r>
            <w:r w:rsidRPr="00DE6D1F">
              <w:rPr>
                <w:noProof/>
                <w:webHidden/>
              </w:rPr>
              <w:fldChar w:fldCharType="begin"/>
            </w:r>
            <w:r w:rsidRPr="00DE6D1F">
              <w:rPr>
                <w:noProof/>
                <w:webHidden/>
              </w:rPr>
              <w:instrText xml:space="preserve"> PAGEREF _Toc223650686 \h </w:instrText>
            </w:r>
            <w:r w:rsidRPr="00DE6D1F">
              <w:rPr>
                <w:noProof/>
                <w:webHidden/>
              </w:rPr>
            </w:r>
            <w:r w:rsidRPr="00DE6D1F">
              <w:rPr>
                <w:noProof/>
                <w:webHidden/>
              </w:rPr>
              <w:fldChar w:fldCharType="separate"/>
            </w:r>
            <w:r w:rsidR="00A0541D">
              <w:rPr>
                <w:noProof/>
                <w:webHidden/>
              </w:rPr>
              <w:t>29</w:t>
            </w:r>
            <w:r w:rsidRPr="00DE6D1F">
              <w:rPr>
                <w:noProof/>
                <w:webHidden/>
              </w:rPr>
              <w:fldChar w:fldCharType="end"/>
            </w:r>
          </w:hyperlink>
        </w:p>
        <w:p w14:paraId="1142A1D2" w14:textId="2EE2669E" w:rsidR="00D66F31" w:rsidRPr="00DE6D1F" w:rsidRDefault="00D66F31">
          <w:pPr>
            <w:pStyle w:val="TOC2"/>
            <w:tabs>
              <w:tab w:val="right" w:leader="dot" w:pos="9350"/>
            </w:tabs>
            <w:rPr>
              <w:rFonts w:asciiTheme="minorHAnsi" w:eastAsiaTheme="minorEastAsia" w:hAnsiTheme="minorHAnsi"/>
              <w:noProof/>
              <w:kern w:val="2"/>
              <w:sz w:val="24"/>
              <w:szCs w:val="21"/>
              <w:lang w:eastAsia="en-GB"/>
              <w14:ligatures w14:val="standardContextual"/>
            </w:rPr>
          </w:pPr>
          <w:hyperlink w:anchor="_Toc223650687" w:history="1">
            <w:r w:rsidRPr="00DE6D1F">
              <w:rPr>
                <w:rStyle w:val="Hyperlink"/>
                <w:noProof/>
              </w:rPr>
              <w:t>5.2 Recommendations</w:t>
            </w:r>
            <w:r w:rsidRPr="00DE6D1F">
              <w:rPr>
                <w:noProof/>
                <w:webHidden/>
              </w:rPr>
              <w:tab/>
            </w:r>
            <w:r w:rsidRPr="00DE6D1F">
              <w:rPr>
                <w:noProof/>
                <w:webHidden/>
              </w:rPr>
              <w:fldChar w:fldCharType="begin"/>
            </w:r>
            <w:r w:rsidRPr="00DE6D1F">
              <w:rPr>
                <w:noProof/>
                <w:webHidden/>
              </w:rPr>
              <w:instrText xml:space="preserve"> PAGEREF _Toc223650687 \h </w:instrText>
            </w:r>
            <w:r w:rsidRPr="00DE6D1F">
              <w:rPr>
                <w:noProof/>
                <w:webHidden/>
              </w:rPr>
            </w:r>
            <w:r w:rsidRPr="00DE6D1F">
              <w:rPr>
                <w:noProof/>
                <w:webHidden/>
              </w:rPr>
              <w:fldChar w:fldCharType="separate"/>
            </w:r>
            <w:r w:rsidR="00A0541D">
              <w:rPr>
                <w:noProof/>
                <w:webHidden/>
              </w:rPr>
              <w:t>30</w:t>
            </w:r>
            <w:r w:rsidRPr="00DE6D1F">
              <w:rPr>
                <w:noProof/>
                <w:webHidden/>
              </w:rPr>
              <w:fldChar w:fldCharType="end"/>
            </w:r>
          </w:hyperlink>
        </w:p>
        <w:p w14:paraId="4446C204" w14:textId="3FBAF4B9"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88" w:history="1">
            <w:r w:rsidRPr="00DE6D1F">
              <w:rPr>
                <w:rStyle w:val="Hyperlink"/>
                <w:rFonts w:cs="Arial"/>
                <w:noProof/>
              </w:rPr>
              <w:t>5.2.1 Recommendation 1: Recognising and integrating community intervention into policy making</w:t>
            </w:r>
            <w:r w:rsidRPr="00DE6D1F">
              <w:rPr>
                <w:noProof/>
                <w:webHidden/>
              </w:rPr>
              <w:tab/>
            </w:r>
            <w:r w:rsidRPr="00DE6D1F">
              <w:rPr>
                <w:noProof/>
                <w:webHidden/>
              </w:rPr>
              <w:fldChar w:fldCharType="begin"/>
            </w:r>
            <w:r w:rsidRPr="00DE6D1F">
              <w:rPr>
                <w:noProof/>
                <w:webHidden/>
              </w:rPr>
              <w:instrText xml:space="preserve"> PAGEREF _Toc223650688 \h </w:instrText>
            </w:r>
            <w:r w:rsidRPr="00DE6D1F">
              <w:rPr>
                <w:noProof/>
                <w:webHidden/>
              </w:rPr>
            </w:r>
            <w:r w:rsidRPr="00DE6D1F">
              <w:rPr>
                <w:noProof/>
                <w:webHidden/>
              </w:rPr>
              <w:fldChar w:fldCharType="separate"/>
            </w:r>
            <w:r w:rsidR="00A0541D">
              <w:rPr>
                <w:noProof/>
                <w:webHidden/>
              </w:rPr>
              <w:t>30</w:t>
            </w:r>
            <w:r w:rsidRPr="00DE6D1F">
              <w:rPr>
                <w:noProof/>
                <w:webHidden/>
              </w:rPr>
              <w:fldChar w:fldCharType="end"/>
            </w:r>
          </w:hyperlink>
        </w:p>
        <w:p w14:paraId="698DED4A" w14:textId="60A66A51"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89" w:history="1">
            <w:r w:rsidRPr="00DE6D1F">
              <w:rPr>
                <w:rStyle w:val="Hyperlink"/>
                <w:rFonts w:cs="Arial"/>
                <w:noProof/>
              </w:rPr>
              <w:t>5.2.2 Recommendation 2: Educational programmes, including digital literacy training for the Asian minorities</w:t>
            </w:r>
            <w:r w:rsidRPr="00DE6D1F">
              <w:rPr>
                <w:noProof/>
                <w:webHidden/>
              </w:rPr>
              <w:tab/>
            </w:r>
            <w:r w:rsidRPr="00DE6D1F">
              <w:rPr>
                <w:noProof/>
                <w:webHidden/>
              </w:rPr>
              <w:fldChar w:fldCharType="begin"/>
            </w:r>
            <w:r w:rsidRPr="00DE6D1F">
              <w:rPr>
                <w:noProof/>
                <w:webHidden/>
              </w:rPr>
              <w:instrText xml:space="preserve"> PAGEREF _Toc223650689 \h </w:instrText>
            </w:r>
            <w:r w:rsidRPr="00DE6D1F">
              <w:rPr>
                <w:noProof/>
                <w:webHidden/>
              </w:rPr>
            </w:r>
            <w:r w:rsidRPr="00DE6D1F">
              <w:rPr>
                <w:noProof/>
                <w:webHidden/>
              </w:rPr>
              <w:fldChar w:fldCharType="separate"/>
            </w:r>
            <w:r w:rsidR="00A0541D">
              <w:rPr>
                <w:noProof/>
                <w:webHidden/>
              </w:rPr>
              <w:t>30</w:t>
            </w:r>
            <w:r w:rsidRPr="00DE6D1F">
              <w:rPr>
                <w:noProof/>
                <w:webHidden/>
              </w:rPr>
              <w:fldChar w:fldCharType="end"/>
            </w:r>
          </w:hyperlink>
        </w:p>
        <w:p w14:paraId="04D527EC" w14:textId="422FA4B9" w:rsidR="00D66F31" w:rsidRPr="00DE6D1F" w:rsidRDefault="00D66F31">
          <w:pPr>
            <w:pStyle w:val="TOC3"/>
            <w:tabs>
              <w:tab w:val="right" w:leader="dot" w:pos="9350"/>
            </w:tabs>
            <w:rPr>
              <w:rFonts w:asciiTheme="minorHAnsi" w:eastAsiaTheme="minorEastAsia" w:hAnsiTheme="minorHAnsi"/>
              <w:noProof/>
              <w:kern w:val="2"/>
              <w:sz w:val="24"/>
              <w:szCs w:val="21"/>
              <w:lang w:eastAsia="en-GB"/>
              <w14:ligatures w14:val="standardContextual"/>
            </w:rPr>
          </w:pPr>
          <w:hyperlink w:anchor="_Toc223650690" w:history="1">
            <w:r w:rsidRPr="00DE6D1F">
              <w:rPr>
                <w:rStyle w:val="Hyperlink"/>
                <w:rFonts w:cs="Arial"/>
                <w:noProof/>
              </w:rPr>
              <w:t>5.2.3 Recommendation 3: Vocational opportunities, labour reforms and housing schemes for the minorities</w:t>
            </w:r>
            <w:r w:rsidRPr="00DE6D1F">
              <w:rPr>
                <w:noProof/>
                <w:webHidden/>
              </w:rPr>
              <w:tab/>
            </w:r>
            <w:r w:rsidRPr="00DE6D1F">
              <w:rPr>
                <w:noProof/>
                <w:webHidden/>
              </w:rPr>
              <w:fldChar w:fldCharType="begin"/>
            </w:r>
            <w:r w:rsidRPr="00DE6D1F">
              <w:rPr>
                <w:noProof/>
                <w:webHidden/>
              </w:rPr>
              <w:instrText xml:space="preserve"> PAGEREF _Toc223650690 \h </w:instrText>
            </w:r>
            <w:r w:rsidRPr="00DE6D1F">
              <w:rPr>
                <w:noProof/>
                <w:webHidden/>
              </w:rPr>
            </w:r>
            <w:r w:rsidRPr="00DE6D1F">
              <w:rPr>
                <w:noProof/>
                <w:webHidden/>
              </w:rPr>
              <w:fldChar w:fldCharType="separate"/>
            </w:r>
            <w:r w:rsidR="00A0541D">
              <w:rPr>
                <w:noProof/>
                <w:webHidden/>
              </w:rPr>
              <w:t>30</w:t>
            </w:r>
            <w:r w:rsidRPr="00DE6D1F">
              <w:rPr>
                <w:noProof/>
                <w:webHidden/>
              </w:rPr>
              <w:fldChar w:fldCharType="end"/>
            </w:r>
          </w:hyperlink>
        </w:p>
        <w:p w14:paraId="00693BC4" w14:textId="3696323F" w:rsidR="00D66F31" w:rsidRPr="00DE6D1F" w:rsidRDefault="00D66F31">
          <w:pPr>
            <w:pStyle w:val="TOC1"/>
            <w:tabs>
              <w:tab w:val="right" w:leader="dot" w:pos="9350"/>
            </w:tabs>
            <w:rPr>
              <w:rFonts w:asciiTheme="minorHAnsi" w:eastAsiaTheme="minorEastAsia" w:hAnsiTheme="minorHAnsi"/>
              <w:noProof/>
              <w:kern w:val="2"/>
              <w:sz w:val="24"/>
              <w:szCs w:val="21"/>
              <w:lang w:eastAsia="en-GB"/>
              <w14:ligatures w14:val="standardContextual"/>
            </w:rPr>
          </w:pPr>
          <w:hyperlink w:anchor="_Toc223650691" w:history="1">
            <w:r w:rsidRPr="00DE6D1F">
              <w:rPr>
                <w:rStyle w:val="Hyperlink"/>
                <w:rFonts w:cs="Arial"/>
                <w:noProof/>
                <w:lang w:val="en-IN"/>
              </w:rPr>
              <w:t>Reference List</w:t>
            </w:r>
            <w:r w:rsidRPr="00DE6D1F">
              <w:rPr>
                <w:noProof/>
                <w:webHidden/>
              </w:rPr>
              <w:tab/>
            </w:r>
            <w:r w:rsidRPr="00DE6D1F">
              <w:rPr>
                <w:noProof/>
                <w:webHidden/>
              </w:rPr>
              <w:fldChar w:fldCharType="begin"/>
            </w:r>
            <w:r w:rsidRPr="00DE6D1F">
              <w:rPr>
                <w:noProof/>
                <w:webHidden/>
              </w:rPr>
              <w:instrText xml:space="preserve"> PAGEREF _Toc223650691 \h </w:instrText>
            </w:r>
            <w:r w:rsidRPr="00DE6D1F">
              <w:rPr>
                <w:noProof/>
                <w:webHidden/>
              </w:rPr>
            </w:r>
            <w:r w:rsidRPr="00DE6D1F">
              <w:rPr>
                <w:noProof/>
                <w:webHidden/>
              </w:rPr>
              <w:fldChar w:fldCharType="separate"/>
            </w:r>
            <w:r w:rsidR="00A0541D">
              <w:rPr>
                <w:noProof/>
                <w:webHidden/>
              </w:rPr>
              <w:t>31</w:t>
            </w:r>
            <w:r w:rsidRPr="00DE6D1F">
              <w:rPr>
                <w:noProof/>
                <w:webHidden/>
              </w:rPr>
              <w:fldChar w:fldCharType="end"/>
            </w:r>
          </w:hyperlink>
        </w:p>
        <w:p w14:paraId="60267610" w14:textId="726E2080" w:rsidR="00D66F31" w:rsidRPr="00DE6D1F" w:rsidRDefault="00D66F31">
          <w:pPr>
            <w:pStyle w:val="TOC1"/>
            <w:tabs>
              <w:tab w:val="right" w:leader="dot" w:pos="9350"/>
            </w:tabs>
            <w:rPr>
              <w:rFonts w:asciiTheme="minorHAnsi" w:eastAsiaTheme="minorEastAsia" w:hAnsiTheme="minorHAnsi"/>
              <w:noProof/>
              <w:kern w:val="2"/>
              <w:sz w:val="24"/>
              <w:szCs w:val="21"/>
              <w:lang w:eastAsia="en-GB"/>
              <w14:ligatures w14:val="standardContextual"/>
            </w:rPr>
          </w:pPr>
          <w:hyperlink w:anchor="_Toc223650692" w:history="1">
            <w:r w:rsidRPr="00DE6D1F">
              <w:rPr>
                <w:rStyle w:val="Hyperlink"/>
                <w:noProof/>
              </w:rPr>
              <w:t>Appendix A: Results summary table for source tracking</w:t>
            </w:r>
            <w:r w:rsidRPr="00DE6D1F">
              <w:rPr>
                <w:noProof/>
                <w:webHidden/>
              </w:rPr>
              <w:tab/>
            </w:r>
            <w:r w:rsidRPr="00DE6D1F">
              <w:rPr>
                <w:noProof/>
                <w:webHidden/>
              </w:rPr>
              <w:fldChar w:fldCharType="begin"/>
            </w:r>
            <w:r w:rsidRPr="00DE6D1F">
              <w:rPr>
                <w:noProof/>
                <w:webHidden/>
              </w:rPr>
              <w:instrText xml:space="preserve"> PAGEREF _Toc223650692 \h </w:instrText>
            </w:r>
            <w:r w:rsidRPr="00DE6D1F">
              <w:rPr>
                <w:noProof/>
                <w:webHidden/>
              </w:rPr>
            </w:r>
            <w:r w:rsidRPr="00DE6D1F">
              <w:rPr>
                <w:noProof/>
                <w:webHidden/>
              </w:rPr>
              <w:fldChar w:fldCharType="separate"/>
            </w:r>
            <w:r w:rsidR="00A0541D">
              <w:rPr>
                <w:noProof/>
                <w:webHidden/>
              </w:rPr>
              <w:t>43</w:t>
            </w:r>
            <w:r w:rsidRPr="00DE6D1F">
              <w:rPr>
                <w:noProof/>
                <w:webHidden/>
              </w:rPr>
              <w:fldChar w:fldCharType="end"/>
            </w:r>
          </w:hyperlink>
        </w:p>
        <w:p w14:paraId="7871B9BC" w14:textId="3E8C35EE" w:rsidR="000E0E12" w:rsidRPr="00DE6D1F" w:rsidRDefault="000E0E12" w:rsidP="00D66F31">
          <w:pPr>
            <w:rPr>
              <w:rFonts w:cs="Arial"/>
            </w:rPr>
          </w:pPr>
          <w:r w:rsidRPr="00DE6D1F">
            <w:rPr>
              <w:rFonts w:cs="Arial"/>
              <w:b/>
              <w:bCs/>
            </w:rPr>
            <w:fldChar w:fldCharType="end"/>
          </w:r>
        </w:p>
      </w:sdtContent>
    </w:sdt>
    <w:p w14:paraId="783A1383" w14:textId="670B7DC7" w:rsidR="000E0E12" w:rsidRPr="00DE6D1F" w:rsidRDefault="000E0E12" w:rsidP="00D66F31">
      <w:pPr>
        <w:jc w:val="left"/>
        <w:rPr>
          <w:rFonts w:eastAsiaTheme="majorEastAsia" w:cs="Arial"/>
          <w:b/>
          <w:sz w:val="32"/>
          <w:szCs w:val="32"/>
        </w:rPr>
      </w:pPr>
      <w:r w:rsidRPr="00DE6D1F">
        <w:rPr>
          <w:rFonts w:cs="Arial"/>
        </w:rPr>
        <w:br w:type="page"/>
      </w:r>
    </w:p>
    <w:p w14:paraId="0A448A12" w14:textId="46E5C818" w:rsidR="009E30EF" w:rsidRPr="00DE6D1F" w:rsidRDefault="009E30EF" w:rsidP="00D66F31">
      <w:pPr>
        <w:pStyle w:val="Heading1"/>
        <w:rPr>
          <w:rFonts w:cs="Arial"/>
        </w:rPr>
      </w:pPr>
      <w:bookmarkStart w:id="1" w:name="_Toc223650624"/>
      <w:r w:rsidRPr="00DE6D1F">
        <w:rPr>
          <w:rFonts w:cs="Arial"/>
        </w:rPr>
        <w:lastRenderedPageBreak/>
        <w:t>CHAPTER 1: Introduction</w:t>
      </w:r>
      <w:bookmarkEnd w:id="1"/>
    </w:p>
    <w:p w14:paraId="7F675345" w14:textId="4CF9E21C" w:rsidR="009E30EF" w:rsidRPr="00DE6D1F" w:rsidRDefault="009E30EF" w:rsidP="00D66F31">
      <w:pPr>
        <w:pStyle w:val="Heading2"/>
        <w:numPr>
          <w:ilvl w:val="1"/>
          <w:numId w:val="6"/>
        </w:numPr>
        <w:rPr>
          <w:rStyle w:val="normaltextrun"/>
          <w:rFonts w:ascii="Arial" w:hAnsi="Arial"/>
        </w:rPr>
      </w:pPr>
      <w:bookmarkStart w:id="2" w:name="_Toc223650625"/>
      <w:r w:rsidRPr="00DE6D1F">
        <w:rPr>
          <w:rStyle w:val="normaltextrun"/>
          <w:rFonts w:ascii="Arial" w:hAnsi="Arial"/>
        </w:rPr>
        <w:t>Introduction</w:t>
      </w:r>
      <w:bookmarkEnd w:id="2"/>
    </w:p>
    <w:p w14:paraId="70F6F3F5" w14:textId="1F9172BE" w:rsidR="003C3D83" w:rsidRPr="00DE6D1F" w:rsidRDefault="003C3D83" w:rsidP="00D66F31">
      <w:pPr>
        <w:rPr>
          <w:rFonts w:cs="Arial"/>
        </w:rPr>
      </w:pPr>
      <w:r w:rsidRPr="00DE6D1F">
        <w:rPr>
          <w:rFonts w:cs="Arial"/>
        </w:rPr>
        <w:t xml:space="preserve">The pandemic affected all communities and classes in the UK, including the minorities. However, </w:t>
      </w:r>
      <w:r w:rsidR="00364D92" w:rsidRPr="00DE6D1F">
        <w:rPr>
          <w:rFonts w:cs="Arial"/>
        </w:rPr>
        <w:t>the proportion of the impact across communities</w:t>
      </w:r>
      <w:r w:rsidRPr="00DE6D1F">
        <w:rPr>
          <w:rFonts w:cs="Arial"/>
        </w:rPr>
        <w:t xml:space="preserve"> is debated by academics and policymakers. The minorities in the UK face several socioeconomic </w:t>
      </w:r>
      <w:r w:rsidR="00364D92" w:rsidRPr="00DE6D1F">
        <w:rPr>
          <w:rFonts w:cs="Arial"/>
        </w:rPr>
        <w:t>problems</w:t>
      </w:r>
      <w:r w:rsidRPr="00DE6D1F">
        <w:rPr>
          <w:rFonts w:cs="Arial"/>
        </w:rPr>
        <w:t>, including</w:t>
      </w:r>
      <w:r w:rsidR="00364D92" w:rsidRPr="00DE6D1F">
        <w:rPr>
          <w:rFonts w:cs="Arial"/>
        </w:rPr>
        <w:t xml:space="preserve"> inadequate</w:t>
      </w:r>
      <w:r w:rsidRPr="00DE6D1F">
        <w:rPr>
          <w:rFonts w:cs="Arial"/>
        </w:rPr>
        <w:t xml:space="preserve"> access to health</w:t>
      </w:r>
      <w:r w:rsidR="00364D92" w:rsidRPr="00DE6D1F">
        <w:rPr>
          <w:rFonts w:cs="Arial"/>
        </w:rPr>
        <w:t xml:space="preserve"> services</w:t>
      </w:r>
      <w:r w:rsidRPr="00DE6D1F">
        <w:rPr>
          <w:rFonts w:cs="Arial"/>
        </w:rPr>
        <w:t xml:space="preserve">. </w:t>
      </w:r>
      <w:r w:rsidR="00364D92" w:rsidRPr="00DE6D1F">
        <w:rPr>
          <w:rFonts w:cs="Arial"/>
        </w:rPr>
        <w:t>T</w:t>
      </w:r>
      <w:r w:rsidRPr="00DE6D1F">
        <w:rPr>
          <w:rFonts w:cs="Arial"/>
        </w:rPr>
        <w:t xml:space="preserve">he </w:t>
      </w:r>
      <w:r w:rsidR="00364D92" w:rsidRPr="00DE6D1F">
        <w:rPr>
          <w:rFonts w:cs="Arial"/>
        </w:rPr>
        <w:t xml:space="preserve">debate on the pandemic also concerns the </w:t>
      </w:r>
      <w:r w:rsidRPr="00DE6D1F">
        <w:rPr>
          <w:rFonts w:cs="Arial"/>
        </w:rPr>
        <w:t xml:space="preserve">disproportionate impact </w:t>
      </w:r>
      <w:r w:rsidR="00364D92" w:rsidRPr="00DE6D1F">
        <w:rPr>
          <w:rFonts w:cs="Arial"/>
        </w:rPr>
        <w:t>on minorities</w:t>
      </w:r>
      <w:r w:rsidRPr="00DE6D1F">
        <w:rPr>
          <w:rFonts w:cs="Arial"/>
        </w:rPr>
        <w:t xml:space="preserve">. Some scholars </w:t>
      </w:r>
      <w:r w:rsidR="00364D92" w:rsidRPr="00DE6D1F">
        <w:rPr>
          <w:rFonts w:cs="Arial"/>
        </w:rPr>
        <w:t>believe that a combination</w:t>
      </w:r>
      <w:r w:rsidRPr="00DE6D1F">
        <w:rPr>
          <w:rFonts w:cs="Arial"/>
        </w:rPr>
        <w:t xml:space="preserve"> of multiple factors rather than a single cause</w:t>
      </w:r>
      <w:r w:rsidR="00364D92" w:rsidRPr="00DE6D1F">
        <w:rPr>
          <w:rFonts w:cs="Arial"/>
        </w:rPr>
        <w:t xml:space="preserve"> explains the unequal impact</w:t>
      </w:r>
      <w:r w:rsidRPr="00DE6D1F">
        <w:rPr>
          <w:rFonts w:cs="Arial"/>
        </w:rPr>
        <w:t xml:space="preserve"> (</w:t>
      </w:r>
      <w:proofErr w:type="spellStart"/>
      <w:r w:rsidRPr="00DE6D1F">
        <w:rPr>
          <w:rFonts w:cs="Arial"/>
        </w:rPr>
        <w:t>Katikireddi</w:t>
      </w:r>
      <w:proofErr w:type="spellEnd"/>
      <w:r w:rsidRPr="00DE6D1F">
        <w:rPr>
          <w:rFonts w:cs="Arial"/>
        </w:rPr>
        <w:t xml:space="preserve"> et al., 2021). Research on the subject has been </w:t>
      </w:r>
      <w:r w:rsidR="00364D92" w:rsidRPr="00DE6D1F">
        <w:rPr>
          <w:rFonts w:cs="Arial"/>
        </w:rPr>
        <w:t>constrained</w:t>
      </w:r>
      <w:r w:rsidRPr="00DE6D1F">
        <w:rPr>
          <w:rFonts w:cs="Arial"/>
        </w:rPr>
        <w:t xml:space="preserve"> by </w:t>
      </w:r>
      <w:r w:rsidR="00364D92" w:rsidRPr="00DE6D1F">
        <w:rPr>
          <w:rFonts w:cs="Arial"/>
        </w:rPr>
        <w:t>the misunderstanding</w:t>
      </w:r>
      <w:r w:rsidRPr="00DE6D1F">
        <w:rPr>
          <w:rFonts w:cs="Arial"/>
        </w:rPr>
        <w:t xml:space="preserve"> of the concept of ethnicity and its relation to inequality. </w:t>
      </w:r>
      <w:r w:rsidR="00364D92" w:rsidRPr="00DE6D1F">
        <w:rPr>
          <w:rFonts w:cs="Arial"/>
        </w:rPr>
        <w:t>This</w:t>
      </w:r>
      <w:r w:rsidRPr="00DE6D1F">
        <w:rPr>
          <w:rFonts w:cs="Arial"/>
        </w:rPr>
        <w:t xml:space="preserve"> has further concealed structural biases, including </w:t>
      </w:r>
      <w:r w:rsidR="00364D92" w:rsidRPr="00DE6D1F">
        <w:rPr>
          <w:rFonts w:cs="Arial"/>
        </w:rPr>
        <w:t>cultural stereotyping</w:t>
      </w:r>
      <w:r w:rsidRPr="00DE6D1F">
        <w:rPr>
          <w:rFonts w:cs="Arial"/>
        </w:rPr>
        <w:t xml:space="preserve">. This </w:t>
      </w:r>
      <w:r w:rsidR="00364D92" w:rsidRPr="00DE6D1F">
        <w:rPr>
          <w:rFonts w:cs="Arial"/>
        </w:rPr>
        <w:t>research</w:t>
      </w:r>
      <w:r w:rsidRPr="00DE6D1F">
        <w:rPr>
          <w:rFonts w:cs="Arial"/>
        </w:rPr>
        <w:t xml:space="preserve"> primarily aims to analyse the disproportionate impact of the pandemic on the UK minorities, </w:t>
      </w:r>
      <w:r w:rsidR="00364D92" w:rsidRPr="00DE6D1F">
        <w:rPr>
          <w:rFonts w:cs="Arial"/>
        </w:rPr>
        <w:t>particularly</w:t>
      </w:r>
      <w:r w:rsidRPr="00DE6D1F">
        <w:rPr>
          <w:rFonts w:cs="Arial"/>
        </w:rPr>
        <w:t xml:space="preserve"> the Asians. </w:t>
      </w:r>
      <w:r w:rsidR="00364D92" w:rsidRPr="00DE6D1F">
        <w:rPr>
          <w:rFonts w:cs="Arial"/>
        </w:rPr>
        <w:t>It requires</w:t>
      </w:r>
      <w:r w:rsidR="00362705" w:rsidRPr="00DE6D1F">
        <w:rPr>
          <w:rFonts w:cs="Arial"/>
        </w:rPr>
        <w:t xml:space="preserve"> identifying the successes and failures of various measures for containing the virus in the UK. The findings will </w:t>
      </w:r>
      <w:r w:rsidR="00364D92" w:rsidRPr="00DE6D1F">
        <w:rPr>
          <w:rFonts w:cs="Arial"/>
        </w:rPr>
        <w:t xml:space="preserve">also </w:t>
      </w:r>
      <w:r w:rsidR="00362705" w:rsidRPr="00DE6D1F">
        <w:rPr>
          <w:rFonts w:cs="Arial"/>
        </w:rPr>
        <w:t xml:space="preserve">offer </w:t>
      </w:r>
      <w:r w:rsidR="00364D92" w:rsidRPr="00DE6D1F">
        <w:rPr>
          <w:rFonts w:cs="Arial"/>
        </w:rPr>
        <w:t>gainful</w:t>
      </w:r>
      <w:r w:rsidR="00362705" w:rsidRPr="00DE6D1F">
        <w:rPr>
          <w:rFonts w:cs="Arial"/>
        </w:rPr>
        <w:t xml:space="preserve"> insights into developing resilience for future health crises in the country. The study’s main contribution lies in understanding how inclusion and equality can be </w:t>
      </w:r>
      <w:r w:rsidR="00364D92" w:rsidRPr="00DE6D1F">
        <w:rPr>
          <w:rFonts w:cs="Arial"/>
        </w:rPr>
        <w:t>ensured</w:t>
      </w:r>
      <w:r w:rsidR="00362705" w:rsidRPr="00DE6D1F">
        <w:rPr>
          <w:rFonts w:cs="Arial"/>
        </w:rPr>
        <w:t xml:space="preserve"> in health </w:t>
      </w:r>
      <w:r w:rsidR="00364D92" w:rsidRPr="00DE6D1F">
        <w:rPr>
          <w:rFonts w:cs="Arial"/>
        </w:rPr>
        <w:t>care</w:t>
      </w:r>
      <w:r w:rsidR="00362705" w:rsidRPr="00DE6D1F">
        <w:rPr>
          <w:rFonts w:cs="Arial"/>
        </w:rPr>
        <w:t xml:space="preserve"> and </w:t>
      </w:r>
      <w:r w:rsidR="00364D92" w:rsidRPr="00DE6D1F">
        <w:rPr>
          <w:rFonts w:cs="Arial"/>
        </w:rPr>
        <w:t xml:space="preserve">the wider </w:t>
      </w:r>
      <w:r w:rsidR="00362705" w:rsidRPr="00DE6D1F">
        <w:rPr>
          <w:rFonts w:cs="Arial"/>
        </w:rPr>
        <w:t xml:space="preserve">society. </w:t>
      </w:r>
    </w:p>
    <w:p w14:paraId="5CAD7410" w14:textId="24F02118" w:rsidR="009E30EF" w:rsidRPr="00DE6D1F" w:rsidRDefault="009E30EF" w:rsidP="00D66F31">
      <w:pPr>
        <w:pStyle w:val="Heading2"/>
        <w:rPr>
          <w:rStyle w:val="normaltextrun"/>
          <w:rFonts w:ascii="Arial" w:hAnsi="Arial"/>
        </w:rPr>
      </w:pPr>
      <w:bookmarkStart w:id="3" w:name="_Toc223650626"/>
      <w:r w:rsidRPr="00DE6D1F">
        <w:rPr>
          <w:rStyle w:val="normaltextrun"/>
          <w:rFonts w:ascii="Arial" w:hAnsi="Arial"/>
        </w:rPr>
        <w:t>1.2 Definitions and Terminology</w:t>
      </w:r>
      <w:bookmarkEnd w:id="3"/>
    </w:p>
    <w:p w14:paraId="4749ADCC" w14:textId="77777777" w:rsidR="005E6D8E" w:rsidRPr="00DE6D1F" w:rsidRDefault="005E6D8E" w:rsidP="00D66F31">
      <w:pPr>
        <w:rPr>
          <w:rFonts w:cs="Arial"/>
          <w:lang w:val="en-IN"/>
        </w:rPr>
      </w:pPr>
      <w:r w:rsidRPr="00DE6D1F">
        <w:rPr>
          <w:rFonts w:cs="Arial"/>
          <w:b/>
          <w:bCs/>
          <w:lang w:val="en-IN"/>
        </w:rPr>
        <w:t>Pandemic:</w:t>
      </w:r>
      <w:r w:rsidRPr="00DE6D1F">
        <w:rPr>
          <w:rFonts w:cs="Arial"/>
          <w:lang w:val="en-IN"/>
        </w:rPr>
        <w:t xml:space="preserve"> An epidemic that affects populations across multiple continents </w:t>
      </w:r>
    </w:p>
    <w:p w14:paraId="709D4F96" w14:textId="77777777" w:rsidR="005E6D8E" w:rsidRPr="00DE6D1F" w:rsidRDefault="005E6D8E" w:rsidP="00D66F31">
      <w:pPr>
        <w:rPr>
          <w:rFonts w:cs="Arial"/>
          <w:lang w:val="en-IN"/>
        </w:rPr>
      </w:pPr>
      <w:r w:rsidRPr="00DE6D1F">
        <w:rPr>
          <w:rFonts w:cs="Arial"/>
          <w:b/>
          <w:bCs/>
          <w:lang w:val="en-IN"/>
        </w:rPr>
        <w:t>Racism</w:t>
      </w:r>
      <w:r w:rsidRPr="00DE6D1F">
        <w:rPr>
          <w:rFonts w:cs="Arial"/>
          <w:lang w:val="en-IN"/>
        </w:rPr>
        <w:t xml:space="preserve">: The belief in the inherent superiority of certain communities based on ethnicity </w:t>
      </w:r>
    </w:p>
    <w:p w14:paraId="5E031D95" w14:textId="396674E2" w:rsidR="005E6D8E" w:rsidRPr="00DE6D1F" w:rsidRDefault="005E6D8E" w:rsidP="00D66F31">
      <w:pPr>
        <w:rPr>
          <w:rFonts w:cs="Arial"/>
          <w:lang w:val="en-IN"/>
        </w:rPr>
      </w:pPr>
      <w:r w:rsidRPr="00DE6D1F">
        <w:rPr>
          <w:rFonts w:cs="Arial"/>
          <w:b/>
          <w:bCs/>
          <w:lang w:val="en-IN"/>
        </w:rPr>
        <w:t>Critical Race Theory</w:t>
      </w:r>
      <w:r w:rsidRPr="00DE6D1F">
        <w:rPr>
          <w:rFonts w:cs="Arial"/>
          <w:lang w:val="en-IN"/>
        </w:rPr>
        <w:t>: The academic model that relates racism to social thought and relationships, rather than biological makeup</w:t>
      </w:r>
    </w:p>
    <w:p w14:paraId="3892D324" w14:textId="77777777" w:rsidR="005E6D8E" w:rsidRPr="00DE6D1F" w:rsidRDefault="005E6D8E" w:rsidP="00D66F31">
      <w:pPr>
        <w:rPr>
          <w:rFonts w:cs="Arial"/>
          <w:lang w:val="en-IN"/>
        </w:rPr>
      </w:pPr>
      <w:r w:rsidRPr="00DE6D1F">
        <w:rPr>
          <w:rFonts w:cs="Arial"/>
          <w:b/>
          <w:bCs/>
          <w:lang w:val="en-IN"/>
        </w:rPr>
        <w:t>Socioecological Theory</w:t>
      </w:r>
      <w:r w:rsidRPr="00DE6D1F">
        <w:rPr>
          <w:rFonts w:cs="Arial"/>
          <w:lang w:val="en-IN"/>
        </w:rPr>
        <w:t xml:space="preserve">: A resilience framework against health crisis based on environmental and individual factors </w:t>
      </w:r>
    </w:p>
    <w:p w14:paraId="73BAE923" w14:textId="2E9CC371" w:rsidR="005E6D8E" w:rsidRPr="00DE6D1F" w:rsidRDefault="005E6D8E" w:rsidP="00D66F31">
      <w:pPr>
        <w:rPr>
          <w:rFonts w:cs="Arial"/>
          <w:lang w:val="en-IN"/>
        </w:rPr>
      </w:pPr>
      <w:r w:rsidRPr="00DE6D1F">
        <w:rPr>
          <w:rFonts w:cs="Arial"/>
          <w:b/>
          <w:bCs/>
          <w:lang w:val="en-IN"/>
        </w:rPr>
        <w:t>Structural Biases</w:t>
      </w:r>
      <w:r w:rsidRPr="00DE6D1F">
        <w:rPr>
          <w:rFonts w:cs="Arial"/>
          <w:lang w:val="en-IN"/>
        </w:rPr>
        <w:t xml:space="preserve">: Prejudices and discriminatory practices arising from institutional inequality in a society </w:t>
      </w:r>
    </w:p>
    <w:p w14:paraId="648ED47B" w14:textId="77777777" w:rsidR="005E6D8E" w:rsidRPr="00DE6D1F" w:rsidRDefault="005E6D8E" w:rsidP="00D66F31">
      <w:pPr>
        <w:rPr>
          <w:rFonts w:cs="Arial"/>
          <w:lang w:val="en-IN"/>
        </w:rPr>
      </w:pPr>
      <w:r w:rsidRPr="00DE6D1F">
        <w:rPr>
          <w:rFonts w:cs="Arial"/>
          <w:b/>
          <w:bCs/>
          <w:lang w:val="en-IN"/>
        </w:rPr>
        <w:t>Cultural Stereotyping</w:t>
      </w:r>
      <w:r w:rsidRPr="00DE6D1F">
        <w:rPr>
          <w:rFonts w:cs="Arial"/>
          <w:lang w:val="en-IN"/>
        </w:rPr>
        <w:t xml:space="preserve">: Preconceived ideas about a particular culture based on assumptions instead of facts  </w:t>
      </w:r>
    </w:p>
    <w:p w14:paraId="567A5AC2" w14:textId="77777777" w:rsidR="005E6D8E" w:rsidRPr="00DE6D1F" w:rsidRDefault="005E6D8E" w:rsidP="00D66F31">
      <w:pPr>
        <w:rPr>
          <w:rFonts w:cs="Arial"/>
          <w:lang w:val="en-IN"/>
        </w:rPr>
      </w:pPr>
      <w:r w:rsidRPr="00DE6D1F">
        <w:rPr>
          <w:rFonts w:cs="Arial"/>
          <w:b/>
          <w:bCs/>
          <w:lang w:val="en-IN"/>
        </w:rPr>
        <w:t>Co-morbidity</w:t>
      </w:r>
      <w:r w:rsidRPr="00DE6D1F">
        <w:rPr>
          <w:rFonts w:cs="Arial"/>
          <w:lang w:val="en-IN"/>
        </w:rPr>
        <w:t xml:space="preserve">: The coexistence of multiple health conditions along with a main disease in a patient </w:t>
      </w:r>
    </w:p>
    <w:p w14:paraId="2EF8A9C8" w14:textId="77777777" w:rsidR="005E6D8E" w:rsidRPr="00DE6D1F" w:rsidRDefault="005E6D8E" w:rsidP="00D66F31">
      <w:pPr>
        <w:rPr>
          <w:rFonts w:cs="Arial"/>
          <w:lang w:val="en-IN"/>
        </w:rPr>
      </w:pPr>
      <w:r w:rsidRPr="00DE6D1F">
        <w:rPr>
          <w:rFonts w:cs="Arial"/>
          <w:b/>
          <w:bCs/>
          <w:lang w:val="en-IN"/>
        </w:rPr>
        <w:lastRenderedPageBreak/>
        <w:t>Living Standards</w:t>
      </w:r>
      <w:r w:rsidRPr="00DE6D1F">
        <w:rPr>
          <w:rFonts w:cs="Arial"/>
          <w:lang w:val="en-IN"/>
        </w:rPr>
        <w:t xml:space="preserve">: The quality of life for a person or in a region compared to international benchmarks  </w:t>
      </w:r>
    </w:p>
    <w:p w14:paraId="14962750" w14:textId="71C5B3D7" w:rsidR="005E6D8E" w:rsidRPr="00DE6D1F" w:rsidRDefault="005E6D8E" w:rsidP="00D66F31">
      <w:pPr>
        <w:rPr>
          <w:rFonts w:cs="Arial"/>
          <w:lang w:val="en-IN"/>
        </w:rPr>
      </w:pPr>
      <w:r w:rsidRPr="00DE6D1F">
        <w:rPr>
          <w:rFonts w:cs="Arial"/>
          <w:b/>
          <w:bCs/>
          <w:lang w:val="en-IN"/>
        </w:rPr>
        <w:t>Global South</w:t>
      </w:r>
      <w:r w:rsidRPr="00DE6D1F">
        <w:rPr>
          <w:rFonts w:cs="Arial"/>
          <w:lang w:val="en-IN"/>
        </w:rPr>
        <w:t xml:space="preserve">: The less developed countries of Asia, Africa, Latin America and Oceania </w:t>
      </w:r>
    </w:p>
    <w:p w14:paraId="5F6EF0BE" w14:textId="77777777" w:rsidR="005E6D8E" w:rsidRPr="00DE6D1F" w:rsidRDefault="005E6D8E" w:rsidP="00D66F31">
      <w:pPr>
        <w:rPr>
          <w:rFonts w:cs="Arial"/>
          <w:lang w:val="en-IN"/>
        </w:rPr>
      </w:pPr>
      <w:r w:rsidRPr="00DE6D1F">
        <w:rPr>
          <w:rFonts w:cs="Arial"/>
          <w:b/>
          <w:bCs/>
          <w:lang w:val="en-IN"/>
        </w:rPr>
        <w:t>Global North</w:t>
      </w:r>
      <w:r w:rsidRPr="00DE6D1F">
        <w:rPr>
          <w:rFonts w:cs="Arial"/>
          <w:lang w:val="en-IN"/>
        </w:rPr>
        <w:t xml:space="preserve">: The developed countries from Europe, America and other parts of the Northern Hemisphere </w:t>
      </w:r>
    </w:p>
    <w:p w14:paraId="3E168A35" w14:textId="77777777" w:rsidR="005E6D8E" w:rsidRPr="00DE6D1F" w:rsidRDefault="005E6D8E" w:rsidP="00D66F31">
      <w:pPr>
        <w:rPr>
          <w:rFonts w:cs="Arial"/>
          <w:lang w:val="en-IN"/>
        </w:rPr>
      </w:pPr>
      <w:r w:rsidRPr="00DE6D1F">
        <w:rPr>
          <w:rFonts w:cs="Arial"/>
          <w:b/>
          <w:bCs/>
          <w:lang w:val="en-IN"/>
        </w:rPr>
        <w:t>Xenophobia</w:t>
      </w:r>
      <w:r w:rsidRPr="00DE6D1F">
        <w:rPr>
          <w:rFonts w:cs="Arial"/>
          <w:lang w:val="en-IN"/>
        </w:rPr>
        <w:t xml:space="preserve">: The fear of immigration of communities belonging to other regions or cultures  </w:t>
      </w:r>
    </w:p>
    <w:p w14:paraId="01C0DD4A" w14:textId="77777777" w:rsidR="005E6D8E" w:rsidRPr="00DE6D1F" w:rsidRDefault="005E6D8E" w:rsidP="00D66F31">
      <w:pPr>
        <w:rPr>
          <w:rFonts w:cs="Arial"/>
          <w:lang w:val="en-IN"/>
        </w:rPr>
      </w:pPr>
      <w:r w:rsidRPr="00DE6D1F">
        <w:rPr>
          <w:rFonts w:cs="Arial"/>
          <w:b/>
          <w:bCs/>
          <w:lang w:val="en-IN"/>
        </w:rPr>
        <w:t>Scapegoating</w:t>
      </w:r>
      <w:r w:rsidRPr="00DE6D1F">
        <w:rPr>
          <w:rFonts w:cs="Arial"/>
          <w:lang w:val="en-IN"/>
        </w:rPr>
        <w:t xml:space="preserve">: The unjust blaming of specific individuals or communities for general problems </w:t>
      </w:r>
    </w:p>
    <w:p w14:paraId="5EF5FEAD" w14:textId="77777777" w:rsidR="005E6D8E" w:rsidRPr="00DE6D1F" w:rsidRDefault="005E6D8E" w:rsidP="00D66F31">
      <w:pPr>
        <w:rPr>
          <w:rFonts w:cs="Arial"/>
          <w:lang w:val="en-IN"/>
        </w:rPr>
      </w:pPr>
      <w:r w:rsidRPr="00DE6D1F">
        <w:rPr>
          <w:rFonts w:cs="Arial"/>
          <w:b/>
          <w:bCs/>
          <w:lang w:val="en-IN"/>
        </w:rPr>
        <w:t>Deportation</w:t>
      </w:r>
      <w:r w:rsidRPr="00DE6D1F">
        <w:rPr>
          <w:rFonts w:cs="Arial"/>
          <w:lang w:val="en-IN"/>
        </w:rPr>
        <w:t xml:space="preserve">: The forced departure of an individual from a country under immigration law </w:t>
      </w:r>
    </w:p>
    <w:p w14:paraId="1E3825CB" w14:textId="77777777" w:rsidR="005E6D8E" w:rsidRPr="00DE6D1F" w:rsidRDefault="005E6D8E" w:rsidP="00D66F31">
      <w:pPr>
        <w:rPr>
          <w:rFonts w:cs="Arial"/>
          <w:lang w:val="en-IN"/>
        </w:rPr>
      </w:pPr>
      <w:r w:rsidRPr="00DE6D1F">
        <w:rPr>
          <w:rFonts w:cs="Arial"/>
          <w:b/>
          <w:bCs/>
          <w:lang w:val="en-IN"/>
        </w:rPr>
        <w:t>Sick Pay</w:t>
      </w:r>
      <w:r w:rsidRPr="00DE6D1F">
        <w:rPr>
          <w:rFonts w:cs="Arial"/>
          <w:lang w:val="en-IN"/>
        </w:rPr>
        <w:t xml:space="preserve">: Monetary benefits provided to employees when they are on leave due to illness  </w:t>
      </w:r>
    </w:p>
    <w:p w14:paraId="6B0E9949" w14:textId="3845F120" w:rsidR="005E6D8E" w:rsidRPr="00DE6D1F" w:rsidRDefault="005E6D8E" w:rsidP="00D66F31">
      <w:pPr>
        <w:rPr>
          <w:rFonts w:cs="Arial"/>
          <w:lang w:val="en-IN"/>
        </w:rPr>
      </w:pPr>
      <w:r w:rsidRPr="00DE6D1F">
        <w:rPr>
          <w:rFonts w:cs="Arial"/>
          <w:b/>
          <w:bCs/>
          <w:lang w:val="en-IN"/>
        </w:rPr>
        <w:t>ONS</w:t>
      </w:r>
      <w:r w:rsidRPr="00DE6D1F">
        <w:rPr>
          <w:rFonts w:cs="Arial"/>
          <w:lang w:val="en-IN"/>
        </w:rPr>
        <w:t xml:space="preserve">: The Office for National Statistics in the UK is the main body for social research related to public policy  </w:t>
      </w:r>
    </w:p>
    <w:p w14:paraId="2A1B7CBB" w14:textId="7AC838C0" w:rsidR="005E6D8E" w:rsidRPr="00DE6D1F" w:rsidRDefault="005E6D8E" w:rsidP="00D66F31">
      <w:pPr>
        <w:rPr>
          <w:rFonts w:cs="Arial"/>
          <w:lang w:val="en-IN"/>
        </w:rPr>
      </w:pPr>
      <w:r w:rsidRPr="00DE6D1F">
        <w:rPr>
          <w:rFonts w:cs="Arial"/>
          <w:b/>
          <w:bCs/>
          <w:lang w:val="en-IN"/>
        </w:rPr>
        <w:t>BAME</w:t>
      </w:r>
      <w:r w:rsidRPr="00DE6D1F">
        <w:rPr>
          <w:rFonts w:cs="Arial"/>
          <w:lang w:val="en-IN"/>
        </w:rPr>
        <w:t xml:space="preserve">: It refers to black, Asian and minority groups, used to denote all non-white ethnicities in the UK.  </w:t>
      </w:r>
    </w:p>
    <w:p w14:paraId="37EDB73B" w14:textId="3FDB85C7" w:rsidR="00FC5753" w:rsidRPr="00DE6D1F" w:rsidRDefault="009E30EF" w:rsidP="00D66F31">
      <w:pPr>
        <w:pStyle w:val="Heading2"/>
        <w:rPr>
          <w:rFonts w:ascii="Arial" w:hAnsi="Arial"/>
        </w:rPr>
      </w:pPr>
      <w:bookmarkStart w:id="4" w:name="_Toc223650627"/>
      <w:r w:rsidRPr="00DE6D1F">
        <w:rPr>
          <w:rStyle w:val="normaltextrun"/>
          <w:rFonts w:ascii="Arial" w:hAnsi="Arial"/>
        </w:rPr>
        <w:t>1.3 Rationale for Research</w:t>
      </w:r>
      <w:bookmarkEnd w:id="4"/>
    </w:p>
    <w:p w14:paraId="0390E6C6" w14:textId="3BFE2B8A" w:rsidR="009B7E0B" w:rsidRPr="00DE6D1F" w:rsidRDefault="009B7E0B" w:rsidP="00D66F31">
      <w:pPr>
        <w:rPr>
          <w:rFonts w:cs="Arial"/>
        </w:rPr>
      </w:pPr>
      <w:r w:rsidRPr="00DE6D1F">
        <w:rPr>
          <w:rFonts w:cs="Arial"/>
        </w:rPr>
        <w:t>Apart from the structural and institutional biases, the living conditions of the minorities increased their exposure to the virus. For example, living in overcrowded houses increased the chances of infection for the minorities. Furthermore, empirical evidence testifies to the differences in nutritional status</w:t>
      </w:r>
      <w:r w:rsidR="00FC5753" w:rsidRPr="00DE6D1F">
        <w:rPr>
          <w:rFonts w:cs="Arial"/>
        </w:rPr>
        <w:t>,</w:t>
      </w:r>
      <w:r w:rsidRPr="00DE6D1F">
        <w:rPr>
          <w:rFonts w:cs="Arial"/>
        </w:rPr>
        <w:t xml:space="preserve"> immune response and comorbidities between the minorities and white communities. </w:t>
      </w:r>
      <w:r w:rsidR="00FC5753" w:rsidRPr="00DE6D1F">
        <w:rPr>
          <w:rFonts w:cs="Arial"/>
        </w:rPr>
        <w:t>A large cohort study of approximately 35,000 UK hospitalisations exposed a 30% increased relative risk of critical care admission and mechanical ventilation among the minorities, including Asians</w:t>
      </w:r>
      <w:r w:rsidR="004C201C" w:rsidRPr="00DE6D1F">
        <w:rPr>
          <w:rFonts w:cs="Arial"/>
        </w:rPr>
        <w:t xml:space="preserve"> (</w:t>
      </w:r>
      <w:proofErr w:type="spellStart"/>
      <w:r w:rsidR="004C201C" w:rsidRPr="00DE6D1F">
        <w:rPr>
          <w:rFonts w:cs="Arial"/>
        </w:rPr>
        <w:t>Katikireddi</w:t>
      </w:r>
      <w:proofErr w:type="spellEnd"/>
      <w:r w:rsidR="004C201C" w:rsidRPr="00DE6D1F">
        <w:rPr>
          <w:rFonts w:cs="Arial"/>
        </w:rPr>
        <w:t xml:space="preserve"> et al., 2021)</w:t>
      </w:r>
      <w:r w:rsidR="00FC5753" w:rsidRPr="00DE6D1F">
        <w:rPr>
          <w:rFonts w:cs="Arial"/>
        </w:rPr>
        <w:t xml:space="preserve">. They also demonstrated greater vaccine hesitancy. More significantly, such inhibition reflects the dominant communication strategies applied in vaccination programmes. In this context, the hesitancy primarily arose from longstanding experiences of racial discrimination. Some minority ethnic groups have disproportionately experienced job loss during the initial lockdown period. This led to more psychological distress from the existing ethnic inequalities in mental health. </w:t>
      </w:r>
      <w:r w:rsidR="00603DCC" w:rsidRPr="00DE6D1F">
        <w:rPr>
          <w:rFonts w:cs="Arial"/>
        </w:rPr>
        <w:t xml:space="preserve">This study aims to address the lack of research on the causes behind the disproportionate impact of the pandemic on the UK minorities, especially Asians. </w:t>
      </w:r>
      <w:r w:rsidR="00F93990" w:rsidRPr="00DE6D1F">
        <w:rPr>
          <w:rFonts w:cs="Arial"/>
        </w:rPr>
        <w:t>It relies on the thematic analysis of existing secondary literature to achieve the stated objectives.</w:t>
      </w:r>
    </w:p>
    <w:p w14:paraId="72CC32E5" w14:textId="7D5A3F8A" w:rsidR="00FD541D" w:rsidRPr="00DE6D1F" w:rsidRDefault="00CA4A81" w:rsidP="00D66F31">
      <w:pPr>
        <w:pStyle w:val="Heading2"/>
        <w:rPr>
          <w:rFonts w:ascii="Arial" w:hAnsi="Arial"/>
          <w:lang w:val="en-IN"/>
        </w:rPr>
      </w:pPr>
      <w:bookmarkStart w:id="5" w:name="_Toc223650628"/>
      <w:r w:rsidRPr="00DE6D1F">
        <w:rPr>
          <w:rFonts w:ascii="Arial" w:hAnsi="Arial"/>
          <w:lang w:val="en-IN"/>
        </w:rPr>
        <w:lastRenderedPageBreak/>
        <w:t>1.4 Research Aim and Objectives</w:t>
      </w:r>
      <w:bookmarkEnd w:id="5"/>
      <w:r w:rsidRPr="00DE6D1F">
        <w:rPr>
          <w:rFonts w:ascii="Arial" w:hAnsi="Arial"/>
          <w:lang w:val="en-IN"/>
        </w:rPr>
        <w:t xml:space="preserve"> </w:t>
      </w:r>
    </w:p>
    <w:p w14:paraId="42A46E48" w14:textId="35C24392" w:rsidR="00CA4A81" w:rsidRPr="00DE6D1F" w:rsidRDefault="00CA4A81" w:rsidP="00D66F31">
      <w:pPr>
        <w:pStyle w:val="Heading3"/>
        <w:rPr>
          <w:rFonts w:cs="Arial"/>
          <w:lang w:val="en-IN"/>
        </w:rPr>
      </w:pPr>
      <w:bookmarkStart w:id="6" w:name="_Toc223650629"/>
      <w:r w:rsidRPr="00DE6D1F">
        <w:rPr>
          <w:rFonts w:cs="Arial"/>
          <w:lang w:val="en-IN"/>
        </w:rPr>
        <w:t>1.4.1 Aim</w:t>
      </w:r>
      <w:bookmarkEnd w:id="6"/>
      <w:r w:rsidRPr="00DE6D1F">
        <w:rPr>
          <w:rFonts w:cs="Arial"/>
          <w:lang w:val="en-IN"/>
        </w:rPr>
        <w:t xml:space="preserve"> </w:t>
      </w:r>
    </w:p>
    <w:p w14:paraId="33118238" w14:textId="77777777" w:rsidR="00CA4A81" w:rsidRPr="00DE6D1F" w:rsidRDefault="00CA4A81" w:rsidP="00D66F31">
      <w:pPr>
        <w:rPr>
          <w:rFonts w:cs="Arial"/>
        </w:rPr>
      </w:pPr>
      <w:r w:rsidRPr="00DE6D1F">
        <w:rPr>
          <w:rFonts w:cs="Arial"/>
        </w:rPr>
        <w:t>The purpose of the study is to evaluate the influence of the coronavirus pandemic on the Asian population of the United Kingdom. The economic, social, and well-being-related challenges encountered by the population are the prime focus of the study. The research will help in outlining gaps in support facilities for enhancing the resilience of the communities.</w:t>
      </w:r>
    </w:p>
    <w:p w14:paraId="3B716167" w14:textId="1F56287B" w:rsidR="00CA4A81" w:rsidRPr="00DE6D1F" w:rsidRDefault="00CA4A81" w:rsidP="00D66F31">
      <w:pPr>
        <w:pStyle w:val="Heading3"/>
        <w:rPr>
          <w:rFonts w:cs="Arial"/>
          <w:lang w:val="en-IN"/>
        </w:rPr>
      </w:pPr>
      <w:bookmarkStart w:id="7" w:name="_Toc223650630"/>
      <w:r w:rsidRPr="00DE6D1F">
        <w:rPr>
          <w:rFonts w:cs="Arial"/>
          <w:lang w:val="en-IN"/>
        </w:rPr>
        <w:t>1.4.2 Objectives</w:t>
      </w:r>
      <w:bookmarkEnd w:id="7"/>
      <w:r w:rsidRPr="00DE6D1F">
        <w:rPr>
          <w:rFonts w:cs="Arial"/>
          <w:lang w:val="en-IN"/>
        </w:rPr>
        <w:t xml:space="preserve"> </w:t>
      </w:r>
    </w:p>
    <w:p w14:paraId="58FCC57C" w14:textId="046752E7" w:rsidR="00CA4A81" w:rsidRPr="00DE6D1F" w:rsidRDefault="00CA4A81" w:rsidP="00D66F31">
      <w:pPr>
        <w:pStyle w:val="ListParagraph"/>
        <w:numPr>
          <w:ilvl w:val="0"/>
          <w:numId w:val="3"/>
        </w:numPr>
        <w:rPr>
          <w:rFonts w:cs="Arial"/>
        </w:rPr>
      </w:pPr>
      <w:r w:rsidRPr="00DE6D1F">
        <w:rPr>
          <w:rFonts w:cs="Arial"/>
        </w:rPr>
        <w:t>Define the barriers that the Asian people of the UK experienced during the pandemic period caused by the coronavirus, which include socio-economic difficulties as well as health inequalities.</w:t>
      </w:r>
    </w:p>
    <w:p w14:paraId="74310C3F" w14:textId="6BDEF11B" w:rsidR="00CA4A81" w:rsidRPr="00DE6D1F" w:rsidRDefault="00CA4A81" w:rsidP="00D66F31">
      <w:pPr>
        <w:pStyle w:val="ListParagraph"/>
        <w:numPr>
          <w:ilvl w:val="0"/>
          <w:numId w:val="3"/>
        </w:numPr>
        <w:rPr>
          <w:rFonts w:cs="Arial"/>
        </w:rPr>
      </w:pPr>
      <w:r w:rsidRPr="00DE6D1F">
        <w:rPr>
          <w:rFonts w:cs="Arial"/>
        </w:rPr>
        <w:t xml:space="preserve">Analyse the efficiency of different care practices and policies that can satisfy the needs of the people belonging to different minority populations during the pandemic. </w:t>
      </w:r>
    </w:p>
    <w:p w14:paraId="18AFC3CD" w14:textId="75DCA32B" w:rsidR="00CA4A81" w:rsidRPr="00DE6D1F" w:rsidRDefault="00CA4A81" w:rsidP="00D66F31">
      <w:pPr>
        <w:pStyle w:val="ListParagraph"/>
        <w:numPr>
          <w:ilvl w:val="0"/>
          <w:numId w:val="3"/>
        </w:numPr>
        <w:rPr>
          <w:rFonts w:cs="Arial"/>
        </w:rPr>
      </w:pPr>
      <w:r w:rsidRPr="00DE6D1F">
        <w:rPr>
          <w:rFonts w:cs="Arial"/>
        </w:rPr>
        <w:t xml:space="preserve">Evaluate the influence of structural, linguistic, and cultural elements on the process of accessing support facilities by the concerned population across the healthcare sector. </w:t>
      </w:r>
    </w:p>
    <w:p w14:paraId="29F74D24" w14:textId="04D57A8B" w:rsidR="00CA4A81" w:rsidRPr="00DE6D1F" w:rsidRDefault="00CA4A81" w:rsidP="00D66F31">
      <w:pPr>
        <w:pStyle w:val="ListParagraph"/>
        <w:numPr>
          <w:ilvl w:val="0"/>
          <w:numId w:val="3"/>
        </w:numPr>
        <w:rPr>
          <w:rFonts w:cs="Arial"/>
        </w:rPr>
      </w:pPr>
      <w:r w:rsidRPr="00DE6D1F">
        <w:rPr>
          <w:rFonts w:cs="Arial"/>
        </w:rPr>
        <w:t xml:space="preserve">Provide </w:t>
      </w:r>
      <w:r w:rsidR="00B563E0" w:rsidRPr="00DE6D1F">
        <w:rPr>
          <w:rFonts w:cs="Arial"/>
        </w:rPr>
        <w:t>r</w:t>
      </w:r>
      <w:r w:rsidRPr="00DE6D1F">
        <w:rPr>
          <w:rFonts w:cs="Arial"/>
        </w:rPr>
        <w:t xml:space="preserve">ecommendations for enhancing strategic decisions for resolving care inequalities in society, prioritising inclusivity in the incidences of well-being-related emergencies of the public. </w:t>
      </w:r>
    </w:p>
    <w:p w14:paraId="596718F6" w14:textId="20943386" w:rsidR="009E30EF" w:rsidRPr="00DE6D1F" w:rsidRDefault="009E30EF" w:rsidP="00D66F31">
      <w:pPr>
        <w:pStyle w:val="Heading2"/>
        <w:rPr>
          <w:rStyle w:val="normaltextrun"/>
          <w:rFonts w:ascii="Arial" w:hAnsi="Arial"/>
        </w:rPr>
      </w:pPr>
      <w:bookmarkStart w:id="8" w:name="_Toc223650631"/>
      <w:r w:rsidRPr="00DE6D1F">
        <w:rPr>
          <w:rStyle w:val="normaltextrun"/>
          <w:rFonts w:ascii="Arial" w:hAnsi="Arial"/>
        </w:rPr>
        <w:t>1.5 Conclusion</w:t>
      </w:r>
      <w:bookmarkEnd w:id="8"/>
    </w:p>
    <w:p w14:paraId="414CB5D2" w14:textId="1A56F3A6" w:rsidR="00377F4C" w:rsidRPr="00DE6D1F" w:rsidRDefault="00377F4C" w:rsidP="00D66F31">
      <w:pPr>
        <w:rPr>
          <w:rFonts w:cs="Arial"/>
        </w:rPr>
      </w:pPr>
      <w:r w:rsidRPr="00DE6D1F">
        <w:rPr>
          <w:rFonts w:cs="Arial"/>
        </w:rPr>
        <w:t>Although the pandemic affected all communities in the UK, its impact on the minorities was highly disproportionate. Consequently, they suffered more deaths and devastation than the majority groups. Gradually, the realisation of this disproportionate impact inspired a debate among policymakers, academics and administrators. This process identifies the causes of health, social and economic inequalities for the minorities in the country. In this chapter, the background and context of the problem are presented. The main aim of this study is to examine the pandemic’s disproportionate influence on the UK’s Asian community in particular. It not only identifies the causes of social and health inequalities, but also recommends strategies to overcome them. The following chapter supports these objectives by exploring the historical, theoretical and contextual background of the issue</w:t>
      </w:r>
      <w:r w:rsidR="008B1ABE" w:rsidRPr="00DE6D1F">
        <w:rPr>
          <w:rFonts w:cs="Arial"/>
        </w:rPr>
        <w:t>.</w:t>
      </w:r>
    </w:p>
    <w:p w14:paraId="5B811458" w14:textId="08C63E97" w:rsidR="009E30EF" w:rsidRPr="00DE6D1F" w:rsidRDefault="009E30EF" w:rsidP="00D66F31">
      <w:pPr>
        <w:pStyle w:val="Heading1"/>
        <w:rPr>
          <w:rFonts w:cs="Arial"/>
        </w:rPr>
      </w:pPr>
      <w:bookmarkStart w:id="9" w:name="_Toc223650632"/>
      <w:r w:rsidRPr="00DE6D1F">
        <w:rPr>
          <w:rFonts w:cs="Arial"/>
        </w:rPr>
        <w:t>CHAPTER 2 – Background Information and Analysis</w:t>
      </w:r>
      <w:bookmarkEnd w:id="9"/>
      <w:r w:rsidRPr="00DE6D1F">
        <w:rPr>
          <w:rFonts w:cs="Arial"/>
        </w:rPr>
        <w:t xml:space="preserve"> </w:t>
      </w:r>
    </w:p>
    <w:p w14:paraId="784B8402" w14:textId="041429B5" w:rsidR="009E30EF" w:rsidRPr="00DE6D1F" w:rsidRDefault="009E30EF" w:rsidP="00D66F31">
      <w:pPr>
        <w:pStyle w:val="Heading2"/>
        <w:rPr>
          <w:rStyle w:val="normaltextrun"/>
          <w:rFonts w:ascii="Arial" w:hAnsi="Arial"/>
        </w:rPr>
      </w:pPr>
      <w:bookmarkStart w:id="10" w:name="_Toc223650633"/>
      <w:r w:rsidRPr="00DE6D1F">
        <w:rPr>
          <w:rStyle w:val="normaltextrun"/>
          <w:rFonts w:ascii="Arial" w:hAnsi="Arial"/>
        </w:rPr>
        <w:t>2.1 Introduction</w:t>
      </w:r>
      <w:bookmarkEnd w:id="10"/>
    </w:p>
    <w:p w14:paraId="71D70128" w14:textId="5BE3B262" w:rsidR="00B235A7" w:rsidRPr="00DE6D1F" w:rsidRDefault="00B235A7" w:rsidP="00D66F31">
      <w:pPr>
        <w:rPr>
          <w:rFonts w:cs="Arial"/>
        </w:rPr>
      </w:pPr>
      <w:r w:rsidRPr="00DE6D1F">
        <w:rPr>
          <w:rFonts w:cs="Arial"/>
        </w:rPr>
        <w:lastRenderedPageBreak/>
        <w:t>This chapter explains the historical, theoretical and contextual background of the research. S</w:t>
      </w:r>
      <w:r w:rsidR="002236E1" w:rsidRPr="00DE6D1F">
        <w:rPr>
          <w:rFonts w:cs="Arial"/>
        </w:rPr>
        <w:t>u</w:t>
      </w:r>
      <w:r w:rsidRPr="00DE6D1F">
        <w:rPr>
          <w:rFonts w:cs="Arial"/>
        </w:rPr>
        <w:t>ch background information builds a solid foundation for discussing data collection and findings in the following chapters. The historical background section examines the evolution of the topic, including key milestones and contributions. It is followed by the theoretical framework of the research</w:t>
      </w:r>
      <w:r w:rsidR="002236E1" w:rsidRPr="00DE6D1F">
        <w:rPr>
          <w:rFonts w:cs="Arial"/>
        </w:rPr>
        <w:t>,</w:t>
      </w:r>
      <w:r w:rsidRPr="00DE6D1F">
        <w:rPr>
          <w:rFonts w:cs="Arial"/>
        </w:rPr>
        <w:t xml:space="preserve"> which provides a structure to the narrative. </w:t>
      </w:r>
      <w:r w:rsidR="002236E1" w:rsidRPr="00DE6D1F">
        <w:rPr>
          <w:rFonts w:cs="Arial"/>
        </w:rPr>
        <w:t xml:space="preserve">The critical race and socioecological theories have been used to develop this framework. </w:t>
      </w:r>
      <w:r w:rsidR="007B56EF" w:rsidRPr="00DE6D1F">
        <w:rPr>
          <w:rFonts w:cs="Arial"/>
        </w:rPr>
        <w:t>T</w:t>
      </w:r>
      <w:r w:rsidR="002236E1" w:rsidRPr="00DE6D1F">
        <w:rPr>
          <w:rFonts w:cs="Arial"/>
        </w:rPr>
        <w:t>he CRT</w:t>
      </w:r>
      <w:r w:rsidR="007B56EF" w:rsidRPr="00DE6D1F">
        <w:rPr>
          <w:rFonts w:cs="Arial"/>
        </w:rPr>
        <w:t xml:space="preserve"> relates race to social relationships and thought. </w:t>
      </w:r>
      <w:r w:rsidR="002236E1" w:rsidRPr="00DE6D1F">
        <w:rPr>
          <w:rFonts w:cs="Arial"/>
        </w:rPr>
        <w:t xml:space="preserve"> </w:t>
      </w:r>
      <w:r w:rsidR="007B56EF" w:rsidRPr="00DE6D1F">
        <w:rPr>
          <w:rFonts w:cs="Arial"/>
        </w:rPr>
        <w:t>Contrastingly, the</w:t>
      </w:r>
      <w:r w:rsidR="002236E1" w:rsidRPr="00DE6D1F">
        <w:rPr>
          <w:rFonts w:cs="Arial"/>
        </w:rPr>
        <w:t xml:space="preserve"> socioecological theory</w:t>
      </w:r>
      <w:r w:rsidR="007B56EF" w:rsidRPr="00DE6D1F">
        <w:rPr>
          <w:rFonts w:cs="Arial"/>
        </w:rPr>
        <w:t xml:space="preserve"> emphasises environmental factors to understand racism (</w:t>
      </w:r>
      <w:r w:rsidR="00D2100B" w:rsidRPr="00DE6D1F">
        <w:rPr>
          <w:rFonts w:cs="Arial"/>
        </w:rPr>
        <w:t>Ledesma</w:t>
      </w:r>
      <w:r w:rsidR="007B56EF" w:rsidRPr="00DE6D1F">
        <w:rPr>
          <w:rFonts w:cs="Arial"/>
        </w:rPr>
        <w:t xml:space="preserve"> and </w:t>
      </w:r>
      <w:r w:rsidR="00D2100B" w:rsidRPr="00DE6D1F">
        <w:rPr>
          <w:rFonts w:cs="Arial"/>
        </w:rPr>
        <w:t>Calderón, 2015; Ladson-Billings, 2021; Lee et al., 2017)</w:t>
      </w:r>
      <w:r w:rsidR="002236E1" w:rsidRPr="00DE6D1F">
        <w:rPr>
          <w:rFonts w:cs="Arial"/>
        </w:rPr>
        <w:t xml:space="preserve">. The application of these theories in existing literature has also been discussed in this section to add a practical perspective. The section concludes with a critical evaluation of the limitations of each theory. Finally, the global context as well as the local implications of the pandemic in the UK are discussed in the contextual background. </w:t>
      </w:r>
    </w:p>
    <w:p w14:paraId="56E9FC94" w14:textId="31B7966E" w:rsidR="009E30EF" w:rsidRPr="00DE6D1F" w:rsidRDefault="009E30EF" w:rsidP="00D66F31">
      <w:pPr>
        <w:pStyle w:val="Heading2"/>
        <w:rPr>
          <w:rFonts w:ascii="Arial" w:hAnsi="Arial"/>
        </w:rPr>
      </w:pPr>
      <w:bookmarkStart w:id="11" w:name="_Toc223650634"/>
      <w:r w:rsidRPr="00DE6D1F">
        <w:rPr>
          <w:rStyle w:val="normaltextrun"/>
          <w:rFonts w:ascii="Arial" w:hAnsi="Arial"/>
        </w:rPr>
        <w:t>2.2 Historical Background</w:t>
      </w:r>
      <w:bookmarkEnd w:id="11"/>
    </w:p>
    <w:p w14:paraId="3ED2F185" w14:textId="4D445C70" w:rsidR="002D1843" w:rsidRPr="00DE6D1F" w:rsidRDefault="002E3F1E" w:rsidP="00D66F31">
      <w:pPr>
        <w:rPr>
          <w:rFonts w:cs="Arial"/>
        </w:rPr>
      </w:pPr>
      <w:r w:rsidRPr="00DE6D1F">
        <w:rPr>
          <w:rFonts w:cs="Arial"/>
        </w:rPr>
        <w:t>The UK’s Asian community started to experience the devastating effects of the pandemic mainly since 2020. COVID-19</w:t>
      </w:r>
      <w:r w:rsidR="00C664C0" w:rsidRPr="00DE6D1F">
        <w:rPr>
          <w:rFonts w:cs="Arial"/>
        </w:rPr>
        <w:t>,</w:t>
      </w:r>
      <w:r w:rsidRPr="00DE6D1F">
        <w:rPr>
          <w:rFonts w:cs="Arial"/>
        </w:rPr>
        <w:t xml:space="preserve"> which was declared a global pandemic in March 2020, resulted in over 120,000 deaths as of February 2021</w:t>
      </w:r>
      <w:r w:rsidR="00F33918" w:rsidRPr="00DE6D1F">
        <w:rPr>
          <w:rFonts w:cs="Arial"/>
        </w:rPr>
        <w:t xml:space="preserve"> (Mahmood et al., 2021)</w:t>
      </w:r>
      <w:r w:rsidRPr="00DE6D1F">
        <w:rPr>
          <w:rFonts w:cs="Arial"/>
        </w:rPr>
        <w:t xml:space="preserve">. Gradually, it was revealed that the Asian and other minority communities were disproportionately affected. The first ten doctors to die from the pandemic were from these communities. Furthermore, 35% of the intensive care patients for </w:t>
      </w:r>
      <w:r w:rsidR="00C664C0" w:rsidRPr="00DE6D1F">
        <w:rPr>
          <w:rFonts w:cs="Arial"/>
        </w:rPr>
        <w:t>COVID-19</w:t>
      </w:r>
      <w:r w:rsidRPr="00DE6D1F">
        <w:rPr>
          <w:rFonts w:cs="Arial"/>
        </w:rPr>
        <w:t xml:space="preserve"> in the UK were from ethnic minorities.</w:t>
      </w:r>
      <w:r w:rsidR="005A72E4" w:rsidRPr="00DE6D1F">
        <w:rPr>
          <w:rFonts w:cs="Arial"/>
        </w:rPr>
        <w:t xml:space="preserve"> Although these communities constitute only 13% of the UK population, their mortality risk was significantly higher than the rest</w:t>
      </w:r>
      <w:r w:rsidR="00F33918" w:rsidRPr="00DE6D1F">
        <w:rPr>
          <w:rFonts w:cs="Arial"/>
        </w:rPr>
        <w:t xml:space="preserve"> (Mahmood et al., 2021)</w:t>
      </w:r>
      <w:r w:rsidR="005A72E4" w:rsidRPr="00DE6D1F">
        <w:rPr>
          <w:rFonts w:cs="Arial"/>
        </w:rPr>
        <w:t xml:space="preserve">. </w:t>
      </w:r>
      <w:r w:rsidR="00BD5C79" w:rsidRPr="00DE6D1F">
        <w:rPr>
          <w:rFonts w:cs="Arial"/>
        </w:rPr>
        <w:t>Data published by the Intensive Care National Audit and Research Centre in March 2020 indicated that of 3883 COVID-19 patients, 14% were Asian and 12% were Black (</w:t>
      </w:r>
      <w:proofErr w:type="spellStart"/>
      <w:r w:rsidR="00BD5C79" w:rsidRPr="00DE6D1F">
        <w:rPr>
          <w:rFonts w:cs="Arial"/>
        </w:rPr>
        <w:t>Abuelgasim</w:t>
      </w:r>
      <w:proofErr w:type="spellEnd"/>
      <w:r w:rsidR="00BD5C79" w:rsidRPr="00DE6D1F">
        <w:rPr>
          <w:rFonts w:cs="Arial"/>
        </w:rPr>
        <w:t xml:space="preserve"> et al., 2020). </w:t>
      </w:r>
      <w:r w:rsidR="005A72E4" w:rsidRPr="00DE6D1F">
        <w:rPr>
          <w:rFonts w:cs="Arial"/>
        </w:rPr>
        <w:t>Historically, the cases of heart diseases</w:t>
      </w:r>
      <w:r w:rsidR="00547FB1" w:rsidRPr="00DE6D1F">
        <w:rPr>
          <w:rFonts w:cs="Arial"/>
        </w:rPr>
        <w:t>, psychological disorders</w:t>
      </w:r>
      <w:r w:rsidR="005A72E4" w:rsidRPr="00DE6D1F">
        <w:rPr>
          <w:rFonts w:cs="Arial"/>
        </w:rPr>
        <w:t xml:space="preserve"> and diabetes have been higher among minorities due to unequal access to health care in the country</w:t>
      </w:r>
      <w:r w:rsidR="00547FB1" w:rsidRPr="00DE6D1F">
        <w:rPr>
          <w:rFonts w:cs="Arial"/>
        </w:rPr>
        <w:t xml:space="preserve"> (Armstrong et al., 2022)</w:t>
      </w:r>
      <w:r w:rsidR="005A72E4" w:rsidRPr="00DE6D1F">
        <w:rPr>
          <w:rFonts w:cs="Arial"/>
        </w:rPr>
        <w:t>. Some experts relate such inequality to structural biases and socio-economic backwardness</w:t>
      </w:r>
      <w:r w:rsidR="009F6E42" w:rsidRPr="00DE6D1F">
        <w:rPr>
          <w:rFonts w:cs="Arial"/>
        </w:rPr>
        <w:t xml:space="preserve"> (Van Bortel et al., 2022)</w:t>
      </w:r>
      <w:r w:rsidR="005A72E4" w:rsidRPr="00DE6D1F">
        <w:rPr>
          <w:rFonts w:cs="Arial"/>
        </w:rPr>
        <w:t xml:space="preserve">. </w:t>
      </w:r>
      <w:r w:rsidR="0087549B" w:rsidRPr="00DE6D1F">
        <w:rPr>
          <w:rFonts w:cs="Arial"/>
        </w:rPr>
        <w:t xml:space="preserve">This also includes cultural stereotyping and racism </w:t>
      </w:r>
      <w:r w:rsidR="009F6E42" w:rsidRPr="00DE6D1F">
        <w:rPr>
          <w:rFonts w:cs="Arial"/>
        </w:rPr>
        <w:t>(Hyde, 2024)</w:t>
      </w:r>
      <w:r w:rsidR="0087549B" w:rsidRPr="00DE6D1F">
        <w:rPr>
          <w:rFonts w:cs="Arial"/>
        </w:rPr>
        <w:t xml:space="preserve">. </w:t>
      </w:r>
      <w:r w:rsidR="005A72E4" w:rsidRPr="00DE6D1F">
        <w:rPr>
          <w:rFonts w:cs="Arial"/>
        </w:rPr>
        <w:t>Despite existing literature</w:t>
      </w:r>
      <w:r w:rsidR="001A223B" w:rsidRPr="00DE6D1F">
        <w:rPr>
          <w:rFonts w:cs="Arial"/>
        </w:rPr>
        <w:t xml:space="preserve"> re-</w:t>
      </w:r>
      <w:r w:rsidR="005A72E4" w:rsidRPr="00DE6D1F">
        <w:rPr>
          <w:rFonts w:cs="Arial"/>
        </w:rPr>
        <w:t xml:space="preserve">affirming </w:t>
      </w:r>
      <w:r w:rsidR="001A223B" w:rsidRPr="00DE6D1F">
        <w:rPr>
          <w:rFonts w:cs="Arial"/>
        </w:rPr>
        <w:t>the pandemic’s disproportionate impact, there is a lack of research on the UK’s structural inequalities</w:t>
      </w:r>
      <w:r w:rsidR="00F33918" w:rsidRPr="00DE6D1F">
        <w:rPr>
          <w:rFonts w:cs="Arial"/>
        </w:rPr>
        <w:t xml:space="preserve"> (Mahmood et al., 2021)</w:t>
      </w:r>
      <w:r w:rsidR="001A223B" w:rsidRPr="00DE6D1F">
        <w:rPr>
          <w:rFonts w:cs="Arial"/>
        </w:rPr>
        <w:t>. Nevertheless, policymakers and researchers started</w:t>
      </w:r>
      <w:r w:rsidR="00C664C0" w:rsidRPr="00DE6D1F">
        <w:rPr>
          <w:rFonts w:cs="Arial"/>
        </w:rPr>
        <w:t xml:space="preserve"> </w:t>
      </w:r>
      <w:r w:rsidR="001A223B" w:rsidRPr="00DE6D1F">
        <w:rPr>
          <w:rFonts w:cs="Arial"/>
        </w:rPr>
        <w:t xml:space="preserve">debating ethnicity’s association with health challenges </w:t>
      </w:r>
      <w:r w:rsidR="00C664C0" w:rsidRPr="00DE6D1F">
        <w:rPr>
          <w:rFonts w:cs="Arial"/>
        </w:rPr>
        <w:t>in</w:t>
      </w:r>
      <w:r w:rsidR="001A223B" w:rsidRPr="00DE6D1F">
        <w:rPr>
          <w:rFonts w:cs="Arial"/>
        </w:rPr>
        <w:t xml:space="preserve"> 2020. For the first time, the ONS</w:t>
      </w:r>
      <w:r w:rsidR="00B14B00" w:rsidRPr="00DE6D1F">
        <w:rPr>
          <w:rFonts w:cs="Arial"/>
        </w:rPr>
        <w:t xml:space="preserve"> (2021)</w:t>
      </w:r>
      <w:r w:rsidR="001A223B" w:rsidRPr="00DE6D1F">
        <w:rPr>
          <w:rFonts w:cs="Arial"/>
        </w:rPr>
        <w:t xml:space="preserve"> examined whether existing co-morbidities in the minorities are related to the disproportionate impact of the pandemic. In the past five years, wider socio-economic factors</w:t>
      </w:r>
      <w:r w:rsidR="00AF5A25" w:rsidRPr="00DE6D1F">
        <w:rPr>
          <w:rFonts w:cs="Arial"/>
        </w:rPr>
        <w:t>,</w:t>
      </w:r>
      <w:r w:rsidR="001A223B" w:rsidRPr="00DE6D1F">
        <w:rPr>
          <w:rFonts w:cs="Arial"/>
        </w:rPr>
        <w:t xml:space="preserve"> including deprivation, living standards and poverty</w:t>
      </w:r>
      <w:r w:rsidR="00AF5A25" w:rsidRPr="00DE6D1F">
        <w:rPr>
          <w:rFonts w:cs="Arial"/>
        </w:rPr>
        <w:t>,</w:t>
      </w:r>
      <w:r w:rsidR="001A223B" w:rsidRPr="00DE6D1F">
        <w:rPr>
          <w:rFonts w:cs="Arial"/>
        </w:rPr>
        <w:t xml:space="preserve"> have been considered in this d</w:t>
      </w:r>
      <w:r w:rsidR="00C664C0" w:rsidRPr="00DE6D1F">
        <w:rPr>
          <w:rFonts w:cs="Arial"/>
        </w:rPr>
        <w:t>ebate.</w:t>
      </w:r>
    </w:p>
    <w:p w14:paraId="147ED2F1" w14:textId="153038C3" w:rsidR="002E3F1E" w:rsidRPr="00DE6D1F" w:rsidRDefault="002D1843" w:rsidP="00D66F31">
      <w:pPr>
        <w:rPr>
          <w:rFonts w:cs="Arial"/>
        </w:rPr>
      </w:pPr>
      <w:r w:rsidRPr="00DE6D1F">
        <w:rPr>
          <w:rFonts w:cs="Arial"/>
        </w:rPr>
        <w:lastRenderedPageBreak/>
        <w:t xml:space="preserve">Several institutions, including the ONS, BAME carers research, Carers UK, the Royal Society and the British Academy, </w:t>
      </w:r>
      <w:r w:rsidR="00AF5A25" w:rsidRPr="00DE6D1F">
        <w:rPr>
          <w:rFonts w:cs="Arial"/>
        </w:rPr>
        <w:t>have contributed to the debate</w:t>
      </w:r>
      <w:r w:rsidRPr="00DE6D1F">
        <w:rPr>
          <w:rFonts w:cs="Arial"/>
        </w:rPr>
        <w:t xml:space="preserve"> </w:t>
      </w:r>
      <w:r w:rsidR="00AF5A25" w:rsidRPr="00DE6D1F">
        <w:rPr>
          <w:rFonts w:cs="Arial"/>
        </w:rPr>
        <w:t xml:space="preserve">by </w:t>
      </w:r>
      <w:r w:rsidRPr="00DE6D1F">
        <w:rPr>
          <w:rFonts w:cs="Arial"/>
        </w:rPr>
        <w:t>documenting the disproportionate impact of the pandemic</w:t>
      </w:r>
      <w:r w:rsidR="00F063D4" w:rsidRPr="00DE6D1F">
        <w:rPr>
          <w:rFonts w:cs="Arial"/>
        </w:rPr>
        <w:t xml:space="preserve"> (Kirby, 2020)</w:t>
      </w:r>
      <w:r w:rsidRPr="00DE6D1F">
        <w:rPr>
          <w:rFonts w:cs="Arial"/>
        </w:rPr>
        <w:t xml:space="preserve">. Their work exposed how discrimination and inequality in British society increased the vulnerabilities of minorities. Furthermore, </w:t>
      </w:r>
      <w:r w:rsidR="001A0795" w:rsidRPr="00DE6D1F">
        <w:rPr>
          <w:rFonts w:cs="Arial"/>
        </w:rPr>
        <w:t>many</w:t>
      </w:r>
      <w:r w:rsidRPr="00DE6D1F">
        <w:rPr>
          <w:rFonts w:cs="Arial"/>
        </w:rPr>
        <w:t xml:space="preserve"> voluntary organisations engaged in community action during the pandemic to support the minorities</w:t>
      </w:r>
      <w:r w:rsidR="001D3660" w:rsidRPr="00DE6D1F">
        <w:rPr>
          <w:rFonts w:cs="Arial"/>
        </w:rPr>
        <w:t xml:space="preserve"> (Den Broeder et al., 2022)</w:t>
      </w:r>
      <w:r w:rsidRPr="00DE6D1F">
        <w:rPr>
          <w:rFonts w:cs="Arial"/>
        </w:rPr>
        <w:t xml:space="preserve">. </w:t>
      </w:r>
      <w:r w:rsidR="001D3660" w:rsidRPr="00DE6D1F">
        <w:rPr>
          <w:rFonts w:cs="Arial"/>
        </w:rPr>
        <w:t>Mutual aid groups, online communities and community-based organisations launched key initiatives for minority welfare. Such initiatives included improving access to basic services, health assistance and food.</w:t>
      </w:r>
      <w:r w:rsidR="006C2A0A" w:rsidRPr="00DE6D1F">
        <w:rPr>
          <w:rFonts w:cs="Arial"/>
        </w:rPr>
        <w:t xml:space="preserve"> They helped the minorities develop resilience against the devastation caused by the pandemic</w:t>
      </w:r>
      <w:r w:rsidR="00382249" w:rsidRPr="00DE6D1F">
        <w:rPr>
          <w:rFonts w:cs="Arial"/>
        </w:rPr>
        <w:t xml:space="preserve"> (Scott et al., 2022)</w:t>
      </w:r>
      <w:r w:rsidR="006C2A0A" w:rsidRPr="00DE6D1F">
        <w:rPr>
          <w:rFonts w:cs="Arial"/>
        </w:rPr>
        <w:t xml:space="preserve">. </w:t>
      </w:r>
      <w:r w:rsidR="005E53F6" w:rsidRPr="00DE6D1F">
        <w:rPr>
          <w:rFonts w:cs="Arial"/>
        </w:rPr>
        <w:t xml:space="preserve">The next section presents a theoretical background for </w:t>
      </w:r>
      <w:r w:rsidR="006C2A0A" w:rsidRPr="00DE6D1F">
        <w:rPr>
          <w:rFonts w:cs="Arial"/>
        </w:rPr>
        <w:t xml:space="preserve">a structured understanding of the pandemic’s impact on minorities in the UK. </w:t>
      </w:r>
      <w:r w:rsidR="005E53F6" w:rsidRPr="00DE6D1F">
        <w:rPr>
          <w:rFonts w:cs="Arial"/>
        </w:rPr>
        <w:t xml:space="preserve"> </w:t>
      </w:r>
    </w:p>
    <w:p w14:paraId="0FE7A748" w14:textId="450931B3" w:rsidR="009E30EF" w:rsidRPr="00DE6D1F" w:rsidRDefault="009E30EF" w:rsidP="00D66F31">
      <w:pPr>
        <w:pStyle w:val="Heading2"/>
        <w:rPr>
          <w:rStyle w:val="normaltextrun"/>
          <w:rFonts w:ascii="Arial" w:hAnsi="Arial"/>
        </w:rPr>
      </w:pPr>
      <w:bookmarkStart w:id="12" w:name="_Toc223650635"/>
      <w:r w:rsidRPr="00DE6D1F">
        <w:rPr>
          <w:rStyle w:val="normaltextrun"/>
          <w:rFonts w:ascii="Arial" w:hAnsi="Arial"/>
        </w:rPr>
        <w:t>2.3 Theoretical Background</w:t>
      </w:r>
      <w:bookmarkEnd w:id="12"/>
    </w:p>
    <w:p w14:paraId="6FD888EC" w14:textId="65030B01" w:rsidR="00EC130F" w:rsidRPr="00DE6D1F" w:rsidRDefault="00EC130F" w:rsidP="00D66F31">
      <w:pPr>
        <w:pStyle w:val="Heading3"/>
        <w:rPr>
          <w:rFonts w:cs="Arial"/>
        </w:rPr>
      </w:pPr>
      <w:bookmarkStart w:id="13" w:name="_Toc223650636"/>
      <w:r w:rsidRPr="00DE6D1F">
        <w:rPr>
          <w:rFonts w:cs="Arial"/>
        </w:rPr>
        <w:t>2.3.1 Critical Race Theory</w:t>
      </w:r>
      <w:bookmarkEnd w:id="13"/>
      <w:r w:rsidRPr="00DE6D1F">
        <w:rPr>
          <w:rFonts w:cs="Arial"/>
        </w:rPr>
        <w:t xml:space="preserve"> </w:t>
      </w:r>
    </w:p>
    <w:p w14:paraId="20652F9C" w14:textId="73CAA34C" w:rsidR="008E30C6" w:rsidRPr="00DE6D1F" w:rsidRDefault="008E30C6" w:rsidP="00D66F31">
      <w:pPr>
        <w:rPr>
          <w:rFonts w:cs="Arial"/>
        </w:rPr>
      </w:pPr>
      <w:r w:rsidRPr="00DE6D1F">
        <w:rPr>
          <w:rFonts w:cs="Arial"/>
        </w:rPr>
        <w:t>The critical race theory emerged from the movement of activists and scholars to transform the relationship between race and power structures. While the traditional civil rights movement emphasises incremental progress, the CRT fundamentally challenges liberalism</w:t>
      </w:r>
      <w:r w:rsidR="001D3842" w:rsidRPr="00DE6D1F">
        <w:rPr>
          <w:rFonts w:cs="Arial"/>
        </w:rPr>
        <w:t xml:space="preserve"> (Delgado and Stefancic, 2023)</w:t>
      </w:r>
      <w:r w:rsidRPr="00DE6D1F">
        <w:rPr>
          <w:rFonts w:cs="Arial"/>
        </w:rPr>
        <w:t xml:space="preserve">. Instead of considering racism an aberration, the CRT treats it as a normal phenomenon in the existing liberal order. </w:t>
      </w:r>
      <w:r w:rsidR="00E37C30" w:rsidRPr="00DE6D1F">
        <w:rPr>
          <w:rFonts w:cs="Arial"/>
        </w:rPr>
        <w:t>The CRT has been widely applied to examine the role of racism in contemporary crises, including the pandemic</w:t>
      </w:r>
      <w:r w:rsidR="00D2100B" w:rsidRPr="00DE6D1F">
        <w:rPr>
          <w:rFonts w:cs="Arial"/>
        </w:rPr>
        <w:t xml:space="preserve"> (Amani et al., 2022; Farr, 2022; Bailey et al., 2022)</w:t>
      </w:r>
      <w:r w:rsidR="00E37C30" w:rsidRPr="00DE6D1F">
        <w:rPr>
          <w:rFonts w:cs="Arial"/>
        </w:rPr>
        <w:t xml:space="preserve">. </w:t>
      </w:r>
      <w:r w:rsidR="00D42726" w:rsidRPr="00DE6D1F">
        <w:rPr>
          <w:rFonts w:cs="Arial"/>
        </w:rPr>
        <w:t xml:space="preserve">Since the CRT </w:t>
      </w:r>
      <w:r w:rsidR="00F93990" w:rsidRPr="00DE6D1F">
        <w:rPr>
          <w:rFonts w:cs="Arial"/>
        </w:rPr>
        <w:t>views</w:t>
      </w:r>
      <w:r w:rsidR="00D42726" w:rsidRPr="00DE6D1F">
        <w:rPr>
          <w:rFonts w:cs="Arial"/>
        </w:rPr>
        <w:t xml:space="preserve"> racism as a normal phenomenon </w:t>
      </w:r>
      <w:r w:rsidR="00F93990" w:rsidRPr="00DE6D1F">
        <w:rPr>
          <w:rFonts w:cs="Arial"/>
        </w:rPr>
        <w:t>within</w:t>
      </w:r>
      <w:r w:rsidR="00D42726" w:rsidRPr="00DE6D1F">
        <w:rPr>
          <w:rFonts w:cs="Arial"/>
        </w:rPr>
        <w:t xml:space="preserve"> the liberal order, it </w:t>
      </w:r>
      <w:r w:rsidR="00F93990" w:rsidRPr="00DE6D1F">
        <w:rPr>
          <w:rFonts w:cs="Arial"/>
        </w:rPr>
        <w:t>is relevant in understanding the disproportionate impact of the pandemic on the UK minorities. Therefore, an application of this theory can address the research gap mentioned earlier.</w:t>
      </w:r>
    </w:p>
    <w:p w14:paraId="525FA12D" w14:textId="44D81414" w:rsidR="00D05378" w:rsidRPr="00DE6D1F" w:rsidRDefault="00306F0B" w:rsidP="00D66F31">
      <w:pPr>
        <w:rPr>
          <w:rFonts w:cs="Arial"/>
        </w:rPr>
      </w:pPr>
      <w:r w:rsidRPr="00DE6D1F">
        <w:rPr>
          <w:rFonts w:cs="Arial"/>
        </w:rPr>
        <w:t xml:space="preserve">Amani et al. (2022) used the critical race theory to understand the impact of racial and ethnic disparities on health outcomes during the pandemic. They identified how such disparities are related to home morbidity, mortality and unequal access to healthcare. </w:t>
      </w:r>
      <w:r w:rsidR="0085266A" w:rsidRPr="00DE6D1F">
        <w:rPr>
          <w:rFonts w:cs="Arial"/>
        </w:rPr>
        <w:t xml:space="preserve">Aligning with the arguments of the critical racist theorists, Amani et al. (2022) </w:t>
      </w:r>
      <w:r w:rsidR="008200E8" w:rsidRPr="00DE6D1F">
        <w:rPr>
          <w:rFonts w:cs="Arial"/>
        </w:rPr>
        <w:t>s</w:t>
      </w:r>
      <w:r w:rsidR="0085266A" w:rsidRPr="00DE6D1F">
        <w:rPr>
          <w:rFonts w:cs="Arial"/>
        </w:rPr>
        <w:t xml:space="preserve">tate that racial inequalities arise from structural and socioeconomic factors. </w:t>
      </w:r>
      <w:r w:rsidR="00F40AC5" w:rsidRPr="00DE6D1F">
        <w:rPr>
          <w:rFonts w:cs="Arial"/>
        </w:rPr>
        <w:t>T</w:t>
      </w:r>
      <w:r w:rsidR="00721422" w:rsidRPr="00DE6D1F">
        <w:rPr>
          <w:rFonts w:cs="Arial"/>
        </w:rPr>
        <w:t>he application of the critical race theory to address racial disparities must be based on an understanding of its weaknesses</w:t>
      </w:r>
      <w:r w:rsidR="00D2100B" w:rsidRPr="00DE6D1F">
        <w:rPr>
          <w:rFonts w:cs="Arial"/>
        </w:rPr>
        <w:t xml:space="preserve"> (Pollock et al., 2022; Guo and Guo, 2021; Annamma, Ferri and Connor, 2018)</w:t>
      </w:r>
      <w:r w:rsidR="00721422" w:rsidRPr="00DE6D1F">
        <w:rPr>
          <w:rFonts w:cs="Arial"/>
        </w:rPr>
        <w:t xml:space="preserve">. </w:t>
      </w:r>
    </w:p>
    <w:p w14:paraId="32C52629" w14:textId="4A70AEBD" w:rsidR="00B507A1" w:rsidRPr="00DE6D1F" w:rsidRDefault="00721422" w:rsidP="00D66F31">
      <w:pPr>
        <w:rPr>
          <w:rFonts w:cs="Arial"/>
        </w:rPr>
      </w:pPr>
      <w:r w:rsidRPr="00DE6D1F">
        <w:rPr>
          <w:rFonts w:cs="Arial"/>
        </w:rPr>
        <w:t xml:space="preserve">The theory has been mainly criticised for its intensive focus on race. Experts on sociology argue that, by emphasising race, the CRT consolidates it as an intrinsic and natural trait. </w:t>
      </w:r>
      <w:r w:rsidR="00B507A1" w:rsidRPr="00DE6D1F">
        <w:rPr>
          <w:rFonts w:cs="Arial"/>
        </w:rPr>
        <w:t xml:space="preserve">For example, focusing on race might overlook religious or gender nuances among British Asians. </w:t>
      </w:r>
      <w:r w:rsidR="00D05378" w:rsidRPr="00DE6D1F">
        <w:rPr>
          <w:rFonts w:cs="Arial"/>
        </w:rPr>
        <w:t xml:space="preserve">This limitation </w:t>
      </w:r>
      <w:r w:rsidR="00D05378" w:rsidRPr="00DE6D1F">
        <w:rPr>
          <w:rFonts w:cs="Arial"/>
        </w:rPr>
        <w:lastRenderedPageBreak/>
        <w:t>of the theory can be overcome by putting equal emphasis on other factors, including gender, class and disability</w:t>
      </w:r>
      <w:r w:rsidR="00D2100B" w:rsidRPr="00DE6D1F">
        <w:rPr>
          <w:rFonts w:cs="Arial"/>
        </w:rPr>
        <w:t xml:space="preserve"> (Bissell, 2023; Poole et al., 2021; Garner et al., 2025)</w:t>
      </w:r>
      <w:r w:rsidR="00D05378" w:rsidRPr="00DE6D1F">
        <w:rPr>
          <w:rFonts w:cs="Arial"/>
        </w:rPr>
        <w:t xml:space="preserve">. </w:t>
      </w:r>
    </w:p>
    <w:p w14:paraId="6B6336A6" w14:textId="2E05E23E" w:rsidR="00EC130F" w:rsidRPr="00DE6D1F" w:rsidRDefault="00EC130F" w:rsidP="00D66F31">
      <w:pPr>
        <w:pStyle w:val="Heading3"/>
        <w:rPr>
          <w:rFonts w:cs="Arial"/>
        </w:rPr>
      </w:pPr>
      <w:bookmarkStart w:id="14" w:name="_Toc223650637"/>
      <w:r w:rsidRPr="00DE6D1F">
        <w:rPr>
          <w:rFonts w:cs="Arial"/>
        </w:rPr>
        <w:t>2.3.</w:t>
      </w:r>
      <w:r w:rsidR="00721422" w:rsidRPr="00DE6D1F">
        <w:rPr>
          <w:rFonts w:cs="Arial"/>
        </w:rPr>
        <w:t>2</w:t>
      </w:r>
      <w:r w:rsidRPr="00DE6D1F">
        <w:rPr>
          <w:rFonts w:cs="Arial"/>
        </w:rPr>
        <w:t xml:space="preserve"> Socioecological Theory</w:t>
      </w:r>
      <w:bookmarkEnd w:id="14"/>
      <w:r w:rsidRPr="00DE6D1F">
        <w:rPr>
          <w:rFonts w:cs="Arial"/>
        </w:rPr>
        <w:t xml:space="preserve"> </w:t>
      </w:r>
    </w:p>
    <w:p w14:paraId="697E4E04" w14:textId="49644662" w:rsidR="00397DB6" w:rsidRPr="00DE6D1F" w:rsidRDefault="007B284B" w:rsidP="00D66F31">
      <w:pPr>
        <w:rPr>
          <w:rFonts w:cs="Arial"/>
        </w:rPr>
      </w:pPr>
      <w:r w:rsidRPr="00DE6D1F">
        <w:rPr>
          <w:rFonts w:cs="Arial"/>
        </w:rPr>
        <w:t xml:space="preserve">The </w:t>
      </w:r>
      <w:r w:rsidR="00F93990" w:rsidRPr="00DE6D1F">
        <w:rPr>
          <w:rFonts w:cs="Arial"/>
        </w:rPr>
        <w:t xml:space="preserve">causes of the disproportionate </w:t>
      </w:r>
      <w:r w:rsidRPr="00DE6D1F">
        <w:rPr>
          <w:rFonts w:cs="Arial"/>
        </w:rPr>
        <w:t>impact of the pandemic on the UK’s minorities can also be analysed from the perspective of the socioecological theory.</w:t>
      </w:r>
      <w:r w:rsidR="00F66A86" w:rsidRPr="00DE6D1F">
        <w:rPr>
          <w:rFonts w:cs="Arial"/>
        </w:rPr>
        <w:t xml:space="preserve"> </w:t>
      </w:r>
      <w:r w:rsidRPr="00DE6D1F">
        <w:rPr>
          <w:rFonts w:cs="Arial"/>
        </w:rPr>
        <w:t>Th</w:t>
      </w:r>
      <w:r w:rsidR="00F93990" w:rsidRPr="00DE6D1F">
        <w:rPr>
          <w:rFonts w:cs="Arial"/>
        </w:rPr>
        <w:t>is</w:t>
      </w:r>
      <w:r w:rsidRPr="00DE6D1F">
        <w:rPr>
          <w:rFonts w:cs="Arial"/>
        </w:rPr>
        <w:t xml:space="preserve"> theory is explained by a set of overlapping c</w:t>
      </w:r>
      <w:r w:rsidR="00F66A86" w:rsidRPr="00DE6D1F">
        <w:rPr>
          <w:rFonts w:cs="Arial"/>
        </w:rPr>
        <w:t>ircles</w:t>
      </w:r>
      <w:r w:rsidRPr="00DE6D1F">
        <w:rPr>
          <w:rFonts w:cs="Arial"/>
        </w:rPr>
        <w:t xml:space="preserve"> </w:t>
      </w:r>
      <w:r w:rsidR="00F66A86" w:rsidRPr="00DE6D1F">
        <w:rPr>
          <w:rFonts w:cs="Arial"/>
        </w:rPr>
        <w:t>with</w:t>
      </w:r>
      <w:r w:rsidRPr="00DE6D1F">
        <w:rPr>
          <w:rFonts w:cs="Arial"/>
        </w:rPr>
        <w:t xml:space="preserve"> the individual at the centre.</w:t>
      </w:r>
      <w:r w:rsidR="00F66A86" w:rsidRPr="00DE6D1F">
        <w:rPr>
          <w:rFonts w:cs="Arial"/>
        </w:rPr>
        <w:t xml:space="preserve"> The circle closest to the individual represents the strongest influences</w:t>
      </w:r>
      <w:r w:rsidR="0062780E" w:rsidRPr="00DE6D1F">
        <w:rPr>
          <w:rFonts w:cs="Arial"/>
        </w:rPr>
        <w:t>,</w:t>
      </w:r>
      <w:r w:rsidR="00F66A86" w:rsidRPr="00DE6D1F">
        <w:rPr>
          <w:rFonts w:cs="Arial"/>
        </w:rPr>
        <w:t xml:space="preserve"> while the rest depict his relationship with the environment</w:t>
      </w:r>
      <w:r w:rsidR="00BC398E" w:rsidRPr="00DE6D1F">
        <w:rPr>
          <w:rFonts w:cs="Arial"/>
        </w:rPr>
        <w:t xml:space="preserve"> (Kilanowski, 2017)</w:t>
      </w:r>
      <w:r w:rsidR="00F66A86" w:rsidRPr="00DE6D1F">
        <w:rPr>
          <w:rFonts w:cs="Arial"/>
        </w:rPr>
        <w:t xml:space="preserve">. Therefore, the socioecological theory can be applied to understand how the interacting social forces affected individual lives during the pandemic. </w:t>
      </w:r>
      <w:r w:rsidR="0062780E" w:rsidRPr="00DE6D1F">
        <w:rPr>
          <w:rFonts w:cs="Arial"/>
        </w:rPr>
        <w:t xml:space="preserve">Overall, the socioecological model can be </w:t>
      </w:r>
      <w:r w:rsidR="00A55597" w:rsidRPr="00DE6D1F">
        <w:rPr>
          <w:rFonts w:cs="Arial"/>
        </w:rPr>
        <w:t>used to assess</w:t>
      </w:r>
      <w:r w:rsidR="0062780E" w:rsidRPr="00DE6D1F">
        <w:rPr>
          <w:rFonts w:cs="Arial"/>
        </w:rPr>
        <w:t xml:space="preserve"> the vulnerabilities of </w:t>
      </w:r>
      <w:r w:rsidR="00A55597" w:rsidRPr="00DE6D1F">
        <w:rPr>
          <w:rFonts w:cs="Arial"/>
        </w:rPr>
        <w:t>British</w:t>
      </w:r>
      <w:r w:rsidR="0062780E" w:rsidRPr="00DE6D1F">
        <w:rPr>
          <w:rFonts w:cs="Arial"/>
        </w:rPr>
        <w:t xml:space="preserve"> minorities </w:t>
      </w:r>
      <w:r w:rsidR="00A55597" w:rsidRPr="00DE6D1F">
        <w:rPr>
          <w:rFonts w:cs="Arial"/>
        </w:rPr>
        <w:t>to</w:t>
      </w:r>
      <w:r w:rsidR="0062780E" w:rsidRPr="00DE6D1F">
        <w:rPr>
          <w:rFonts w:cs="Arial"/>
        </w:rPr>
        <w:t xml:space="preserve"> the pandemic</w:t>
      </w:r>
      <w:r w:rsidR="00D2100B" w:rsidRPr="00DE6D1F">
        <w:rPr>
          <w:rFonts w:cs="Arial"/>
        </w:rPr>
        <w:t xml:space="preserve"> (Zhang, Yang and Jia, 2022; Paat et al., 2024; </w:t>
      </w:r>
      <w:proofErr w:type="spellStart"/>
      <w:r w:rsidR="00D2100B" w:rsidRPr="00DE6D1F">
        <w:rPr>
          <w:rFonts w:cs="Arial"/>
        </w:rPr>
        <w:t>Hennein</w:t>
      </w:r>
      <w:proofErr w:type="spellEnd"/>
      <w:r w:rsidR="00D2100B" w:rsidRPr="00DE6D1F">
        <w:rPr>
          <w:rFonts w:cs="Arial"/>
        </w:rPr>
        <w:t>, Mew and Lowe, 2021)</w:t>
      </w:r>
      <w:r w:rsidR="0062780E" w:rsidRPr="00DE6D1F">
        <w:rPr>
          <w:rFonts w:cs="Arial"/>
        </w:rPr>
        <w:t xml:space="preserve">. </w:t>
      </w:r>
    </w:p>
    <w:p w14:paraId="1B2119E9" w14:textId="5129B1BE" w:rsidR="001A2133" w:rsidRPr="00DE6D1F" w:rsidRDefault="00DE48D3" w:rsidP="00D66F31">
      <w:pPr>
        <w:rPr>
          <w:rFonts w:cs="Arial"/>
        </w:rPr>
      </w:pPr>
      <w:r w:rsidRPr="00DE6D1F">
        <w:rPr>
          <w:rFonts w:cs="Arial"/>
        </w:rPr>
        <w:t xml:space="preserve">Zhang, Yang and Jia </w:t>
      </w:r>
      <w:r w:rsidR="005D5085" w:rsidRPr="00DE6D1F">
        <w:rPr>
          <w:rFonts w:cs="Arial"/>
        </w:rPr>
        <w:t>(</w:t>
      </w:r>
      <w:r w:rsidRPr="00DE6D1F">
        <w:rPr>
          <w:rFonts w:cs="Arial"/>
        </w:rPr>
        <w:t>2022</w:t>
      </w:r>
      <w:r w:rsidR="005D5085" w:rsidRPr="00DE6D1F">
        <w:rPr>
          <w:rFonts w:cs="Arial"/>
        </w:rPr>
        <w:t>)</w:t>
      </w:r>
      <w:r w:rsidRPr="00DE6D1F">
        <w:rPr>
          <w:rFonts w:cs="Arial"/>
        </w:rPr>
        <w:t xml:space="preserve"> </w:t>
      </w:r>
      <w:r w:rsidR="005D5085" w:rsidRPr="00DE6D1F">
        <w:rPr>
          <w:rFonts w:cs="Arial"/>
        </w:rPr>
        <w:t>u</w:t>
      </w:r>
      <w:r w:rsidRPr="00DE6D1F">
        <w:rPr>
          <w:rFonts w:cs="Arial"/>
        </w:rPr>
        <w:t>sed the socioeco</w:t>
      </w:r>
      <w:r w:rsidR="005D5085" w:rsidRPr="00DE6D1F">
        <w:rPr>
          <w:rFonts w:cs="Arial"/>
        </w:rPr>
        <w:t>logi</w:t>
      </w:r>
      <w:r w:rsidRPr="00DE6D1F">
        <w:rPr>
          <w:rFonts w:cs="Arial"/>
        </w:rPr>
        <w:t xml:space="preserve">cal theory to </w:t>
      </w:r>
      <w:r w:rsidR="00A55597" w:rsidRPr="00DE6D1F">
        <w:rPr>
          <w:rFonts w:cs="Arial"/>
        </w:rPr>
        <w:t>explain how community resilience</w:t>
      </w:r>
      <w:r w:rsidRPr="00DE6D1F">
        <w:rPr>
          <w:rFonts w:cs="Arial"/>
        </w:rPr>
        <w:t xml:space="preserve"> against the pandemic</w:t>
      </w:r>
      <w:r w:rsidR="00A55597" w:rsidRPr="00DE6D1F">
        <w:rPr>
          <w:rFonts w:cs="Arial"/>
        </w:rPr>
        <w:t xml:space="preserve"> can be enhanced</w:t>
      </w:r>
      <w:r w:rsidRPr="00DE6D1F">
        <w:rPr>
          <w:rFonts w:cs="Arial"/>
        </w:rPr>
        <w:t xml:space="preserve">. This framework is based on the premise </w:t>
      </w:r>
      <w:r w:rsidR="005D5085" w:rsidRPr="00DE6D1F">
        <w:rPr>
          <w:rFonts w:cs="Arial"/>
        </w:rPr>
        <w:t>that</w:t>
      </w:r>
      <w:r w:rsidRPr="00DE6D1F">
        <w:rPr>
          <w:rFonts w:cs="Arial"/>
        </w:rPr>
        <w:t xml:space="preserve"> health status is shaped at multiple levels through intrapersonal</w:t>
      </w:r>
      <w:r w:rsidR="005D5085" w:rsidRPr="00DE6D1F">
        <w:rPr>
          <w:rFonts w:cs="Arial"/>
        </w:rPr>
        <w:t>,</w:t>
      </w:r>
      <w:r w:rsidRPr="00DE6D1F">
        <w:rPr>
          <w:rFonts w:cs="Arial"/>
        </w:rPr>
        <w:t xml:space="preserve"> interpersonal</w:t>
      </w:r>
      <w:r w:rsidR="005D5085" w:rsidRPr="00DE6D1F">
        <w:rPr>
          <w:rFonts w:cs="Arial"/>
        </w:rPr>
        <w:t>,</w:t>
      </w:r>
      <w:r w:rsidRPr="00DE6D1F">
        <w:rPr>
          <w:rFonts w:cs="Arial"/>
        </w:rPr>
        <w:t xml:space="preserve"> organisational and community factors. </w:t>
      </w:r>
      <w:r w:rsidR="002A0B43" w:rsidRPr="00DE6D1F">
        <w:rPr>
          <w:rFonts w:cs="Arial"/>
        </w:rPr>
        <w:t>However, these factors may significantly vary for individuals as well as societies. Here lies the limitations of the socioecological theory</w:t>
      </w:r>
      <w:r w:rsidR="00D2100B" w:rsidRPr="00DE6D1F">
        <w:rPr>
          <w:rFonts w:cs="Arial"/>
        </w:rPr>
        <w:t xml:space="preserve"> (Carmona et al., 2023; Kish et al., 2021; </w:t>
      </w:r>
      <w:proofErr w:type="spellStart"/>
      <w:r w:rsidR="00D2100B" w:rsidRPr="00DE6D1F">
        <w:rPr>
          <w:rFonts w:cs="Arial"/>
        </w:rPr>
        <w:t>Keleynikov</w:t>
      </w:r>
      <w:proofErr w:type="spellEnd"/>
      <w:r w:rsidR="00D2100B" w:rsidRPr="00DE6D1F">
        <w:rPr>
          <w:rFonts w:cs="Arial"/>
        </w:rPr>
        <w:t xml:space="preserve">, Cohen and </w:t>
      </w:r>
      <w:proofErr w:type="spellStart"/>
      <w:r w:rsidR="00D2100B" w:rsidRPr="00DE6D1F">
        <w:rPr>
          <w:rFonts w:cs="Arial"/>
        </w:rPr>
        <w:t>Benatov</w:t>
      </w:r>
      <w:proofErr w:type="spellEnd"/>
      <w:r w:rsidR="00D2100B" w:rsidRPr="00DE6D1F">
        <w:rPr>
          <w:rFonts w:cs="Arial"/>
        </w:rPr>
        <w:t>, 2024)</w:t>
      </w:r>
      <w:r w:rsidR="002A0B43" w:rsidRPr="00DE6D1F">
        <w:rPr>
          <w:rFonts w:cs="Arial"/>
        </w:rPr>
        <w:t xml:space="preserve">. </w:t>
      </w:r>
    </w:p>
    <w:p w14:paraId="020646AD" w14:textId="4A96EF9B" w:rsidR="002A0B43" w:rsidRPr="00DE6D1F" w:rsidRDefault="002A0B43" w:rsidP="00D66F31">
      <w:pPr>
        <w:rPr>
          <w:rFonts w:cs="Arial"/>
        </w:rPr>
      </w:pPr>
      <w:r w:rsidRPr="00DE6D1F">
        <w:rPr>
          <w:rFonts w:cs="Arial"/>
        </w:rPr>
        <w:t>The theory has been criticised for applying a uniform framework, overlooking social diversity and personal motivations</w:t>
      </w:r>
      <w:r w:rsidR="00DF2D4B" w:rsidRPr="00DE6D1F">
        <w:rPr>
          <w:rFonts w:cs="Arial"/>
        </w:rPr>
        <w:t xml:space="preserve"> (Fabinyi, Evans and Foale, 2014)</w:t>
      </w:r>
      <w:r w:rsidRPr="00DE6D1F">
        <w:rPr>
          <w:rFonts w:cs="Arial"/>
        </w:rPr>
        <w:t>. Additionally, the socioecological theory suffers from a subtle bias in favour of the environmental factors. This overemphasis on the ecological perspective may undervalue the role of human psychology and other micro</w:t>
      </w:r>
      <w:r w:rsidR="00765E7D" w:rsidRPr="00DE6D1F">
        <w:rPr>
          <w:rFonts w:cs="Arial"/>
        </w:rPr>
        <w:t>-level</w:t>
      </w:r>
      <w:r w:rsidRPr="00DE6D1F">
        <w:rPr>
          <w:rFonts w:cs="Arial"/>
        </w:rPr>
        <w:t xml:space="preserve"> factors</w:t>
      </w:r>
      <w:r w:rsidR="00D2100B" w:rsidRPr="00DE6D1F">
        <w:rPr>
          <w:rFonts w:cs="Arial"/>
        </w:rPr>
        <w:t xml:space="preserve"> (Igarashi et al., 2022; Dayton et al., 2022; Jang, 2022)</w:t>
      </w:r>
      <w:r w:rsidRPr="00DE6D1F">
        <w:rPr>
          <w:rFonts w:cs="Arial"/>
        </w:rPr>
        <w:t>.</w:t>
      </w:r>
      <w:r w:rsidR="00054FDE" w:rsidRPr="00DE6D1F">
        <w:rPr>
          <w:rFonts w:cs="Arial"/>
        </w:rPr>
        <w:t xml:space="preserve"> </w:t>
      </w:r>
      <w:r w:rsidR="00A55597" w:rsidRPr="00DE6D1F">
        <w:rPr>
          <w:rFonts w:cs="Arial"/>
        </w:rPr>
        <w:t>The following discussion on</w:t>
      </w:r>
      <w:r w:rsidR="00054FDE" w:rsidRPr="00DE6D1F">
        <w:rPr>
          <w:rFonts w:cs="Arial"/>
        </w:rPr>
        <w:t xml:space="preserve"> the international and local contexts of the study offers </w:t>
      </w:r>
      <w:r w:rsidR="00A55597" w:rsidRPr="00DE6D1F">
        <w:rPr>
          <w:rFonts w:cs="Arial"/>
        </w:rPr>
        <w:t>gainful</w:t>
      </w:r>
      <w:r w:rsidR="00054FDE" w:rsidRPr="00DE6D1F">
        <w:rPr>
          <w:rFonts w:cs="Arial"/>
        </w:rPr>
        <w:t xml:space="preserve"> insights into </w:t>
      </w:r>
      <w:r w:rsidR="00A55597" w:rsidRPr="00DE6D1F">
        <w:rPr>
          <w:rFonts w:cs="Arial"/>
        </w:rPr>
        <w:t xml:space="preserve">applying </w:t>
      </w:r>
      <w:r w:rsidR="00054FDE" w:rsidRPr="00DE6D1F">
        <w:rPr>
          <w:rFonts w:cs="Arial"/>
        </w:rPr>
        <w:t xml:space="preserve">these theories. </w:t>
      </w:r>
    </w:p>
    <w:p w14:paraId="3212534D" w14:textId="479194B7" w:rsidR="00890306" w:rsidRPr="00DE6D1F" w:rsidRDefault="00890306" w:rsidP="00D66F31">
      <w:pPr>
        <w:jc w:val="center"/>
        <w:rPr>
          <w:rFonts w:cs="Arial"/>
        </w:rPr>
      </w:pPr>
      <w:r w:rsidRPr="00DE6D1F">
        <w:rPr>
          <w:rFonts w:cs="Arial"/>
          <w:noProof/>
        </w:rPr>
        <w:lastRenderedPageBreak/>
        <w:drawing>
          <wp:inline distT="0" distB="0" distL="0" distR="0" wp14:anchorId="75766AB0" wp14:editId="67ACAF49">
            <wp:extent cx="4614132" cy="3574473"/>
            <wp:effectExtent l="0" t="0" r="0" b="6985"/>
            <wp:docPr id="1140756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4499" cy="3590251"/>
                    </a:xfrm>
                    <a:prstGeom prst="rect">
                      <a:avLst/>
                    </a:prstGeom>
                    <a:noFill/>
                    <a:ln>
                      <a:noFill/>
                    </a:ln>
                  </pic:spPr>
                </pic:pic>
              </a:graphicData>
            </a:graphic>
          </wp:inline>
        </w:drawing>
      </w:r>
    </w:p>
    <w:p w14:paraId="49F01B23" w14:textId="307E0FDE" w:rsidR="00890306" w:rsidRPr="00A0541D" w:rsidRDefault="00890306" w:rsidP="00D66F31">
      <w:pPr>
        <w:jc w:val="center"/>
        <w:rPr>
          <w:rFonts w:cs="Arial"/>
          <w:b/>
          <w:bCs/>
          <w:sz w:val="24"/>
          <w:szCs w:val="24"/>
        </w:rPr>
      </w:pPr>
      <w:r w:rsidRPr="00A0541D">
        <w:rPr>
          <w:rFonts w:cs="Arial"/>
          <w:b/>
          <w:bCs/>
          <w:sz w:val="24"/>
          <w:szCs w:val="24"/>
        </w:rPr>
        <w:t xml:space="preserve">Figure 1: The Socioecological Theory </w:t>
      </w:r>
    </w:p>
    <w:p w14:paraId="28C2F5B0" w14:textId="19DADEE0" w:rsidR="00890306" w:rsidRPr="00A0541D" w:rsidRDefault="00890306" w:rsidP="00D66F31">
      <w:pPr>
        <w:jc w:val="center"/>
        <w:rPr>
          <w:rFonts w:cs="Arial"/>
          <w:sz w:val="24"/>
          <w:szCs w:val="24"/>
        </w:rPr>
      </w:pPr>
      <w:r w:rsidRPr="00A0541D">
        <w:rPr>
          <w:rFonts w:cs="Arial"/>
          <w:sz w:val="24"/>
          <w:szCs w:val="24"/>
        </w:rPr>
        <w:t>Source: Lee et al., 2017</w:t>
      </w:r>
    </w:p>
    <w:p w14:paraId="3B82223E" w14:textId="0A686604" w:rsidR="009E30EF" w:rsidRPr="00DE6D1F" w:rsidRDefault="009E30EF" w:rsidP="00D66F31">
      <w:pPr>
        <w:pStyle w:val="Heading2"/>
        <w:rPr>
          <w:rStyle w:val="normaltextrun"/>
          <w:rFonts w:ascii="Arial" w:hAnsi="Arial"/>
        </w:rPr>
      </w:pPr>
      <w:bookmarkStart w:id="15" w:name="_Toc223650638"/>
      <w:r w:rsidRPr="00DE6D1F">
        <w:rPr>
          <w:rStyle w:val="normaltextrun"/>
          <w:rFonts w:ascii="Arial" w:hAnsi="Arial"/>
        </w:rPr>
        <w:t>2.4 International Context</w:t>
      </w:r>
      <w:bookmarkEnd w:id="15"/>
    </w:p>
    <w:p w14:paraId="6EBEFD02" w14:textId="5776E12C" w:rsidR="008B5DB1" w:rsidRPr="00DE6D1F" w:rsidRDefault="008B5DB1" w:rsidP="00D66F31">
      <w:pPr>
        <w:rPr>
          <w:rFonts w:cs="Arial"/>
        </w:rPr>
      </w:pPr>
      <w:r w:rsidRPr="00DE6D1F">
        <w:rPr>
          <w:rFonts w:cs="Arial"/>
        </w:rPr>
        <w:t>Across the world</w:t>
      </w:r>
      <w:r w:rsidR="008C76F7" w:rsidRPr="00DE6D1F">
        <w:rPr>
          <w:rFonts w:cs="Arial"/>
        </w:rPr>
        <w:t>,</w:t>
      </w:r>
      <w:r w:rsidRPr="00DE6D1F">
        <w:rPr>
          <w:rFonts w:cs="Arial"/>
        </w:rPr>
        <w:t xml:space="preserve"> ethnic minorities and indigenous </w:t>
      </w:r>
      <w:r w:rsidR="0023531F" w:rsidRPr="00DE6D1F">
        <w:rPr>
          <w:rFonts w:cs="Arial"/>
        </w:rPr>
        <w:t>communities</w:t>
      </w:r>
      <w:r w:rsidRPr="00DE6D1F">
        <w:rPr>
          <w:rFonts w:cs="Arial"/>
        </w:rPr>
        <w:t xml:space="preserve"> were </w:t>
      </w:r>
      <w:r w:rsidR="008C76F7" w:rsidRPr="00DE6D1F">
        <w:rPr>
          <w:rFonts w:cs="Arial"/>
        </w:rPr>
        <w:t xml:space="preserve">the </w:t>
      </w:r>
      <w:r w:rsidRPr="00DE6D1F">
        <w:rPr>
          <w:rFonts w:cs="Arial"/>
        </w:rPr>
        <w:t xml:space="preserve">worst affected by the pandemic. Existing research, particularly in the global </w:t>
      </w:r>
      <w:r w:rsidR="008C76F7" w:rsidRPr="00DE6D1F">
        <w:rPr>
          <w:rFonts w:cs="Arial"/>
        </w:rPr>
        <w:t>north,</w:t>
      </w:r>
      <w:r w:rsidRPr="00DE6D1F">
        <w:rPr>
          <w:rFonts w:cs="Arial"/>
        </w:rPr>
        <w:t xml:space="preserve"> </w:t>
      </w:r>
      <w:r w:rsidR="0023531F" w:rsidRPr="00DE6D1F">
        <w:rPr>
          <w:rFonts w:cs="Arial"/>
        </w:rPr>
        <w:t>explains</w:t>
      </w:r>
      <w:r w:rsidRPr="00DE6D1F">
        <w:rPr>
          <w:rFonts w:cs="Arial"/>
        </w:rPr>
        <w:t xml:space="preserve"> </w:t>
      </w:r>
      <w:r w:rsidR="0023531F" w:rsidRPr="00DE6D1F">
        <w:rPr>
          <w:rFonts w:cs="Arial"/>
        </w:rPr>
        <w:t>how the</w:t>
      </w:r>
      <w:r w:rsidRPr="00DE6D1F">
        <w:rPr>
          <w:rFonts w:cs="Arial"/>
        </w:rPr>
        <w:t xml:space="preserve"> minorities were at a greater risk of infection from the virus</w:t>
      </w:r>
      <w:r w:rsidR="00D2100B" w:rsidRPr="00DE6D1F">
        <w:rPr>
          <w:rFonts w:cs="Arial"/>
        </w:rPr>
        <w:t xml:space="preserve"> (</w:t>
      </w:r>
      <w:proofErr w:type="spellStart"/>
      <w:r w:rsidR="00D2100B" w:rsidRPr="00DE6D1F">
        <w:rPr>
          <w:rFonts w:cs="Arial"/>
        </w:rPr>
        <w:t>Schuklenk</w:t>
      </w:r>
      <w:proofErr w:type="spellEnd"/>
      <w:r w:rsidR="00D2100B" w:rsidRPr="00DE6D1F">
        <w:rPr>
          <w:rFonts w:cs="Arial"/>
        </w:rPr>
        <w:t>, 2020)</w:t>
      </w:r>
      <w:r w:rsidRPr="00DE6D1F">
        <w:rPr>
          <w:rFonts w:cs="Arial"/>
        </w:rPr>
        <w:t xml:space="preserve">. The reasons for this disproportionate impact </w:t>
      </w:r>
      <w:r w:rsidR="008C76F7" w:rsidRPr="00DE6D1F">
        <w:rPr>
          <w:rFonts w:cs="Arial"/>
        </w:rPr>
        <w:t>include</w:t>
      </w:r>
      <w:r w:rsidRPr="00DE6D1F">
        <w:rPr>
          <w:rFonts w:cs="Arial"/>
        </w:rPr>
        <w:t xml:space="preserve"> unequal employment, overcrowded </w:t>
      </w:r>
      <w:r w:rsidR="0023531F" w:rsidRPr="00DE6D1F">
        <w:rPr>
          <w:rFonts w:cs="Arial"/>
        </w:rPr>
        <w:t>living</w:t>
      </w:r>
      <w:r w:rsidRPr="00DE6D1F">
        <w:rPr>
          <w:rFonts w:cs="Arial"/>
        </w:rPr>
        <w:t xml:space="preserve">, poor health care and social discrimination. For </w:t>
      </w:r>
      <w:r w:rsidR="0023531F" w:rsidRPr="00DE6D1F">
        <w:rPr>
          <w:rFonts w:cs="Arial"/>
        </w:rPr>
        <w:t>instance</w:t>
      </w:r>
      <w:r w:rsidRPr="00DE6D1F">
        <w:rPr>
          <w:rFonts w:cs="Arial"/>
        </w:rPr>
        <w:t xml:space="preserve">, in the US, the pandemic affected </w:t>
      </w:r>
      <w:r w:rsidR="008C76F7" w:rsidRPr="00DE6D1F">
        <w:rPr>
          <w:rFonts w:cs="Arial"/>
        </w:rPr>
        <w:t>l</w:t>
      </w:r>
      <w:r w:rsidRPr="00DE6D1F">
        <w:rPr>
          <w:rFonts w:cs="Arial"/>
        </w:rPr>
        <w:t>ivelihoods, health care, food supply and educational services</w:t>
      </w:r>
      <w:r w:rsidR="008C76F7" w:rsidRPr="00DE6D1F">
        <w:rPr>
          <w:rFonts w:cs="Arial"/>
        </w:rPr>
        <w:t xml:space="preserve"> for the minorities</w:t>
      </w:r>
      <w:r w:rsidR="00D2100B" w:rsidRPr="00DE6D1F">
        <w:rPr>
          <w:rFonts w:cs="Arial"/>
        </w:rPr>
        <w:t xml:space="preserve"> (</w:t>
      </w:r>
      <w:proofErr w:type="spellStart"/>
      <w:r w:rsidR="00D2100B" w:rsidRPr="00DE6D1F">
        <w:rPr>
          <w:rFonts w:cs="Arial"/>
        </w:rPr>
        <w:t>Hooijer</w:t>
      </w:r>
      <w:proofErr w:type="spellEnd"/>
      <w:r w:rsidR="00D2100B" w:rsidRPr="00DE6D1F">
        <w:rPr>
          <w:rFonts w:cs="Arial"/>
        </w:rPr>
        <w:t xml:space="preserve"> and King, 2022)</w:t>
      </w:r>
      <w:r w:rsidR="008C76F7" w:rsidRPr="00DE6D1F">
        <w:rPr>
          <w:rFonts w:cs="Arial"/>
        </w:rPr>
        <w:t>.</w:t>
      </w:r>
      <w:r w:rsidRPr="00DE6D1F">
        <w:rPr>
          <w:rFonts w:cs="Arial"/>
        </w:rPr>
        <w:t xml:space="preserve"> </w:t>
      </w:r>
      <w:r w:rsidR="0023531F" w:rsidRPr="00DE6D1F">
        <w:rPr>
          <w:rFonts w:cs="Arial"/>
        </w:rPr>
        <w:t>Comparatively</w:t>
      </w:r>
      <w:r w:rsidRPr="00DE6D1F">
        <w:rPr>
          <w:rFonts w:cs="Arial"/>
        </w:rPr>
        <w:t xml:space="preserve">, the disproportionate impact of the pandemic was more severe for the disabled in the global south. This was especially true for the poor countries of Asia and Africa. Similarly, the pandemic </w:t>
      </w:r>
      <w:r w:rsidR="0023531F" w:rsidRPr="00DE6D1F">
        <w:rPr>
          <w:rFonts w:cs="Arial"/>
        </w:rPr>
        <w:t>revealed the</w:t>
      </w:r>
      <w:r w:rsidRPr="00DE6D1F">
        <w:rPr>
          <w:rFonts w:cs="Arial"/>
        </w:rPr>
        <w:t xml:space="preserve"> </w:t>
      </w:r>
      <w:r w:rsidR="008C76F7" w:rsidRPr="00DE6D1F">
        <w:rPr>
          <w:rFonts w:cs="Arial"/>
        </w:rPr>
        <w:t>l</w:t>
      </w:r>
      <w:r w:rsidRPr="00DE6D1F">
        <w:rPr>
          <w:rFonts w:cs="Arial"/>
        </w:rPr>
        <w:t xml:space="preserve">imited access to health services for minorities in Latin America. </w:t>
      </w:r>
      <w:r w:rsidR="0023531F" w:rsidRPr="00DE6D1F">
        <w:rPr>
          <w:rFonts w:cs="Arial"/>
        </w:rPr>
        <w:t>S</w:t>
      </w:r>
      <w:r w:rsidRPr="00DE6D1F">
        <w:rPr>
          <w:rFonts w:cs="Arial"/>
        </w:rPr>
        <w:t>ocial discrimination, particularly in the form of racism, xenophobia and scapegoating, deserves a special mention. While the global south was mainly struggling with health infrastructure, containment measures in Western countries had a discriminatory impact on the marginalised groups</w:t>
      </w:r>
      <w:r w:rsidR="00D2100B" w:rsidRPr="00DE6D1F">
        <w:rPr>
          <w:rFonts w:cs="Arial"/>
        </w:rPr>
        <w:t xml:space="preserve"> (Ndlovu-</w:t>
      </w:r>
      <w:proofErr w:type="spellStart"/>
      <w:r w:rsidR="00D2100B" w:rsidRPr="00DE6D1F">
        <w:rPr>
          <w:rFonts w:cs="Arial"/>
        </w:rPr>
        <w:t>Gatsheni</w:t>
      </w:r>
      <w:proofErr w:type="spellEnd"/>
      <w:r w:rsidR="00D2100B" w:rsidRPr="00DE6D1F">
        <w:rPr>
          <w:rFonts w:cs="Arial"/>
        </w:rPr>
        <w:t>, 2020)</w:t>
      </w:r>
      <w:r w:rsidRPr="00DE6D1F">
        <w:rPr>
          <w:rFonts w:cs="Arial"/>
        </w:rPr>
        <w:t>. Asylum seekers</w:t>
      </w:r>
      <w:r w:rsidR="008C76F7" w:rsidRPr="00DE6D1F">
        <w:rPr>
          <w:rFonts w:cs="Arial"/>
        </w:rPr>
        <w:t>,</w:t>
      </w:r>
      <w:r w:rsidRPr="00DE6D1F">
        <w:rPr>
          <w:rFonts w:cs="Arial"/>
        </w:rPr>
        <w:t xml:space="preserve"> refugees and migrants were detained or deported </w:t>
      </w:r>
      <w:r w:rsidR="008C76F7" w:rsidRPr="00DE6D1F">
        <w:rPr>
          <w:rFonts w:cs="Arial"/>
        </w:rPr>
        <w:t xml:space="preserve">to contain the infection. </w:t>
      </w:r>
      <w:r w:rsidR="00690BDE" w:rsidRPr="00DE6D1F">
        <w:rPr>
          <w:rFonts w:cs="Arial"/>
        </w:rPr>
        <w:t xml:space="preserve">On the other hand, the multicultural countries in Asia adopted a more inclusive approach to </w:t>
      </w:r>
      <w:r w:rsidR="00690BDE" w:rsidRPr="00DE6D1F">
        <w:rPr>
          <w:rFonts w:cs="Arial"/>
        </w:rPr>
        <w:lastRenderedPageBreak/>
        <w:t>containing the virus. This included nationwide vaccination programmes for all citizens in countries such as India</w:t>
      </w:r>
      <w:r w:rsidR="00D2100B" w:rsidRPr="00DE6D1F">
        <w:rPr>
          <w:rFonts w:cs="Arial"/>
        </w:rPr>
        <w:t xml:space="preserve"> (Kumar et al., 2023)</w:t>
      </w:r>
      <w:r w:rsidR="00690BDE" w:rsidRPr="00DE6D1F">
        <w:rPr>
          <w:rFonts w:cs="Arial"/>
        </w:rPr>
        <w:t>.</w:t>
      </w:r>
      <w:r w:rsidR="00F05CFB" w:rsidRPr="00DE6D1F">
        <w:rPr>
          <w:rFonts w:cs="Arial"/>
        </w:rPr>
        <w:t xml:space="preserve"> Some case studies would further illustrate the differences in containment measures across countries. </w:t>
      </w:r>
    </w:p>
    <w:p w14:paraId="2393709E" w14:textId="05386936" w:rsidR="00F05CFB" w:rsidRPr="00DE6D1F" w:rsidRDefault="00F05CFB" w:rsidP="00D66F31">
      <w:pPr>
        <w:rPr>
          <w:rFonts w:cs="Arial"/>
        </w:rPr>
      </w:pPr>
      <w:r w:rsidRPr="00DE6D1F">
        <w:rPr>
          <w:rFonts w:cs="Arial"/>
        </w:rPr>
        <w:t>A Washington Post study revealed that the rate of infection in black majority counties was three times higher than in those where the majority were white</w:t>
      </w:r>
      <w:r w:rsidR="00AA0ADE" w:rsidRPr="00DE6D1F">
        <w:rPr>
          <w:rFonts w:cs="Arial"/>
        </w:rPr>
        <w:t xml:space="preserve"> (Saba, 2020)</w:t>
      </w:r>
      <w:r w:rsidRPr="00DE6D1F">
        <w:rPr>
          <w:rFonts w:cs="Arial"/>
        </w:rPr>
        <w:t>. Similarly, the proportion of deaths was almost six times higher in black majority counties than the</w:t>
      </w:r>
      <w:r w:rsidR="00C23D68" w:rsidRPr="00DE6D1F">
        <w:rPr>
          <w:rFonts w:cs="Arial"/>
        </w:rPr>
        <w:t xml:space="preserve"> </w:t>
      </w:r>
      <w:r w:rsidRPr="00DE6D1F">
        <w:rPr>
          <w:rFonts w:cs="Arial"/>
        </w:rPr>
        <w:t>white majority counties. Despite some success in containing the pandemic at the national level, the black communities in Chicago suffer 70% fatalities</w:t>
      </w:r>
      <w:r w:rsidR="00D2100B" w:rsidRPr="00DE6D1F">
        <w:rPr>
          <w:rFonts w:cs="Arial"/>
        </w:rPr>
        <w:t xml:space="preserve"> (</w:t>
      </w:r>
      <w:proofErr w:type="spellStart"/>
      <w:r w:rsidR="00D2100B" w:rsidRPr="00DE6D1F">
        <w:rPr>
          <w:rFonts w:cs="Arial"/>
        </w:rPr>
        <w:t>Campedelli</w:t>
      </w:r>
      <w:proofErr w:type="spellEnd"/>
      <w:r w:rsidR="00D2100B" w:rsidRPr="00DE6D1F">
        <w:rPr>
          <w:rFonts w:cs="Arial"/>
        </w:rPr>
        <w:t xml:space="preserve"> et al., 2020)</w:t>
      </w:r>
      <w:r w:rsidRPr="00DE6D1F">
        <w:rPr>
          <w:rFonts w:cs="Arial"/>
        </w:rPr>
        <w:t>. Likewise, another case study contrasts the limited success of containment measures for the mainstream population in Brazil with the devastating impact on the indigenous people</w:t>
      </w:r>
      <w:r w:rsidR="00AA0ADE" w:rsidRPr="00DE6D1F">
        <w:rPr>
          <w:rFonts w:cs="Arial"/>
        </w:rPr>
        <w:t xml:space="preserve"> (Saba, 2020)</w:t>
      </w:r>
      <w:r w:rsidRPr="00DE6D1F">
        <w:rPr>
          <w:rFonts w:cs="Arial"/>
        </w:rPr>
        <w:t xml:space="preserve">. Their mortality rate </w:t>
      </w:r>
      <w:r w:rsidR="0023531F" w:rsidRPr="00DE6D1F">
        <w:rPr>
          <w:rFonts w:cs="Arial"/>
        </w:rPr>
        <w:t>from COVID-19</w:t>
      </w:r>
      <w:r w:rsidRPr="00DE6D1F">
        <w:rPr>
          <w:rFonts w:cs="Arial"/>
        </w:rPr>
        <w:t xml:space="preserve"> was almost double the national average. The </w:t>
      </w:r>
      <w:r w:rsidR="0023531F" w:rsidRPr="00DE6D1F">
        <w:rPr>
          <w:rFonts w:cs="Arial"/>
        </w:rPr>
        <w:t>containment</w:t>
      </w:r>
      <w:r w:rsidRPr="00DE6D1F">
        <w:rPr>
          <w:rFonts w:cs="Arial"/>
        </w:rPr>
        <w:t xml:space="preserve"> measures in Brazil were particularly unsuccessful in saving the lives of older indigenous leaders</w:t>
      </w:r>
      <w:r w:rsidR="00AA0ADE" w:rsidRPr="00DE6D1F">
        <w:rPr>
          <w:rFonts w:cs="Arial"/>
        </w:rPr>
        <w:t xml:space="preserve"> (Saba, 2020)</w:t>
      </w:r>
      <w:r w:rsidRPr="00DE6D1F">
        <w:rPr>
          <w:rFonts w:cs="Arial"/>
        </w:rPr>
        <w:t xml:space="preserve">. Historically, these leaders </w:t>
      </w:r>
      <w:r w:rsidR="0023531F" w:rsidRPr="00DE6D1F">
        <w:rPr>
          <w:rFonts w:cs="Arial"/>
        </w:rPr>
        <w:t>preserved</w:t>
      </w:r>
      <w:r w:rsidRPr="00DE6D1F">
        <w:rPr>
          <w:rFonts w:cs="Arial"/>
        </w:rPr>
        <w:t xml:space="preserve"> the indigenous culture and spiritual traditions. Investigative reports from Brazil further </w:t>
      </w:r>
      <w:r w:rsidR="0023531F" w:rsidRPr="00DE6D1F">
        <w:rPr>
          <w:rFonts w:cs="Arial"/>
        </w:rPr>
        <w:t>indicate</w:t>
      </w:r>
      <w:r w:rsidRPr="00DE6D1F">
        <w:rPr>
          <w:rFonts w:cs="Arial"/>
        </w:rPr>
        <w:t xml:space="preserve"> how the encroachment of extractive industries increased the vulnerability of the minorities to the virus. </w:t>
      </w:r>
    </w:p>
    <w:p w14:paraId="739736D0" w14:textId="1BF94911" w:rsidR="009E30EF" w:rsidRPr="00DE6D1F" w:rsidRDefault="009E30EF" w:rsidP="00D66F31">
      <w:pPr>
        <w:pStyle w:val="Heading2"/>
        <w:rPr>
          <w:rStyle w:val="normaltextrun"/>
          <w:rFonts w:ascii="Arial" w:hAnsi="Arial"/>
        </w:rPr>
      </w:pPr>
      <w:bookmarkStart w:id="16" w:name="_Toc223650639"/>
      <w:r w:rsidRPr="00DE6D1F">
        <w:rPr>
          <w:rStyle w:val="normaltextrun"/>
          <w:rFonts w:ascii="Arial" w:hAnsi="Arial"/>
        </w:rPr>
        <w:t xml:space="preserve">2.5 </w:t>
      </w:r>
      <w:r w:rsidR="002E61F2" w:rsidRPr="00DE6D1F">
        <w:rPr>
          <w:rStyle w:val="normaltextrun"/>
          <w:rFonts w:ascii="Arial" w:hAnsi="Arial"/>
        </w:rPr>
        <w:t>Local</w:t>
      </w:r>
      <w:r w:rsidRPr="00DE6D1F">
        <w:rPr>
          <w:rStyle w:val="normaltextrun"/>
          <w:rFonts w:ascii="Arial" w:hAnsi="Arial"/>
        </w:rPr>
        <w:t xml:space="preserve"> Context</w:t>
      </w:r>
      <w:bookmarkEnd w:id="16"/>
    </w:p>
    <w:p w14:paraId="08A7FCCD" w14:textId="5CA472FB" w:rsidR="009312CA" w:rsidRPr="00DE6D1F" w:rsidRDefault="003827E5" w:rsidP="00D66F31">
      <w:pPr>
        <w:rPr>
          <w:rFonts w:cs="Arial"/>
        </w:rPr>
      </w:pPr>
      <w:r w:rsidRPr="00DE6D1F">
        <w:rPr>
          <w:rFonts w:cs="Arial"/>
        </w:rPr>
        <w:t>The CRT’s broader focus on structural forces complements the microanalysis of the socio</w:t>
      </w:r>
      <w:r w:rsidR="00890306" w:rsidRPr="00DE6D1F">
        <w:rPr>
          <w:rFonts w:cs="Arial"/>
        </w:rPr>
        <w:t>eco</w:t>
      </w:r>
      <w:r w:rsidRPr="00DE6D1F">
        <w:rPr>
          <w:rFonts w:cs="Arial"/>
        </w:rPr>
        <w:t xml:space="preserve">logical theory to understand causalities in local contexts. For example, this synthesis is beneficial in explaining how long-standing experiences of racial discrimination contribute to the vaccine hesitancy of specific communities. </w:t>
      </w:r>
      <w:r w:rsidR="00495AB4" w:rsidRPr="00DE6D1F">
        <w:rPr>
          <w:rFonts w:cs="Arial"/>
        </w:rPr>
        <w:t xml:space="preserve">The pandemic’s </w:t>
      </w:r>
      <w:r w:rsidR="0023531F" w:rsidRPr="00DE6D1F">
        <w:rPr>
          <w:rFonts w:cs="Arial"/>
        </w:rPr>
        <w:t>unequal</w:t>
      </w:r>
      <w:r w:rsidR="00495AB4" w:rsidRPr="00DE6D1F">
        <w:rPr>
          <w:rFonts w:cs="Arial"/>
        </w:rPr>
        <w:t xml:space="preserve"> impact on the minorities was widely debated by academics, professionals and policymakers in the UK. However, this issue surfaced later as government bodies and health agencies initially focused on a national strategy to contain the virus. Manchester and Leicester Universities collaborated with the WHO to systematically study health inequity among ethnic minorities</w:t>
      </w:r>
      <w:r w:rsidR="00136951" w:rsidRPr="00DE6D1F">
        <w:rPr>
          <w:rFonts w:cs="Arial"/>
        </w:rPr>
        <w:t xml:space="preserve"> (Stafford, 2024)</w:t>
      </w:r>
      <w:r w:rsidR="00495AB4" w:rsidRPr="00DE6D1F">
        <w:rPr>
          <w:rFonts w:cs="Arial"/>
        </w:rPr>
        <w:t xml:space="preserve">. Consequently, sections of society raised concerns over the high proportion of individuals from the minorities in worker roles. Asian minorities were especially vulnerable to death from infection due to inadequate healthcare. They were subjected to delayed diagnosis and treatment as a consequence of unemployment, poverty and cultural barriers. The challenges of segregating these communities further intensified the disproportionate socioeconomic impact of the pandemic. </w:t>
      </w:r>
      <w:r w:rsidR="00662C26" w:rsidRPr="00DE6D1F">
        <w:rPr>
          <w:rFonts w:cs="Arial"/>
        </w:rPr>
        <w:t>Another report on the topic indicated that the vulnerability of the ethnic groups to the virus in the UK was as high as 88%</w:t>
      </w:r>
      <w:r w:rsidR="00D2100B" w:rsidRPr="00DE6D1F">
        <w:rPr>
          <w:rFonts w:cs="Arial"/>
        </w:rPr>
        <w:t xml:space="preserve"> (Mathur et al., 2020)</w:t>
      </w:r>
      <w:r w:rsidR="00662C26" w:rsidRPr="00DE6D1F">
        <w:rPr>
          <w:rFonts w:cs="Arial"/>
        </w:rPr>
        <w:t xml:space="preserve">. By April 2022, the Asian minorities </w:t>
      </w:r>
      <w:r w:rsidR="0023531F" w:rsidRPr="00DE6D1F">
        <w:rPr>
          <w:rFonts w:cs="Arial"/>
        </w:rPr>
        <w:t>experienced</w:t>
      </w:r>
      <w:r w:rsidR="00662C26" w:rsidRPr="00DE6D1F">
        <w:rPr>
          <w:rFonts w:cs="Arial"/>
        </w:rPr>
        <w:t xml:space="preserve"> more than 10,500 excess deaths. The Asians</w:t>
      </w:r>
      <w:r w:rsidR="00F724D4" w:rsidRPr="00DE6D1F">
        <w:rPr>
          <w:rFonts w:cs="Arial"/>
        </w:rPr>
        <w:t>,</w:t>
      </w:r>
      <w:r w:rsidR="00662C26" w:rsidRPr="00DE6D1F">
        <w:rPr>
          <w:rFonts w:cs="Arial"/>
        </w:rPr>
        <w:t xml:space="preserve"> </w:t>
      </w:r>
      <w:r w:rsidR="0023531F" w:rsidRPr="00DE6D1F">
        <w:rPr>
          <w:rFonts w:cs="Arial"/>
        </w:rPr>
        <w:t>particularly</w:t>
      </w:r>
      <w:r w:rsidR="00F724D4" w:rsidRPr="00DE6D1F">
        <w:rPr>
          <w:rFonts w:cs="Arial"/>
        </w:rPr>
        <w:t>,</w:t>
      </w:r>
      <w:r w:rsidR="00662C26" w:rsidRPr="00DE6D1F">
        <w:rPr>
          <w:rFonts w:cs="Arial"/>
        </w:rPr>
        <w:t xml:space="preserve"> had a 23% higher risk of excess deaths </w:t>
      </w:r>
      <w:r w:rsidR="00662C26" w:rsidRPr="00DE6D1F">
        <w:rPr>
          <w:rFonts w:cs="Arial"/>
        </w:rPr>
        <w:lastRenderedPageBreak/>
        <w:t>than other minorities</w:t>
      </w:r>
      <w:r w:rsidR="0005034B" w:rsidRPr="00DE6D1F">
        <w:rPr>
          <w:rFonts w:cs="Arial"/>
        </w:rPr>
        <w:t xml:space="preserve"> (UCL, 2023)</w:t>
      </w:r>
      <w:r w:rsidR="00662C26" w:rsidRPr="00DE6D1F">
        <w:rPr>
          <w:rFonts w:cs="Arial"/>
        </w:rPr>
        <w:t xml:space="preserve">. </w:t>
      </w:r>
      <w:r w:rsidR="0023531F" w:rsidRPr="00DE6D1F">
        <w:rPr>
          <w:rFonts w:cs="Arial"/>
        </w:rPr>
        <w:t>Issues related to</w:t>
      </w:r>
      <w:r w:rsidR="00662C26" w:rsidRPr="00DE6D1F">
        <w:rPr>
          <w:rFonts w:cs="Arial"/>
        </w:rPr>
        <w:t xml:space="preserve"> sick pay, support schemes and vaccination were identified as the </w:t>
      </w:r>
      <w:r w:rsidR="0023531F" w:rsidRPr="00DE6D1F">
        <w:rPr>
          <w:rFonts w:cs="Arial"/>
        </w:rPr>
        <w:t>main challenges for</w:t>
      </w:r>
      <w:r w:rsidR="00662C26" w:rsidRPr="00DE6D1F">
        <w:rPr>
          <w:rFonts w:cs="Arial"/>
        </w:rPr>
        <w:t xml:space="preserve"> these minorities</w:t>
      </w:r>
      <w:r w:rsidR="00D2100B" w:rsidRPr="00DE6D1F">
        <w:rPr>
          <w:rFonts w:cs="Arial"/>
        </w:rPr>
        <w:t xml:space="preserve"> (Patel et al., 2023)</w:t>
      </w:r>
      <w:r w:rsidR="00662C26" w:rsidRPr="00DE6D1F">
        <w:rPr>
          <w:rFonts w:cs="Arial"/>
        </w:rPr>
        <w:t xml:space="preserve">. In response to these findings, a joint report of academic institutions and government agencies </w:t>
      </w:r>
      <w:r w:rsidR="0023531F" w:rsidRPr="00DE6D1F">
        <w:rPr>
          <w:rFonts w:cs="Arial"/>
        </w:rPr>
        <w:t>developed</w:t>
      </w:r>
      <w:r w:rsidR="00662C26" w:rsidRPr="00DE6D1F">
        <w:rPr>
          <w:rFonts w:cs="Arial"/>
        </w:rPr>
        <w:t xml:space="preserve"> a list of targeted interventions. </w:t>
      </w:r>
    </w:p>
    <w:p w14:paraId="48A6C83D" w14:textId="732935E7" w:rsidR="00F724D4" w:rsidRPr="00DE6D1F" w:rsidRDefault="00F724D4" w:rsidP="00D66F31">
      <w:pPr>
        <w:rPr>
          <w:rFonts w:cs="Arial"/>
        </w:rPr>
      </w:pPr>
      <w:r w:rsidRPr="00DE6D1F">
        <w:rPr>
          <w:rFonts w:cs="Arial"/>
        </w:rPr>
        <w:t xml:space="preserve">The report's recommendations </w:t>
      </w:r>
      <w:r w:rsidR="0023531F" w:rsidRPr="00DE6D1F">
        <w:rPr>
          <w:rFonts w:cs="Arial"/>
        </w:rPr>
        <w:t>emphasised raising</w:t>
      </w:r>
      <w:r w:rsidRPr="00DE6D1F">
        <w:rPr>
          <w:rFonts w:cs="Arial"/>
        </w:rPr>
        <w:t xml:space="preserve"> awareness of the devastation caused by the pandemic among the ethnic minorities</w:t>
      </w:r>
      <w:r w:rsidR="0005034B" w:rsidRPr="00DE6D1F">
        <w:rPr>
          <w:rFonts w:cs="Arial"/>
        </w:rPr>
        <w:t xml:space="preserve"> (UCL, 2023)</w:t>
      </w:r>
      <w:r w:rsidRPr="00DE6D1F">
        <w:rPr>
          <w:rFonts w:cs="Arial"/>
        </w:rPr>
        <w:t xml:space="preserve">. </w:t>
      </w:r>
      <w:r w:rsidR="0023531F" w:rsidRPr="00DE6D1F">
        <w:rPr>
          <w:rFonts w:cs="Arial"/>
        </w:rPr>
        <w:t>Additionally</w:t>
      </w:r>
      <w:r w:rsidRPr="00DE6D1F">
        <w:rPr>
          <w:rFonts w:cs="Arial"/>
        </w:rPr>
        <w:t xml:space="preserve">, participatory and accessible sick pay policies for minorities were suggested. The overall </w:t>
      </w:r>
      <w:r w:rsidR="0023531F" w:rsidRPr="00DE6D1F">
        <w:rPr>
          <w:rFonts w:cs="Arial"/>
        </w:rPr>
        <w:t>purpose</w:t>
      </w:r>
      <w:r w:rsidRPr="00DE6D1F">
        <w:rPr>
          <w:rFonts w:cs="Arial"/>
        </w:rPr>
        <w:t xml:space="preserve"> of such measures was to enhance </w:t>
      </w:r>
      <w:r w:rsidR="0023531F" w:rsidRPr="00DE6D1F">
        <w:rPr>
          <w:rFonts w:cs="Arial"/>
        </w:rPr>
        <w:t xml:space="preserve">the </w:t>
      </w:r>
      <w:r w:rsidRPr="00DE6D1F">
        <w:rPr>
          <w:rFonts w:cs="Arial"/>
        </w:rPr>
        <w:t xml:space="preserve">financial security </w:t>
      </w:r>
      <w:r w:rsidR="0023531F" w:rsidRPr="00DE6D1F">
        <w:rPr>
          <w:rFonts w:cs="Arial"/>
        </w:rPr>
        <w:t>of</w:t>
      </w:r>
      <w:r w:rsidRPr="00DE6D1F">
        <w:rPr>
          <w:rFonts w:cs="Arial"/>
        </w:rPr>
        <w:t xml:space="preserve"> employees</w:t>
      </w:r>
      <w:r w:rsidR="0023531F" w:rsidRPr="00DE6D1F">
        <w:rPr>
          <w:rFonts w:cs="Arial"/>
        </w:rPr>
        <w:t xml:space="preserve"> from all</w:t>
      </w:r>
      <w:r w:rsidRPr="00DE6D1F">
        <w:rPr>
          <w:rFonts w:cs="Arial"/>
        </w:rPr>
        <w:t xml:space="preserve"> </w:t>
      </w:r>
      <w:r w:rsidR="0023531F" w:rsidRPr="00DE6D1F">
        <w:rPr>
          <w:rFonts w:cs="Arial"/>
        </w:rPr>
        <w:t>backgrounds, including immigrants</w:t>
      </w:r>
      <w:r w:rsidRPr="00DE6D1F">
        <w:rPr>
          <w:rFonts w:cs="Arial"/>
        </w:rPr>
        <w:t>. Holistic initiatives were further announced to help minority families facing socioeconomic challenges. This was supported by equitable vaccination and awareness campaigns among the minorities to reduce vaccine hesitancy</w:t>
      </w:r>
      <w:r w:rsidR="00D2100B" w:rsidRPr="00DE6D1F">
        <w:rPr>
          <w:rFonts w:cs="Arial"/>
        </w:rPr>
        <w:t xml:space="preserve"> (Loomba et al., 2021</w:t>
      </w:r>
      <w:r w:rsidR="003F3105" w:rsidRPr="00DE6D1F">
        <w:rPr>
          <w:rFonts w:cs="Arial"/>
        </w:rPr>
        <w:t>; Freeman et al., 2021; Pritchard et al., 2021</w:t>
      </w:r>
      <w:r w:rsidR="00D2100B" w:rsidRPr="00DE6D1F">
        <w:rPr>
          <w:rFonts w:cs="Arial"/>
        </w:rPr>
        <w:t>)</w:t>
      </w:r>
      <w:r w:rsidRPr="00DE6D1F">
        <w:rPr>
          <w:rFonts w:cs="Arial"/>
        </w:rPr>
        <w:t xml:space="preserve">. At this stage, the government emphasised building trust through equal protection against the pandemic. </w:t>
      </w:r>
      <w:r w:rsidR="00C23D68" w:rsidRPr="00DE6D1F">
        <w:rPr>
          <w:rFonts w:cs="Arial"/>
        </w:rPr>
        <w:t xml:space="preserve">The increasing awareness of the pandemic’s disproportionate impact also influenced the UK’s legislative framework. </w:t>
      </w:r>
    </w:p>
    <w:p w14:paraId="330619BF" w14:textId="101854F3" w:rsidR="00C23D68" w:rsidRPr="00DE6D1F" w:rsidRDefault="00C23D68" w:rsidP="00D66F31">
      <w:pPr>
        <w:rPr>
          <w:rFonts w:cs="Arial"/>
        </w:rPr>
      </w:pPr>
      <w:r w:rsidRPr="00DE6D1F">
        <w:rPr>
          <w:rFonts w:cs="Arial"/>
        </w:rPr>
        <w:t>In response to the release of the Public Health England report, the British Prime Minister and the Secretary of State asked the Minister for Equalities to address discrimination in the containment measures</w:t>
      </w:r>
      <w:r w:rsidR="00195300" w:rsidRPr="00DE6D1F">
        <w:rPr>
          <w:rFonts w:cs="Arial"/>
        </w:rPr>
        <w:t xml:space="preserve"> (UK Gov, 2022)</w:t>
      </w:r>
      <w:r w:rsidRPr="00DE6D1F">
        <w:rPr>
          <w:rFonts w:cs="Arial"/>
        </w:rPr>
        <w:t>. This step significantly affected the laws related to lockdown, social distancing and deportation. Overall, a more humane and inclusive approach was adopted to benefit the minorities, including the Asian community. Locally, it was identified that the risk of death from the pandemic was much higher for the Bangladeshi and Pakistani minorities living in areas such as Southall</w:t>
      </w:r>
      <w:r w:rsidR="00195300" w:rsidRPr="00DE6D1F">
        <w:rPr>
          <w:rFonts w:cs="Arial"/>
        </w:rPr>
        <w:t xml:space="preserve"> (East, 2024)</w:t>
      </w:r>
      <w:r w:rsidRPr="00DE6D1F">
        <w:rPr>
          <w:rFonts w:cs="Arial"/>
        </w:rPr>
        <w:t xml:space="preserve">. Therefore, the British government launched special measures to protect the South Asian groups in such localities. For example, South Asian families in such areas were educated about preventing household transmission. Similarly, targeted steps were taken to protect South Asian taxi drivers and multigenerational households. </w:t>
      </w:r>
    </w:p>
    <w:p w14:paraId="3331183C" w14:textId="57B7F637" w:rsidR="00735E40" w:rsidRPr="00DE6D1F" w:rsidRDefault="009E30EF" w:rsidP="00D66F31">
      <w:pPr>
        <w:pStyle w:val="Heading2"/>
        <w:rPr>
          <w:rStyle w:val="normaltextrun"/>
          <w:rFonts w:ascii="Arial" w:hAnsi="Arial"/>
        </w:rPr>
      </w:pPr>
      <w:bookmarkStart w:id="17" w:name="_Toc223650640"/>
      <w:r w:rsidRPr="00DE6D1F">
        <w:rPr>
          <w:rStyle w:val="normaltextrun"/>
          <w:rFonts w:ascii="Arial" w:hAnsi="Arial"/>
        </w:rPr>
        <w:t>2.6 Conclusion</w:t>
      </w:r>
      <w:bookmarkEnd w:id="17"/>
    </w:p>
    <w:p w14:paraId="6D970F8D" w14:textId="22F43477" w:rsidR="00AD260D" w:rsidRPr="00DE6D1F" w:rsidRDefault="00AD260D" w:rsidP="00D66F31">
      <w:pPr>
        <w:rPr>
          <w:rFonts w:cs="Arial"/>
        </w:rPr>
      </w:pPr>
      <w:r w:rsidRPr="00DE6D1F">
        <w:rPr>
          <w:rFonts w:cs="Arial"/>
        </w:rPr>
        <w:t xml:space="preserve">In the UK, academic institutions and government agencies were initially focused on the pandemic’s overall impact. However, a debate on the unequal impact of the pandemic on minorities started within a few years of its outbreak. Industry reports and empirical studies played a key role in increasing this awareness. Nonprofit organisations, universities and various think tanks published reports exposing the UK’s health inequalities. The critical race theory and socioecological model provide a theoretical framework for analysing this issue. This chapter also compares the impact of the pandemic on ethnic groups and other minorities across the world. </w:t>
      </w:r>
      <w:r w:rsidRPr="00DE6D1F">
        <w:rPr>
          <w:rFonts w:cs="Arial"/>
        </w:rPr>
        <w:lastRenderedPageBreak/>
        <w:t xml:space="preserve">The insights from such a comparison have been related to how health inequalities were consequently addressed in the UK. This discussion on the historical, theoretical and contextual background of the pandemic’s impact supports the following methodology chapter. It is particularly relevant to </w:t>
      </w:r>
      <w:r w:rsidR="003E7105" w:rsidRPr="00DE6D1F">
        <w:rPr>
          <w:rFonts w:cs="Arial"/>
        </w:rPr>
        <w:t>identifying themes from collected data</w:t>
      </w:r>
      <w:r w:rsidRPr="00DE6D1F">
        <w:rPr>
          <w:rFonts w:cs="Arial"/>
        </w:rPr>
        <w:t xml:space="preserve">. </w:t>
      </w:r>
    </w:p>
    <w:p w14:paraId="2C597171" w14:textId="77777777" w:rsidR="00793A71" w:rsidRPr="00DE6D1F" w:rsidRDefault="00793A71" w:rsidP="00D66F31">
      <w:pPr>
        <w:pStyle w:val="Heading1"/>
        <w:rPr>
          <w:rFonts w:cs="Arial"/>
        </w:rPr>
      </w:pPr>
      <w:bookmarkStart w:id="18" w:name="_Toc223650641"/>
      <w:r w:rsidRPr="00DE6D1F">
        <w:rPr>
          <w:rFonts w:cs="Arial"/>
        </w:rPr>
        <w:t>CHAPTER 3 – Methods and Search Strategy</w:t>
      </w:r>
      <w:bookmarkEnd w:id="18"/>
      <w:r w:rsidRPr="00DE6D1F">
        <w:rPr>
          <w:rFonts w:cs="Arial"/>
        </w:rPr>
        <w:t xml:space="preserve"> </w:t>
      </w:r>
    </w:p>
    <w:p w14:paraId="7E61B61E" w14:textId="77777777" w:rsidR="00793A71" w:rsidRPr="00DE6D1F" w:rsidRDefault="00793A71" w:rsidP="00D66F31">
      <w:pPr>
        <w:pStyle w:val="Heading2"/>
        <w:rPr>
          <w:rFonts w:ascii="Arial" w:hAnsi="Arial"/>
        </w:rPr>
      </w:pPr>
      <w:bookmarkStart w:id="19" w:name="_Toc223650642"/>
      <w:r w:rsidRPr="00DE6D1F">
        <w:rPr>
          <w:rFonts w:ascii="Arial" w:hAnsi="Arial"/>
        </w:rPr>
        <w:t>3.1 Introduction</w:t>
      </w:r>
      <w:bookmarkEnd w:id="19"/>
      <w:r w:rsidRPr="00DE6D1F">
        <w:rPr>
          <w:rFonts w:ascii="Arial" w:hAnsi="Arial"/>
        </w:rPr>
        <w:t xml:space="preserve"> </w:t>
      </w:r>
    </w:p>
    <w:p w14:paraId="05949457" w14:textId="3C178217" w:rsidR="00793A71" w:rsidRDefault="00793A71" w:rsidP="00D66F31">
      <w:pPr>
        <w:rPr>
          <w:rFonts w:cs="Arial"/>
        </w:rPr>
      </w:pPr>
      <w:r w:rsidRPr="00DE6D1F">
        <w:rPr>
          <w:rFonts w:cs="Arial"/>
        </w:rPr>
        <w:t xml:space="preserve">The purpose of this chapter is to explain how secondary research was conducted for this study based on a desk-oriented and literature-driven approach. This approach follows an integrated strategy for targeting keywords, narrowing the search, selecting databases and applying techniques for research validation. These aspects of the search strategy ensured that the sources selected for thematic analysis are credible as well as worthy of inclusion. The inclusion and exclusion criteria for the choice </w:t>
      </w:r>
      <w:r w:rsidRPr="00731AFB">
        <w:rPr>
          <w:rFonts w:cs="Arial"/>
        </w:rPr>
        <w:t xml:space="preserve">of sources further ensured that the research is focused and only quality sources are selected. The technique of thematic analysis, with its six stages were applied to the secondary data to identify recurrent patterns and ideas. This includes thematic coding driven by key phrases instead of coloured labelling. </w:t>
      </w:r>
      <w:r w:rsidR="00D92C85" w:rsidRPr="00731AFB">
        <w:rPr>
          <w:rFonts w:cs="Arial"/>
        </w:rPr>
        <w:t xml:space="preserve">The results summary table for source tracking helped in marking the codes from the selected secondary sources. The initial codes were further grouped to develop three interrelated themes that align with the broader research aim and objectives. </w:t>
      </w:r>
      <w:r w:rsidRPr="00731AFB">
        <w:rPr>
          <w:rFonts w:cs="Arial"/>
        </w:rPr>
        <w:t>This application of secondary qualitative analysis is the basis of the thematic findings that will be further interpreted in the next chapter.</w:t>
      </w:r>
      <w:r w:rsidRPr="00DE6D1F">
        <w:rPr>
          <w:rFonts w:cs="Arial"/>
        </w:rPr>
        <w:t xml:space="preserve"> </w:t>
      </w:r>
    </w:p>
    <w:p w14:paraId="23C40888" w14:textId="298F52A6" w:rsidR="009C3E13" w:rsidRDefault="009C3E13" w:rsidP="00D66F31">
      <w:pPr>
        <w:rPr>
          <w:rFonts w:cs="Arial"/>
        </w:rPr>
      </w:pPr>
      <w:r>
        <w:rPr>
          <w:rFonts w:cs="Arial"/>
          <w:noProof/>
          <w14:ligatures w14:val="standardContextual"/>
        </w:rPr>
        <w:lastRenderedPageBreak/>
        <w:drawing>
          <wp:inline distT="0" distB="0" distL="0" distR="0" wp14:anchorId="7A627D8C" wp14:editId="106C6639">
            <wp:extent cx="5486400" cy="4211782"/>
            <wp:effectExtent l="0" t="0" r="0" b="17780"/>
            <wp:docPr id="100063846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FC25FFF" w14:textId="01AAFB44" w:rsidR="00356FAE" w:rsidRPr="00731AFB" w:rsidRDefault="00356FAE" w:rsidP="00356FAE">
      <w:pPr>
        <w:jc w:val="center"/>
        <w:rPr>
          <w:rFonts w:cs="Arial"/>
          <w:b/>
          <w:bCs/>
          <w:sz w:val="24"/>
          <w:szCs w:val="24"/>
        </w:rPr>
      </w:pPr>
      <w:r w:rsidRPr="00731AFB">
        <w:rPr>
          <w:rFonts w:cs="Arial"/>
          <w:b/>
          <w:bCs/>
          <w:sz w:val="24"/>
          <w:szCs w:val="24"/>
        </w:rPr>
        <w:t>Figure 2: Identification and screening of secondary sources</w:t>
      </w:r>
    </w:p>
    <w:p w14:paraId="25E1F35F" w14:textId="1990C11D" w:rsidR="00356FAE" w:rsidRPr="00731AFB" w:rsidRDefault="00356FAE" w:rsidP="00356FAE">
      <w:pPr>
        <w:jc w:val="center"/>
        <w:rPr>
          <w:rFonts w:cs="Arial"/>
          <w:sz w:val="24"/>
          <w:szCs w:val="24"/>
        </w:rPr>
      </w:pPr>
      <w:r w:rsidRPr="00731AFB">
        <w:rPr>
          <w:rFonts w:cs="Arial"/>
          <w:sz w:val="24"/>
          <w:szCs w:val="24"/>
        </w:rPr>
        <w:t>Source: Author’s Creation</w:t>
      </w:r>
    </w:p>
    <w:p w14:paraId="300B6F66" w14:textId="77777777" w:rsidR="00793A71" w:rsidRPr="00731AFB" w:rsidRDefault="00793A71" w:rsidP="00D66F31">
      <w:pPr>
        <w:pStyle w:val="Heading2"/>
        <w:rPr>
          <w:rFonts w:ascii="Arial" w:hAnsi="Arial"/>
        </w:rPr>
      </w:pPr>
      <w:bookmarkStart w:id="20" w:name="_Toc223650643"/>
      <w:r w:rsidRPr="00731AFB">
        <w:rPr>
          <w:rFonts w:ascii="Arial" w:hAnsi="Arial"/>
        </w:rPr>
        <w:t>3.2 Search Strategy</w:t>
      </w:r>
      <w:bookmarkEnd w:id="20"/>
      <w:r w:rsidRPr="00731AFB">
        <w:rPr>
          <w:rFonts w:ascii="Arial" w:hAnsi="Arial"/>
        </w:rPr>
        <w:t xml:space="preserve"> </w:t>
      </w:r>
    </w:p>
    <w:p w14:paraId="1BC3A985" w14:textId="0AA13E78" w:rsidR="00356FAE" w:rsidRPr="00356FAE" w:rsidRDefault="00356FAE" w:rsidP="00356FAE">
      <w:r w:rsidRPr="00731AFB">
        <w:t>Figure 2 depicts the application of the search strategy of this study</w:t>
      </w:r>
    </w:p>
    <w:p w14:paraId="41BD72D2" w14:textId="77777777" w:rsidR="00793A71" w:rsidRPr="00DE6D1F" w:rsidRDefault="00793A71" w:rsidP="00D66F31">
      <w:pPr>
        <w:pStyle w:val="Heading3"/>
        <w:rPr>
          <w:rFonts w:cs="Arial"/>
        </w:rPr>
      </w:pPr>
      <w:bookmarkStart w:id="21" w:name="_Toc223650644"/>
      <w:r w:rsidRPr="00DE6D1F">
        <w:rPr>
          <w:rFonts w:cs="Arial"/>
        </w:rPr>
        <w:t>3.2.1 Keywords</w:t>
      </w:r>
      <w:bookmarkEnd w:id="21"/>
      <w:r w:rsidRPr="00DE6D1F">
        <w:rPr>
          <w:rFonts w:cs="Arial"/>
        </w:rPr>
        <w:t xml:space="preserve"> </w:t>
      </w:r>
    </w:p>
    <w:p w14:paraId="1BEAC92B" w14:textId="77777777" w:rsidR="00793A71" w:rsidRPr="00DE6D1F" w:rsidRDefault="00793A71" w:rsidP="00D66F31">
      <w:pPr>
        <w:rPr>
          <w:rFonts w:cs="Arial"/>
          <w:b/>
          <w:bCs/>
          <w:i/>
          <w:iCs/>
        </w:rPr>
      </w:pPr>
      <w:r w:rsidRPr="00DE6D1F">
        <w:rPr>
          <w:rFonts w:cs="Arial"/>
          <w:b/>
          <w:bCs/>
          <w:i/>
          <w:iCs/>
        </w:rPr>
        <w:t>Impact of Covid 19, Asian Community, Barriers to Health Care, Racial Discrimination in the UK, Efficiency of Care Practices</w:t>
      </w:r>
    </w:p>
    <w:p w14:paraId="19343929" w14:textId="77777777" w:rsidR="00793A71" w:rsidRPr="00DE6D1F" w:rsidRDefault="00793A71" w:rsidP="00D66F31">
      <w:pPr>
        <w:pStyle w:val="Heading3"/>
        <w:rPr>
          <w:rFonts w:cs="Arial"/>
        </w:rPr>
      </w:pPr>
      <w:bookmarkStart w:id="22" w:name="_Toc223650645"/>
      <w:r w:rsidRPr="00DE6D1F">
        <w:rPr>
          <w:rFonts w:cs="Arial"/>
        </w:rPr>
        <w:t>3.2.2 Boolean Operators</w:t>
      </w:r>
      <w:bookmarkEnd w:id="22"/>
      <w:r w:rsidRPr="00DE6D1F">
        <w:rPr>
          <w:rFonts w:cs="Arial"/>
        </w:rPr>
        <w:t xml:space="preserve"> </w:t>
      </w:r>
    </w:p>
    <w:p w14:paraId="038198C3" w14:textId="77777777" w:rsidR="00793A71" w:rsidRPr="00DE6D1F" w:rsidRDefault="00793A71" w:rsidP="00D66F31">
      <w:pPr>
        <w:rPr>
          <w:rFonts w:cs="Arial"/>
        </w:rPr>
      </w:pPr>
      <w:r w:rsidRPr="00DE6D1F">
        <w:rPr>
          <w:rFonts w:cs="Arial"/>
        </w:rPr>
        <w:t>Boolean operators were applied to enforce logic in the search strategy. They not only directed the database on how to relate keywords, but also determined the order of operations. AND, OR &amp; NOT are the three Boolean operators that were typed in uppercase to make the search relevant (</w:t>
      </w:r>
      <w:proofErr w:type="spellStart"/>
      <w:r w:rsidRPr="00DE6D1F">
        <w:rPr>
          <w:rFonts w:cs="Arial"/>
        </w:rPr>
        <w:t>Carcassi</w:t>
      </w:r>
      <w:proofErr w:type="spellEnd"/>
      <w:r w:rsidRPr="00DE6D1F">
        <w:rPr>
          <w:rFonts w:cs="Arial"/>
        </w:rPr>
        <w:t xml:space="preserve"> and </w:t>
      </w:r>
      <w:proofErr w:type="spellStart"/>
      <w:r w:rsidRPr="00DE6D1F">
        <w:rPr>
          <w:rFonts w:cs="Arial"/>
        </w:rPr>
        <w:t>Sbardolini</w:t>
      </w:r>
      <w:proofErr w:type="spellEnd"/>
      <w:r w:rsidRPr="00DE6D1F">
        <w:rPr>
          <w:rFonts w:cs="Arial"/>
        </w:rPr>
        <w:t xml:space="preserve">, 2023). The study further relied on parentheses with the Boolean operators to ensure that the database knows which logic to apply first. The use of Boolean </w:t>
      </w:r>
      <w:r w:rsidRPr="00DE6D1F">
        <w:rPr>
          <w:rFonts w:cs="Arial"/>
        </w:rPr>
        <w:lastRenderedPageBreak/>
        <w:t xml:space="preserve">operators narrowed down the search to relevant sources from thousands of unrelated articles and books. A structured search strategy was adopted to ensure that the findings relate to each research objective. This involved breaking down the title of the study to identify core facts. For example, the core facts of this research relate to the Asian minority in the UK, the pandemic and its outcomes for this population. The search strategy also involved database selection and criteria for the inclusion or exclusion of sources. Also, a table was maintained to record and track the use of sources.  </w:t>
      </w:r>
    </w:p>
    <w:p w14:paraId="1DCE3387" w14:textId="77777777" w:rsidR="00793A71" w:rsidRPr="00DE6D1F" w:rsidRDefault="00793A71" w:rsidP="00D66F31">
      <w:pPr>
        <w:pStyle w:val="Heading2"/>
        <w:rPr>
          <w:rFonts w:ascii="Arial" w:hAnsi="Arial"/>
        </w:rPr>
      </w:pPr>
      <w:bookmarkStart w:id="23" w:name="_Toc223650646"/>
      <w:r w:rsidRPr="00DE6D1F">
        <w:rPr>
          <w:rFonts w:ascii="Arial" w:hAnsi="Arial"/>
        </w:rPr>
        <w:t>3.3 Searching for Information</w:t>
      </w:r>
      <w:bookmarkEnd w:id="23"/>
      <w:r w:rsidRPr="00DE6D1F">
        <w:rPr>
          <w:rFonts w:ascii="Arial" w:hAnsi="Arial"/>
        </w:rPr>
        <w:t xml:space="preserve"> </w:t>
      </w:r>
    </w:p>
    <w:p w14:paraId="0A9B8ED9" w14:textId="79FE5A9F" w:rsidR="00793A71" w:rsidRPr="00DE6D1F" w:rsidRDefault="00793A71" w:rsidP="00D66F31">
      <w:pPr>
        <w:rPr>
          <w:rFonts w:cs="Arial"/>
        </w:rPr>
      </w:pPr>
      <w:r w:rsidRPr="00731AFB">
        <w:rPr>
          <w:rFonts w:cs="Arial"/>
        </w:rPr>
        <w:t xml:space="preserve">Secondary sources for this study mainly include academic databases such as Google Scholar, Lancet, Springer, etc. Credible websites, including ONS and government portals, were also used for gathering statistical data. While the selected academic databases allowed access to reliable and updated empirical studies, statistical data from the authentic websites introduced a quantitative perspective. </w:t>
      </w:r>
      <w:r w:rsidR="00516EC7" w:rsidRPr="00731AFB">
        <w:rPr>
          <w:rFonts w:cs="Arial"/>
        </w:rPr>
        <w:t>A total of 23 secondary sources were used in the thematic analysis to ensure depth of analysis and also maintain feasibility.</w:t>
      </w:r>
    </w:p>
    <w:p w14:paraId="0CC3D548" w14:textId="77777777" w:rsidR="00793A71" w:rsidRPr="00DE6D1F" w:rsidRDefault="00793A71" w:rsidP="00D66F31">
      <w:pPr>
        <w:pStyle w:val="Heading2"/>
        <w:rPr>
          <w:rFonts w:ascii="Arial" w:hAnsi="Arial"/>
        </w:rPr>
      </w:pPr>
      <w:bookmarkStart w:id="24" w:name="_Toc223650647"/>
      <w:r w:rsidRPr="00DE6D1F">
        <w:rPr>
          <w:rFonts w:ascii="Arial" w:hAnsi="Arial"/>
        </w:rPr>
        <w:t>3.4 Research Validation</w:t>
      </w:r>
      <w:bookmarkEnd w:id="24"/>
      <w:r w:rsidRPr="00DE6D1F">
        <w:rPr>
          <w:rFonts w:ascii="Arial" w:hAnsi="Arial"/>
        </w:rPr>
        <w:t xml:space="preserve"> </w:t>
      </w:r>
    </w:p>
    <w:p w14:paraId="4FD9D258" w14:textId="77777777" w:rsidR="00793A71" w:rsidRPr="00DE6D1F" w:rsidRDefault="00793A71" w:rsidP="00D66F31">
      <w:pPr>
        <w:rPr>
          <w:rFonts w:cs="Arial"/>
        </w:rPr>
      </w:pPr>
      <w:r w:rsidRPr="00DE6D1F">
        <w:rPr>
          <w:rFonts w:cs="Arial"/>
        </w:rPr>
        <w:t xml:space="preserve">The technique of skimming was applied to identify relevant sources from the multiple search outcomes, relying on the title, abstract, introduction and conclusion of each article. Taking a cue from the research title, sources related to the socio-economic impact of the pandemic on British Asian minorities were prioritised. Conversely, articles on broader global trends concerning Covid-19 were rejected as they were too generic. Apart from the targeted keywords, the location and sample of each study were scanned from the methodology section to contextualise the search. Similarly, the research question, objectives and aim were reviewed from the introduction sections of the various papers to assess their relevance. The conclusion part of the articles helped to understand whether their inferences are useful for the current study. </w:t>
      </w:r>
    </w:p>
    <w:p w14:paraId="1569C0A5" w14:textId="77777777" w:rsidR="00BC5D02" w:rsidRDefault="00793A71" w:rsidP="00D66F31">
      <w:pPr>
        <w:rPr>
          <w:rFonts w:cs="Arial"/>
        </w:rPr>
      </w:pPr>
      <w:r w:rsidRPr="00DE6D1F">
        <w:rPr>
          <w:rFonts w:cs="Arial"/>
        </w:rPr>
        <w:t>The CRAAP Test represents one of the most popular tools for evaluating the quality of a source in empirical research (</w:t>
      </w:r>
      <w:proofErr w:type="spellStart"/>
      <w:r w:rsidRPr="00DE6D1F">
        <w:rPr>
          <w:rFonts w:cs="Arial"/>
        </w:rPr>
        <w:t>Esparrago</w:t>
      </w:r>
      <w:proofErr w:type="spellEnd"/>
      <w:r w:rsidRPr="00DE6D1F">
        <w:rPr>
          <w:rFonts w:cs="Arial"/>
        </w:rPr>
        <w:t xml:space="preserve">-Kalidas, 2021). In this framework, the element of currency is useful in understanding whether a source is too old. For example, a paper on the pandemic from 2020 may be old, but it is not irrelevant. It is a historical source. On the other hand, an article from 2021 may not be relevant as it does not reflect factors such as the vaccine rollout or inflation. The element of relevance in the CRAAP test is even more critical because it directly evaluates the relatability of a source. For instance, the relevance of a paper considered for this research </w:t>
      </w:r>
      <w:r w:rsidRPr="00DE6D1F">
        <w:rPr>
          <w:rFonts w:cs="Arial"/>
        </w:rPr>
        <w:lastRenderedPageBreak/>
        <w:t xml:space="preserve">essentially depends on the demographic context of the UK. Next, the factors of authority concern the credentials of the authorship and thereby have major implications for the present study’s credibility. The remaining two elements of accuracy and purpose deal with the methodological rigour and objectives of a research paper. </w:t>
      </w:r>
    </w:p>
    <w:p w14:paraId="726753BB" w14:textId="6122F6FA" w:rsidR="00793A71" w:rsidRPr="00DE6D1F" w:rsidRDefault="00793A71" w:rsidP="00D66F31">
      <w:pPr>
        <w:rPr>
          <w:rFonts w:cs="Arial"/>
        </w:rPr>
      </w:pPr>
      <w:r w:rsidRPr="00DE6D1F">
        <w:rPr>
          <w:rFonts w:cs="Arial"/>
        </w:rPr>
        <w:t xml:space="preserve">Nevertheless, it must also be acknowledged that while not every source will meet all five criteria, those sources that fulfilled the most important ones were prioritised. The selection of the article by Daga et al. (2020) showcases the application of the CRAAP test. This paper was published at the peak of the pandemic, which satisfies the currency criterion. It is also highly relevant since it directly deals with the occupational risks faced by the Asian community during Covid 19 in the UK. As all the authors are highly experienced and qualified medical practitioners, the study does not lack authority. The large-scale survey conducted for this research further explains its accuracy. Likewise, the objective of identifying self-reported occupational risks aligns with the present study’s aim. The application of the skimming technique and the CRAAP Test could be better understood in the context of the study’s inclusion and exclusion criteria. </w:t>
      </w:r>
    </w:p>
    <w:p w14:paraId="01041E01" w14:textId="77777777" w:rsidR="00793A71" w:rsidRPr="00DE6D1F" w:rsidRDefault="00793A71" w:rsidP="00D66F31">
      <w:pPr>
        <w:pStyle w:val="Heading2"/>
        <w:rPr>
          <w:rStyle w:val="Heading2Char"/>
          <w:rFonts w:ascii="Arial" w:hAnsi="Arial"/>
          <w:b/>
          <w:bCs/>
          <w:iCs/>
        </w:rPr>
      </w:pPr>
      <w:bookmarkStart w:id="25" w:name="_Toc223650648"/>
      <w:r w:rsidRPr="00DE6D1F">
        <w:rPr>
          <w:rStyle w:val="Heading2Char"/>
          <w:rFonts w:ascii="Arial" w:hAnsi="Arial"/>
          <w:b/>
          <w:bCs/>
        </w:rPr>
        <w:t>3.5 Inclusion and Exclusion Criteria</w:t>
      </w:r>
      <w:bookmarkEnd w:id="25"/>
    </w:p>
    <w:p w14:paraId="15FFC397" w14:textId="77777777" w:rsidR="00793A71" w:rsidRPr="00DE6D1F" w:rsidRDefault="00793A71" w:rsidP="00D66F31">
      <w:pPr>
        <w:pStyle w:val="Heading3"/>
        <w:rPr>
          <w:rStyle w:val="Heading2Char"/>
          <w:rFonts w:ascii="Arial" w:eastAsiaTheme="majorEastAsia" w:hAnsi="Arial" w:cstheme="majorBidi"/>
          <w:b w:val="0"/>
          <w:bCs w:val="0"/>
          <w:iCs w:val="0"/>
          <w:kern w:val="2"/>
          <w:sz w:val="22"/>
          <w14:ligatures w14:val="standardContextual"/>
        </w:rPr>
      </w:pPr>
      <w:bookmarkStart w:id="26" w:name="_Toc223650649"/>
      <w:r w:rsidRPr="00DE6D1F">
        <w:rPr>
          <w:rStyle w:val="Heading2Char"/>
          <w:rFonts w:ascii="Arial" w:eastAsiaTheme="majorEastAsia" w:hAnsi="Arial" w:cstheme="majorBidi"/>
          <w:b w:val="0"/>
          <w:bCs w:val="0"/>
          <w:iCs w:val="0"/>
          <w:kern w:val="2"/>
          <w:sz w:val="22"/>
          <w14:ligatures w14:val="standardContextual"/>
        </w:rPr>
        <w:t>3.5.1 Inclusion Criteria</w:t>
      </w:r>
      <w:bookmarkEnd w:id="26"/>
      <w:r w:rsidRPr="00DE6D1F">
        <w:rPr>
          <w:rStyle w:val="Heading2Char"/>
          <w:rFonts w:ascii="Arial" w:eastAsiaTheme="majorEastAsia" w:hAnsi="Arial" w:cstheme="majorBidi"/>
          <w:b w:val="0"/>
          <w:bCs w:val="0"/>
          <w:iCs w:val="0"/>
          <w:kern w:val="2"/>
          <w:sz w:val="22"/>
          <w14:ligatures w14:val="standardContextual"/>
        </w:rPr>
        <w:t xml:space="preserve"> </w:t>
      </w:r>
    </w:p>
    <w:p w14:paraId="0FFF2651" w14:textId="77777777" w:rsidR="00793A71" w:rsidRPr="00DE6D1F" w:rsidRDefault="00793A71" w:rsidP="00D66F31">
      <w:pPr>
        <w:rPr>
          <w:rFonts w:cs="Arial"/>
        </w:rPr>
      </w:pPr>
      <w:r w:rsidRPr="00DE6D1F">
        <w:rPr>
          <w:rFonts w:cs="Arial"/>
        </w:rPr>
        <w:t xml:space="preserve">Only journal articles and books published in the past 10 years and directly related to the pandemic’s impact on the British Asian minorities were selected for this research. Similarly, reliable internet sources, such as government websites and statistical databases, were also included. However, the use of online sources was limited to data from the pandemic period. Lastly, only English publications were considered. </w:t>
      </w:r>
    </w:p>
    <w:p w14:paraId="4A6DA1B7" w14:textId="77777777" w:rsidR="00793A71" w:rsidRPr="00DE6D1F" w:rsidRDefault="00793A71" w:rsidP="00D66F31">
      <w:pPr>
        <w:pStyle w:val="Heading3"/>
        <w:rPr>
          <w:rStyle w:val="Heading2Char"/>
          <w:rFonts w:ascii="Arial" w:eastAsiaTheme="majorEastAsia" w:hAnsi="Arial"/>
          <w:b w:val="0"/>
          <w:bCs w:val="0"/>
          <w:iCs w:val="0"/>
          <w:kern w:val="2"/>
          <w:sz w:val="22"/>
          <w14:ligatures w14:val="standardContextual"/>
        </w:rPr>
      </w:pPr>
      <w:bookmarkStart w:id="27" w:name="_Toc223650650"/>
      <w:r w:rsidRPr="00DE6D1F">
        <w:rPr>
          <w:rStyle w:val="Heading2Char"/>
          <w:rFonts w:ascii="Arial" w:eastAsiaTheme="majorEastAsia" w:hAnsi="Arial"/>
          <w:b w:val="0"/>
          <w:bCs w:val="0"/>
          <w:iCs w:val="0"/>
          <w:kern w:val="2"/>
          <w:sz w:val="22"/>
          <w14:ligatures w14:val="standardContextual"/>
        </w:rPr>
        <w:t>3.5.2 Exclusion Criteria</w:t>
      </w:r>
      <w:bookmarkEnd w:id="27"/>
    </w:p>
    <w:p w14:paraId="6AE1D915" w14:textId="77777777" w:rsidR="00793A71" w:rsidRPr="00DE6D1F" w:rsidRDefault="00793A71" w:rsidP="00D66F31">
      <w:pPr>
        <w:rPr>
          <w:rFonts w:cs="Arial"/>
        </w:rPr>
      </w:pPr>
      <w:r w:rsidRPr="00DE6D1F">
        <w:rPr>
          <w:rFonts w:cs="Arial"/>
        </w:rPr>
        <w:t xml:space="preserve">Any article or book older than 10 years, except seminal literature, blogs, statistical data beyond the pandemic, publications in other languages or sources unrelated to the research aim were excluded. </w:t>
      </w:r>
    </w:p>
    <w:p w14:paraId="7551FCDA" w14:textId="77777777" w:rsidR="00793A71" w:rsidRPr="00DE6D1F" w:rsidRDefault="00793A71" w:rsidP="00D66F31">
      <w:pPr>
        <w:rPr>
          <w:rFonts w:cs="Arial"/>
        </w:rPr>
      </w:pPr>
      <w:r w:rsidRPr="00DE6D1F">
        <w:rPr>
          <w:rFonts w:cs="Arial"/>
        </w:rPr>
        <w:t xml:space="preserve">The aforementioned criteria helped maintain the quality of the study by ensuring the use of updated data focused on the research topic. </w:t>
      </w:r>
    </w:p>
    <w:p w14:paraId="655E2BB5" w14:textId="77777777" w:rsidR="00793A71" w:rsidRPr="00DE6D1F" w:rsidRDefault="00793A71" w:rsidP="00D66F31">
      <w:pPr>
        <w:pStyle w:val="Heading2"/>
        <w:rPr>
          <w:rFonts w:ascii="Arial" w:hAnsi="Arial"/>
        </w:rPr>
      </w:pPr>
      <w:bookmarkStart w:id="28" w:name="_Toc223650651"/>
      <w:r w:rsidRPr="00DE6D1F">
        <w:rPr>
          <w:rFonts w:ascii="Arial" w:hAnsi="Arial"/>
        </w:rPr>
        <w:t>3.6 Analysing Research</w:t>
      </w:r>
      <w:bookmarkEnd w:id="28"/>
    </w:p>
    <w:p w14:paraId="68BFA9F9" w14:textId="77777777" w:rsidR="00793A71" w:rsidRPr="00DE6D1F" w:rsidRDefault="00793A71" w:rsidP="00D66F31">
      <w:pPr>
        <w:rPr>
          <w:rFonts w:cs="Arial"/>
        </w:rPr>
      </w:pPr>
      <w:r w:rsidRPr="00DE6D1F">
        <w:rPr>
          <w:rFonts w:cs="Arial"/>
        </w:rPr>
        <w:t xml:space="preserve">Secondary qualitative analysis in this study is based on the application of the six stages of thematic analysis (Clarke and Braun, 2017). It is also known as thematic coding due to the </w:t>
      </w:r>
      <w:r w:rsidRPr="00DE6D1F">
        <w:rPr>
          <w:rFonts w:cs="Arial"/>
        </w:rPr>
        <w:lastRenderedPageBreak/>
        <w:t xml:space="preserve">importance of coding in the whole process. However, thematic analysis has also proved ineffective in many studies due to inadequate familiarisation. For the present study, each source was reviewed multiple times through note-taking. This ensured adequate familiarisation with the different papers used for this research. Coding in thematic analysis is based on the use of labels or phrases. In this research, key phrases were used rather than colour coding. For example, the phrase ‘linguistic barrier’ represents content on the lack of vaccine access for British minorities. The various codes identified in the thematic analysis were subsequently grouped to identify patterns and repetitions. This is how the various themes emerged in this secondary research. Nonetheless, Clark and Braun (2017) also advocate reviewing each theme to check if they are too broad or generic. Thematic analysis in the study concluded with the last two stages of naming the themes and drawing inferences from them. </w:t>
      </w:r>
    </w:p>
    <w:p w14:paraId="1BE8B2E4" w14:textId="77777777" w:rsidR="00793A71" w:rsidRPr="00DE6D1F" w:rsidRDefault="00793A71" w:rsidP="00D66F31">
      <w:pPr>
        <w:pStyle w:val="Heading2"/>
        <w:rPr>
          <w:rFonts w:ascii="Arial" w:hAnsi="Arial"/>
        </w:rPr>
      </w:pPr>
      <w:bookmarkStart w:id="29" w:name="_Toc223650652"/>
      <w:r w:rsidRPr="00DE6D1F">
        <w:rPr>
          <w:rFonts w:ascii="Arial" w:hAnsi="Arial"/>
        </w:rPr>
        <w:t>3.7 Ethical Considerations</w:t>
      </w:r>
      <w:bookmarkEnd w:id="29"/>
      <w:r w:rsidRPr="00DE6D1F">
        <w:rPr>
          <w:rFonts w:ascii="Arial" w:hAnsi="Arial"/>
        </w:rPr>
        <w:t xml:space="preserve"> </w:t>
      </w:r>
    </w:p>
    <w:p w14:paraId="49238ADA" w14:textId="77777777" w:rsidR="00793A71" w:rsidRPr="00DE6D1F" w:rsidRDefault="00793A71" w:rsidP="00D66F31">
      <w:pPr>
        <w:rPr>
          <w:rFonts w:cs="Arial"/>
        </w:rPr>
      </w:pPr>
      <w:r w:rsidRPr="00DE6D1F">
        <w:rPr>
          <w:rFonts w:cs="Arial"/>
        </w:rPr>
        <w:t xml:space="preserve">As this research is solely based on secondary sources, no new data was collected. This implies that the study does not involve the ethical considerations of primary research, including informed consent, anonymity or confidentiality. However, the extensive use of secondary data in this study raises the question of academic integrity. Plagiarism is one of the main threats to academic integrity, which can be mitigated through accurate citations and referencing (Mahabeer and </w:t>
      </w:r>
      <w:proofErr w:type="spellStart"/>
      <w:r w:rsidRPr="00DE6D1F">
        <w:rPr>
          <w:rFonts w:cs="Arial"/>
        </w:rPr>
        <w:t>Pirtheepal</w:t>
      </w:r>
      <w:proofErr w:type="spellEnd"/>
      <w:r w:rsidRPr="00DE6D1F">
        <w:rPr>
          <w:rFonts w:cs="Arial"/>
        </w:rPr>
        <w:t xml:space="preserve">, 2019). Thereby, to avoid plagiarism and maintain academic integrity, all secondary sources were cited accurately using the Harvard referencing format consistently. Apart from academic integrity, transparency and credibility in interpretation are other major issues in secondary research (Nurunnabi and Hossain, 2019). To this end, all types of manipulation or misinterpretation of data were responsibly avoided. This further ensured that literature is not only selected, but also presented without any bias on the part of the researcher or otherwise. </w:t>
      </w:r>
    </w:p>
    <w:p w14:paraId="7392A59C" w14:textId="77777777" w:rsidR="00793A71" w:rsidRPr="00DE6D1F" w:rsidRDefault="00793A71" w:rsidP="00D66F31">
      <w:pPr>
        <w:pStyle w:val="Heading2"/>
        <w:rPr>
          <w:rFonts w:ascii="Arial" w:hAnsi="Arial"/>
        </w:rPr>
      </w:pPr>
      <w:bookmarkStart w:id="30" w:name="_Toc223650653"/>
      <w:r w:rsidRPr="00DE6D1F">
        <w:rPr>
          <w:rFonts w:ascii="Arial" w:hAnsi="Arial"/>
        </w:rPr>
        <w:t>3.8 Chapter Conclusion</w:t>
      </w:r>
      <w:bookmarkEnd w:id="30"/>
      <w:r w:rsidRPr="00DE6D1F">
        <w:rPr>
          <w:rFonts w:ascii="Arial" w:hAnsi="Arial"/>
        </w:rPr>
        <w:t xml:space="preserve"> </w:t>
      </w:r>
    </w:p>
    <w:p w14:paraId="5BE83866" w14:textId="77777777" w:rsidR="00793A71" w:rsidRPr="00DE6D1F" w:rsidRDefault="00793A71" w:rsidP="00D66F31">
      <w:pPr>
        <w:rPr>
          <w:rFonts w:cs="Arial"/>
        </w:rPr>
      </w:pPr>
      <w:r w:rsidRPr="00DE6D1F">
        <w:rPr>
          <w:rFonts w:cs="Arial"/>
        </w:rPr>
        <w:t xml:space="preserve">The search strategy of this study is based on identifying and developing keywords. For this purpose, technical and professional terms were also selected apart from basic words and phrases. The Boolean operators, including AND, OR &amp; NOT, along with parentheses, were applied to narrow down the search in terms of relevance. These tools not only facilitated search based on the targeted keywords but also helped in determining logic and the order of operations. Some other critical aspects of the search strategy include the choice of databases and platforms. Furthermore, filters were used along with the inclusion and exclusion criteria to ensure that the search was relevant. The To the source tracking table in Appendix A. The following things have </w:t>
      </w:r>
      <w:r w:rsidRPr="00DE6D1F">
        <w:rPr>
          <w:rFonts w:cs="Arial"/>
        </w:rPr>
        <w:lastRenderedPageBreak/>
        <w:t>emerged. table used to record and summarise the findings is provided in Appendix A. Besides, the skimming technique and CRAAP test were applied to reject irrelevant sources and test the quality of the considered sources. Furthermore, strict adherence to the ethics of academic integrity and unbiased interpretation adds credibility to the study. The next chapter presents the findings from the thematic analysis, organised into well-defined themes related to the research aim and objectives.</w:t>
      </w:r>
    </w:p>
    <w:p w14:paraId="76C87C17" w14:textId="77777777" w:rsidR="00793A71" w:rsidRPr="00DE6D1F" w:rsidRDefault="00793A71" w:rsidP="00D66F31">
      <w:pPr>
        <w:pStyle w:val="Heading1"/>
        <w:rPr>
          <w:rFonts w:cs="Arial"/>
        </w:rPr>
      </w:pPr>
      <w:bookmarkStart w:id="31" w:name="_Toc223650654"/>
      <w:r w:rsidRPr="00DE6D1F">
        <w:rPr>
          <w:rFonts w:cs="Arial"/>
        </w:rPr>
        <w:t>CHAPTER 4 – Findings and Discussion</w:t>
      </w:r>
      <w:bookmarkEnd w:id="31"/>
      <w:r w:rsidRPr="00DE6D1F">
        <w:rPr>
          <w:rFonts w:cs="Arial"/>
        </w:rPr>
        <w:t xml:space="preserve"> </w:t>
      </w:r>
    </w:p>
    <w:p w14:paraId="044D72CC" w14:textId="77777777" w:rsidR="00793A71" w:rsidRPr="00DE6D1F" w:rsidRDefault="00793A71" w:rsidP="00D66F31">
      <w:pPr>
        <w:pStyle w:val="Heading2"/>
        <w:rPr>
          <w:rFonts w:ascii="Arial" w:hAnsi="Arial"/>
        </w:rPr>
      </w:pPr>
      <w:bookmarkStart w:id="32" w:name="_Toc223650655"/>
      <w:r w:rsidRPr="00DE6D1F">
        <w:rPr>
          <w:rFonts w:ascii="Arial" w:hAnsi="Arial"/>
        </w:rPr>
        <w:t>4.1 Introduction</w:t>
      </w:r>
      <w:bookmarkEnd w:id="32"/>
    </w:p>
    <w:p w14:paraId="2A39BA14" w14:textId="77777777" w:rsidR="00793A71" w:rsidRPr="00DE6D1F" w:rsidRDefault="00793A71" w:rsidP="00D66F31">
      <w:pPr>
        <w:rPr>
          <w:rFonts w:cs="Arial"/>
        </w:rPr>
      </w:pPr>
      <w:r w:rsidRPr="00DE6D1F">
        <w:rPr>
          <w:rFonts w:cs="Arial"/>
        </w:rPr>
        <w:t xml:space="preserve">This chapter critically analyses the themes identified from the thematic analysis after a brief discussion of the technique. It has three main sections, delving deep into each identified theme. These sections start with defining the themes, provide a context and relate the themes to the research aim and objectives. While statistical data adds credibility to the findings, the theoretical framework is integrated with policy implementation. Each thematic section concludes with a critical analysis of the implications of the themes, examples from chosen articles and an explanation of connections with other themes. </w:t>
      </w:r>
    </w:p>
    <w:p w14:paraId="03A44D10" w14:textId="77777777" w:rsidR="00793A71" w:rsidRPr="00DE6D1F" w:rsidRDefault="00793A71" w:rsidP="00D66F31">
      <w:pPr>
        <w:pStyle w:val="Heading2"/>
        <w:rPr>
          <w:rFonts w:ascii="Arial" w:hAnsi="Arial"/>
        </w:rPr>
      </w:pPr>
      <w:bookmarkStart w:id="33" w:name="_Toc223650656"/>
      <w:r w:rsidRPr="00DE6D1F">
        <w:rPr>
          <w:rFonts w:ascii="Arial" w:hAnsi="Arial"/>
        </w:rPr>
        <w:t>4.2 Thematic Analysis</w:t>
      </w:r>
      <w:bookmarkEnd w:id="33"/>
      <w:r w:rsidRPr="00DE6D1F">
        <w:rPr>
          <w:rFonts w:ascii="Arial" w:hAnsi="Arial"/>
        </w:rPr>
        <w:t xml:space="preserve"> </w:t>
      </w:r>
    </w:p>
    <w:p w14:paraId="512D1057" w14:textId="77777777" w:rsidR="00793A71" w:rsidRPr="00DE6D1F" w:rsidRDefault="00793A71" w:rsidP="00D66F31">
      <w:pPr>
        <w:rPr>
          <w:rFonts w:cs="Arial"/>
        </w:rPr>
      </w:pPr>
      <w:r w:rsidRPr="00DE6D1F">
        <w:rPr>
          <w:rFonts w:cs="Arial"/>
        </w:rPr>
        <w:t>Thematic analysis can be defined as a method of qualitative research in which recurrent patterns, ideas or facts are identified from voluminous data through coding (Majumdar, 2019). These codes are further grouped to identify the key themes that form the basis of drawing inferences for a qualitative study. Unlike primary research, this study applied thematic coding to text from secondary sources of data. By comparison, coding is applied to interview transcripts for thematic analysis in the case of primary research. Applying thematic analysis to the source tracking table in Appendix A, the following themes have been identified:</w:t>
      </w:r>
    </w:p>
    <w:p w14:paraId="48D8B5EB" w14:textId="77777777" w:rsidR="00793A71" w:rsidRPr="00DE6D1F" w:rsidRDefault="00793A71" w:rsidP="00D66F31">
      <w:pPr>
        <w:pStyle w:val="Heading2"/>
        <w:rPr>
          <w:rFonts w:ascii="Arial" w:hAnsi="Arial"/>
        </w:rPr>
      </w:pPr>
      <w:bookmarkStart w:id="34" w:name="_Toc223650657"/>
      <w:r w:rsidRPr="00DE6D1F">
        <w:rPr>
          <w:rFonts w:ascii="Arial" w:hAnsi="Arial"/>
        </w:rPr>
        <w:t>4.3 Theme 1: Structural challenges related to socio-economic vulnerability and occupational exposure</w:t>
      </w:r>
      <w:bookmarkEnd w:id="34"/>
      <w:r w:rsidRPr="00DE6D1F">
        <w:rPr>
          <w:rFonts w:ascii="Arial" w:hAnsi="Arial"/>
        </w:rPr>
        <w:t xml:space="preserve"> </w:t>
      </w:r>
    </w:p>
    <w:p w14:paraId="3CC7C9D2" w14:textId="77777777" w:rsidR="00793A71" w:rsidRPr="00DE6D1F" w:rsidRDefault="00793A71" w:rsidP="00D66F31">
      <w:pPr>
        <w:pStyle w:val="Heading3"/>
        <w:rPr>
          <w:rFonts w:cs="Arial"/>
        </w:rPr>
      </w:pPr>
      <w:bookmarkStart w:id="35" w:name="_Toc223650658"/>
      <w:r w:rsidRPr="00DE6D1F">
        <w:rPr>
          <w:rFonts w:cs="Arial"/>
        </w:rPr>
        <w:t>4.3.1 Definition</w:t>
      </w:r>
      <w:bookmarkEnd w:id="35"/>
    </w:p>
    <w:p w14:paraId="579641C6" w14:textId="77777777" w:rsidR="00793A71" w:rsidRPr="00DE6D1F" w:rsidRDefault="00793A71" w:rsidP="00D66F31">
      <w:pPr>
        <w:rPr>
          <w:rFonts w:cs="Arial"/>
        </w:rPr>
      </w:pPr>
      <w:r w:rsidRPr="00DE6D1F">
        <w:rPr>
          <w:rFonts w:cs="Arial"/>
        </w:rPr>
        <w:t xml:space="preserve">Existing literature identifies socioeconomic vulnerability and occupational exposure as structural challenges for the British Asian minorities in the UK to access health care during the pandemic (Platt, 2021). Here, occupational exposure refers to the health risks emanating from the job roles </w:t>
      </w:r>
      <w:r w:rsidRPr="00DE6D1F">
        <w:rPr>
          <w:rFonts w:cs="Arial"/>
        </w:rPr>
        <w:lastRenderedPageBreak/>
        <w:t xml:space="preserve">of these groups. On the other hand, socioeconomic vulnerability includes the social and economic factors behind the deprivation of the Asian minorities. </w:t>
      </w:r>
    </w:p>
    <w:p w14:paraId="3A662385" w14:textId="77777777" w:rsidR="00793A71" w:rsidRPr="00DE6D1F" w:rsidRDefault="00793A71" w:rsidP="00D66F31">
      <w:pPr>
        <w:pStyle w:val="Heading3"/>
        <w:rPr>
          <w:rFonts w:cs="Arial"/>
        </w:rPr>
      </w:pPr>
      <w:r w:rsidRPr="00DE6D1F">
        <w:rPr>
          <w:rFonts w:cs="Arial"/>
        </w:rPr>
        <w:t xml:space="preserve"> </w:t>
      </w:r>
      <w:bookmarkStart w:id="36" w:name="_Toc223650659"/>
      <w:r w:rsidRPr="00DE6D1F">
        <w:rPr>
          <w:rFonts w:cs="Arial"/>
        </w:rPr>
        <w:t>4.3.2 Background Information</w:t>
      </w:r>
      <w:bookmarkEnd w:id="36"/>
    </w:p>
    <w:p w14:paraId="7B6D6FF1" w14:textId="77777777" w:rsidR="00793A71" w:rsidRPr="00DE6D1F" w:rsidRDefault="00793A71" w:rsidP="00D66F31">
      <w:pPr>
        <w:rPr>
          <w:rFonts w:cs="Arial"/>
        </w:rPr>
      </w:pPr>
      <w:r w:rsidRPr="00DE6D1F">
        <w:rPr>
          <w:rFonts w:cs="Arial"/>
        </w:rPr>
        <w:t>Socioeconomic vulnerabilities for the British Asian minorities are primarily related to meagre savings and congested living spaces. According to industry reports, most of the households belonging to Pakistani and Bangladeshi backgrounds dwell in multi-generational units (ONS, 2021a). Although this offered the advantage of community strength during the pandemic, social distancing became impossible. Furthermore, the low-income distribution among the Asian families presented financial barriers to health access. Consequently, these households struggled hard to survive during the lockdowns without the inflow of money (UK Parliament, 2020). From the perspective of technology, the Asian community’s lack of education affected their access to online health support. Also, a large number of British Asians were in line roles, which excludes the option of working from home (</w:t>
      </w:r>
      <w:proofErr w:type="spellStart"/>
      <w:r w:rsidRPr="00DE6D1F">
        <w:rPr>
          <w:rFonts w:cs="Arial"/>
        </w:rPr>
        <w:t>Kapilashrami</w:t>
      </w:r>
      <w:proofErr w:type="spellEnd"/>
      <w:r w:rsidRPr="00DE6D1F">
        <w:rPr>
          <w:rFonts w:cs="Arial"/>
        </w:rPr>
        <w:t xml:space="preserve"> et al., 2022). While a majority of Indians are found in healthcare roles, Pakistani and Bangladeshi men are overrepresented in the service sectors (ONS, 2021a). This further exposed them to the coronavirus. Apart from such occupational exposure, minority workers also lacked the voice to demand safety measures and equipment. As the Asian workers continued to work without adequate protective equipment in public transportation, the ethnic groups employed in the hospitality and fashion industries became unemployed due to a complete shutdown. </w:t>
      </w:r>
    </w:p>
    <w:p w14:paraId="306C6D75" w14:textId="77777777" w:rsidR="00793A71" w:rsidRPr="00DE6D1F" w:rsidRDefault="00793A71" w:rsidP="00D66F31">
      <w:pPr>
        <w:pStyle w:val="Heading3"/>
        <w:rPr>
          <w:rFonts w:cs="Arial"/>
        </w:rPr>
      </w:pPr>
      <w:bookmarkStart w:id="37" w:name="_Toc223650660"/>
      <w:r w:rsidRPr="00DE6D1F">
        <w:rPr>
          <w:rFonts w:cs="Arial"/>
        </w:rPr>
        <w:t>4.3.3 Impact on research objective</w:t>
      </w:r>
      <w:bookmarkEnd w:id="37"/>
    </w:p>
    <w:p w14:paraId="4AAFF38D" w14:textId="77777777" w:rsidR="00793A71" w:rsidRPr="00DE6D1F" w:rsidRDefault="00793A71" w:rsidP="00D66F31">
      <w:pPr>
        <w:rPr>
          <w:rFonts w:cs="Arial"/>
        </w:rPr>
      </w:pPr>
      <w:r w:rsidRPr="00DE6D1F">
        <w:rPr>
          <w:rFonts w:cs="Arial"/>
        </w:rPr>
        <w:t xml:space="preserve">In this way, this identified theme addresses the first research objective concerning socioeconomic challenges and experiences of health inequalities. While this is a structural barrier, there is scope for identifying more challenges faced by British Asian minorities during Covid-19. </w:t>
      </w:r>
    </w:p>
    <w:p w14:paraId="5B1F3E17" w14:textId="77777777" w:rsidR="00793A71" w:rsidRPr="00DE6D1F" w:rsidRDefault="00793A71" w:rsidP="00D66F31">
      <w:pPr>
        <w:pStyle w:val="Heading3"/>
        <w:tabs>
          <w:tab w:val="left" w:pos="3393"/>
        </w:tabs>
        <w:rPr>
          <w:rFonts w:cs="Arial"/>
        </w:rPr>
      </w:pPr>
      <w:bookmarkStart w:id="38" w:name="_Toc223650661"/>
      <w:r w:rsidRPr="00DE6D1F">
        <w:rPr>
          <w:rFonts w:cs="Arial"/>
        </w:rPr>
        <w:t>4.3.4 Statistical Information</w:t>
      </w:r>
      <w:bookmarkEnd w:id="38"/>
      <w:r w:rsidRPr="00DE6D1F">
        <w:rPr>
          <w:rFonts w:cs="Arial"/>
        </w:rPr>
        <w:tab/>
      </w:r>
    </w:p>
    <w:p w14:paraId="589DD856" w14:textId="390CB8BE" w:rsidR="00793A71" w:rsidRPr="00731AFB" w:rsidRDefault="00793A71" w:rsidP="00D66F31">
      <w:pPr>
        <w:rPr>
          <w:rFonts w:cs="Arial"/>
        </w:rPr>
      </w:pPr>
      <w:r w:rsidRPr="00DE6D1F">
        <w:rPr>
          <w:rFonts w:cs="Arial"/>
        </w:rPr>
        <w:t xml:space="preserve">Quantitative facts from statistical databases and official surveys provide adequate evidence to support this theme. According to the 2021 census conducted by the ONS, Asian families are two </w:t>
      </w:r>
      <w:r w:rsidRPr="00731AFB">
        <w:rPr>
          <w:rFonts w:cs="Arial"/>
        </w:rPr>
        <w:t xml:space="preserve">times more likely to live in congested spaces than the white population (ONS, 2021a). From the financial viewpoint, 43% of Bangladeshi immigrants in the UK lost their livelihood during the pandemic. Comparatively, this figure is 22% for the white majority (UK Parliament, 2020). </w:t>
      </w:r>
      <w:r w:rsidR="006E77C5" w:rsidRPr="00731AFB">
        <w:rPr>
          <w:rFonts w:cs="Arial"/>
        </w:rPr>
        <w:t xml:space="preserve">These statistics indicate that socioeconomic vulnerability is a major contributor to infection risk. Overcrowded housing reduced the possibility of effective self-isolation, while employment insecurity increased exposure to high-risk jobs. </w:t>
      </w:r>
      <w:r w:rsidRPr="00731AFB">
        <w:rPr>
          <w:rFonts w:cs="Arial"/>
        </w:rPr>
        <w:t>Besides income, the importance of protective equipment should also be given due importance. Not only 95%</w:t>
      </w:r>
      <w:r w:rsidRPr="00DE6D1F">
        <w:rPr>
          <w:rFonts w:cs="Arial"/>
        </w:rPr>
        <w:t xml:space="preserve"> of the doctors who died during the </w:t>
      </w:r>
      <w:r w:rsidRPr="00731AFB">
        <w:rPr>
          <w:rFonts w:cs="Arial"/>
        </w:rPr>
        <w:lastRenderedPageBreak/>
        <w:t xml:space="preserve">pandemic represent the minority communities, but the fatalities were due to the lack of PPE kits (Daga et al., 2020). These </w:t>
      </w:r>
      <w:r w:rsidR="003E2049" w:rsidRPr="00731AFB">
        <w:rPr>
          <w:rFonts w:cs="Arial"/>
        </w:rPr>
        <w:t>f</w:t>
      </w:r>
      <w:r w:rsidR="00585A2D" w:rsidRPr="00731AFB">
        <w:rPr>
          <w:rFonts w:cs="Arial"/>
        </w:rPr>
        <w:t>acts show</w:t>
      </w:r>
      <w:r w:rsidR="003E2049" w:rsidRPr="00731AFB">
        <w:rPr>
          <w:rFonts w:cs="Arial"/>
        </w:rPr>
        <w:t xml:space="preserve"> that due to</w:t>
      </w:r>
      <w:r w:rsidR="00585A2D" w:rsidRPr="00731AFB">
        <w:rPr>
          <w:rFonts w:cs="Arial"/>
        </w:rPr>
        <w:t xml:space="preserve"> overcrowded hous</w:t>
      </w:r>
      <w:r w:rsidR="003E2049" w:rsidRPr="00731AFB">
        <w:rPr>
          <w:rFonts w:cs="Arial"/>
        </w:rPr>
        <w:t>ing</w:t>
      </w:r>
      <w:r w:rsidR="00585A2D" w:rsidRPr="00731AFB">
        <w:rPr>
          <w:rFonts w:cs="Arial"/>
        </w:rPr>
        <w:t xml:space="preserve">, </w:t>
      </w:r>
      <w:r w:rsidR="003E2049" w:rsidRPr="00731AFB">
        <w:rPr>
          <w:rFonts w:cs="Arial"/>
        </w:rPr>
        <w:t>u</w:t>
      </w:r>
      <w:r w:rsidR="00585A2D" w:rsidRPr="00731AFB">
        <w:rPr>
          <w:rFonts w:cs="Arial"/>
        </w:rPr>
        <w:t xml:space="preserve">nemployment and lack of </w:t>
      </w:r>
      <w:r w:rsidR="003E2049" w:rsidRPr="00731AFB">
        <w:rPr>
          <w:rFonts w:cs="Arial"/>
        </w:rPr>
        <w:t>protective equipment</w:t>
      </w:r>
      <w:r w:rsidR="006E77C5" w:rsidRPr="00731AFB">
        <w:rPr>
          <w:rFonts w:cs="Arial"/>
        </w:rPr>
        <w:t>,</w:t>
      </w:r>
      <w:r w:rsidR="003E2049" w:rsidRPr="00731AFB">
        <w:rPr>
          <w:rFonts w:cs="Arial"/>
        </w:rPr>
        <w:t xml:space="preserve"> the Asian minorities were disproportionately affected by the pandemic.</w:t>
      </w:r>
    </w:p>
    <w:p w14:paraId="3A814F3B" w14:textId="77777777" w:rsidR="00793A71" w:rsidRPr="00731AFB" w:rsidRDefault="00793A71" w:rsidP="00D66F31">
      <w:pPr>
        <w:pStyle w:val="Heading3"/>
        <w:rPr>
          <w:rFonts w:cs="Arial"/>
        </w:rPr>
      </w:pPr>
      <w:bookmarkStart w:id="39" w:name="_Toc223650662"/>
      <w:r w:rsidRPr="00731AFB">
        <w:rPr>
          <w:rFonts w:cs="Arial"/>
        </w:rPr>
        <w:t>4.3.5 Theories, Policies and Legislation</w:t>
      </w:r>
      <w:bookmarkEnd w:id="39"/>
    </w:p>
    <w:p w14:paraId="2ADBBA53" w14:textId="77777777" w:rsidR="00BC5D02" w:rsidRDefault="00793A71" w:rsidP="00D66F31">
      <w:pPr>
        <w:rPr>
          <w:rFonts w:cs="Arial"/>
        </w:rPr>
      </w:pPr>
      <w:r w:rsidRPr="00731AFB">
        <w:rPr>
          <w:rFonts w:cs="Arial"/>
        </w:rPr>
        <w:t>The critical race theory positions racism in the social system and laws, rather than individual discrimination (Delgado and Stefancic, 2023). Accordingly, this theory confirms socioeconomic vulnerability as a direct cause for the disproportionate impact of the pandemic on the Asian minorities. This assertion further relates to the research objective of identifying the barriers to healthcare access for these minorities. Compared to the CRT, the socioecological theory analyses human growth and wellbeing based on multiple layers of influence (Costanza, 2014). Accordingly, the risk of occupational exposure during the pandemic can be examined across the individual, microsystemic and macrosystemic levels.</w:t>
      </w:r>
      <w:r w:rsidRPr="00DE6D1F">
        <w:rPr>
          <w:rFonts w:cs="Arial"/>
        </w:rPr>
        <w:t xml:space="preserve"> </w:t>
      </w:r>
    </w:p>
    <w:p w14:paraId="0DC96B2B" w14:textId="15103C08" w:rsidR="00793A71" w:rsidRPr="00DE6D1F" w:rsidRDefault="00793A71" w:rsidP="00D66F31">
      <w:pPr>
        <w:rPr>
          <w:rFonts w:cs="Arial"/>
        </w:rPr>
      </w:pPr>
      <w:r w:rsidRPr="00DE6D1F">
        <w:rPr>
          <w:rFonts w:cs="Arial"/>
        </w:rPr>
        <w:t>Overall, critical insights from both theories explain the policy failures and systemic inefficiencies in the UK during the pandemic. The Equality Act 2010 mandates the British government to critically review how its policies and regulations impact all types of minorities (Hussain, Rizvi and Sheikh, 2022). However, the UK government did not initiate effective Equality Impact Assessments before imposing the lockdowns and related measures. This further reveals the structural barriers to health care access for the Asian minorities during the pandemic. Similarly, the government could have exercised its emergency powers under the Coronavirus Act 2022 to increase wages for these minorities (</w:t>
      </w:r>
      <w:proofErr w:type="spellStart"/>
      <w:r w:rsidRPr="00DE6D1F">
        <w:rPr>
          <w:rFonts w:cs="Arial"/>
        </w:rPr>
        <w:t>Grez</w:t>
      </w:r>
      <w:proofErr w:type="spellEnd"/>
      <w:r w:rsidRPr="00DE6D1F">
        <w:rPr>
          <w:rFonts w:cs="Arial"/>
        </w:rPr>
        <w:t xml:space="preserve"> Hidalgo, de </w:t>
      </w:r>
      <w:proofErr w:type="spellStart"/>
      <w:r w:rsidRPr="00DE6D1F">
        <w:rPr>
          <w:rFonts w:cs="Arial"/>
        </w:rPr>
        <w:t>Londras</w:t>
      </w:r>
      <w:proofErr w:type="spellEnd"/>
      <w:r w:rsidRPr="00DE6D1F">
        <w:rPr>
          <w:rFonts w:cs="Arial"/>
        </w:rPr>
        <w:t xml:space="preserve"> and Lock, 2022). However, no such raise was initiated, with the Asian minorities being affected most. Also, the Coronavirus Job Retention Scheme and the Self-Employment Income Support Scheme did not assist the Asian workers who lost their jobs during Covid-19 (Fulton, 2021). </w:t>
      </w:r>
    </w:p>
    <w:p w14:paraId="03211735" w14:textId="77777777" w:rsidR="00793A71" w:rsidRPr="00DE6D1F" w:rsidRDefault="00793A71" w:rsidP="00D66F31">
      <w:pPr>
        <w:pStyle w:val="Heading3"/>
        <w:rPr>
          <w:rFonts w:cs="Arial"/>
        </w:rPr>
      </w:pPr>
      <w:bookmarkStart w:id="40" w:name="_Toc223650663"/>
      <w:r w:rsidRPr="00DE6D1F">
        <w:rPr>
          <w:rFonts w:cs="Arial"/>
        </w:rPr>
        <w:t>4.3.6 Implications</w:t>
      </w:r>
      <w:bookmarkEnd w:id="40"/>
    </w:p>
    <w:p w14:paraId="278403C7" w14:textId="77777777" w:rsidR="00793A71" w:rsidRPr="00DE6D1F" w:rsidRDefault="00793A71" w:rsidP="00D66F31">
      <w:pPr>
        <w:rPr>
          <w:rFonts w:cs="Arial"/>
        </w:rPr>
      </w:pPr>
      <w:r w:rsidRPr="00DE6D1F">
        <w:rPr>
          <w:rFonts w:cs="Arial"/>
        </w:rPr>
        <w:t>Despite the aforementioned failures and inefficiencies, various positive implications emerge from the first theme. Such positive observations primarily relate to the increasing awareness of minority welfare in the UK and the testing of its resilience (Mathur et al., 2020). The systemic shortcomings of the administrative agencies and government bodies triggered community initiatives and activities of the not-for-profit organisations. Consequently, the focus has also been shifting from cultural and lifestyle choices to the acknowledgement of structural racism in the UK. Government authorities, corporate organisations, as well as civil society groups, are voicing their support for more egalitarian health planning, including data disaggregation (</w:t>
      </w:r>
      <w:proofErr w:type="spellStart"/>
      <w:r w:rsidRPr="00DE6D1F">
        <w:rPr>
          <w:rFonts w:cs="Arial"/>
        </w:rPr>
        <w:t>Kauh</w:t>
      </w:r>
      <w:proofErr w:type="spellEnd"/>
      <w:r w:rsidRPr="00DE6D1F">
        <w:rPr>
          <w:rFonts w:cs="Arial"/>
        </w:rPr>
        <w:t xml:space="preserve">, Read and Scheitler, 2021). However, the success of these initiatives depends on the mitigation of occupational risks, </w:t>
      </w:r>
      <w:r w:rsidRPr="00DE6D1F">
        <w:rPr>
          <w:rFonts w:cs="Arial"/>
        </w:rPr>
        <w:lastRenderedPageBreak/>
        <w:t>congested housing and shortcomings in the compensation system. Overall, the inclusion of the low-income Asian workers in the key worker definition sustains hope for the future. The NHS is also considering the social factors related to health rather than being preoccupied with the biological elements (</w:t>
      </w:r>
      <w:proofErr w:type="spellStart"/>
      <w:r w:rsidRPr="00DE6D1F">
        <w:rPr>
          <w:rFonts w:cs="Arial"/>
        </w:rPr>
        <w:t>Buzelli</w:t>
      </w:r>
      <w:proofErr w:type="spellEnd"/>
      <w:r w:rsidRPr="00DE6D1F">
        <w:rPr>
          <w:rFonts w:cs="Arial"/>
        </w:rPr>
        <w:t xml:space="preserve"> et al., 2022). The discussion of these initiatives and directions is further supported by empirical evidence in the following section. </w:t>
      </w:r>
    </w:p>
    <w:p w14:paraId="0E91B3A1" w14:textId="77777777" w:rsidR="00793A71" w:rsidRPr="00DE6D1F" w:rsidRDefault="00793A71" w:rsidP="00D66F31">
      <w:pPr>
        <w:pStyle w:val="Heading3"/>
        <w:rPr>
          <w:rFonts w:cs="Arial"/>
        </w:rPr>
      </w:pPr>
      <w:bookmarkStart w:id="41" w:name="_Toc223650664"/>
      <w:r w:rsidRPr="00DE6D1F">
        <w:rPr>
          <w:rFonts w:cs="Arial"/>
        </w:rPr>
        <w:t>4.3.7 Examples from articles</w:t>
      </w:r>
      <w:bookmarkEnd w:id="41"/>
    </w:p>
    <w:p w14:paraId="06A4D2CD" w14:textId="27B35419" w:rsidR="00793A71" w:rsidRPr="00DE6D1F" w:rsidRDefault="00793A71" w:rsidP="00D66F31">
      <w:pPr>
        <w:rPr>
          <w:rFonts w:cs="Arial"/>
        </w:rPr>
      </w:pPr>
      <w:r w:rsidRPr="00DE6D1F">
        <w:rPr>
          <w:rFonts w:cs="Arial"/>
        </w:rPr>
        <w:t xml:space="preserve">In their article, </w:t>
      </w:r>
      <w:proofErr w:type="spellStart"/>
      <w:r w:rsidRPr="00DE6D1F">
        <w:rPr>
          <w:rFonts w:cs="Arial"/>
        </w:rPr>
        <w:t>Kapilashrami</w:t>
      </w:r>
      <w:proofErr w:type="spellEnd"/>
      <w:r w:rsidRPr="00DE6D1F">
        <w:rPr>
          <w:rFonts w:cs="Arial"/>
        </w:rPr>
        <w:t xml:space="preserve"> et al. (2022) explain how high exposure to patient-facing roles and Covid-19 cases disproportionately increased the risks for minority ethnic health-care workers compared to the white staff. Furthermore, nurses belonging to the ethnic minorities were three times more likely than those from the majority communities to be transferred to the wards dealing with Covid-19 cases. </w:t>
      </w:r>
      <w:proofErr w:type="spellStart"/>
      <w:r w:rsidRPr="00DE6D1F">
        <w:rPr>
          <w:rFonts w:cs="Arial"/>
        </w:rPr>
        <w:t>Kapilashrami</w:t>
      </w:r>
      <w:proofErr w:type="spellEnd"/>
      <w:r w:rsidRPr="00DE6D1F">
        <w:rPr>
          <w:rFonts w:cs="Arial"/>
        </w:rPr>
        <w:t xml:space="preserve"> et al. (2022) also draw attention to the fact that the minority workers suffered more due to the lack of PPE kits, relevant training and staff testing. The discrimination between ethnic workers and the majority staff was starker in middle-level and junior positions. These findings fully align with the first theme that focuses on the structural challenges, including </w:t>
      </w:r>
      <w:r w:rsidRPr="00731AFB">
        <w:rPr>
          <w:rFonts w:cs="Arial"/>
        </w:rPr>
        <w:t xml:space="preserve">occupational risks and socioeconomic vulnerability. Thereby, racial discrimination in assigning roles and transfers, along with disproportionate operational risks emerge as barriers to healthcare access for the ethnic minorities. </w:t>
      </w:r>
      <w:r w:rsidR="008F7836" w:rsidRPr="00731AFB">
        <w:rPr>
          <w:rFonts w:cs="Arial"/>
        </w:rPr>
        <w:t xml:space="preserve">While </w:t>
      </w:r>
      <w:proofErr w:type="spellStart"/>
      <w:r w:rsidR="008F7836" w:rsidRPr="00731AFB">
        <w:rPr>
          <w:rFonts w:cs="Arial"/>
        </w:rPr>
        <w:t>Kapilashrami</w:t>
      </w:r>
      <w:proofErr w:type="spellEnd"/>
      <w:r w:rsidR="008F7836" w:rsidRPr="00731AFB">
        <w:rPr>
          <w:rFonts w:cs="Arial"/>
        </w:rPr>
        <w:t xml:space="preserve"> et al. (2022) emphasise the occupational risks of minority healthcare workers, Daga et al. (2020) attribute the higher mortality rates mainly to the lack of adequate PPE. This comparison suggests that workplace risk and institutional preparedness contributed equally to the disproportionate impact on ethnic minorities. </w:t>
      </w:r>
      <w:r w:rsidRPr="00731AFB">
        <w:rPr>
          <w:rFonts w:cs="Arial"/>
        </w:rPr>
        <w:t xml:space="preserve">Additionally, these findings also </w:t>
      </w:r>
      <w:r w:rsidR="008F7836" w:rsidRPr="00731AFB">
        <w:rPr>
          <w:rFonts w:cs="Arial"/>
        </w:rPr>
        <w:t>link</w:t>
      </w:r>
      <w:r w:rsidRPr="00731AFB">
        <w:rPr>
          <w:rFonts w:cs="Arial"/>
        </w:rPr>
        <w:t xml:space="preserve"> the unequal impact of the pandemic on the minorities to their inability to self-isolate. This inability further contributed to the higher risks of Covid-19</w:t>
      </w:r>
      <w:r w:rsidRPr="00DE6D1F">
        <w:rPr>
          <w:rFonts w:cs="Arial"/>
        </w:rPr>
        <w:t xml:space="preserve"> infection for the minority health care workers. In this way, the absence of self-isolation is added as another systemic barrier as required by the first research objective. </w:t>
      </w:r>
    </w:p>
    <w:p w14:paraId="7C37B57F" w14:textId="77777777" w:rsidR="00793A71" w:rsidRPr="00DE6D1F" w:rsidRDefault="00793A71" w:rsidP="00D66F31">
      <w:pPr>
        <w:pStyle w:val="Heading3"/>
        <w:rPr>
          <w:rFonts w:cs="Arial"/>
        </w:rPr>
      </w:pPr>
      <w:bookmarkStart w:id="42" w:name="_Toc223650665"/>
      <w:r w:rsidRPr="00DE6D1F">
        <w:rPr>
          <w:rFonts w:cs="Arial"/>
        </w:rPr>
        <w:t>4.3.8 Connections to other themes</w:t>
      </w:r>
      <w:bookmarkEnd w:id="42"/>
    </w:p>
    <w:p w14:paraId="003ABDBB" w14:textId="77777777" w:rsidR="00793A71" w:rsidRPr="00DE6D1F" w:rsidRDefault="00793A71" w:rsidP="00D66F31">
      <w:pPr>
        <w:rPr>
          <w:rFonts w:cs="Arial"/>
        </w:rPr>
      </w:pPr>
      <w:r w:rsidRPr="00DE6D1F">
        <w:rPr>
          <w:rFonts w:cs="Arial"/>
        </w:rPr>
        <w:t xml:space="preserve">The systemic barriers identified in the first theme prepare the ground for the challenges in the second theme. For example, the social and economic inequalities explain the digital divide to a large extent. An Asian immigrant working in a high-pressure line job usually lacks the additional time for digital upskilling. Similarly, the trigger for the community initiatives explained in the third theme lies in the systemic failures highlighted in the first theme. The need for community work during the pandemic was felt as the administrative policies ignored the employment conditions of the ethnic minorities. From a broader perspective, the first theme overlaps with the rest in terms </w:t>
      </w:r>
      <w:r w:rsidRPr="00DE6D1F">
        <w:rPr>
          <w:rFonts w:cs="Arial"/>
        </w:rPr>
        <w:lastRenderedPageBreak/>
        <w:t xml:space="preserve">of exposing institutional distress in the UK. A critical analysis of the second theme in the following section further reveals such interconnections and overlaps. </w:t>
      </w:r>
    </w:p>
    <w:p w14:paraId="688D5452" w14:textId="77777777" w:rsidR="00793A71" w:rsidRPr="00DE6D1F" w:rsidRDefault="00793A71" w:rsidP="00D66F31">
      <w:pPr>
        <w:pStyle w:val="Heading2"/>
        <w:rPr>
          <w:rFonts w:ascii="Arial" w:hAnsi="Arial"/>
        </w:rPr>
      </w:pPr>
      <w:bookmarkStart w:id="43" w:name="_Toc223650666"/>
      <w:r w:rsidRPr="00DE6D1F">
        <w:rPr>
          <w:rFonts w:ascii="Arial" w:hAnsi="Arial"/>
        </w:rPr>
        <w:t>4.4 Theme 2: Cultural and technological barriers to health care access</w:t>
      </w:r>
      <w:bookmarkEnd w:id="43"/>
    </w:p>
    <w:p w14:paraId="10E8C022" w14:textId="77777777" w:rsidR="00793A71" w:rsidRPr="00DE6D1F" w:rsidRDefault="00793A71" w:rsidP="00D66F31">
      <w:pPr>
        <w:pStyle w:val="Heading3"/>
        <w:rPr>
          <w:rFonts w:cs="Arial"/>
        </w:rPr>
      </w:pPr>
      <w:bookmarkStart w:id="44" w:name="_Toc223650667"/>
      <w:r w:rsidRPr="00DE6D1F">
        <w:rPr>
          <w:rFonts w:cs="Arial"/>
        </w:rPr>
        <w:t>4.4.1 Definition</w:t>
      </w:r>
      <w:bookmarkEnd w:id="44"/>
    </w:p>
    <w:p w14:paraId="4C1FA142" w14:textId="77777777" w:rsidR="00793A71" w:rsidRPr="00DE6D1F" w:rsidRDefault="00793A71" w:rsidP="00D66F31">
      <w:pPr>
        <w:rPr>
          <w:rFonts w:cs="Arial"/>
        </w:rPr>
      </w:pPr>
      <w:r w:rsidRPr="00DE6D1F">
        <w:rPr>
          <w:rFonts w:cs="Arial"/>
        </w:rPr>
        <w:t xml:space="preserve">The second theme concerns the cultural and technological barriers to healthcare access for the British Asian minorities during the pandemic. These are critical factors that significantly contributed to the unequal impact of the pandemic on the ethnic minorities. Aligning with the third research objective, these factors also include the linguistic barriers to health care in the UK. Existing research shows that the government directives and overall messaging during the pandemic were not available in the languages of the Asian minorities (Khan, Asif and Jaffery, 2021). Hence, these ethnic minorities were exposed to propaganda and misinformation on social media, rather than authentic news. The lack of fluency in English also contributed to the low digital awareness of these communities. Such a lack of knowledge or skills defines the digital divide between the elite and the underprivileged sections (Litchfield, Shukla and Greenfield, 2021). On the whole, the linguistic, cultural and technological barriers created a major communication gap for the Asian community in the UK. </w:t>
      </w:r>
    </w:p>
    <w:p w14:paraId="747A30B3" w14:textId="77777777" w:rsidR="00793A71" w:rsidRPr="00DE6D1F" w:rsidRDefault="00793A71" w:rsidP="00D66F31">
      <w:pPr>
        <w:pStyle w:val="Heading3"/>
        <w:rPr>
          <w:rFonts w:cs="Arial"/>
        </w:rPr>
      </w:pPr>
      <w:bookmarkStart w:id="45" w:name="_Toc223650668"/>
      <w:r w:rsidRPr="00DE6D1F">
        <w:rPr>
          <w:rFonts w:cs="Arial"/>
        </w:rPr>
        <w:t>4.4.2 Background Information</w:t>
      </w:r>
      <w:bookmarkEnd w:id="45"/>
    </w:p>
    <w:p w14:paraId="375CFEED" w14:textId="77777777" w:rsidR="006E77C5" w:rsidRDefault="00793A71" w:rsidP="00D66F31">
      <w:pPr>
        <w:rPr>
          <w:rFonts w:cs="Arial"/>
        </w:rPr>
      </w:pPr>
      <w:r w:rsidRPr="00DE6D1F">
        <w:rPr>
          <w:rFonts w:cs="Arial"/>
        </w:rPr>
        <w:t>Compared to the socioeconomic challenges identified in the first theme, the cultural barriers concern the healthcare solutions rather than the demographic inequalities. The unequal access to healthcare facilities was evident in the operations of the NHS during the pandemic (</w:t>
      </w:r>
      <w:bookmarkStart w:id="46" w:name="_Hlk223689749"/>
      <w:r w:rsidRPr="00DE6D1F">
        <w:rPr>
          <w:rFonts w:cs="Arial"/>
        </w:rPr>
        <w:t xml:space="preserve">Cronberg, Maile and Majeed, </w:t>
      </w:r>
      <w:r w:rsidRPr="00731AFB">
        <w:rPr>
          <w:rFonts w:cs="Arial"/>
        </w:rPr>
        <w:t>2020)</w:t>
      </w:r>
      <w:bookmarkEnd w:id="46"/>
      <w:r w:rsidRPr="00731AFB">
        <w:rPr>
          <w:rFonts w:cs="Arial"/>
        </w:rPr>
        <w:t xml:space="preserve">. From the viewpoint of critical race theory, the hesitation of Asian minorities to access health care could be understood in terms of historical discrimination. This also explains the mistrust of the ethnic minorities in the rollout of vaccination </w:t>
      </w:r>
      <w:bookmarkStart w:id="47" w:name="_Hlk223689770"/>
      <w:r w:rsidRPr="00731AFB">
        <w:rPr>
          <w:rFonts w:cs="Arial"/>
        </w:rPr>
        <w:t>(Hussain et al., 2022)</w:t>
      </w:r>
      <w:bookmarkEnd w:id="47"/>
      <w:r w:rsidRPr="00731AFB">
        <w:rPr>
          <w:rFonts w:cs="Arial"/>
        </w:rPr>
        <w:t>. The sense of stigma created by such historical experiences induced several ethnic households to conceal the cases of Covid-19 infection. As</w:t>
      </w:r>
      <w:r w:rsidRPr="00DE6D1F">
        <w:rPr>
          <w:rFonts w:cs="Arial"/>
        </w:rPr>
        <w:t xml:space="preserve"> far as the linguistic barriers and communication gap are concerned, the government was quite late in translating official messages into Urdu, Punjabi, Bengali, Hindi, etc. </w:t>
      </w:r>
    </w:p>
    <w:p w14:paraId="0EAB270F" w14:textId="07648C0A" w:rsidR="00793A71" w:rsidRPr="00731AFB" w:rsidRDefault="00793A71" w:rsidP="00D66F31">
      <w:pPr>
        <w:rPr>
          <w:rFonts w:cs="Arial"/>
        </w:rPr>
      </w:pPr>
      <w:r w:rsidRPr="00DE6D1F">
        <w:rPr>
          <w:rFonts w:cs="Arial"/>
        </w:rPr>
        <w:t xml:space="preserve">Furthermore, the surge in online consultations meant that the Asian communities could no longer benefit from the assistance of an interpreter, as was possible in physical settings. Although the healthcare system in the UK has been sustained by digitalisation, it has also excluded the underprivileged ethnic minorities. The structural barriers discussed under theme 1 include low income, which further contributed to the lack of access to digital technology </w:t>
      </w:r>
      <w:bookmarkStart w:id="48" w:name="_Hlk223689791"/>
      <w:r w:rsidRPr="00DE6D1F">
        <w:rPr>
          <w:rFonts w:cs="Arial"/>
        </w:rPr>
        <w:t xml:space="preserve">(Litchfield, Shukla </w:t>
      </w:r>
      <w:r w:rsidRPr="00DE6D1F">
        <w:rPr>
          <w:rFonts w:cs="Arial"/>
        </w:rPr>
        <w:lastRenderedPageBreak/>
        <w:t>and Greenfield, 2021)</w:t>
      </w:r>
      <w:bookmarkEnd w:id="48"/>
      <w:r w:rsidRPr="00DE6D1F">
        <w:rPr>
          <w:rFonts w:cs="Arial"/>
        </w:rPr>
        <w:t xml:space="preserve">. </w:t>
      </w:r>
      <w:r w:rsidRPr="00731AFB">
        <w:rPr>
          <w:rFonts w:cs="Arial"/>
        </w:rPr>
        <w:t xml:space="preserve">The linguistic barriers also affected access to healthcare apps as well as the ability to use them. </w:t>
      </w:r>
      <w:r w:rsidR="006E77C5" w:rsidRPr="00731AFB">
        <w:rPr>
          <w:rFonts w:cs="Arial"/>
        </w:rPr>
        <w:t>The unequal access to translated healthcare messaging can also be understood through Critical Race Theory. This perspective explains how delays in official guidance represent the structural neglect of minority linguistic needs within institutional systems.</w:t>
      </w:r>
    </w:p>
    <w:p w14:paraId="570630CE" w14:textId="77777777" w:rsidR="00793A71" w:rsidRPr="00731AFB" w:rsidRDefault="00793A71" w:rsidP="00D66F31">
      <w:pPr>
        <w:pStyle w:val="Heading3"/>
        <w:rPr>
          <w:rFonts w:cs="Arial"/>
        </w:rPr>
      </w:pPr>
      <w:bookmarkStart w:id="49" w:name="_Toc223650669"/>
      <w:r w:rsidRPr="00731AFB">
        <w:rPr>
          <w:rFonts w:cs="Arial"/>
        </w:rPr>
        <w:t>4.4.3 Impact on research objective</w:t>
      </w:r>
      <w:bookmarkEnd w:id="49"/>
    </w:p>
    <w:p w14:paraId="238B3E2E" w14:textId="77777777" w:rsidR="00793A71" w:rsidRPr="00731AFB" w:rsidRDefault="00793A71" w:rsidP="00D66F31">
      <w:pPr>
        <w:rPr>
          <w:rFonts w:cs="Arial"/>
        </w:rPr>
      </w:pPr>
      <w:r w:rsidRPr="00731AFB">
        <w:rPr>
          <w:rFonts w:cs="Arial"/>
        </w:rPr>
        <w:t xml:space="preserve">This contextual background shows how the second theme directly relates to the third research objective of evaluating the influence of structural, linguistic and cultural elements on the health care support for the Asian minorities. The structural elements in the third research objective further showcase the overlap between the themes as discussed previously. </w:t>
      </w:r>
    </w:p>
    <w:p w14:paraId="2FDD4167" w14:textId="77777777" w:rsidR="00793A71" w:rsidRPr="00731AFB" w:rsidRDefault="00793A71" w:rsidP="00D66F31">
      <w:pPr>
        <w:pStyle w:val="Heading3"/>
        <w:rPr>
          <w:rFonts w:cs="Arial"/>
        </w:rPr>
      </w:pPr>
      <w:bookmarkStart w:id="50" w:name="_Toc223650670"/>
      <w:r w:rsidRPr="00731AFB">
        <w:rPr>
          <w:rFonts w:cs="Arial"/>
        </w:rPr>
        <w:t>4.4.4 Statistical Information</w:t>
      </w:r>
      <w:bookmarkEnd w:id="50"/>
    </w:p>
    <w:p w14:paraId="5622EC53" w14:textId="4CA8A8EA" w:rsidR="00793A71" w:rsidRPr="00731AFB" w:rsidRDefault="00793A71" w:rsidP="00D66F31">
      <w:pPr>
        <w:rPr>
          <w:rFonts w:cs="Arial"/>
        </w:rPr>
      </w:pPr>
      <w:r w:rsidRPr="00731AFB">
        <w:rPr>
          <w:rFonts w:cs="Arial"/>
        </w:rPr>
        <w:t xml:space="preserve">The structural inequalities are further revealed by the differences of vaccine uptake in terms of ethnicity. According to a survey conducted by the </w:t>
      </w:r>
      <w:bookmarkStart w:id="51" w:name="_Hlk223689807"/>
      <w:r w:rsidRPr="00731AFB">
        <w:rPr>
          <w:rFonts w:cs="Arial"/>
        </w:rPr>
        <w:t>ONS (2021b)</w:t>
      </w:r>
      <w:bookmarkEnd w:id="51"/>
      <w:r w:rsidRPr="00731AFB">
        <w:rPr>
          <w:rFonts w:cs="Arial"/>
        </w:rPr>
        <w:t xml:space="preserve">, only 72.7% Bangladeshis aged over 70 took the coronavirus vaccinations as compared to 93.5% for the white British. Similarly, vaccine hesitancy was found twice as high for the Asian minorities compared to the majority community </w:t>
      </w:r>
      <w:bookmarkStart w:id="52" w:name="_Hlk223689820"/>
      <w:r w:rsidRPr="00731AFB">
        <w:rPr>
          <w:rFonts w:cs="Arial"/>
        </w:rPr>
        <w:t>(ONS, 2021c)</w:t>
      </w:r>
      <w:bookmarkEnd w:id="52"/>
      <w:r w:rsidRPr="00731AFB">
        <w:rPr>
          <w:rFonts w:cs="Arial"/>
        </w:rPr>
        <w:t xml:space="preserve">. In the context of digital literacy, the Asian minorities were four times more likely to avoid digital technology than the majority population </w:t>
      </w:r>
      <w:bookmarkStart w:id="53" w:name="_Hlk223689831"/>
      <w:r w:rsidRPr="00731AFB">
        <w:rPr>
          <w:rFonts w:cs="Arial"/>
        </w:rPr>
        <w:t>(Lloyds Banking Group, 2021)</w:t>
      </w:r>
      <w:bookmarkEnd w:id="53"/>
      <w:r w:rsidRPr="00731AFB">
        <w:rPr>
          <w:rFonts w:cs="Arial"/>
        </w:rPr>
        <w:t xml:space="preserve">. </w:t>
      </w:r>
      <w:r w:rsidR="003E2049" w:rsidRPr="00731AFB">
        <w:rPr>
          <w:rFonts w:cs="Arial"/>
        </w:rPr>
        <w:t xml:space="preserve">Thus, the combination of factors such as social stigma and the lack of digital awareness also explain the Asian community’s unequal access to health care during the pandemic. </w:t>
      </w:r>
    </w:p>
    <w:p w14:paraId="14D1192D" w14:textId="77777777" w:rsidR="00793A71" w:rsidRPr="00731AFB" w:rsidRDefault="00793A71" w:rsidP="00D66F31">
      <w:pPr>
        <w:pStyle w:val="Heading3"/>
        <w:rPr>
          <w:rFonts w:cs="Arial"/>
        </w:rPr>
      </w:pPr>
      <w:bookmarkStart w:id="54" w:name="_Toc223650671"/>
      <w:r w:rsidRPr="00731AFB">
        <w:rPr>
          <w:rFonts w:cs="Arial"/>
        </w:rPr>
        <w:t>4.4.5 Theories, Policies, and Legislation</w:t>
      </w:r>
      <w:bookmarkEnd w:id="54"/>
    </w:p>
    <w:p w14:paraId="34BF91D7" w14:textId="77777777" w:rsidR="00793A71" w:rsidRPr="00731AFB" w:rsidRDefault="00793A71" w:rsidP="00D66F31">
      <w:pPr>
        <w:rPr>
          <w:rFonts w:cs="Arial"/>
        </w:rPr>
      </w:pPr>
      <w:r w:rsidRPr="00731AFB">
        <w:rPr>
          <w:rFonts w:cs="Arial"/>
        </w:rPr>
        <w:t xml:space="preserve">Like the first theme, the second theme must also be related to the theoretical framework of this study. Accordingly, the unavailability of translations for the ethnic minorities must be viewed as institutional racism instead of a general resource constraint (Khan, Asif and Jaffery, 2021). It showcases the government's neglect of languages other than English even in critical healthcare matters during the crisis period of the pandemic. Similarly, the interests of the minorities are also overlooked in the process of digital transformation. This trivialises the disadvantages of the minorities and thus makes it increasingly difficult to bridge the digital divide in British society. The prejudiced propaganda on social media with racist implications is a matter of greater concern. These instances of racial discrimination can also be understood at individual, micro and macro levels as presented in the socioecological theory (Costanza, 2014). While personal stereotypes are individual, institutional discrimination needs to be addressed at the macro level. Moreover, the CRT explains how racial discrimination is justified, while the socioecological theory offers insights into how the structural and cultural barriers are institutionalised (Delgado and Stefancic, 2023). </w:t>
      </w:r>
    </w:p>
    <w:p w14:paraId="344AAB50" w14:textId="77777777" w:rsidR="00793A71" w:rsidRPr="00731AFB" w:rsidRDefault="00793A71" w:rsidP="00D66F31">
      <w:pPr>
        <w:rPr>
          <w:rFonts w:cs="Arial"/>
        </w:rPr>
      </w:pPr>
      <w:r w:rsidRPr="00731AFB">
        <w:rPr>
          <w:rFonts w:cs="Arial"/>
        </w:rPr>
        <w:lastRenderedPageBreak/>
        <w:t>Such institutional discrimination can be better understood by reviewing the relevant policies and legislation in the UK. The Equality Act 2010 mandates public bodies to end all forms of discrimination and promote equality in all spheres, including health care (Hussain, Rizvi and Sheikh, 2022). From this perspective, the absence of translations for the ethnic minorities could be considered a failure of the legislation. This failure demonstrates how racial discrimination is institutionalised, as explained by the CRT (Delgado and Stefancic, 2023). In the parlance of the socioecological theory, the legislation is enacted at the macro level but not operationalised at the individual level. However, a late realisation of institutional discrimination and its perils inspired transformational policies, including the Community Champions Scheme in 2021 (</w:t>
      </w:r>
      <w:proofErr w:type="spellStart"/>
      <w:r w:rsidRPr="00731AFB">
        <w:rPr>
          <w:rFonts w:cs="Arial"/>
        </w:rPr>
        <w:t>Vanderslott</w:t>
      </w:r>
      <w:proofErr w:type="spellEnd"/>
      <w:r w:rsidRPr="00731AFB">
        <w:rPr>
          <w:rFonts w:cs="Arial"/>
        </w:rPr>
        <w:t xml:space="preserve"> et al., 2024). This represented an honest acknowledgement by the government of the failure of top-down initiatives, which were then replaced with decentralised policies. Nonetheless, from the CRT’s viewpoint, these measures are reactive and do not reflect the proactive orientation needed to combat institutional discrimination (Delgado and Stefancic, 2023). </w:t>
      </w:r>
    </w:p>
    <w:p w14:paraId="2F9AFD78" w14:textId="77777777" w:rsidR="00793A71" w:rsidRPr="00731AFB" w:rsidRDefault="00793A71" w:rsidP="00D66F31">
      <w:pPr>
        <w:pStyle w:val="Heading3"/>
        <w:rPr>
          <w:rFonts w:cs="Arial"/>
        </w:rPr>
      </w:pPr>
      <w:bookmarkStart w:id="55" w:name="_Toc223650672"/>
      <w:r w:rsidRPr="00731AFB">
        <w:rPr>
          <w:rFonts w:cs="Arial"/>
        </w:rPr>
        <w:t>4.4.6 Implications</w:t>
      </w:r>
      <w:bookmarkEnd w:id="55"/>
    </w:p>
    <w:p w14:paraId="67FAC387" w14:textId="77777777" w:rsidR="00793A71" w:rsidRPr="00731AFB" w:rsidRDefault="00793A71" w:rsidP="00D66F31">
      <w:pPr>
        <w:rPr>
          <w:rFonts w:cs="Arial"/>
        </w:rPr>
      </w:pPr>
      <w:r w:rsidRPr="00731AFB">
        <w:rPr>
          <w:rFonts w:cs="Arial"/>
        </w:rPr>
        <w:t xml:space="preserve">The second theme further showcases the theoretical friction between institutional discrimination and digitalisation, which is meant to promote empowerment. Although the cultural, linguistic and technological barriers weakened the government’s response during the pandemic, they induced consequent reforms </w:t>
      </w:r>
      <w:bookmarkStart w:id="56" w:name="_Hlk223689865"/>
      <w:r w:rsidRPr="00731AFB">
        <w:rPr>
          <w:rFonts w:cs="Arial"/>
        </w:rPr>
        <w:t>(Knights et al., 2021)</w:t>
      </w:r>
      <w:bookmarkEnd w:id="56"/>
      <w:r w:rsidRPr="00731AFB">
        <w:rPr>
          <w:rFonts w:cs="Arial"/>
        </w:rPr>
        <w:t>. From a holistic perspective, the barriers identified in the second theme not only disempowered the Asian minorities but also distanced them from the power centre. This reflects a paradox with the stated low power distance culture of British society. On the positive side, community initiatives including the Community Champions model integrates the minorities into mainstream development (</w:t>
      </w:r>
      <w:proofErr w:type="spellStart"/>
      <w:r w:rsidRPr="00731AFB">
        <w:rPr>
          <w:rFonts w:cs="Arial"/>
        </w:rPr>
        <w:t>Vanderslott</w:t>
      </w:r>
      <w:proofErr w:type="spellEnd"/>
      <w:r w:rsidRPr="00731AFB">
        <w:rPr>
          <w:rFonts w:cs="Arial"/>
        </w:rPr>
        <w:t xml:space="preserve"> et al., 2024). Similarly, the community-led educational and awareness generation programmes address the digital divide sustained by the sociocultural barriers in the UK. </w:t>
      </w:r>
    </w:p>
    <w:p w14:paraId="1A2BF134" w14:textId="77777777" w:rsidR="00793A71" w:rsidRPr="00731AFB" w:rsidRDefault="00793A71" w:rsidP="00D66F31">
      <w:pPr>
        <w:pStyle w:val="Heading3"/>
        <w:rPr>
          <w:rFonts w:cs="Arial"/>
        </w:rPr>
      </w:pPr>
      <w:bookmarkStart w:id="57" w:name="_Toc223650673"/>
      <w:r w:rsidRPr="00731AFB">
        <w:rPr>
          <w:rFonts w:cs="Arial"/>
        </w:rPr>
        <w:t>4.4.7 Examples from articles</w:t>
      </w:r>
      <w:bookmarkEnd w:id="57"/>
    </w:p>
    <w:p w14:paraId="22D12598" w14:textId="77777777" w:rsidR="00793A71" w:rsidRPr="00731AFB" w:rsidRDefault="00793A71" w:rsidP="00D66F31">
      <w:pPr>
        <w:rPr>
          <w:rFonts w:cs="Arial"/>
        </w:rPr>
      </w:pPr>
      <w:r w:rsidRPr="00731AFB">
        <w:rPr>
          <w:rFonts w:cs="Arial"/>
        </w:rPr>
        <w:t xml:space="preserve">The cultural barriers can also be related to the failure of healthcare professionals in the UK to understand the sensitivities and uniqueness of minorities. For instance, </w:t>
      </w:r>
      <w:bookmarkStart w:id="58" w:name="_Hlk223689888"/>
      <w:r w:rsidRPr="00731AFB">
        <w:rPr>
          <w:rFonts w:cs="Arial"/>
        </w:rPr>
        <w:t xml:space="preserve">Van Bortel et al. (2022) </w:t>
      </w:r>
      <w:bookmarkEnd w:id="58"/>
      <w:r w:rsidRPr="00731AFB">
        <w:rPr>
          <w:rFonts w:cs="Arial"/>
        </w:rPr>
        <w:t xml:space="preserve">explain how minority patients in the UK reported that mental health professionals failed to understand cultural nuances during the pandemic. Similarly, health care professionals from the majority community demonstrated a lack of cultural competence during the pandemic. Such incompetence affected their ability to understand the community, family and religious values of the patients belonging to the ethnic communities. </w:t>
      </w:r>
      <w:bookmarkStart w:id="59" w:name="_Hlk223689902"/>
      <w:proofErr w:type="spellStart"/>
      <w:r w:rsidRPr="00731AFB">
        <w:rPr>
          <w:rFonts w:cs="Arial"/>
        </w:rPr>
        <w:t>Abuelgasim</w:t>
      </w:r>
      <w:proofErr w:type="spellEnd"/>
      <w:r w:rsidRPr="00731AFB">
        <w:rPr>
          <w:rFonts w:cs="Arial"/>
        </w:rPr>
        <w:t xml:space="preserve"> et al. (2020) </w:t>
      </w:r>
      <w:bookmarkEnd w:id="59"/>
      <w:r w:rsidRPr="00731AFB">
        <w:rPr>
          <w:rFonts w:cs="Arial"/>
        </w:rPr>
        <w:t xml:space="preserve">also agree with Van Bortel et al. (2022) in attributing the disproportionate severity of the pandemic for the Asian </w:t>
      </w:r>
      <w:r w:rsidRPr="00731AFB">
        <w:rPr>
          <w:rFonts w:cs="Arial"/>
        </w:rPr>
        <w:lastRenderedPageBreak/>
        <w:t xml:space="preserve">minorities in the UK to cultural factors. For example, the English House survey, published by the UK government, revealed how overcrowding affects 11% of Asian families compared to 2% of white households. </w:t>
      </w:r>
      <w:proofErr w:type="spellStart"/>
      <w:r w:rsidRPr="00731AFB">
        <w:rPr>
          <w:rFonts w:cs="Arial"/>
        </w:rPr>
        <w:t>Abuelgasim</w:t>
      </w:r>
      <w:proofErr w:type="spellEnd"/>
      <w:r w:rsidRPr="00731AFB">
        <w:rPr>
          <w:rFonts w:cs="Arial"/>
        </w:rPr>
        <w:t xml:space="preserve"> et al. (2020) explain this disparity in terms of the multigenerational living culture of the Asian minorities. These findings further fulfil the third research objective of identifying the cultural barriers to health care for the Asian minorities during Covid-19. </w:t>
      </w:r>
    </w:p>
    <w:p w14:paraId="4C9BF98E" w14:textId="77777777" w:rsidR="00793A71" w:rsidRPr="00731AFB" w:rsidRDefault="00793A71" w:rsidP="00D66F31">
      <w:pPr>
        <w:pStyle w:val="Heading3"/>
        <w:rPr>
          <w:rFonts w:cs="Arial"/>
        </w:rPr>
      </w:pPr>
      <w:bookmarkStart w:id="60" w:name="_Toc223650674"/>
      <w:r w:rsidRPr="00731AFB">
        <w:rPr>
          <w:rFonts w:cs="Arial"/>
        </w:rPr>
        <w:t>4.4.8 Connections to Other Themes</w:t>
      </w:r>
      <w:bookmarkEnd w:id="60"/>
    </w:p>
    <w:p w14:paraId="16C1A56A" w14:textId="77777777" w:rsidR="00793A71" w:rsidRPr="00731AFB" w:rsidRDefault="00793A71" w:rsidP="00D66F31">
      <w:pPr>
        <w:rPr>
          <w:rFonts w:cs="Arial"/>
        </w:rPr>
      </w:pPr>
      <w:r w:rsidRPr="00731AFB">
        <w:rPr>
          <w:rFonts w:cs="Arial"/>
        </w:rPr>
        <w:t xml:space="preserve">The connections of the second theme to the first and third themes can be understood in terms of how socioeconomic factors reinforce cultural and technological divides (Litchfield, Shukla and Greenfield, 2021). Such differences necessitate the community initiatives as described by the third theme. Digitalisation becomes a disadvantage instead of empowerment for the Asian minorities with low income and education. Also, workers in low-paying jobs with higher risks and longer working hours struggle to find time to learn a new language. Thus, Asian workers continued to lack competence in English, which affected their access to health care during the pandemic. In many cases, community organisations came forward to help the ethnic minorities overcome cultural and linguistic barriers through educational initiatives (Abba-Aji et al., 2022). Nevertheless, they face the challenge of breaking a vicious cycle in which structural inequalities, cultural barriers and ineffective top-down measures reinforce each other. </w:t>
      </w:r>
    </w:p>
    <w:p w14:paraId="1DF38B68" w14:textId="77777777" w:rsidR="00793A71" w:rsidRPr="00731AFB" w:rsidRDefault="00793A71" w:rsidP="00D66F31">
      <w:pPr>
        <w:pStyle w:val="Heading2"/>
        <w:rPr>
          <w:rFonts w:ascii="Arial" w:hAnsi="Arial"/>
        </w:rPr>
      </w:pPr>
      <w:bookmarkStart w:id="61" w:name="_Toc223650675"/>
      <w:r w:rsidRPr="00731AFB">
        <w:rPr>
          <w:rFonts w:ascii="Arial" w:hAnsi="Arial"/>
        </w:rPr>
        <w:t>4.5 Theme 3: Top-down government policies vs community-driven initiatives</w:t>
      </w:r>
      <w:bookmarkEnd w:id="61"/>
    </w:p>
    <w:p w14:paraId="2337DB97" w14:textId="77777777" w:rsidR="00793A71" w:rsidRPr="00731AFB" w:rsidRDefault="00793A71" w:rsidP="00D66F31">
      <w:pPr>
        <w:pStyle w:val="Heading3"/>
        <w:rPr>
          <w:rFonts w:cs="Arial"/>
        </w:rPr>
      </w:pPr>
      <w:bookmarkStart w:id="62" w:name="_Toc223650676"/>
      <w:r w:rsidRPr="00731AFB">
        <w:rPr>
          <w:rFonts w:cs="Arial"/>
        </w:rPr>
        <w:t>4.5.1 Definition</w:t>
      </w:r>
      <w:bookmarkEnd w:id="62"/>
    </w:p>
    <w:p w14:paraId="30EFFC49" w14:textId="77777777" w:rsidR="00793A71" w:rsidRPr="00731AFB" w:rsidRDefault="00793A71" w:rsidP="00D66F31">
      <w:pPr>
        <w:rPr>
          <w:rFonts w:cs="Arial"/>
        </w:rPr>
      </w:pPr>
      <w:r w:rsidRPr="00731AFB">
        <w:rPr>
          <w:rFonts w:cs="Arial"/>
        </w:rPr>
        <w:t xml:space="preserve">The third theme critically compares the top-down government policies in the UK to the grassroots-level community initiatives in the context of the pandemic. During Covid-19, places of worship and community venues belonging to the Asian community were turned into vaccination centres </w:t>
      </w:r>
      <w:bookmarkStart w:id="63" w:name="_Hlk223689937"/>
      <w:r w:rsidRPr="00731AFB">
        <w:rPr>
          <w:rFonts w:cs="Arial"/>
        </w:rPr>
        <w:t>(Ala et al., 2021)</w:t>
      </w:r>
      <w:bookmarkEnd w:id="63"/>
      <w:r w:rsidRPr="00731AFB">
        <w:rPr>
          <w:rFonts w:cs="Arial"/>
        </w:rPr>
        <w:t xml:space="preserve">. This led to the emergence of community leadership that inspired trust by facilitating easy access to health care. By contrast, government responses were insensitive towards the disadvantages and special needs of the ethnic minorities </w:t>
      </w:r>
      <w:bookmarkStart w:id="64" w:name="_Hlk223689947"/>
      <w:r w:rsidRPr="00731AFB">
        <w:rPr>
          <w:rFonts w:cs="Arial"/>
        </w:rPr>
        <w:t>(Karlsen and Nelson, 2021)</w:t>
      </w:r>
      <w:bookmarkEnd w:id="64"/>
      <w:r w:rsidRPr="00731AFB">
        <w:rPr>
          <w:rFonts w:cs="Arial"/>
        </w:rPr>
        <w:t xml:space="preserve">. This theme not only contrasts government policies with community initiatives, but also emphasises the need for cultural awareness. </w:t>
      </w:r>
    </w:p>
    <w:p w14:paraId="01AE3A7D" w14:textId="77777777" w:rsidR="00793A71" w:rsidRPr="00731AFB" w:rsidRDefault="00793A71" w:rsidP="00D66F31">
      <w:pPr>
        <w:pStyle w:val="Heading3"/>
        <w:rPr>
          <w:rFonts w:cs="Arial"/>
        </w:rPr>
      </w:pPr>
      <w:bookmarkStart w:id="65" w:name="_Toc223650677"/>
      <w:r w:rsidRPr="00731AFB">
        <w:rPr>
          <w:rFonts w:cs="Arial"/>
        </w:rPr>
        <w:t>4.5.2 Background Information</w:t>
      </w:r>
      <w:bookmarkEnd w:id="65"/>
    </w:p>
    <w:p w14:paraId="14068935" w14:textId="77777777" w:rsidR="00793A71" w:rsidRPr="00731AFB" w:rsidRDefault="00793A71" w:rsidP="00D66F31">
      <w:pPr>
        <w:rPr>
          <w:rFonts w:cs="Arial"/>
        </w:rPr>
      </w:pPr>
      <w:r w:rsidRPr="00731AFB">
        <w:rPr>
          <w:rFonts w:cs="Arial"/>
        </w:rPr>
        <w:t xml:space="preserve">From a critical perspective, comparing the government measures with the community initiatives exposes institutional discrimination that necessitates local action. The British government responded to the challenges of the pandemic through institutions such as the NHS and Public </w:t>
      </w:r>
      <w:r w:rsidRPr="00731AFB">
        <w:rPr>
          <w:rFonts w:cs="Arial"/>
        </w:rPr>
        <w:lastRenderedPageBreak/>
        <w:t xml:space="preserve">Health England. The government intervention was based on the understanding of an average family, overlooking the unique conditions of the minorities. For example, many official policies suited the smaller white majority families without any consideration for the congested homes of the Asian families. Even the imposition of the lockdown did not account for the inability of the Asian frontline workers to work from home. The Asian minorities suffered further as they also did not have access to any effective feedback mechanism through which they could voice their grievances and concerns to the administration </w:t>
      </w:r>
      <w:bookmarkStart w:id="66" w:name="_Hlk223689964"/>
      <w:r w:rsidRPr="00731AFB">
        <w:rPr>
          <w:rFonts w:cs="Arial"/>
        </w:rPr>
        <w:t>(Morales and Ali, 2021)</w:t>
      </w:r>
      <w:bookmarkEnd w:id="66"/>
      <w:r w:rsidRPr="00731AFB">
        <w:rPr>
          <w:rFonts w:cs="Arial"/>
        </w:rPr>
        <w:t xml:space="preserve">. </w:t>
      </w:r>
    </w:p>
    <w:p w14:paraId="59CA67C8" w14:textId="77777777" w:rsidR="00793A71" w:rsidRPr="00731AFB" w:rsidRDefault="00793A71" w:rsidP="00D66F31">
      <w:pPr>
        <w:rPr>
          <w:rFonts w:cs="Arial"/>
        </w:rPr>
      </w:pPr>
      <w:r w:rsidRPr="00731AFB">
        <w:rPr>
          <w:rFonts w:cs="Arial"/>
        </w:rPr>
        <w:t>In this scenario, the community initiatives offered much-needed relief to Asian households through a quick response, social sensitivity, and cultural awareness. Here, it would also be relevant to mention that the cultural institutions of the Asian communities, including religious places, could play a decisive role due to the trust factor. Faced with institutional discrimination and mistrust, the Asian minorities could rely on the cultural organisations due to traditional affinity. Such organisations further used the native languages of the ethnic minorities and popular channels such as social media for communication. The community organisations also distributed food, clothing and other essential items as per their understanding of cultural specificities. Eventually, a late realisation of the minority problems influenced the government to introduce the Community Champions scheme (South et al., 2024). This scheme was based on the mobilisation of community volunteers to ensure that the minority population benefits from the NHS initiatives (</w:t>
      </w:r>
      <w:bookmarkStart w:id="67" w:name="_Hlk223689983"/>
      <w:r w:rsidRPr="00731AFB">
        <w:rPr>
          <w:rFonts w:cs="Arial"/>
        </w:rPr>
        <w:t>Mao et al., 2021</w:t>
      </w:r>
      <w:bookmarkEnd w:id="67"/>
      <w:r w:rsidRPr="00731AFB">
        <w:rPr>
          <w:rFonts w:cs="Arial"/>
        </w:rPr>
        <w:t xml:space="preserve">; </w:t>
      </w:r>
      <w:bookmarkStart w:id="68" w:name="_Hlk223689990"/>
      <w:r w:rsidRPr="00731AFB">
        <w:rPr>
          <w:rFonts w:cs="Arial"/>
        </w:rPr>
        <w:t>Ross et al., 2021</w:t>
      </w:r>
      <w:bookmarkEnd w:id="68"/>
      <w:r w:rsidRPr="00731AFB">
        <w:rPr>
          <w:rFonts w:cs="Arial"/>
        </w:rPr>
        <w:t xml:space="preserve">). </w:t>
      </w:r>
    </w:p>
    <w:p w14:paraId="44FC56F9" w14:textId="77777777" w:rsidR="00793A71" w:rsidRPr="00731AFB" w:rsidRDefault="00793A71" w:rsidP="00D66F31">
      <w:pPr>
        <w:pStyle w:val="Heading3"/>
        <w:rPr>
          <w:rFonts w:cs="Arial"/>
        </w:rPr>
      </w:pPr>
      <w:bookmarkStart w:id="69" w:name="_Toc223650678"/>
      <w:r w:rsidRPr="00731AFB">
        <w:rPr>
          <w:rFonts w:cs="Arial"/>
        </w:rPr>
        <w:t>4.5.3 Impact on research objective</w:t>
      </w:r>
      <w:bookmarkEnd w:id="69"/>
    </w:p>
    <w:p w14:paraId="1FA156D7" w14:textId="77777777" w:rsidR="00793A71" w:rsidRPr="00731AFB" w:rsidRDefault="00793A71" w:rsidP="00D66F31">
      <w:pPr>
        <w:rPr>
          <w:rFonts w:cs="Arial"/>
        </w:rPr>
      </w:pPr>
      <w:r w:rsidRPr="00731AFB">
        <w:rPr>
          <w:rFonts w:cs="Arial"/>
        </w:rPr>
        <w:t>Community action in the third theme directly relates to the second and fourth research objectives. The inferences drawn from this theme offer critical insights into the efficiency of care practices and policies for minority populations during the pandemic. Similarly, such inferences are equally beneficial in providing recommendations for strategic decision-making pertaining to equality and inclusion. Statistical data on local community action in the UK would further highlight their contributions during the pandemic.</w:t>
      </w:r>
    </w:p>
    <w:p w14:paraId="0B8D3B6B" w14:textId="77777777" w:rsidR="00793A71" w:rsidRPr="00731AFB" w:rsidRDefault="00793A71" w:rsidP="00D66F31">
      <w:pPr>
        <w:pStyle w:val="Heading3"/>
        <w:rPr>
          <w:rFonts w:cs="Arial"/>
        </w:rPr>
      </w:pPr>
      <w:bookmarkStart w:id="70" w:name="_Toc223650679"/>
      <w:r w:rsidRPr="00731AFB">
        <w:rPr>
          <w:rFonts w:cs="Arial"/>
        </w:rPr>
        <w:t>4.5.4 Statistical Information</w:t>
      </w:r>
      <w:bookmarkEnd w:id="70"/>
    </w:p>
    <w:p w14:paraId="442D2C05" w14:textId="1AF89F88" w:rsidR="00793A71" w:rsidRPr="00731AFB" w:rsidRDefault="00793A71" w:rsidP="00D66F31">
      <w:pPr>
        <w:rPr>
          <w:rFonts w:cs="Arial"/>
        </w:rPr>
      </w:pPr>
      <w:r w:rsidRPr="00731AFB">
        <w:rPr>
          <w:rFonts w:cs="Arial"/>
        </w:rPr>
        <w:t xml:space="preserve">Data published by the UK government reveals that the Community Champions programme launched in January 2022 allocated 23.75 million pounds to 60 local councils and voluntary organisations </w:t>
      </w:r>
      <w:bookmarkStart w:id="71" w:name="_Hlk223690016"/>
      <w:r w:rsidRPr="00731AFB">
        <w:rPr>
          <w:rFonts w:cs="Arial"/>
        </w:rPr>
        <w:t>(IFF, 2023)</w:t>
      </w:r>
      <w:bookmarkEnd w:id="71"/>
      <w:r w:rsidRPr="00731AFB">
        <w:rPr>
          <w:rFonts w:cs="Arial"/>
        </w:rPr>
        <w:t xml:space="preserve">. These organisations played a critical role in supporting communities that were at the highest risk during the pandemic. Another initiative, the Community Vaccine Champions scheme was implemented by the government to allocate 22.5 million pounds to 60 local bodies (IFF, 2023). </w:t>
      </w:r>
      <w:r w:rsidR="003E2049" w:rsidRPr="00731AFB">
        <w:rPr>
          <w:rFonts w:cs="Arial"/>
        </w:rPr>
        <w:t>Such bodies</w:t>
      </w:r>
      <w:r w:rsidRPr="00731AFB">
        <w:rPr>
          <w:rFonts w:cs="Arial"/>
        </w:rPr>
        <w:t xml:space="preserve"> in turn used this funding to promote vaccine uptake and </w:t>
      </w:r>
      <w:r w:rsidRPr="00731AFB">
        <w:rPr>
          <w:rFonts w:cs="Arial"/>
        </w:rPr>
        <w:lastRenderedPageBreak/>
        <w:t xml:space="preserve">address wider health inequalities. The work done by such bodies in regions with the lowest vaccination rates in the country showcases the value of community initiatives where direct government intervention failed.   </w:t>
      </w:r>
    </w:p>
    <w:p w14:paraId="13FEA5D8" w14:textId="77777777" w:rsidR="00793A71" w:rsidRPr="00731AFB" w:rsidRDefault="00793A71" w:rsidP="00D66F31">
      <w:pPr>
        <w:pStyle w:val="Heading3"/>
        <w:rPr>
          <w:rFonts w:cs="Arial"/>
        </w:rPr>
      </w:pPr>
      <w:bookmarkStart w:id="72" w:name="_Toc223650680"/>
      <w:r w:rsidRPr="00731AFB">
        <w:rPr>
          <w:rFonts w:cs="Arial"/>
        </w:rPr>
        <w:t>4.5.5 Theories, Policies, and Legislation</w:t>
      </w:r>
      <w:bookmarkEnd w:id="72"/>
    </w:p>
    <w:p w14:paraId="2B2D03C5" w14:textId="77777777" w:rsidR="00793A71" w:rsidRPr="00731AFB" w:rsidRDefault="00793A71" w:rsidP="00D66F31">
      <w:pPr>
        <w:rPr>
          <w:rFonts w:cs="Arial"/>
        </w:rPr>
      </w:pPr>
      <w:r w:rsidRPr="00731AFB">
        <w:rPr>
          <w:rFonts w:cs="Arial"/>
        </w:rPr>
        <w:t xml:space="preserve">The policies of the British government during the pandemic can be examined by applying the theoretical framework of this study. The government engaged with the local community only when the crisis escalated to a higher mortality rate. The CRT also explains that in societies characterised by racial discrimination, institutions act only when interests converge (Delgado and Stefancic, 2023). From the socioecological theory’s perspective, the Community Champions scheme is a typical example of macrosystems integrating with microsystems (Costanza, 2014). This scheme not only had transformational implications for policymaking but also reflected the spirit of the Equality Act 2010 and the Health &amp; Social Care Act 2012 (Sanderson, Allen and </w:t>
      </w:r>
      <w:proofErr w:type="spellStart"/>
      <w:r w:rsidRPr="00731AFB">
        <w:rPr>
          <w:rFonts w:cs="Arial"/>
        </w:rPr>
        <w:t>Osipovic</w:t>
      </w:r>
      <w:proofErr w:type="spellEnd"/>
      <w:r w:rsidRPr="00731AFB">
        <w:rPr>
          <w:rFonts w:cs="Arial"/>
        </w:rPr>
        <w:t xml:space="preserve">, 2017; Fell and </w:t>
      </w:r>
      <w:proofErr w:type="spellStart"/>
      <w:r w:rsidRPr="00731AFB">
        <w:rPr>
          <w:rFonts w:cs="Arial"/>
        </w:rPr>
        <w:t>Dyban</w:t>
      </w:r>
      <w:proofErr w:type="spellEnd"/>
      <w:r w:rsidRPr="00731AFB">
        <w:rPr>
          <w:rFonts w:cs="Arial"/>
        </w:rPr>
        <w:t xml:space="preserve">, 2017; Nath and Lockwood, 2022). Thus, the third theme, comparing government policies with community action, has both positive and negative implications for the research aim. </w:t>
      </w:r>
    </w:p>
    <w:p w14:paraId="78F66E29" w14:textId="77777777" w:rsidR="00793A71" w:rsidRPr="00731AFB" w:rsidRDefault="00793A71" w:rsidP="00D66F31">
      <w:pPr>
        <w:pStyle w:val="Heading3"/>
        <w:rPr>
          <w:rFonts w:cs="Arial"/>
        </w:rPr>
      </w:pPr>
      <w:bookmarkStart w:id="73" w:name="_Toc223650681"/>
      <w:r w:rsidRPr="00731AFB">
        <w:rPr>
          <w:rFonts w:cs="Arial"/>
        </w:rPr>
        <w:t>4.5.6 Implications</w:t>
      </w:r>
      <w:bookmarkEnd w:id="73"/>
    </w:p>
    <w:p w14:paraId="20ED13AE" w14:textId="77777777" w:rsidR="00793A71" w:rsidRPr="00731AFB" w:rsidRDefault="00793A71" w:rsidP="00D66F31">
      <w:pPr>
        <w:rPr>
          <w:rFonts w:cs="Arial"/>
        </w:rPr>
      </w:pPr>
      <w:r w:rsidRPr="00731AFB">
        <w:rPr>
          <w:rFonts w:cs="Arial"/>
        </w:rPr>
        <w:t>First, the policy failures of the government explain how the pandemic's impact on the Asian minorities was disproportionate. This disproportionate impact can be attributed to racial discrimination entrenched in British administration and society. However, the government’s support for community initiatives represents a positive solution to the barriers faced by the ethnic minorities.</w:t>
      </w:r>
    </w:p>
    <w:p w14:paraId="4218CC8F" w14:textId="77777777" w:rsidR="00793A71" w:rsidRPr="00731AFB" w:rsidRDefault="00793A71" w:rsidP="00D66F31">
      <w:pPr>
        <w:pStyle w:val="Heading3"/>
        <w:rPr>
          <w:rFonts w:cs="Arial"/>
        </w:rPr>
      </w:pPr>
      <w:bookmarkStart w:id="74" w:name="_Toc223650682"/>
      <w:r w:rsidRPr="00731AFB">
        <w:rPr>
          <w:rFonts w:cs="Arial"/>
        </w:rPr>
        <w:t>4.5.7 Examples from articles</w:t>
      </w:r>
      <w:bookmarkEnd w:id="74"/>
    </w:p>
    <w:p w14:paraId="4C6C5554" w14:textId="77777777" w:rsidR="00793A71" w:rsidRPr="00731AFB" w:rsidRDefault="00793A71" w:rsidP="00D66F31">
      <w:pPr>
        <w:rPr>
          <w:rFonts w:cs="Arial"/>
        </w:rPr>
      </w:pPr>
      <w:r w:rsidRPr="00731AFB">
        <w:rPr>
          <w:rFonts w:cs="Arial"/>
        </w:rPr>
        <w:t xml:space="preserve">The study conducted by Karlsen and Nelson (2021) is quite useful in comparing government initiatives with community action in the UK during the pandemic. They explain the importance of local community responses in the context of institutional discrimination. By contrast, South et al. (2024) focus on the positive aspect of government support for community responses. The findings from these studies address the research objectives by offering critical insights into overcoming the barriers to health care.  </w:t>
      </w:r>
    </w:p>
    <w:p w14:paraId="73124703" w14:textId="77777777" w:rsidR="00793A71" w:rsidRPr="00731AFB" w:rsidRDefault="00793A71" w:rsidP="00D66F31">
      <w:pPr>
        <w:pStyle w:val="Heading3"/>
        <w:rPr>
          <w:rFonts w:cs="Arial"/>
        </w:rPr>
      </w:pPr>
      <w:bookmarkStart w:id="75" w:name="_Toc223650683"/>
      <w:r w:rsidRPr="00731AFB">
        <w:rPr>
          <w:rFonts w:cs="Arial"/>
        </w:rPr>
        <w:t>4.5.8 Connections to Other Themes</w:t>
      </w:r>
      <w:bookmarkEnd w:id="75"/>
    </w:p>
    <w:p w14:paraId="1F3B3394" w14:textId="77777777" w:rsidR="00793A71" w:rsidRPr="00731AFB" w:rsidRDefault="00793A71" w:rsidP="00D66F31">
      <w:pPr>
        <w:rPr>
          <w:rFonts w:cs="Arial"/>
        </w:rPr>
      </w:pPr>
      <w:r w:rsidRPr="00731AFB">
        <w:rPr>
          <w:rFonts w:cs="Arial"/>
        </w:rPr>
        <w:t xml:space="preserve">The revealing of the barriers to health care for the Asian minorities represents the main overlap between the three themes. However, the analysis indicates that the last theme primarily deals </w:t>
      </w:r>
      <w:r w:rsidRPr="00731AFB">
        <w:rPr>
          <w:rFonts w:cs="Arial"/>
        </w:rPr>
        <w:lastRenderedPageBreak/>
        <w:t xml:space="preserve">with the solutions to institutional discrimination, while the first two discuss the challenges to healthcare access. </w:t>
      </w:r>
    </w:p>
    <w:p w14:paraId="3D368769" w14:textId="77777777" w:rsidR="00793A71" w:rsidRPr="00731AFB" w:rsidRDefault="00793A71" w:rsidP="00D66F31">
      <w:pPr>
        <w:pStyle w:val="Heading2"/>
        <w:rPr>
          <w:rFonts w:ascii="Arial" w:hAnsi="Arial"/>
        </w:rPr>
      </w:pPr>
      <w:bookmarkStart w:id="76" w:name="_Toc223650684"/>
      <w:r w:rsidRPr="00731AFB">
        <w:rPr>
          <w:rFonts w:ascii="Arial" w:hAnsi="Arial"/>
        </w:rPr>
        <w:t>4.6 Chapter Conclusion</w:t>
      </w:r>
      <w:bookmarkEnd w:id="76"/>
    </w:p>
    <w:p w14:paraId="6FF5AE65" w14:textId="77777777" w:rsidR="00793A71" w:rsidRPr="00731AFB" w:rsidRDefault="00793A71" w:rsidP="00D66F31">
      <w:pPr>
        <w:rPr>
          <w:rFonts w:cs="Arial"/>
        </w:rPr>
      </w:pPr>
      <w:r w:rsidRPr="00731AFB">
        <w:rPr>
          <w:rFonts w:cs="Arial"/>
        </w:rPr>
        <w:t xml:space="preserve">This findings chapter discusses three interrelated themes that have emerged from the thematic analysis. A synthesis of the three themes indicates that the pandemic amplified the already existing inequalities in the UK rather than dissolving them. This is evident from the disproportionate impact of the pandemic on the Asian community in the country. It was not the outcome of one factor, but rather represents the overall effect of structural, cultural and technological imbalances. The British authorities overlooked the socioeconomic challenges and occupational risks of the Asian minorities. Apart from this factor, technological, cultural and linguistic barriers also contributed to the unequal impact. The findings further indicate that technological issues such as the lack of digital competency are also related to sociocultural issues of the ethnic minorities. Compared to the first two themes, the last theme ends the findings chapter on a positive note. It demonstrates how a late realisation induced the government to support local community interventions during the pandemic. The next chapter concludes the dissertation with recommendations based on positive expectations for the future.  </w:t>
      </w:r>
    </w:p>
    <w:p w14:paraId="3F303E12" w14:textId="77777777" w:rsidR="00793A71" w:rsidRPr="00731AFB" w:rsidRDefault="00793A71" w:rsidP="00D66F31">
      <w:pPr>
        <w:pStyle w:val="Heading1"/>
        <w:rPr>
          <w:rFonts w:cs="Arial"/>
        </w:rPr>
      </w:pPr>
      <w:bookmarkStart w:id="77" w:name="_Toc223650685"/>
      <w:r w:rsidRPr="00731AFB">
        <w:rPr>
          <w:rFonts w:cs="Arial"/>
        </w:rPr>
        <w:t>CHAPTER 5 – Conclusion and Recommendations</w:t>
      </w:r>
      <w:bookmarkEnd w:id="77"/>
    </w:p>
    <w:p w14:paraId="38CA093D" w14:textId="77777777" w:rsidR="00793A71" w:rsidRPr="00731AFB" w:rsidRDefault="00793A71" w:rsidP="00D66F31">
      <w:pPr>
        <w:pStyle w:val="Heading2"/>
        <w:rPr>
          <w:rFonts w:ascii="Arial" w:hAnsi="Arial"/>
        </w:rPr>
      </w:pPr>
      <w:bookmarkStart w:id="78" w:name="_Toc223650686"/>
      <w:r w:rsidRPr="00731AFB">
        <w:rPr>
          <w:rFonts w:ascii="Arial" w:hAnsi="Arial"/>
        </w:rPr>
        <w:t>5.1 Overall Conclusion</w:t>
      </w:r>
      <w:bookmarkEnd w:id="78"/>
      <w:r w:rsidRPr="00731AFB">
        <w:rPr>
          <w:rFonts w:ascii="Arial" w:hAnsi="Arial"/>
        </w:rPr>
        <w:t xml:space="preserve"> </w:t>
      </w:r>
    </w:p>
    <w:p w14:paraId="39D134B0" w14:textId="77777777" w:rsidR="00793A71" w:rsidRPr="00731AFB" w:rsidRDefault="00793A71" w:rsidP="00D66F31">
      <w:pPr>
        <w:rPr>
          <w:rFonts w:cs="Arial"/>
        </w:rPr>
      </w:pPr>
      <w:r w:rsidRPr="00731AFB">
        <w:rPr>
          <w:rFonts w:cs="Arial"/>
        </w:rPr>
        <w:t xml:space="preserve">Some critical factors, such as structural biases, institutional discrimination, poorer living conditions, greater risks, vaccine hesitancy and cultural barriers contributed to the unequal impact of the pandemic on British Asian minorities. This premise explains the rationale for this study that aims to identify the challenges before the Asian minorities and propose actionable solutions. From the theoretical perspective, the CRT helped to understand the institutional discrimination, while the socioeconomical theory enriched the understanding of its outcomes. </w:t>
      </w:r>
    </w:p>
    <w:p w14:paraId="29DF2160" w14:textId="77777777" w:rsidR="00793A71" w:rsidRPr="00731AFB" w:rsidRDefault="00793A71" w:rsidP="00D66F31">
      <w:pPr>
        <w:rPr>
          <w:rFonts w:cs="Arial"/>
          <w:lang w:val="en-IN"/>
        </w:rPr>
      </w:pPr>
      <w:r w:rsidRPr="00731AFB">
        <w:rPr>
          <w:rFonts w:cs="Arial"/>
          <w:lang w:val="en-IN"/>
        </w:rPr>
        <w:t xml:space="preserve">This qualitative study based on the thematic analysis of secondary data Is guided by a keyword strategy validated by inclusion and exclusion criteria. The ethical foundations based on academic integrity and unbiased interpretation further add credibility to the research. The three themes identified from the qualitative analysis are not only interrelated, but also involve theoretical and practical overlaps. The first theme identifies socioeconomic vulnerability and occupational exposure risks as structural challenges for British Asian minorities. The unequal impact of the pandemic on these minorities was further intensified by the technological and cultural barriers </w:t>
      </w:r>
      <w:r w:rsidRPr="00731AFB">
        <w:rPr>
          <w:rFonts w:cs="Arial"/>
          <w:lang w:val="en-IN"/>
        </w:rPr>
        <w:lastRenderedPageBreak/>
        <w:t xml:space="preserve">identified in the second theme. Compared to the first two themes, the last theme mainly deals with the administrative and community responses to the pandemic. Overall, the research objectives are addressed, and potential solutions to persistent institutional discrimination are proposed. This study concludes with some practical recommendations based the insights that emerge from synthesising the themes. </w:t>
      </w:r>
    </w:p>
    <w:p w14:paraId="701026C1" w14:textId="77777777" w:rsidR="00793A71" w:rsidRPr="00731AFB" w:rsidRDefault="00793A71" w:rsidP="00D66F31">
      <w:pPr>
        <w:pStyle w:val="Heading2"/>
        <w:rPr>
          <w:rFonts w:ascii="Arial" w:hAnsi="Arial"/>
        </w:rPr>
      </w:pPr>
      <w:bookmarkStart w:id="79" w:name="_Toc223650687"/>
      <w:r w:rsidRPr="00731AFB">
        <w:rPr>
          <w:rFonts w:ascii="Arial" w:hAnsi="Arial"/>
        </w:rPr>
        <w:t>5.2 Recommendations</w:t>
      </w:r>
      <w:bookmarkEnd w:id="79"/>
      <w:r w:rsidRPr="00731AFB">
        <w:rPr>
          <w:rFonts w:ascii="Arial" w:hAnsi="Arial"/>
        </w:rPr>
        <w:t xml:space="preserve"> </w:t>
      </w:r>
    </w:p>
    <w:p w14:paraId="2157C5F2" w14:textId="77777777" w:rsidR="00D66F31" w:rsidRPr="00731AFB" w:rsidRDefault="00793A71" w:rsidP="00D66F31">
      <w:pPr>
        <w:pStyle w:val="Heading3"/>
        <w:rPr>
          <w:rFonts w:cs="Arial"/>
        </w:rPr>
      </w:pPr>
      <w:bookmarkStart w:id="80" w:name="_Toc223650688"/>
      <w:r w:rsidRPr="00731AFB">
        <w:rPr>
          <w:rFonts w:cs="Arial"/>
        </w:rPr>
        <w:t>5.2.1 Recommendation 1: Recognising and integrating community intervention into policy making</w:t>
      </w:r>
      <w:bookmarkEnd w:id="80"/>
    </w:p>
    <w:p w14:paraId="7420524B" w14:textId="77777777" w:rsidR="00793A71" w:rsidRPr="00731AFB" w:rsidRDefault="00793A71" w:rsidP="00D66F31">
      <w:pPr>
        <w:rPr>
          <w:rFonts w:cs="Arial"/>
        </w:rPr>
      </w:pPr>
      <w:r w:rsidRPr="00731AFB">
        <w:rPr>
          <w:rFonts w:cs="Arial"/>
        </w:rPr>
        <w:t xml:space="preserve">The government must transform the voluntary role of community activists by mainstreaming such intervention into official policy. This not only requires the systematic participation of the Asian minorities in policy making, but also depends on more funding. Nevertheless, this proposal faces the challenge of Asian minorities’ limited access to resources and deeply entrenched racial discrimination in government institutions. These barriers can be overcome with budgetary allocations for the minorities, progressive legislation and campaigns against racism. </w:t>
      </w:r>
    </w:p>
    <w:p w14:paraId="7F7F4B68" w14:textId="77777777" w:rsidR="00793A71" w:rsidRPr="00731AFB" w:rsidRDefault="00793A71" w:rsidP="00D66F31">
      <w:pPr>
        <w:pStyle w:val="Heading3"/>
        <w:rPr>
          <w:rFonts w:cs="Arial"/>
        </w:rPr>
      </w:pPr>
      <w:bookmarkStart w:id="81" w:name="_Toc223650689"/>
      <w:r w:rsidRPr="00731AFB">
        <w:rPr>
          <w:rFonts w:cs="Arial"/>
        </w:rPr>
        <w:t>5.2.2 Recommendation 2: Educational programmes, including digital literacy training for the Asian minorities</w:t>
      </w:r>
      <w:bookmarkEnd w:id="81"/>
    </w:p>
    <w:p w14:paraId="517CBFC7" w14:textId="77777777" w:rsidR="00793A71" w:rsidRPr="00731AFB" w:rsidRDefault="00793A71" w:rsidP="00D66F31">
      <w:pPr>
        <w:rPr>
          <w:rFonts w:cs="Arial"/>
        </w:rPr>
      </w:pPr>
      <w:r w:rsidRPr="00731AFB">
        <w:rPr>
          <w:rFonts w:cs="Arial"/>
        </w:rPr>
        <w:t xml:space="preserve">Apart from combating institutional discrimination, the Asian minorities must also be empowered through education and digital training. However, the hesitancy of the minorities and budgetary constraints may pose barriers in this direction. These problems can be mitigated through long-term planning and community development programmes. </w:t>
      </w:r>
    </w:p>
    <w:p w14:paraId="39D61DD2" w14:textId="77777777" w:rsidR="00793A71" w:rsidRPr="00731AFB" w:rsidRDefault="00793A71" w:rsidP="00D66F31">
      <w:pPr>
        <w:pStyle w:val="Heading3"/>
        <w:rPr>
          <w:rFonts w:cs="Arial"/>
        </w:rPr>
      </w:pPr>
      <w:bookmarkStart w:id="82" w:name="_Toc223650690"/>
      <w:r w:rsidRPr="00731AFB">
        <w:rPr>
          <w:rFonts w:cs="Arial"/>
        </w:rPr>
        <w:t>5.2.3 Recommendation 3: Vocational opportunities, labour reforms and housing schemes for the minorities</w:t>
      </w:r>
      <w:bookmarkEnd w:id="82"/>
      <w:r w:rsidRPr="00731AFB">
        <w:rPr>
          <w:rFonts w:cs="Arial"/>
        </w:rPr>
        <w:t xml:space="preserve">  </w:t>
      </w:r>
    </w:p>
    <w:p w14:paraId="6642C3AC" w14:textId="77777777" w:rsidR="00793A71" w:rsidRPr="00731AFB" w:rsidRDefault="00793A71" w:rsidP="00D66F31">
      <w:pPr>
        <w:rPr>
          <w:rFonts w:cs="Arial"/>
        </w:rPr>
      </w:pPr>
      <w:r w:rsidRPr="00731AFB">
        <w:rPr>
          <w:rFonts w:cs="Arial"/>
        </w:rPr>
        <w:t xml:space="preserve">Lastly, the structural challenges for the Asian minorities must also be addressed with better employment opportunities and standards of living. This requires employment generation and reforms in labour laws. Likewise, new housing schemes must be introduced to improve the living standards of the Asian community. Again, traditional distrust between the white majority and Asian minorities may pose difficulties in this regard. These barriers can also be overcome with social programmes and awareness of diversity and inclusion. In general, mitigating care inequalities and promoting inclusion will ensure that all communities equally benefit from institutional responses to any future health crisis. </w:t>
      </w:r>
    </w:p>
    <w:p w14:paraId="18623894" w14:textId="77777777" w:rsidR="00793A71" w:rsidRPr="00731AFB" w:rsidRDefault="00793A71" w:rsidP="00D66F31">
      <w:pPr>
        <w:rPr>
          <w:rFonts w:cs="Arial"/>
        </w:rPr>
      </w:pPr>
    </w:p>
    <w:p w14:paraId="386BBB09" w14:textId="77777777" w:rsidR="008B1ABE" w:rsidRPr="00731AFB" w:rsidRDefault="008B1ABE" w:rsidP="00D66F31">
      <w:pPr>
        <w:rPr>
          <w:rFonts w:cs="Arial"/>
        </w:rPr>
      </w:pPr>
    </w:p>
    <w:p w14:paraId="476D87F4" w14:textId="77777777" w:rsidR="00735E40" w:rsidRPr="00731AFB" w:rsidRDefault="00735E40" w:rsidP="00D66F31">
      <w:pPr>
        <w:jc w:val="left"/>
        <w:rPr>
          <w:rStyle w:val="normaltextrun"/>
          <w:rFonts w:eastAsiaTheme="minorEastAsia" w:cs="Arial"/>
          <w:b/>
          <w:bCs/>
          <w:iCs/>
          <w:sz w:val="28"/>
          <w:szCs w:val="20"/>
        </w:rPr>
      </w:pPr>
      <w:r w:rsidRPr="00731AFB">
        <w:rPr>
          <w:rStyle w:val="normaltextrun"/>
          <w:rFonts w:cs="Arial"/>
        </w:rPr>
        <w:lastRenderedPageBreak/>
        <w:br w:type="page"/>
      </w:r>
    </w:p>
    <w:p w14:paraId="6186096E" w14:textId="61D03D1B" w:rsidR="00CA4A81" w:rsidRPr="00731AFB" w:rsidRDefault="004E3289" w:rsidP="00D66F31">
      <w:pPr>
        <w:pStyle w:val="Heading1"/>
        <w:rPr>
          <w:rFonts w:cs="Arial"/>
          <w:lang w:val="en-IN"/>
        </w:rPr>
      </w:pPr>
      <w:bookmarkStart w:id="83" w:name="_Toc223650691"/>
      <w:r w:rsidRPr="00731AFB">
        <w:rPr>
          <w:rFonts w:cs="Arial"/>
          <w:lang w:val="en-IN"/>
        </w:rPr>
        <w:lastRenderedPageBreak/>
        <w:t>Reference List</w:t>
      </w:r>
      <w:bookmarkEnd w:id="83"/>
      <w:r w:rsidRPr="00731AFB">
        <w:rPr>
          <w:rFonts w:cs="Arial"/>
          <w:lang w:val="en-IN"/>
        </w:rPr>
        <w:t xml:space="preserve"> </w:t>
      </w:r>
    </w:p>
    <w:p w14:paraId="3610A491" w14:textId="63A6515E" w:rsidR="00D66F31" w:rsidRPr="00731AFB" w:rsidRDefault="00D66F31" w:rsidP="00731AFB">
      <w:pPr>
        <w:jc w:val="left"/>
        <w:rPr>
          <w:rFonts w:cs="Arial"/>
        </w:rPr>
      </w:pPr>
      <w:bookmarkStart w:id="84" w:name="_Hlk212933801"/>
      <w:r w:rsidRPr="00731AFB">
        <w:rPr>
          <w:rFonts w:cs="Arial"/>
        </w:rPr>
        <w:t xml:space="preserve">Abba-Aji, M., Stuckler, D., Galea, S. and McKee, M., (2022). ‘Ethnic/racial </w:t>
      </w:r>
      <w:proofErr w:type="gramStart"/>
      <w:r w:rsidRPr="00731AFB">
        <w:rPr>
          <w:rFonts w:cs="Arial"/>
        </w:rPr>
        <w:t>minorities’</w:t>
      </w:r>
      <w:proofErr w:type="gramEnd"/>
      <w:r w:rsidRPr="00731AFB">
        <w:rPr>
          <w:rFonts w:cs="Arial"/>
        </w:rPr>
        <w:t xml:space="preserve"> and migrants’ access to COVID-19 vaccines: A systematic review of barriers and facilitators.’ </w:t>
      </w:r>
      <w:r w:rsidRPr="00731AFB">
        <w:rPr>
          <w:rFonts w:cs="Arial"/>
          <w:i/>
          <w:iCs/>
        </w:rPr>
        <w:t>Journal of Migration and Health</w:t>
      </w:r>
      <w:r w:rsidRPr="00731AFB">
        <w:rPr>
          <w:rFonts w:cs="Arial"/>
        </w:rPr>
        <w:t>, </w:t>
      </w:r>
      <w:r w:rsidRPr="00731AFB">
        <w:rPr>
          <w:rFonts w:cs="Arial"/>
          <w:i/>
          <w:iCs/>
        </w:rPr>
        <w:t>5</w:t>
      </w:r>
      <w:r w:rsidRPr="00731AFB">
        <w:rPr>
          <w:rFonts w:cs="Arial"/>
        </w:rPr>
        <w:t>, Available at: https://www.sciencedirect.com/science/article/pii/S2666623522000095https://www.sciencedirect.com/science/article/pii/S2666623522000095 (Accessed: 5 March 2026)</w:t>
      </w:r>
    </w:p>
    <w:p w14:paraId="378625E5" w14:textId="6A4B2268" w:rsidR="00D66F31" w:rsidRPr="00731AFB" w:rsidRDefault="00D66F31" w:rsidP="00731AFB">
      <w:pPr>
        <w:jc w:val="left"/>
        <w:rPr>
          <w:rFonts w:cs="Arial"/>
        </w:rPr>
      </w:pPr>
      <w:r w:rsidRPr="00731AFB">
        <w:rPr>
          <w:rFonts w:cs="Arial"/>
        </w:rPr>
        <w:t>Abuelgasim, E., Saw, L.J., Shirke, M., Zeinah, M. and Harky, A., (2020). ‘COVID-19: Unique public health issues facing Black, Asian and minority ethnic communities.’ </w:t>
      </w:r>
      <w:r w:rsidRPr="00731AFB">
        <w:rPr>
          <w:rFonts w:cs="Arial"/>
          <w:i/>
          <w:iCs/>
        </w:rPr>
        <w:t>Current problems in cardiology</w:t>
      </w:r>
      <w:r w:rsidRPr="00731AFB">
        <w:rPr>
          <w:rFonts w:cs="Arial"/>
        </w:rPr>
        <w:t>, </w:t>
      </w:r>
      <w:r w:rsidRPr="00731AFB">
        <w:rPr>
          <w:rFonts w:cs="Arial"/>
          <w:i/>
          <w:iCs/>
        </w:rPr>
        <w:t>45</w:t>
      </w:r>
      <w:r w:rsidRPr="00731AFB">
        <w:rPr>
          <w:rFonts w:cs="Arial"/>
        </w:rPr>
        <w:t>(8), p.100621. Available at:  https://pmc.ncbi.nlm.nih.gov/articles/PMC7207142/pdf/main.pdf (Accessed: 5 March 2026)</w:t>
      </w:r>
    </w:p>
    <w:p w14:paraId="34EF5658" w14:textId="7C09FC64" w:rsidR="00D66F31" w:rsidRPr="00731AFB" w:rsidRDefault="00D66F31" w:rsidP="00731AFB">
      <w:pPr>
        <w:jc w:val="left"/>
        <w:rPr>
          <w:rFonts w:cs="Arial"/>
        </w:rPr>
      </w:pPr>
      <w:r w:rsidRPr="00731AFB">
        <w:rPr>
          <w:rFonts w:cs="Arial"/>
        </w:rPr>
        <w:t>Amani, B., Cabral, A., Sharif, M.Z., Huỳnh, J., Jeffers, K.S., Baptista, S.A., McAndrew, B., Bradford, N.J., De la Rocha, P. and Ford, C.L., (2022). ‘Integrated methods for applying critical race theory to qualitative COVID-19 equity research.’ </w:t>
      </w:r>
      <w:r w:rsidRPr="00731AFB">
        <w:rPr>
          <w:rFonts w:cs="Arial"/>
          <w:i/>
          <w:iCs/>
        </w:rPr>
        <w:t>Ethnicity &amp; Disease</w:t>
      </w:r>
      <w:r w:rsidRPr="00731AFB">
        <w:rPr>
          <w:rFonts w:cs="Arial"/>
        </w:rPr>
        <w:t>, </w:t>
      </w:r>
      <w:r w:rsidRPr="00731AFB">
        <w:rPr>
          <w:rFonts w:cs="Arial"/>
          <w:i/>
          <w:iCs/>
        </w:rPr>
        <w:t>32</w:t>
      </w:r>
      <w:r w:rsidRPr="00731AFB">
        <w:rPr>
          <w:rFonts w:cs="Arial"/>
        </w:rPr>
        <w:t>(3), p.243. Available at:  https://pmc.ncbi.nlm.nih.gov/articles/PMC9311305/pdf/ethndis-32-243.pdf (Accessed: 5 March 2026)</w:t>
      </w:r>
    </w:p>
    <w:p w14:paraId="5CD02F14" w14:textId="6120EBF7" w:rsidR="00D66F31" w:rsidRPr="00731AFB" w:rsidRDefault="00D66F31" w:rsidP="00731AFB">
      <w:pPr>
        <w:jc w:val="left"/>
        <w:rPr>
          <w:rFonts w:cs="Arial"/>
        </w:rPr>
      </w:pPr>
      <w:r w:rsidRPr="00731AFB">
        <w:rPr>
          <w:rFonts w:cs="Arial"/>
        </w:rPr>
        <w:t xml:space="preserve">Annamma, S.A., Ferri, B.A. and Connor, D.J., (2018). ‘Disability critical race theory: Exploring the intersectional lineage, emergence, and potential futures of </w:t>
      </w:r>
      <w:proofErr w:type="spellStart"/>
      <w:r w:rsidRPr="00731AFB">
        <w:rPr>
          <w:rFonts w:cs="Arial"/>
        </w:rPr>
        <w:t>DisCrit</w:t>
      </w:r>
      <w:proofErr w:type="spellEnd"/>
      <w:r w:rsidRPr="00731AFB">
        <w:rPr>
          <w:rFonts w:cs="Arial"/>
        </w:rPr>
        <w:t xml:space="preserve"> in education.’ </w:t>
      </w:r>
      <w:r w:rsidRPr="00731AFB">
        <w:rPr>
          <w:rFonts w:cs="Arial"/>
          <w:i/>
          <w:iCs/>
        </w:rPr>
        <w:t>Review of Research in Education</w:t>
      </w:r>
      <w:r w:rsidRPr="00731AFB">
        <w:rPr>
          <w:rFonts w:cs="Arial"/>
        </w:rPr>
        <w:t>, </w:t>
      </w:r>
      <w:r w:rsidRPr="00731AFB">
        <w:rPr>
          <w:rFonts w:cs="Arial"/>
          <w:i/>
          <w:iCs/>
        </w:rPr>
        <w:t>42</w:t>
      </w:r>
      <w:r w:rsidRPr="00731AFB">
        <w:rPr>
          <w:rFonts w:cs="Arial"/>
        </w:rPr>
        <w:t>(1), pp.46-71. Available at:  https://www.academia.edu/download/56253695/RRE.Annamma.Ferri.Connor.pdf (Accessed: 5 March 2026)</w:t>
      </w:r>
    </w:p>
    <w:p w14:paraId="39AB0C8D" w14:textId="492BD5CA" w:rsidR="00D66F31" w:rsidRPr="00731AFB" w:rsidRDefault="00D66F31" w:rsidP="00731AFB">
      <w:pPr>
        <w:jc w:val="left"/>
        <w:rPr>
          <w:rFonts w:cs="Arial"/>
        </w:rPr>
      </w:pPr>
      <w:r w:rsidRPr="00731AFB">
        <w:rPr>
          <w:rFonts w:cs="Arial"/>
        </w:rPr>
        <w:t>Armstrong, M., Aker, N., Nair, P., Walters, K., Barrado</w:t>
      </w:r>
      <w:r w:rsidRPr="00731AFB">
        <w:rPr>
          <w:rFonts w:ascii="Cambria Math" w:hAnsi="Cambria Math" w:cs="Cambria Math"/>
        </w:rPr>
        <w:t>‐</w:t>
      </w:r>
      <w:r w:rsidRPr="00731AFB">
        <w:rPr>
          <w:rFonts w:cs="Arial"/>
        </w:rPr>
        <w:t xml:space="preserve">Martin, Y., </w:t>
      </w:r>
      <w:proofErr w:type="spellStart"/>
      <w:r w:rsidRPr="00731AFB">
        <w:rPr>
          <w:rFonts w:cs="Arial"/>
        </w:rPr>
        <w:t>Kupeli</w:t>
      </w:r>
      <w:proofErr w:type="spellEnd"/>
      <w:r w:rsidRPr="00731AFB">
        <w:rPr>
          <w:rFonts w:cs="Arial"/>
        </w:rPr>
        <w:t>, N., Sampson, E.L., Manthorpe, J., West, E. and Davies, N., (2022). ‘Trust and inclusion during the Covid</w:t>
      </w:r>
      <w:r w:rsidRPr="00731AFB">
        <w:rPr>
          <w:rFonts w:ascii="Cambria Math" w:hAnsi="Cambria Math" w:cs="Cambria Math"/>
        </w:rPr>
        <w:t>‐</w:t>
      </w:r>
      <w:r w:rsidRPr="00731AFB">
        <w:rPr>
          <w:rFonts w:cs="Arial"/>
        </w:rPr>
        <w:t xml:space="preserve">19 pandemic: Perspectives from Black and South Asian people living with dementia and their </w:t>
      </w:r>
      <w:proofErr w:type="spellStart"/>
      <w:r w:rsidRPr="00731AFB">
        <w:rPr>
          <w:rFonts w:cs="Arial"/>
        </w:rPr>
        <w:t>carers</w:t>
      </w:r>
      <w:proofErr w:type="spellEnd"/>
      <w:r w:rsidRPr="00731AFB">
        <w:rPr>
          <w:rFonts w:cs="Arial"/>
        </w:rPr>
        <w:t xml:space="preserve"> in the UK.’ </w:t>
      </w:r>
      <w:r w:rsidRPr="00731AFB">
        <w:rPr>
          <w:rFonts w:cs="Arial"/>
          <w:i/>
          <w:iCs/>
        </w:rPr>
        <w:t>International journal of geriatric psychiatry</w:t>
      </w:r>
      <w:r w:rsidRPr="00731AFB">
        <w:rPr>
          <w:rFonts w:cs="Arial"/>
        </w:rPr>
        <w:t>, </w:t>
      </w:r>
      <w:r w:rsidRPr="00731AFB">
        <w:rPr>
          <w:rFonts w:cs="Arial"/>
          <w:i/>
          <w:iCs/>
        </w:rPr>
        <w:t>37</w:t>
      </w:r>
      <w:r w:rsidRPr="00731AFB">
        <w:rPr>
          <w:rFonts w:cs="Arial"/>
        </w:rPr>
        <w:t>(3). Available at:  https://onlinelibrary.wiley.com/doi/pdf/10.1002/gps.5689 (Accessed: 5 March 2026)</w:t>
      </w:r>
    </w:p>
    <w:p w14:paraId="720D417B" w14:textId="18951872" w:rsidR="00D66F31" w:rsidRPr="00731AFB" w:rsidRDefault="00D66F31" w:rsidP="00731AFB">
      <w:pPr>
        <w:jc w:val="left"/>
        <w:rPr>
          <w:rFonts w:cs="Arial"/>
        </w:rPr>
      </w:pPr>
      <w:r w:rsidRPr="00731AFB">
        <w:rPr>
          <w:rFonts w:cs="Arial"/>
        </w:rPr>
        <w:t xml:space="preserve">Bailey, A.L., Martínez, J.F., </w:t>
      </w:r>
      <w:proofErr w:type="spellStart"/>
      <w:r w:rsidRPr="00731AFB">
        <w:rPr>
          <w:rFonts w:cs="Arial"/>
        </w:rPr>
        <w:t>Oranje</w:t>
      </w:r>
      <w:proofErr w:type="spellEnd"/>
      <w:r w:rsidRPr="00731AFB">
        <w:rPr>
          <w:rFonts w:cs="Arial"/>
        </w:rPr>
        <w:t>, A. and Faulkner-Bond, M., (2022). ‘Introduction to twin pandemics: How a global health crisis and persistent racial injustices are impacting educational assessment.’ </w:t>
      </w:r>
      <w:r w:rsidRPr="00731AFB">
        <w:rPr>
          <w:rFonts w:cs="Arial"/>
          <w:i/>
          <w:iCs/>
        </w:rPr>
        <w:t>Educational Assessment</w:t>
      </w:r>
      <w:r w:rsidRPr="00731AFB">
        <w:rPr>
          <w:rFonts w:cs="Arial"/>
        </w:rPr>
        <w:t>, </w:t>
      </w:r>
      <w:r w:rsidRPr="00731AFB">
        <w:rPr>
          <w:rFonts w:cs="Arial"/>
          <w:i/>
          <w:iCs/>
        </w:rPr>
        <w:t>27</w:t>
      </w:r>
      <w:r w:rsidRPr="00731AFB">
        <w:rPr>
          <w:rFonts w:cs="Arial"/>
        </w:rPr>
        <w:t>(2), pp.93-97. Available at:  https://www.tandfonline.com/doi/pdf/10.1080/10627197.2022.2097782 (Accessed: 5 March 2026)</w:t>
      </w:r>
    </w:p>
    <w:p w14:paraId="0195F7BC" w14:textId="703B1D53" w:rsidR="00D66F31" w:rsidRPr="00731AFB" w:rsidRDefault="00D66F31" w:rsidP="00731AFB">
      <w:pPr>
        <w:jc w:val="left"/>
        <w:rPr>
          <w:rFonts w:cs="Arial"/>
        </w:rPr>
      </w:pPr>
      <w:r w:rsidRPr="00731AFB">
        <w:rPr>
          <w:rFonts w:cs="Arial"/>
        </w:rPr>
        <w:lastRenderedPageBreak/>
        <w:t>Bissell, T., (2023). ‘Teaching in the upside down: What anti-critical race theory laws tell us about the first amendment.’ </w:t>
      </w:r>
      <w:r w:rsidRPr="00731AFB">
        <w:rPr>
          <w:rFonts w:cs="Arial"/>
          <w:i/>
          <w:iCs/>
        </w:rPr>
        <w:t>Stan. L. Rev.</w:t>
      </w:r>
      <w:r w:rsidRPr="00731AFB">
        <w:rPr>
          <w:rFonts w:cs="Arial"/>
        </w:rPr>
        <w:t>, </w:t>
      </w:r>
      <w:r w:rsidRPr="00731AFB">
        <w:rPr>
          <w:rFonts w:cs="Arial"/>
          <w:i/>
          <w:iCs/>
        </w:rPr>
        <w:t>75</w:t>
      </w:r>
      <w:r w:rsidRPr="00731AFB">
        <w:rPr>
          <w:rFonts w:cs="Arial"/>
        </w:rPr>
        <w:t>, p.205. Available at:  https://review.law.stanford.edu/wp-content/uploads/sites/3/2023/01/Bissell-75-Stan.-L.-Rev.-205.pdf (Accessed: 5 March 2026)</w:t>
      </w:r>
    </w:p>
    <w:p w14:paraId="714D9813" w14:textId="7D607132" w:rsidR="00D66F31" w:rsidRPr="00731AFB" w:rsidRDefault="00D66F31" w:rsidP="00731AFB">
      <w:pPr>
        <w:jc w:val="left"/>
        <w:rPr>
          <w:rFonts w:cs="Arial"/>
        </w:rPr>
      </w:pPr>
      <w:r w:rsidRPr="00731AFB">
        <w:rPr>
          <w:rFonts w:cs="Arial"/>
        </w:rPr>
        <w:t>Buzelli, L., Dunn, P., Scott, S., Gottlieb, L. and Alderwick, H., (2022). ‘A framework for NHS action on social determinants of health.’ </w:t>
      </w:r>
      <w:r w:rsidRPr="00731AFB">
        <w:rPr>
          <w:rFonts w:cs="Arial"/>
          <w:i/>
          <w:iCs/>
        </w:rPr>
        <w:t>The Health Foundation</w:t>
      </w:r>
      <w:r w:rsidRPr="00731AFB">
        <w:rPr>
          <w:rFonts w:cs="Arial"/>
        </w:rPr>
        <w:t>. Available at: https://www.health.org.uk/sites/default/files/pdf/2022-10/2022%20-%20ICSs%20and%20social%20need.pdf (Accessed: 5 March 2026)</w:t>
      </w:r>
    </w:p>
    <w:p w14:paraId="48CFF442" w14:textId="2E16F9FF" w:rsidR="00D66F31" w:rsidRPr="00731AFB" w:rsidRDefault="00D66F31" w:rsidP="00731AFB">
      <w:pPr>
        <w:jc w:val="left"/>
        <w:rPr>
          <w:rFonts w:cs="Arial"/>
        </w:rPr>
      </w:pPr>
      <w:r w:rsidRPr="00731AFB">
        <w:rPr>
          <w:rFonts w:cs="Arial"/>
        </w:rPr>
        <w:t xml:space="preserve">Campedelli, G.M., </w:t>
      </w:r>
      <w:proofErr w:type="spellStart"/>
      <w:r w:rsidRPr="00731AFB">
        <w:rPr>
          <w:rFonts w:cs="Arial"/>
        </w:rPr>
        <w:t>Favarin</w:t>
      </w:r>
      <w:proofErr w:type="spellEnd"/>
      <w:r w:rsidRPr="00731AFB">
        <w:rPr>
          <w:rFonts w:cs="Arial"/>
        </w:rPr>
        <w:t xml:space="preserve">, S., </w:t>
      </w:r>
      <w:proofErr w:type="spellStart"/>
      <w:r w:rsidRPr="00731AFB">
        <w:rPr>
          <w:rFonts w:cs="Arial"/>
        </w:rPr>
        <w:t>Aziani</w:t>
      </w:r>
      <w:proofErr w:type="spellEnd"/>
      <w:r w:rsidRPr="00731AFB">
        <w:rPr>
          <w:rFonts w:cs="Arial"/>
        </w:rPr>
        <w:t>, A. and Piquero, A.R., (2020). ‘Disentangling community-level changes in crime trends during the COVID-19 pandemic in Chicago.’ </w:t>
      </w:r>
      <w:r w:rsidRPr="00731AFB">
        <w:rPr>
          <w:rFonts w:cs="Arial"/>
          <w:i/>
          <w:iCs/>
        </w:rPr>
        <w:t>Crime Science</w:t>
      </w:r>
      <w:r w:rsidRPr="00731AFB">
        <w:rPr>
          <w:rFonts w:cs="Arial"/>
        </w:rPr>
        <w:t>, </w:t>
      </w:r>
      <w:r w:rsidRPr="00731AFB">
        <w:rPr>
          <w:rFonts w:cs="Arial"/>
          <w:i/>
          <w:iCs/>
        </w:rPr>
        <w:t>9</w:t>
      </w:r>
      <w:r w:rsidRPr="00731AFB">
        <w:rPr>
          <w:rFonts w:cs="Arial"/>
        </w:rPr>
        <w:t>(1), p.21. Available at:  https://link.springer.com/content/pdf/10.1186/s40163-020-00131-8.pdf (Accessed: 5 March 2026)</w:t>
      </w:r>
    </w:p>
    <w:p w14:paraId="6CDA67CF" w14:textId="2A3048B7" w:rsidR="00D66F31" w:rsidRPr="00731AFB" w:rsidRDefault="00D66F31" w:rsidP="00731AFB">
      <w:pPr>
        <w:jc w:val="left"/>
        <w:rPr>
          <w:rFonts w:cs="Arial"/>
        </w:rPr>
      </w:pPr>
      <w:proofErr w:type="spellStart"/>
      <w:r w:rsidRPr="00731AFB">
        <w:rPr>
          <w:rFonts w:cs="Arial"/>
        </w:rPr>
        <w:t>Carcassi</w:t>
      </w:r>
      <w:proofErr w:type="spellEnd"/>
      <w:r w:rsidRPr="00731AFB">
        <w:rPr>
          <w:rFonts w:cs="Arial"/>
        </w:rPr>
        <w:t xml:space="preserve">, F. and </w:t>
      </w:r>
      <w:proofErr w:type="spellStart"/>
      <w:r w:rsidRPr="00731AFB">
        <w:rPr>
          <w:rFonts w:cs="Arial"/>
        </w:rPr>
        <w:t>Sbardolini</w:t>
      </w:r>
      <w:proofErr w:type="spellEnd"/>
      <w:r w:rsidRPr="00731AFB">
        <w:rPr>
          <w:rFonts w:cs="Arial"/>
        </w:rPr>
        <w:t>, G., (2023). ‘Assertion, denial, and the evolution of Boolean operators.’ </w:t>
      </w:r>
      <w:r w:rsidRPr="00731AFB">
        <w:rPr>
          <w:rFonts w:cs="Arial"/>
          <w:i/>
          <w:iCs/>
        </w:rPr>
        <w:t>Mind &amp; Language</w:t>
      </w:r>
      <w:r w:rsidRPr="00731AFB">
        <w:rPr>
          <w:rFonts w:cs="Arial"/>
        </w:rPr>
        <w:t>, </w:t>
      </w:r>
      <w:r w:rsidRPr="00731AFB">
        <w:rPr>
          <w:rFonts w:cs="Arial"/>
          <w:i/>
          <w:iCs/>
        </w:rPr>
        <w:t>38</w:t>
      </w:r>
      <w:r w:rsidRPr="00731AFB">
        <w:rPr>
          <w:rFonts w:cs="Arial"/>
        </w:rPr>
        <w:t>(5), pp.1187-1207. Available at: https://onlinelibrary.wiley.com/doi/pdf/10.1111/mila.12448 (Accessed: 5 March 2026)</w:t>
      </w:r>
    </w:p>
    <w:p w14:paraId="11CD5641" w14:textId="6D9CCF13" w:rsidR="00D66F31" w:rsidRPr="00731AFB" w:rsidRDefault="00D66F31" w:rsidP="00731AFB">
      <w:pPr>
        <w:jc w:val="left"/>
        <w:rPr>
          <w:rFonts w:cs="Arial"/>
        </w:rPr>
      </w:pPr>
      <w:r w:rsidRPr="00731AFB">
        <w:rPr>
          <w:rFonts w:cs="Arial"/>
        </w:rPr>
        <w:t xml:space="preserve">Carmona, G., Sawant, K., </w:t>
      </w:r>
      <w:proofErr w:type="spellStart"/>
      <w:r w:rsidRPr="00731AFB">
        <w:rPr>
          <w:rFonts w:cs="Arial"/>
        </w:rPr>
        <w:t>Hamasha</w:t>
      </w:r>
      <w:proofErr w:type="spellEnd"/>
      <w:r w:rsidRPr="00731AFB">
        <w:rPr>
          <w:rFonts w:cs="Arial"/>
        </w:rPr>
        <w:t xml:space="preserve">, R., Cross, F.L., Woolford, S.J., </w:t>
      </w:r>
      <w:proofErr w:type="spellStart"/>
      <w:r w:rsidRPr="00731AFB">
        <w:rPr>
          <w:rFonts w:cs="Arial"/>
        </w:rPr>
        <w:t>Buyuktur</w:t>
      </w:r>
      <w:proofErr w:type="spellEnd"/>
      <w:r w:rsidRPr="00731AFB">
        <w:rPr>
          <w:rFonts w:cs="Arial"/>
        </w:rPr>
        <w:t>, A.G., Burke Bailey, S., Rowe, Z., Marsh, E., Israel, B. and Platt, J., (2023). ‘Use of the socio-ecological model to explore trusted sources of COVID-19 information in Black and Latinx communities in Michigan.’ </w:t>
      </w:r>
      <w:r w:rsidRPr="00731AFB">
        <w:rPr>
          <w:rFonts w:cs="Arial"/>
          <w:i/>
          <w:iCs/>
        </w:rPr>
        <w:t>Journal of communication in healthcare</w:t>
      </w:r>
      <w:r w:rsidRPr="00731AFB">
        <w:rPr>
          <w:rFonts w:cs="Arial"/>
        </w:rPr>
        <w:t>, </w:t>
      </w:r>
      <w:r w:rsidRPr="00731AFB">
        <w:rPr>
          <w:rFonts w:cs="Arial"/>
          <w:i/>
          <w:iCs/>
        </w:rPr>
        <w:t>16</w:t>
      </w:r>
      <w:r w:rsidRPr="00731AFB">
        <w:rPr>
          <w:rFonts w:cs="Arial"/>
        </w:rPr>
        <w:t>(4), pp.389-400.  Available at:  https://pmc.ncbi.nlm.nih.gov/articles/PMC10872920/ (Accessed: 5 March 2026)</w:t>
      </w:r>
    </w:p>
    <w:p w14:paraId="0D72BE61" w14:textId="0D9BB4C6" w:rsidR="00D66F31" w:rsidRPr="00731AFB" w:rsidRDefault="00D66F31" w:rsidP="00731AFB">
      <w:pPr>
        <w:jc w:val="left"/>
        <w:rPr>
          <w:rFonts w:cs="Arial"/>
        </w:rPr>
      </w:pPr>
      <w:r w:rsidRPr="00731AFB">
        <w:rPr>
          <w:rFonts w:cs="Arial"/>
        </w:rPr>
        <w:t>Clarke, V. and Braun, V., (2017). ‘Thematic Analysis.’ </w:t>
      </w:r>
      <w:r w:rsidRPr="00731AFB">
        <w:rPr>
          <w:rFonts w:cs="Arial"/>
          <w:i/>
          <w:iCs/>
        </w:rPr>
        <w:t>The Journal of Positive Psychology</w:t>
      </w:r>
      <w:r w:rsidRPr="00731AFB">
        <w:rPr>
          <w:rFonts w:cs="Arial"/>
        </w:rPr>
        <w:t>, </w:t>
      </w:r>
      <w:r w:rsidRPr="00731AFB">
        <w:rPr>
          <w:rFonts w:cs="Arial"/>
          <w:i/>
          <w:iCs/>
        </w:rPr>
        <w:t>12</w:t>
      </w:r>
      <w:r w:rsidRPr="00731AFB">
        <w:rPr>
          <w:rFonts w:cs="Arial"/>
        </w:rPr>
        <w:t>(3), pp.297-298. Available at: https://www.academia.edu/download/63159646/TA_crit_psych_encycl_Clarke_and_Braun_Repository20200501-20112-omv0k.pdf (Accessed: 5 March 2026)</w:t>
      </w:r>
    </w:p>
    <w:p w14:paraId="05FE3CA6" w14:textId="30C27558" w:rsidR="00D66F31" w:rsidRPr="00731AFB" w:rsidRDefault="00D66F31" w:rsidP="00731AFB">
      <w:pPr>
        <w:jc w:val="left"/>
        <w:rPr>
          <w:rFonts w:cs="Arial"/>
        </w:rPr>
      </w:pPr>
      <w:proofErr w:type="spellStart"/>
      <w:r w:rsidRPr="00731AFB">
        <w:rPr>
          <w:rFonts w:cs="Arial"/>
        </w:rPr>
        <w:t>Coronini</w:t>
      </w:r>
      <w:proofErr w:type="spellEnd"/>
      <w:r w:rsidRPr="00731AFB">
        <w:rPr>
          <w:rFonts w:cs="Arial"/>
        </w:rPr>
        <w:t>-Cronberg, S., Maile, E.J. and Majeed, A., (2020). ‘Health inequalities: the hidden cost of COVID-19 in NHS hospital trusts?’ </w:t>
      </w:r>
      <w:r w:rsidRPr="00731AFB">
        <w:rPr>
          <w:rFonts w:cs="Arial"/>
          <w:i/>
          <w:iCs/>
        </w:rPr>
        <w:t>Journal of the Royal Society of Medicine</w:t>
      </w:r>
      <w:r w:rsidRPr="00731AFB">
        <w:rPr>
          <w:rFonts w:cs="Arial"/>
        </w:rPr>
        <w:t>, </w:t>
      </w:r>
      <w:r w:rsidRPr="00731AFB">
        <w:rPr>
          <w:rFonts w:cs="Arial"/>
          <w:i/>
          <w:iCs/>
        </w:rPr>
        <w:t>113</w:t>
      </w:r>
      <w:r w:rsidRPr="00731AFB">
        <w:rPr>
          <w:rFonts w:cs="Arial"/>
        </w:rPr>
        <w:t>(5), pp.179-184. Available at:  https://journals.sagepub.com/doi/pdf/10.1177/0141076820925230 (Accessed: 5 March 2026)</w:t>
      </w:r>
    </w:p>
    <w:p w14:paraId="056962A2" w14:textId="7508D8BD" w:rsidR="00D66F31" w:rsidRPr="00731AFB" w:rsidRDefault="00D66F31" w:rsidP="00731AFB">
      <w:pPr>
        <w:jc w:val="left"/>
        <w:rPr>
          <w:rFonts w:cs="Arial"/>
        </w:rPr>
      </w:pPr>
      <w:bookmarkStart w:id="85" w:name="_Hlk223641335"/>
      <w:r w:rsidRPr="00731AFB">
        <w:rPr>
          <w:rFonts w:cs="Arial"/>
        </w:rPr>
        <w:t>Costanza, R., (2014</w:t>
      </w:r>
      <w:bookmarkEnd w:id="85"/>
      <w:r w:rsidRPr="00731AFB">
        <w:rPr>
          <w:rFonts w:cs="Arial"/>
        </w:rPr>
        <w:t>). ‘A theory of socio-ecological system change.’ </w:t>
      </w:r>
      <w:r w:rsidRPr="00731AFB">
        <w:rPr>
          <w:rFonts w:cs="Arial"/>
          <w:i/>
          <w:iCs/>
        </w:rPr>
        <w:t xml:space="preserve">Journal of </w:t>
      </w:r>
      <w:proofErr w:type="spellStart"/>
      <w:r w:rsidRPr="00731AFB">
        <w:rPr>
          <w:rFonts w:cs="Arial"/>
          <w:i/>
          <w:iCs/>
        </w:rPr>
        <w:t>Bioeconomics</w:t>
      </w:r>
      <w:proofErr w:type="spellEnd"/>
      <w:r w:rsidRPr="00731AFB">
        <w:rPr>
          <w:rFonts w:cs="Arial"/>
        </w:rPr>
        <w:t>, </w:t>
      </w:r>
      <w:r w:rsidRPr="00731AFB">
        <w:rPr>
          <w:rFonts w:cs="Arial"/>
          <w:i/>
          <w:iCs/>
        </w:rPr>
        <w:t>16</w:t>
      </w:r>
      <w:r w:rsidRPr="00731AFB">
        <w:rPr>
          <w:rFonts w:cs="Arial"/>
        </w:rPr>
        <w:t>(1), pp.39-44</w:t>
      </w:r>
      <w:proofErr w:type="gramStart"/>
      <w:r w:rsidRPr="00731AFB">
        <w:rPr>
          <w:rFonts w:cs="Arial"/>
        </w:rPr>
        <w:t>. .</w:t>
      </w:r>
      <w:proofErr w:type="gramEnd"/>
      <w:r w:rsidRPr="00731AFB">
        <w:rPr>
          <w:rFonts w:cs="Arial"/>
        </w:rPr>
        <w:t xml:space="preserve"> Available at: https://www.academia.edu/download/51755466/Costanza_Theory_of_Soocio-ecological_system_change_BioEcon_2014.pdf (Accessed: 5 March 2026)</w:t>
      </w:r>
    </w:p>
    <w:p w14:paraId="36F9886A" w14:textId="1B52DD48" w:rsidR="00D66F31" w:rsidRPr="00731AFB" w:rsidRDefault="00D66F31" w:rsidP="00731AFB">
      <w:pPr>
        <w:jc w:val="left"/>
        <w:rPr>
          <w:rFonts w:cs="Arial"/>
        </w:rPr>
      </w:pPr>
      <w:r w:rsidRPr="00731AFB">
        <w:rPr>
          <w:rFonts w:cs="Arial"/>
        </w:rPr>
        <w:lastRenderedPageBreak/>
        <w:t xml:space="preserve">Daga, S., Chakravorty, I., </w:t>
      </w:r>
      <w:proofErr w:type="spellStart"/>
      <w:r w:rsidRPr="00731AFB">
        <w:rPr>
          <w:rFonts w:cs="Arial"/>
        </w:rPr>
        <w:t>Bamrah</w:t>
      </w:r>
      <w:proofErr w:type="spellEnd"/>
      <w:r w:rsidRPr="00731AFB">
        <w:rPr>
          <w:rFonts w:cs="Arial"/>
        </w:rPr>
        <w:t xml:space="preserve">, J.S., Menon, G., Dave, S., Chakravorty, S., Bhala, N. and Mehta, R.K., (2020). ‘Self-reported occupational risk for COVID-19 in hospital doctors from black </w:t>
      </w:r>
      <w:proofErr w:type="spellStart"/>
      <w:r w:rsidRPr="00731AFB">
        <w:rPr>
          <w:rFonts w:cs="Arial"/>
        </w:rPr>
        <w:t>asian</w:t>
      </w:r>
      <w:proofErr w:type="spellEnd"/>
      <w:r w:rsidRPr="00731AFB">
        <w:rPr>
          <w:rFonts w:cs="Arial"/>
        </w:rPr>
        <w:t xml:space="preserve"> &amp; minority ethnic communities in UK.’ </w:t>
      </w:r>
      <w:r w:rsidRPr="00731AFB">
        <w:rPr>
          <w:rFonts w:cs="Arial"/>
          <w:i/>
          <w:iCs/>
        </w:rPr>
        <w:t>The Physician</w:t>
      </w:r>
      <w:r w:rsidRPr="00731AFB">
        <w:rPr>
          <w:rFonts w:cs="Arial"/>
        </w:rPr>
        <w:t>, </w:t>
      </w:r>
      <w:r w:rsidRPr="00731AFB">
        <w:rPr>
          <w:rFonts w:cs="Arial"/>
          <w:i/>
          <w:iCs/>
        </w:rPr>
        <w:t>6</w:t>
      </w:r>
      <w:r w:rsidRPr="00731AFB">
        <w:rPr>
          <w:rFonts w:cs="Arial"/>
        </w:rPr>
        <w:t>(1). Available at: https://www.scienceopen.com/document_file/ed19a9c7-6322-49ca-8ee0-3e283fd92074/ScienceOpen/downloaded_ed19a9c7-6322-49ca-8ee0-3e283fd92074.pdf (Accessed: 5 March 2026)</w:t>
      </w:r>
    </w:p>
    <w:p w14:paraId="1DF320C1" w14:textId="7303EB90" w:rsidR="00D66F31" w:rsidRPr="00731AFB" w:rsidRDefault="00D66F31" w:rsidP="00731AFB">
      <w:pPr>
        <w:jc w:val="left"/>
        <w:rPr>
          <w:rFonts w:cs="Arial"/>
        </w:rPr>
      </w:pPr>
      <w:r w:rsidRPr="00731AFB">
        <w:rPr>
          <w:rFonts w:cs="Arial"/>
        </w:rPr>
        <w:t xml:space="preserve">Dayton, L., Miller, J., Strickland, J., Davey-Rothwell, M. and </w:t>
      </w:r>
      <w:proofErr w:type="spellStart"/>
      <w:r w:rsidRPr="00731AFB">
        <w:rPr>
          <w:rFonts w:cs="Arial"/>
        </w:rPr>
        <w:t>Latkin</w:t>
      </w:r>
      <w:proofErr w:type="spellEnd"/>
      <w:r w:rsidRPr="00731AFB">
        <w:rPr>
          <w:rFonts w:cs="Arial"/>
        </w:rPr>
        <w:t>, C., (2022). ‘A socio-ecological perspective on parents’ intentions to vaccinate their children against COVID-19.’ </w:t>
      </w:r>
      <w:r w:rsidRPr="00731AFB">
        <w:rPr>
          <w:rFonts w:cs="Arial"/>
          <w:i/>
          <w:iCs/>
        </w:rPr>
        <w:t>Vaccine</w:t>
      </w:r>
      <w:r w:rsidRPr="00731AFB">
        <w:rPr>
          <w:rFonts w:cs="Arial"/>
        </w:rPr>
        <w:t>, </w:t>
      </w:r>
      <w:r w:rsidRPr="00731AFB">
        <w:rPr>
          <w:rFonts w:cs="Arial"/>
          <w:i/>
          <w:iCs/>
        </w:rPr>
        <w:t>40</w:t>
      </w:r>
      <w:r w:rsidRPr="00731AFB">
        <w:rPr>
          <w:rFonts w:cs="Arial"/>
        </w:rPr>
        <w:t>(32), pp.4432-4439. Available at:  https://pmc.ncbi.nlm.nih.gov/articles/PMC9168003/pdf/main.pdf (Accessed: 5 March 2026)</w:t>
      </w:r>
    </w:p>
    <w:p w14:paraId="09C4F101" w14:textId="21407502" w:rsidR="00D66F31" w:rsidRPr="00731AFB" w:rsidRDefault="00D66F31" w:rsidP="00731AFB">
      <w:pPr>
        <w:jc w:val="left"/>
        <w:rPr>
          <w:rFonts w:cs="Arial"/>
        </w:rPr>
      </w:pPr>
      <w:bookmarkStart w:id="86" w:name="_Hlk223641369"/>
      <w:r w:rsidRPr="00731AFB">
        <w:rPr>
          <w:rFonts w:cs="Arial"/>
        </w:rPr>
        <w:t>Delgado, R. and Stefancic, J., (2023</w:t>
      </w:r>
      <w:bookmarkEnd w:id="86"/>
      <w:r w:rsidRPr="00731AFB">
        <w:rPr>
          <w:rFonts w:cs="Arial"/>
        </w:rPr>
        <w:t>). </w:t>
      </w:r>
      <w:r w:rsidRPr="00731AFB">
        <w:rPr>
          <w:rFonts w:cs="Arial"/>
          <w:i/>
          <w:iCs/>
        </w:rPr>
        <w:t>Critical race theory: An introduction</w:t>
      </w:r>
      <w:r w:rsidRPr="00731AFB">
        <w:rPr>
          <w:rFonts w:cs="Arial"/>
        </w:rPr>
        <w:t xml:space="preserve">. </w:t>
      </w:r>
      <w:proofErr w:type="spellStart"/>
      <w:r w:rsidRPr="00731AFB">
        <w:rPr>
          <w:rFonts w:cs="Arial"/>
        </w:rPr>
        <w:t>NyU</w:t>
      </w:r>
      <w:proofErr w:type="spellEnd"/>
      <w:r w:rsidRPr="00731AFB">
        <w:rPr>
          <w:rFonts w:cs="Arial"/>
        </w:rPr>
        <w:t xml:space="preserve"> Press. Available at: https://scholarship.law.ua.edu/cgi/viewcontent.cgi?article=1046&amp;context=fac_working_papers (Accessed: 5 March 2026)</w:t>
      </w:r>
    </w:p>
    <w:p w14:paraId="635E6F9B" w14:textId="5D1D5348" w:rsidR="00D66F31" w:rsidRPr="00731AFB" w:rsidRDefault="00D66F31" w:rsidP="00731AFB">
      <w:pPr>
        <w:jc w:val="left"/>
        <w:rPr>
          <w:rFonts w:cs="Arial"/>
        </w:rPr>
      </w:pPr>
      <w:r w:rsidRPr="00731AFB">
        <w:rPr>
          <w:rFonts w:cs="Arial"/>
        </w:rPr>
        <w:t xml:space="preserve">Den Broeder, L., South, J., Rothoff, A., Bagnall, A.M., </w:t>
      </w:r>
      <w:proofErr w:type="spellStart"/>
      <w:r w:rsidRPr="00731AFB">
        <w:rPr>
          <w:rFonts w:cs="Arial"/>
        </w:rPr>
        <w:t>Azarhoosh</w:t>
      </w:r>
      <w:proofErr w:type="spellEnd"/>
      <w:r w:rsidRPr="00731AFB">
        <w:rPr>
          <w:rFonts w:cs="Arial"/>
        </w:rPr>
        <w:t xml:space="preserve">, F., Van Der Linden, G., </w:t>
      </w:r>
      <w:proofErr w:type="spellStart"/>
      <w:r w:rsidRPr="00731AFB">
        <w:rPr>
          <w:rFonts w:cs="Arial"/>
        </w:rPr>
        <w:t>Bharadwa</w:t>
      </w:r>
      <w:proofErr w:type="spellEnd"/>
      <w:r w:rsidRPr="00731AFB">
        <w:rPr>
          <w:rFonts w:cs="Arial"/>
        </w:rPr>
        <w:t xml:space="preserve">, M. and </w:t>
      </w:r>
      <w:proofErr w:type="spellStart"/>
      <w:r w:rsidRPr="00731AFB">
        <w:rPr>
          <w:rFonts w:cs="Arial"/>
        </w:rPr>
        <w:t>Wagemakers</w:t>
      </w:r>
      <w:proofErr w:type="spellEnd"/>
      <w:r w:rsidRPr="00731AFB">
        <w:rPr>
          <w:rFonts w:cs="Arial"/>
        </w:rPr>
        <w:t>, A., (2022). ‘Community engagement in deprived neighbourhoods during the COVID-19 crisis: perspectives for more resilient and healthier communities.’ </w:t>
      </w:r>
      <w:r w:rsidRPr="00731AFB">
        <w:rPr>
          <w:rFonts w:cs="Arial"/>
          <w:i/>
          <w:iCs/>
        </w:rPr>
        <w:t>Health promotion international</w:t>
      </w:r>
      <w:r w:rsidRPr="00731AFB">
        <w:rPr>
          <w:rFonts w:cs="Arial"/>
        </w:rPr>
        <w:t>, </w:t>
      </w:r>
      <w:r w:rsidRPr="00731AFB">
        <w:rPr>
          <w:rFonts w:cs="Arial"/>
          <w:i/>
          <w:iCs/>
        </w:rPr>
        <w:t>37</w:t>
      </w:r>
      <w:r w:rsidRPr="00731AFB">
        <w:rPr>
          <w:rFonts w:cs="Arial"/>
        </w:rPr>
        <w:t xml:space="preserve">(2), </w:t>
      </w:r>
      <w:proofErr w:type="gramStart"/>
      <w:r w:rsidRPr="00731AFB">
        <w:rPr>
          <w:rFonts w:cs="Arial"/>
        </w:rPr>
        <w:t>p.daab</w:t>
      </w:r>
      <w:proofErr w:type="gramEnd"/>
      <w:r w:rsidRPr="00731AFB">
        <w:rPr>
          <w:rFonts w:cs="Arial"/>
        </w:rPr>
        <w:t>098. Available at:  https://academic.oup.com/heapro/article-pdf/37/2/daab098/43511595/daab098.pdf (Accessed: 5 March 2026)</w:t>
      </w:r>
    </w:p>
    <w:p w14:paraId="38EC68A6" w14:textId="4D3221C7" w:rsidR="00D66F31" w:rsidRPr="00731AFB" w:rsidRDefault="00D66F31" w:rsidP="00731AFB">
      <w:pPr>
        <w:jc w:val="left"/>
        <w:rPr>
          <w:rFonts w:cs="Arial"/>
        </w:rPr>
      </w:pPr>
      <w:r w:rsidRPr="00731AFB">
        <w:rPr>
          <w:rFonts w:cs="Arial"/>
        </w:rPr>
        <w:t>East, S.A.M., 2024. </w:t>
      </w:r>
      <w:r w:rsidRPr="00731AFB">
        <w:rPr>
          <w:rFonts w:cs="Arial"/>
          <w:i/>
          <w:iCs/>
        </w:rPr>
        <w:t>Antiracism in Southall, c. 1968–c. 1982</w:t>
      </w:r>
      <w:r w:rsidRPr="00731AFB">
        <w:rPr>
          <w:rFonts w:cs="Arial"/>
        </w:rPr>
        <w:t> (Doctoral dissertation, UCL (University College London)). Available at:  https://discovery.ucl.ac.uk/id/eprint/10188748/8/East_10188748_Thesis_sig_removed.pdf (Accessed: 5 March 2026)</w:t>
      </w:r>
    </w:p>
    <w:p w14:paraId="60776BE3" w14:textId="19DD189E" w:rsidR="00D66F31" w:rsidRPr="00731AFB" w:rsidRDefault="00D66F31" w:rsidP="00731AFB">
      <w:pPr>
        <w:jc w:val="left"/>
        <w:rPr>
          <w:rFonts w:cs="Arial"/>
        </w:rPr>
      </w:pPr>
      <w:proofErr w:type="spellStart"/>
      <w:r w:rsidRPr="00731AFB">
        <w:rPr>
          <w:rFonts w:cs="Arial"/>
        </w:rPr>
        <w:t>Esparrago</w:t>
      </w:r>
      <w:proofErr w:type="spellEnd"/>
      <w:r w:rsidRPr="00731AFB">
        <w:rPr>
          <w:rFonts w:cs="Arial"/>
        </w:rPr>
        <w:t>-Kalidas, A.J., (2021). ‘The effectiveness of CRAAP test in evaluating credibility of sources.’ </w:t>
      </w:r>
      <w:r w:rsidRPr="00731AFB">
        <w:rPr>
          <w:rFonts w:cs="Arial"/>
          <w:i/>
          <w:iCs/>
        </w:rPr>
        <w:t>International Journal of TESOL &amp; Education</w:t>
      </w:r>
      <w:r w:rsidRPr="00731AFB">
        <w:rPr>
          <w:rFonts w:cs="Arial"/>
        </w:rPr>
        <w:t>, </w:t>
      </w:r>
      <w:r w:rsidRPr="00731AFB">
        <w:rPr>
          <w:rFonts w:cs="Arial"/>
          <w:i/>
          <w:iCs/>
        </w:rPr>
        <w:t>1</w:t>
      </w:r>
      <w:r w:rsidRPr="00731AFB">
        <w:rPr>
          <w:rFonts w:cs="Arial"/>
        </w:rPr>
        <w:t>(2), pp.1-14. Available at:  https://www.i-jte.org/index.php/journal/article/download/25/8 (Accessed: 5 March 2026)</w:t>
      </w:r>
    </w:p>
    <w:p w14:paraId="6072DD85" w14:textId="531CAB32" w:rsidR="00D66F31" w:rsidRPr="00731AFB" w:rsidRDefault="00D66F31" w:rsidP="00731AFB">
      <w:pPr>
        <w:jc w:val="left"/>
        <w:rPr>
          <w:rFonts w:cs="Arial"/>
        </w:rPr>
      </w:pPr>
      <w:r w:rsidRPr="00731AFB">
        <w:rPr>
          <w:rFonts w:cs="Arial"/>
        </w:rPr>
        <w:t>Fabinyi, M., Evans, L. and Foale, S.J., (2014). ‘Social-ecological systems, social diversity, and power: insights from anthropology and political ecology.’ </w:t>
      </w:r>
      <w:r w:rsidRPr="00731AFB">
        <w:rPr>
          <w:rFonts w:cs="Arial"/>
          <w:i/>
          <w:iCs/>
        </w:rPr>
        <w:t>Ecology and society</w:t>
      </w:r>
      <w:r w:rsidRPr="00731AFB">
        <w:rPr>
          <w:rFonts w:cs="Arial"/>
        </w:rPr>
        <w:t>, </w:t>
      </w:r>
      <w:r w:rsidRPr="00731AFB">
        <w:rPr>
          <w:rFonts w:cs="Arial"/>
          <w:i/>
          <w:iCs/>
        </w:rPr>
        <w:t>19</w:t>
      </w:r>
      <w:r w:rsidRPr="00731AFB">
        <w:rPr>
          <w:rFonts w:cs="Arial"/>
        </w:rPr>
        <w:t xml:space="preserve">(4). Available at:  Social-ecological systems, social diversity, and power: insights from anthropology and </w:t>
      </w:r>
      <w:r w:rsidRPr="00731AFB">
        <w:rPr>
          <w:rFonts w:cs="Arial"/>
        </w:rPr>
        <w:lastRenderedPageBreak/>
        <w:t>political ecology insights from anthropology and political ecology on JSTOR (Accessed: 5 March 2026)</w:t>
      </w:r>
    </w:p>
    <w:p w14:paraId="31A93366" w14:textId="25621DA3" w:rsidR="00D66F31" w:rsidRPr="00731AFB" w:rsidRDefault="00D66F31" w:rsidP="00731AFB">
      <w:pPr>
        <w:jc w:val="left"/>
        <w:rPr>
          <w:rFonts w:cs="Arial"/>
        </w:rPr>
      </w:pPr>
      <w:r w:rsidRPr="00731AFB">
        <w:rPr>
          <w:rFonts w:cs="Arial"/>
        </w:rPr>
        <w:t>Farr, P., (2022). ‘Toward a critical race analysis of the COVID-19 crisis in US carceral institutions.’ </w:t>
      </w:r>
      <w:r w:rsidRPr="00731AFB">
        <w:rPr>
          <w:rFonts w:cs="Arial"/>
          <w:i/>
          <w:iCs/>
        </w:rPr>
        <w:t>Critical Social Policy</w:t>
      </w:r>
      <w:r w:rsidRPr="00731AFB">
        <w:rPr>
          <w:rFonts w:cs="Arial"/>
        </w:rPr>
        <w:t>, </w:t>
      </w:r>
      <w:r w:rsidRPr="00731AFB">
        <w:rPr>
          <w:rFonts w:cs="Arial"/>
          <w:i/>
          <w:iCs/>
        </w:rPr>
        <w:t>42</w:t>
      </w:r>
      <w:r w:rsidRPr="00731AFB">
        <w:rPr>
          <w:rFonts w:cs="Arial"/>
        </w:rPr>
        <w:t>(2), pp.177-196. Available at:  https://www.researchgate.net/profile/Paddy-Farr/publication/350432522_Toward_a_critical_race_analysis_of_the_COVID-19_crisis_in_US_carceral_institutions/links/60ec861c0859317dbddb0b45/Toward-a-critical-race-analysis-of-the-COVID-19-crisis-in-US-carceral-institutions.pdf (Accessed: 5 March 2026)</w:t>
      </w:r>
    </w:p>
    <w:p w14:paraId="4325A21A" w14:textId="697C1E73" w:rsidR="00D66F31" w:rsidRPr="00731AFB" w:rsidRDefault="00D66F31" w:rsidP="00731AFB">
      <w:pPr>
        <w:jc w:val="left"/>
        <w:rPr>
          <w:rFonts w:cs="Arial"/>
        </w:rPr>
      </w:pPr>
      <w:r w:rsidRPr="00731AFB">
        <w:rPr>
          <w:rFonts w:cs="Arial"/>
        </w:rPr>
        <w:t xml:space="preserve">Fell, E.V. and </w:t>
      </w:r>
      <w:proofErr w:type="spellStart"/>
      <w:r w:rsidRPr="00731AFB">
        <w:rPr>
          <w:rFonts w:cs="Arial"/>
        </w:rPr>
        <w:t>Dyban</w:t>
      </w:r>
      <w:proofErr w:type="spellEnd"/>
      <w:r w:rsidRPr="00731AFB">
        <w:rPr>
          <w:rFonts w:cs="Arial"/>
        </w:rPr>
        <w:t>, M., (2017). ‘Against discrimination: equality act 2010 (UK).’ </w:t>
      </w:r>
      <w:r w:rsidRPr="00731AFB">
        <w:rPr>
          <w:rFonts w:cs="Arial"/>
          <w:i/>
          <w:iCs/>
        </w:rPr>
        <w:t>The European Proceedings of Social &amp; Behavioural Sciences (</w:t>
      </w:r>
      <w:proofErr w:type="spellStart"/>
      <w:r w:rsidRPr="00731AFB">
        <w:rPr>
          <w:rFonts w:cs="Arial"/>
          <w:i/>
          <w:iCs/>
        </w:rPr>
        <w:t>EpSBS</w:t>
      </w:r>
      <w:proofErr w:type="spellEnd"/>
      <w:r w:rsidRPr="00731AFB">
        <w:rPr>
          <w:rFonts w:cs="Arial"/>
          <w:i/>
          <w:iCs/>
        </w:rPr>
        <w:t>). Vol. 19: Lifelong Wellbeing in the World (WELLSO 2016</w:t>
      </w:r>
      <w:proofErr w:type="gramStart"/>
      <w:r w:rsidRPr="00731AFB">
        <w:rPr>
          <w:rFonts w:cs="Arial"/>
          <w:i/>
          <w:iCs/>
        </w:rPr>
        <w:t>).—</w:t>
      </w:r>
      <w:proofErr w:type="gramEnd"/>
      <w:r w:rsidRPr="00731AFB">
        <w:rPr>
          <w:rFonts w:cs="Arial"/>
          <w:i/>
          <w:iCs/>
        </w:rPr>
        <w:t xml:space="preserve">Nicosia, 2017. </w:t>
      </w:r>
      <w:r w:rsidRPr="00731AFB">
        <w:rPr>
          <w:rFonts w:cs="Arial"/>
        </w:rPr>
        <w:t>Available at:</w:t>
      </w:r>
      <w:r w:rsidRPr="00731AFB">
        <w:rPr>
          <w:rFonts w:cs="Arial"/>
          <w:i/>
          <w:iCs/>
        </w:rPr>
        <w:t xml:space="preserve">  https://earchive.tpu.ru/bitstream/11683/37248/1/dx.doi.org-10.15405-epsbs.2017.01.25.pdf </w:t>
      </w:r>
      <w:r w:rsidRPr="00731AFB">
        <w:rPr>
          <w:rFonts w:cs="Arial"/>
        </w:rPr>
        <w:t>(Accessed: 5 March 2026)</w:t>
      </w:r>
    </w:p>
    <w:p w14:paraId="15C89551" w14:textId="4672C3E9" w:rsidR="00D66F31" w:rsidRPr="00731AFB" w:rsidRDefault="00D66F31" w:rsidP="00731AFB">
      <w:pPr>
        <w:jc w:val="left"/>
        <w:rPr>
          <w:rFonts w:cs="Arial"/>
        </w:rPr>
      </w:pPr>
      <w:r w:rsidRPr="00731AFB">
        <w:rPr>
          <w:rFonts w:cs="Arial"/>
        </w:rPr>
        <w:t xml:space="preserve">Freeman, D., Loe, B.S., Yu, L.M., Freeman, J., Chadwick, A., Vaccari, C., </w:t>
      </w:r>
      <w:proofErr w:type="spellStart"/>
      <w:r w:rsidRPr="00731AFB">
        <w:rPr>
          <w:rFonts w:cs="Arial"/>
        </w:rPr>
        <w:t>Shanyinde</w:t>
      </w:r>
      <w:proofErr w:type="spellEnd"/>
      <w:r w:rsidRPr="00731AFB">
        <w:rPr>
          <w:rFonts w:cs="Arial"/>
        </w:rPr>
        <w:t>, M., Harris, V., Waite, F., Rosebrock, L. and Petit, A., (2021). ‘Effects of different types of written vaccination information on COVID-19 vaccine hesitancy in the UK (OCEANS-III): a single-blind, parallel-group, randomised controlled trial.’ </w:t>
      </w:r>
      <w:r w:rsidRPr="00731AFB">
        <w:rPr>
          <w:rFonts w:cs="Arial"/>
          <w:i/>
          <w:iCs/>
        </w:rPr>
        <w:t>The Lancet Public Health</w:t>
      </w:r>
      <w:r w:rsidRPr="00731AFB">
        <w:rPr>
          <w:rFonts w:cs="Arial"/>
        </w:rPr>
        <w:t>, </w:t>
      </w:r>
      <w:r w:rsidRPr="00731AFB">
        <w:rPr>
          <w:rFonts w:cs="Arial"/>
          <w:i/>
          <w:iCs/>
        </w:rPr>
        <w:t>6</w:t>
      </w:r>
      <w:r w:rsidRPr="00731AFB">
        <w:rPr>
          <w:rFonts w:cs="Arial"/>
        </w:rPr>
        <w:t xml:space="preserve">(6), </w:t>
      </w:r>
      <w:proofErr w:type="gramStart"/>
      <w:r w:rsidRPr="00731AFB">
        <w:rPr>
          <w:rFonts w:cs="Arial"/>
        </w:rPr>
        <w:t>pp.e</w:t>
      </w:r>
      <w:proofErr w:type="gramEnd"/>
      <w:r w:rsidRPr="00731AFB">
        <w:rPr>
          <w:rFonts w:cs="Arial"/>
        </w:rPr>
        <w:t>416-e427. Available at:  https://www.thelancet.com/journals/lanpub/article/PIIS2468-2667(21)00096-7/fulltext?ref=publicsquare.uk (Accessed: 5 March 2026)</w:t>
      </w:r>
    </w:p>
    <w:p w14:paraId="4B14FE0C" w14:textId="1975B7CA" w:rsidR="00D66F31" w:rsidRPr="00DE6D1F" w:rsidRDefault="00D66F31" w:rsidP="00731AFB">
      <w:pPr>
        <w:jc w:val="left"/>
        <w:rPr>
          <w:rFonts w:cs="Arial"/>
        </w:rPr>
      </w:pPr>
      <w:r w:rsidRPr="00731AFB">
        <w:rPr>
          <w:rFonts w:cs="Arial"/>
        </w:rPr>
        <w:t>Fulton, L., (2021). ‘Job Retention Schemes in Europe: United Kingdom.’ </w:t>
      </w:r>
      <w:r w:rsidRPr="00731AFB">
        <w:rPr>
          <w:rFonts w:cs="Arial"/>
          <w:i/>
          <w:iCs/>
        </w:rPr>
        <w:t>Brussels, ETUI</w:t>
      </w:r>
      <w:r w:rsidRPr="00731AFB">
        <w:rPr>
          <w:rFonts w:cs="Arial"/>
        </w:rPr>
        <w:t>. Available at: https://www.etui.org/sites/default/files/2021-11/Job%20retention%20schemes%20in%20Europe%20-%20UK_2021.pdf (Accessed: 5 March 2026)</w:t>
      </w:r>
    </w:p>
    <w:p w14:paraId="7F62DFFB" w14:textId="0D68C84D" w:rsidR="00D66F31" w:rsidRPr="00DE6D1F" w:rsidRDefault="00D66F31" w:rsidP="00731AFB">
      <w:pPr>
        <w:jc w:val="left"/>
        <w:rPr>
          <w:rFonts w:cs="Arial"/>
        </w:rPr>
      </w:pPr>
      <w:r w:rsidRPr="00DE6D1F">
        <w:rPr>
          <w:rFonts w:cs="Arial"/>
        </w:rPr>
        <w:t xml:space="preserve">Garner, S., Cheung, S.Y., </w:t>
      </w:r>
      <w:proofErr w:type="spellStart"/>
      <w:r w:rsidRPr="00DE6D1F">
        <w:rPr>
          <w:rFonts w:cs="Arial"/>
        </w:rPr>
        <w:t>Vougioukalou</w:t>
      </w:r>
      <w:proofErr w:type="spellEnd"/>
      <w:r w:rsidRPr="00DE6D1F">
        <w:rPr>
          <w:rFonts w:cs="Arial"/>
        </w:rPr>
        <w:t>, S. and Pennant, A.L., (2025). ‘Migration, ethnicity, race and diversity in a post-Brexit and pandemic Britain.’ </w:t>
      </w:r>
      <w:r w:rsidRPr="00DE6D1F">
        <w:rPr>
          <w:rFonts w:cs="Arial"/>
          <w:i/>
          <w:iCs/>
        </w:rPr>
        <w:t>Frontiers in Sociology</w:t>
      </w:r>
      <w:r w:rsidRPr="00DE6D1F">
        <w:rPr>
          <w:rFonts w:cs="Arial"/>
        </w:rPr>
        <w:t>, </w:t>
      </w:r>
      <w:r w:rsidRPr="00DE6D1F">
        <w:rPr>
          <w:rFonts w:cs="Arial"/>
          <w:i/>
          <w:iCs/>
        </w:rPr>
        <w:t>10</w:t>
      </w:r>
      <w:r w:rsidRPr="00DE6D1F">
        <w:rPr>
          <w:rFonts w:cs="Arial"/>
        </w:rPr>
        <w:t xml:space="preserve">, p.1563314. Available at:  </w:t>
      </w:r>
      <w:r w:rsidRPr="00731AFB">
        <w:rPr>
          <w:rFonts w:cs="Arial"/>
        </w:rPr>
        <w:t>https://www.frontiersin.org/journals/sociology/articles/10.3389/fsoc.2025.1563314/pdf</w:t>
      </w:r>
      <w:r w:rsidRPr="00DE6D1F">
        <w:rPr>
          <w:rFonts w:cs="Arial"/>
        </w:rPr>
        <w:t xml:space="preserve"> (Accessed: 5 March 2026)</w:t>
      </w:r>
    </w:p>
    <w:p w14:paraId="0F37A748" w14:textId="293763CF" w:rsidR="00D66F31" w:rsidRPr="00DE6D1F" w:rsidRDefault="00D66F31" w:rsidP="00731AFB">
      <w:pPr>
        <w:jc w:val="left"/>
        <w:rPr>
          <w:rFonts w:cs="Arial"/>
        </w:rPr>
      </w:pPr>
      <w:proofErr w:type="spellStart"/>
      <w:r w:rsidRPr="00DE6D1F">
        <w:rPr>
          <w:rFonts w:cs="Arial"/>
        </w:rPr>
        <w:t>Grez</w:t>
      </w:r>
      <w:proofErr w:type="spellEnd"/>
      <w:r w:rsidRPr="00DE6D1F">
        <w:rPr>
          <w:rFonts w:cs="Arial"/>
        </w:rPr>
        <w:t xml:space="preserve"> Hidalgo, P., de </w:t>
      </w:r>
      <w:proofErr w:type="spellStart"/>
      <w:r w:rsidRPr="00DE6D1F">
        <w:rPr>
          <w:rFonts w:cs="Arial"/>
        </w:rPr>
        <w:t>Londras</w:t>
      </w:r>
      <w:proofErr w:type="spellEnd"/>
      <w:r w:rsidRPr="00DE6D1F">
        <w:rPr>
          <w:rFonts w:cs="Arial"/>
        </w:rPr>
        <w:t xml:space="preserve">, F. and Lock, D., (2022). Parliament, the pandemic, and constitutional principle in the United Kingdom: a study of the Coronavirus Act 2020. Available at: </w:t>
      </w:r>
      <w:r w:rsidRPr="00731AFB">
        <w:rPr>
          <w:rFonts w:cs="Arial"/>
        </w:rPr>
        <w:t>https://onlinelibrary.wiley.com/doi/pdf/10.1111/1468-2230.12753</w:t>
      </w:r>
      <w:r w:rsidRPr="00DE6D1F">
        <w:rPr>
          <w:rFonts w:cs="Arial"/>
        </w:rPr>
        <w:t xml:space="preserve"> (Accessed: 5 March 2026)</w:t>
      </w:r>
    </w:p>
    <w:p w14:paraId="65193BD0" w14:textId="78A6A2FF" w:rsidR="00D66F31" w:rsidRPr="00DE6D1F" w:rsidRDefault="00D66F31" w:rsidP="00731AFB">
      <w:pPr>
        <w:jc w:val="left"/>
        <w:rPr>
          <w:rFonts w:cs="Arial"/>
        </w:rPr>
      </w:pPr>
      <w:r w:rsidRPr="00DE6D1F">
        <w:rPr>
          <w:rFonts w:cs="Arial"/>
        </w:rPr>
        <w:lastRenderedPageBreak/>
        <w:t>Guo, S. and Guo, Y., (2021). ‘Combating anti-Asian racism and xenophobia in Canada: Toward pandemic anti-racism education in post-COVID-19.’ </w:t>
      </w:r>
      <w:r w:rsidRPr="00DE6D1F">
        <w:rPr>
          <w:rFonts w:cs="Arial"/>
          <w:i/>
          <w:iCs/>
        </w:rPr>
        <w:t>Beijing International Review of Education</w:t>
      </w:r>
      <w:r w:rsidRPr="00DE6D1F">
        <w:rPr>
          <w:rFonts w:cs="Arial"/>
        </w:rPr>
        <w:t>, </w:t>
      </w:r>
      <w:r w:rsidRPr="00DE6D1F">
        <w:rPr>
          <w:rFonts w:cs="Arial"/>
          <w:i/>
          <w:iCs/>
        </w:rPr>
        <w:t>3</w:t>
      </w:r>
      <w:r w:rsidRPr="00DE6D1F">
        <w:rPr>
          <w:rFonts w:cs="Arial"/>
        </w:rPr>
        <w:t xml:space="preserve">(2), pp.187-211. Available at:  </w:t>
      </w:r>
      <w:r w:rsidRPr="00731AFB">
        <w:rPr>
          <w:rFonts w:cs="Arial"/>
        </w:rPr>
        <w:t>https://journals.sagepub.com/doi/pdf/10.1163/25902539-03020004</w:t>
      </w:r>
      <w:r w:rsidRPr="00DE6D1F">
        <w:rPr>
          <w:rFonts w:cs="Arial"/>
        </w:rPr>
        <w:t xml:space="preserve"> (Accessed: 5 March 2026)</w:t>
      </w:r>
    </w:p>
    <w:p w14:paraId="14187F6B" w14:textId="33522FD7" w:rsidR="00D66F31" w:rsidRPr="00DE6D1F" w:rsidRDefault="00D66F31" w:rsidP="00731AFB">
      <w:pPr>
        <w:jc w:val="left"/>
        <w:rPr>
          <w:rFonts w:cs="Arial"/>
        </w:rPr>
      </w:pPr>
      <w:r w:rsidRPr="00DE6D1F">
        <w:rPr>
          <w:rFonts w:cs="Arial"/>
        </w:rPr>
        <w:t>Hennein, R., Mew, E.J. and Lowe, S.R., (2021). ‘Socio-ecological predictors of mental health outcomes among healthcare workers during the COVID-19 pandemic in the United States.’ </w:t>
      </w:r>
      <w:proofErr w:type="spellStart"/>
      <w:r w:rsidRPr="00DE6D1F">
        <w:rPr>
          <w:rFonts w:cs="Arial"/>
          <w:i/>
          <w:iCs/>
        </w:rPr>
        <w:t>PloS</w:t>
      </w:r>
      <w:proofErr w:type="spellEnd"/>
      <w:r w:rsidRPr="00DE6D1F">
        <w:rPr>
          <w:rFonts w:cs="Arial"/>
          <w:i/>
          <w:iCs/>
        </w:rPr>
        <w:t xml:space="preserve"> one</w:t>
      </w:r>
      <w:r w:rsidRPr="00DE6D1F">
        <w:rPr>
          <w:rFonts w:cs="Arial"/>
        </w:rPr>
        <w:t>, </w:t>
      </w:r>
      <w:r w:rsidRPr="00DE6D1F">
        <w:rPr>
          <w:rFonts w:cs="Arial"/>
          <w:i/>
          <w:iCs/>
        </w:rPr>
        <w:t>16</w:t>
      </w:r>
      <w:r w:rsidRPr="00DE6D1F">
        <w:rPr>
          <w:rFonts w:cs="Arial"/>
        </w:rPr>
        <w:t xml:space="preserve">(2), p.e0246602. Available at:  </w:t>
      </w:r>
      <w:r w:rsidRPr="00731AFB">
        <w:rPr>
          <w:rFonts w:cs="Arial"/>
        </w:rPr>
        <w:t>https://journals.plos.org/plosone/article/file?id=10.1371/journal.pone.0246602&amp;type=printable</w:t>
      </w:r>
      <w:r w:rsidRPr="00DE6D1F">
        <w:rPr>
          <w:rFonts w:cs="Arial"/>
        </w:rPr>
        <w:t xml:space="preserve"> (Accessed: 5 March 2026)</w:t>
      </w:r>
    </w:p>
    <w:p w14:paraId="0ADCF215" w14:textId="2F042379" w:rsidR="00D66F31" w:rsidRPr="00DE6D1F" w:rsidRDefault="00D66F31" w:rsidP="00731AFB">
      <w:pPr>
        <w:jc w:val="left"/>
        <w:rPr>
          <w:rFonts w:cs="Arial"/>
        </w:rPr>
      </w:pPr>
      <w:proofErr w:type="spellStart"/>
      <w:r w:rsidRPr="00DE6D1F">
        <w:rPr>
          <w:rFonts w:cs="Arial"/>
        </w:rPr>
        <w:t>Hooijer</w:t>
      </w:r>
      <w:proofErr w:type="spellEnd"/>
      <w:r w:rsidRPr="00DE6D1F">
        <w:rPr>
          <w:rFonts w:cs="Arial"/>
        </w:rPr>
        <w:t>, G. and King, D., (2022). ‘The racialized pandemic: Wave one of COVID-19 and the reproduction of global North inequalities.’ </w:t>
      </w:r>
      <w:r w:rsidRPr="00DE6D1F">
        <w:rPr>
          <w:rFonts w:cs="Arial"/>
          <w:i/>
          <w:iCs/>
        </w:rPr>
        <w:t>Perspectives on Politics</w:t>
      </w:r>
      <w:r w:rsidRPr="00DE6D1F">
        <w:rPr>
          <w:rFonts w:cs="Arial"/>
        </w:rPr>
        <w:t>, </w:t>
      </w:r>
      <w:r w:rsidRPr="00DE6D1F">
        <w:rPr>
          <w:rFonts w:cs="Arial"/>
          <w:i/>
          <w:iCs/>
        </w:rPr>
        <w:t>20</w:t>
      </w:r>
      <w:r w:rsidRPr="00DE6D1F">
        <w:rPr>
          <w:rFonts w:cs="Arial"/>
        </w:rPr>
        <w:t xml:space="preserve">(2), pp.507-527. Available at:  </w:t>
      </w:r>
      <w:r w:rsidRPr="00731AFB">
        <w:rPr>
          <w:rFonts w:cs="Arial"/>
        </w:rPr>
        <w:t>https://discovery.ucl.ac.uk/id/eprint/10134903/3/Hooijer_covid19_paper_final_rps.pdf</w:t>
      </w:r>
      <w:r w:rsidRPr="00DE6D1F">
        <w:rPr>
          <w:rFonts w:cs="Arial"/>
        </w:rPr>
        <w:t xml:space="preserve"> (Accessed: 5 March 2026)</w:t>
      </w:r>
    </w:p>
    <w:p w14:paraId="593FCAAC" w14:textId="52364D6B" w:rsidR="00D66F31" w:rsidRPr="00DE6D1F" w:rsidRDefault="00D66F31" w:rsidP="00731AFB">
      <w:pPr>
        <w:jc w:val="left"/>
        <w:rPr>
          <w:rFonts w:cs="Arial"/>
        </w:rPr>
      </w:pPr>
      <w:r w:rsidRPr="00DE6D1F">
        <w:rPr>
          <w:rFonts w:cs="Arial"/>
        </w:rPr>
        <w:t>Hussain, B., Latif, A., Timmons, S., Nkhoma, K. and Nellums, L.B., (2022). ‘Overcoming COVID-19 vaccine hesitancy among ethnic minorities: A systematic review of UK studies.’ </w:t>
      </w:r>
      <w:r w:rsidRPr="00DE6D1F">
        <w:rPr>
          <w:rFonts w:cs="Arial"/>
          <w:i/>
          <w:iCs/>
        </w:rPr>
        <w:t>Vaccine</w:t>
      </w:r>
      <w:r w:rsidRPr="00DE6D1F">
        <w:rPr>
          <w:rFonts w:cs="Arial"/>
        </w:rPr>
        <w:t>, </w:t>
      </w:r>
      <w:r w:rsidRPr="00DE6D1F">
        <w:rPr>
          <w:rFonts w:cs="Arial"/>
          <w:i/>
          <w:iCs/>
        </w:rPr>
        <w:t>40</w:t>
      </w:r>
      <w:r w:rsidRPr="00DE6D1F">
        <w:rPr>
          <w:rFonts w:cs="Arial"/>
        </w:rPr>
        <w:t xml:space="preserve">(25), pp.3413-3432. Available at: </w:t>
      </w:r>
      <w:r w:rsidRPr="00731AFB">
        <w:rPr>
          <w:rFonts w:cs="Arial"/>
        </w:rPr>
        <w:t>https://pmc.ncbi.nlm.nih.gov/articles/PMC9046074/pdf/main.pdf</w:t>
      </w:r>
      <w:r w:rsidRPr="00DE6D1F">
        <w:rPr>
          <w:rFonts w:cs="Arial"/>
        </w:rPr>
        <w:t xml:space="preserve"> (Accessed: 5 March 2026)</w:t>
      </w:r>
    </w:p>
    <w:p w14:paraId="7F4F076A" w14:textId="557CA8F1" w:rsidR="00D66F31" w:rsidRPr="00DE6D1F" w:rsidRDefault="00D66F31" w:rsidP="00731AFB">
      <w:pPr>
        <w:jc w:val="left"/>
        <w:rPr>
          <w:rFonts w:cs="Arial"/>
        </w:rPr>
      </w:pPr>
      <w:r w:rsidRPr="00DE6D1F">
        <w:rPr>
          <w:rFonts w:cs="Arial"/>
        </w:rPr>
        <w:t>Hussain, Z., Rizvi, L.J. and Sheikh, H., (2022). ‘The Equality Act (2010)-pre-and post-pandemic historic development on equality and discrimination issues for employers: review of literature.’ </w:t>
      </w:r>
      <w:r w:rsidRPr="00DE6D1F">
        <w:rPr>
          <w:rFonts w:cs="Arial"/>
          <w:i/>
          <w:iCs/>
        </w:rPr>
        <w:t>International Journal of Law and Management</w:t>
      </w:r>
      <w:r w:rsidRPr="00DE6D1F">
        <w:rPr>
          <w:rFonts w:cs="Arial"/>
        </w:rPr>
        <w:t>, </w:t>
      </w:r>
      <w:r w:rsidRPr="00DE6D1F">
        <w:rPr>
          <w:rFonts w:cs="Arial"/>
          <w:i/>
          <w:iCs/>
        </w:rPr>
        <w:t>64</w:t>
      </w:r>
      <w:r w:rsidRPr="00DE6D1F">
        <w:rPr>
          <w:rFonts w:cs="Arial"/>
        </w:rPr>
        <w:t xml:space="preserve">(2), pp.168-183. Available at: </w:t>
      </w:r>
      <w:r w:rsidRPr="00731AFB">
        <w:rPr>
          <w:rFonts w:cs="Arial"/>
        </w:rPr>
        <w:t>https://www.emerald.com/ijlma/article-pdf/64/2/168/899966/ijlma-03-2021-0067.pdf</w:t>
      </w:r>
      <w:r w:rsidRPr="00DE6D1F">
        <w:rPr>
          <w:rFonts w:cs="Arial"/>
        </w:rPr>
        <w:t xml:space="preserve"> (Accessed: 5 March 2026)</w:t>
      </w:r>
    </w:p>
    <w:p w14:paraId="15DC7308" w14:textId="3FB98E07" w:rsidR="00D66F31" w:rsidRPr="00DE6D1F" w:rsidRDefault="00D66F31" w:rsidP="00731AFB">
      <w:pPr>
        <w:jc w:val="left"/>
        <w:rPr>
          <w:rFonts w:cs="Arial"/>
        </w:rPr>
      </w:pPr>
      <w:r w:rsidRPr="00DE6D1F">
        <w:rPr>
          <w:rFonts w:cs="Arial"/>
        </w:rPr>
        <w:t>Hyde, K., (2024). </w:t>
      </w:r>
      <w:r w:rsidRPr="00DE6D1F">
        <w:rPr>
          <w:rFonts w:cs="Arial"/>
          <w:i/>
          <w:iCs/>
        </w:rPr>
        <w:t>A qualitative study exploring experiences of racism in British Chinese individuals during the COVID-19 pandemic in the UK</w:t>
      </w:r>
      <w:r w:rsidRPr="00DE6D1F">
        <w:rPr>
          <w:rFonts w:cs="Arial"/>
        </w:rPr>
        <w:t xml:space="preserve"> (Doctoral dissertation, City, University of London). Available at:  </w:t>
      </w:r>
      <w:r w:rsidRPr="00731AFB">
        <w:rPr>
          <w:rFonts w:cs="Arial"/>
        </w:rPr>
        <w:t>https://openaccess.city.ac.uk/id/eprint/33557/1/Hyde%20thesis%202024%20PDF-A%20redacted.pdf</w:t>
      </w:r>
      <w:r w:rsidRPr="00DE6D1F">
        <w:rPr>
          <w:rFonts w:cs="Arial"/>
        </w:rPr>
        <w:t xml:space="preserve"> (Accessed: 5 March 2026)</w:t>
      </w:r>
    </w:p>
    <w:p w14:paraId="4535C7C2" w14:textId="5B6A3991" w:rsidR="00D66F31" w:rsidRPr="00DE6D1F" w:rsidRDefault="00D66F31" w:rsidP="00731AFB">
      <w:pPr>
        <w:jc w:val="left"/>
        <w:rPr>
          <w:rFonts w:cs="Arial"/>
        </w:rPr>
      </w:pPr>
      <w:r w:rsidRPr="00DE6D1F">
        <w:rPr>
          <w:rFonts w:cs="Arial"/>
        </w:rPr>
        <w:t xml:space="preserve">IFF (2023), </w:t>
      </w:r>
      <w:r w:rsidRPr="00DE6D1F">
        <w:rPr>
          <w:rFonts w:cs="Arial"/>
          <w:i/>
          <w:iCs/>
        </w:rPr>
        <w:t xml:space="preserve">Community Vaccine Champions Evaluation Report </w:t>
      </w:r>
      <w:r w:rsidRPr="00DE6D1F">
        <w:rPr>
          <w:rFonts w:cs="Arial"/>
        </w:rPr>
        <w:t xml:space="preserve">Available at: </w:t>
      </w:r>
      <w:r w:rsidRPr="00731AFB">
        <w:rPr>
          <w:rFonts w:cs="Arial"/>
        </w:rPr>
        <w:t>https://assets.publishing.service.gov.uk/media/649eec3a45b6a2000c3d46bd/Community_Vaccine_Champions_-_Evaluation_Report.pdf</w:t>
      </w:r>
      <w:r w:rsidRPr="00DE6D1F">
        <w:rPr>
          <w:rFonts w:cs="Arial"/>
        </w:rPr>
        <w:t xml:space="preserve"> (Accessed: 5 March 2026)</w:t>
      </w:r>
    </w:p>
    <w:p w14:paraId="3B3D2CC0" w14:textId="53633045" w:rsidR="00D66F31" w:rsidRPr="00DE6D1F" w:rsidRDefault="00D66F31" w:rsidP="00731AFB">
      <w:pPr>
        <w:jc w:val="left"/>
        <w:rPr>
          <w:rFonts w:cs="Arial"/>
        </w:rPr>
      </w:pPr>
      <w:r w:rsidRPr="00DE6D1F">
        <w:rPr>
          <w:rFonts w:cs="Arial"/>
        </w:rPr>
        <w:lastRenderedPageBreak/>
        <w:t>Igarashi, H., Kurth, M.L., Lee, H.S., Choun, S., Lee, D. and Aldwin, C.M., (2022). ‘Resilience in older adults during the COVID-19 pandemic: A socioecological approach.’ </w:t>
      </w:r>
      <w:r w:rsidRPr="00DE6D1F">
        <w:rPr>
          <w:rFonts w:cs="Arial"/>
          <w:i/>
          <w:iCs/>
        </w:rPr>
        <w:t>The Journals of Gerontology: Series B</w:t>
      </w:r>
      <w:r w:rsidRPr="00DE6D1F">
        <w:rPr>
          <w:rFonts w:cs="Arial"/>
        </w:rPr>
        <w:t>, </w:t>
      </w:r>
      <w:r w:rsidRPr="00DE6D1F">
        <w:rPr>
          <w:rFonts w:cs="Arial"/>
          <w:i/>
          <w:iCs/>
        </w:rPr>
        <w:t>77</w:t>
      </w:r>
      <w:r w:rsidRPr="00DE6D1F">
        <w:rPr>
          <w:rFonts w:cs="Arial"/>
        </w:rPr>
        <w:t xml:space="preserve">(4), </w:t>
      </w:r>
      <w:proofErr w:type="gramStart"/>
      <w:r w:rsidRPr="00DE6D1F">
        <w:rPr>
          <w:rFonts w:cs="Arial"/>
        </w:rPr>
        <w:t>pp.e</w:t>
      </w:r>
      <w:proofErr w:type="gramEnd"/>
      <w:r w:rsidRPr="00DE6D1F">
        <w:rPr>
          <w:rFonts w:cs="Arial"/>
        </w:rPr>
        <w:t xml:space="preserve">64-e69. Available at:  </w:t>
      </w:r>
      <w:r w:rsidRPr="00731AFB">
        <w:rPr>
          <w:rFonts w:cs="Arial"/>
        </w:rPr>
        <w:t>https://pmc.ncbi.nlm.nih.gov/articles/PMC8083195/pdf/gbab058.pdf</w:t>
      </w:r>
      <w:r w:rsidRPr="00DE6D1F">
        <w:rPr>
          <w:rFonts w:cs="Arial"/>
        </w:rPr>
        <w:t xml:space="preserve"> (Accessed: 5 March 2026)</w:t>
      </w:r>
    </w:p>
    <w:p w14:paraId="34EAA255" w14:textId="310BAF39" w:rsidR="00D66F31" w:rsidRPr="00DE6D1F" w:rsidRDefault="00D66F31" w:rsidP="00731AFB">
      <w:pPr>
        <w:jc w:val="left"/>
        <w:rPr>
          <w:rFonts w:cs="Arial"/>
        </w:rPr>
      </w:pPr>
      <w:r w:rsidRPr="00DE6D1F">
        <w:rPr>
          <w:rFonts w:cs="Arial"/>
        </w:rPr>
        <w:t xml:space="preserve">Jang, S.H., (2022). ‘Social-ecological factors related to preventive </w:t>
      </w:r>
      <w:proofErr w:type="spellStart"/>
      <w:r w:rsidRPr="00DE6D1F">
        <w:rPr>
          <w:rFonts w:cs="Arial"/>
        </w:rPr>
        <w:t>behaviors</w:t>
      </w:r>
      <w:proofErr w:type="spellEnd"/>
      <w:r w:rsidRPr="00DE6D1F">
        <w:rPr>
          <w:rFonts w:cs="Arial"/>
        </w:rPr>
        <w:t xml:space="preserve"> during the COVID-19 pandemic in South Korea.’ </w:t>
      </w:r>
      <w:proofErr w:type="spellStart"/>
      <w:r w:rsidRPr="00DE6D1F">
        <w:rPr>
          <w:rFonts w:cs="Arial"/>
          <w:i/>
          <w:iCs/>
        </w:rPr>
        <w:t>PLoS</w:t>
      </w:r>
      <w:proofErr w:type="spellEnd"/>
      <w:r w:rsidRPr="00DE6D1F">
        <w:rPr>
          <w:rFonts w:cs="Arial"/>
          <w:i/>
          <w:iCs/>
        </w:rPr>
        <w:t xml:space="preserve"> One</w:t>
      </w:r>
      <w:r w:rsidRPr="00DE6D1F">
        <w:rPr>
          <w:rFonts w:cs="Arial"/>
        </w:rPr>
        <w:t>, </w:t>
      </w:r>
      <w:r w:rsidRPr="00DE6D1F">
        <w:rPr>
          <w:rFonts w:cs="Arial"/>
          <w:i/>
          <w:iCs/>
        </w:rPr>
        <w:t>17</w:t>
      </w:r>
      <w:r w:rsidRPr="00DE6D1F">
        <w:rPr>
          <w:rFonts w:cs="Arial"/>
        </w:rPr>
        <w:t xml:space="preserve">(3), p.e0266264. Available at:  </w:t>
      </w:r>
      <w:r w:rsidRPr="00731AFB">
        <w:rPr>
          <w:rFonts w:cs="Arial"/>
        </w:rPr>
        <w:t>https://journals.plos.org/plosone/article/file?id=10.1371/journal.pone.0266264&amp;type=printable</w:t>
      </w:r>
      <w:r w:rsidRPr="00DE6D1F">
        <w:rPr>
          <w:rFonts w:cs="Arial"/>
        </w:rPr>
        <w:t xml:space="preserve"> (Accessed: 5 March 2026)</w:t>
      </w:r>
    </w:p>
    <w:p w14:paraId="286275E4" w14:textId="4DCEB931" w:rsidR="00D66F31" w:rsidRPr="00DE6D1F" w:rsidRDefault="00D66F31" w:rsidP="00731AFB">
      <w:pPr>
        <w:jc w:val="left"/>
        <w:rPr>
          <w:rFonts w:cs="Arial"/>
        </w:rPr>
      </w:pPr>
      <w:proofErr w:type="spellStart"/>
      <w:r w:rsidRPr="00DE6D1F">
        <w:rPr>
          <w:rFonts w:cs="Arial"/>
        </w:rPr>
        <w:t>Kapilashrami</w:t>
      </w:r>
      <w:proofErr w:type="spellEnd"/>
      <w:r w:rsidRPr="00DE6D1F">
        <w:rPr>
          <w:rFonts w:cs="Arial"/>
        </w:rPr>
        <w:t xml:space="preserve">, A., Otis, M., </w:t>
      </w:r>
      <w:proofErr w:type="spellStart"/>
      <w:r w:rsidRPr="00DE6D1F">
        <w:rPr>
          <w:rFonts w:cs="Arial"/>
        </w:rPr>
        <w:t>Omodara</w:t>
      </w:r>
      <w:proofErr w:type="spellEnd"/>
      <w:r w:rsidRPr="00DE6D1F">
        <w:rPr>
          <w:rFonts w:cs="Arial"/>
        </w:rPr>
        <w:t xml:space="preserve">, D., Nandi, A., Vats, A., Adeniyi, O., Speed, E., Potter, J.L., Eder, B., Pareek, M. and </w:t>
      </w:r>
      <w:proofErr w:type="spellStart"/>
      <w:r w:rsidRPr="00DE6D1F">
        <w:rPr>
          <w:rFonts w:cs="Arial"/>
        </w:rPr>
        <w:t>Bhui</w:t>
      </w:r>
      <w:proofErr w:type="spellEnd"/>
      <w:r w:rsidRPr="00DE6D1F">
        <w:rPr>
          <w:rFonts w:cs="Arial"/>
        </w:rPr>
        <w:t>, K., (2022). ‘Ethnic disparities in health &amp; social care workers’ exposure, protection, and clinical management of the COVID-19 pandemic in the UK.’ </w:t>
      </w:r>
      <w:r w:rsidRPr="00DE6D1F">
        <w:rPr>
          <w:rFonts w:cs="Arial"/>
          <w:i/>
          <w:iCs/>
        </w:rPr>
        <w:t>Critical Public Health</w:t>
      </w:r>
      <w:r w:rsidRPr="00DE6D1F">
        <w:rPr>
          <w:rFonts w:cs="Arial"/>
        </w:rPr>
        <w:t>, </w:t>
      </w:r>
      <w:r w:rsidRPr="00DE6D1F">
        <w:rPr>
          <w:rFonts w:cs="Arial"/>
          <w:i/>
          <w:iCs/>
        </w:rPr>
        <w:t>32</w:t>
      </w:r>
      <w:r w:rsidRPr="00DE6D1F">
        <w:rPr>
          <w:rFonts w:cs="Arial"/>
        </w:rPr>
        <w:t xml:space="preserve">(1), pp.68-81. Available at: </w:t>
      </w:r>
      <w:r w:rsidRPr="00731AFB">
        <w:rPr>
          <w:rFonts w:cs="Arial"/>
        </w:rPr>
        <w:t>https://www.tandfonline.com/doi/pdf/10.1080/09581596.2021.1959020</w:t>
      </w:r>
      <w:r w:rsidRPr="00DE6D1F">
        <w:rPr>
          <w:rFonts w:cs="Arial"/>
        </w:rPr>
        <w:t xml:space="preserve"> (Accessed: 5 March 2026)</w:t>
      </w:r>
    </w:p>
    <w:p w14:paraId="64516B97" w14:textId="2318958B" w:rsidR="00D66F31" w:rsidRPr="00DE6D1F" w:rsidRDefault="00D66F31" w:rsidP="00731AFB">
      <w:pPr>
        <w:jc w:val="left"/>
        <w:rPr>
          <w:rFonts w:cs="Arial"/>
        </w:rPr>
      </w:pPr>
      <w:bookmarkStart w:id="87" w:name="_Hlk223608869"/>
      <w:r w:rsidRPr="00DE6D1F">
        <w:rPr>
          <w:rFonts w:cs="Arial"/>
        </w:rPr>
        <w:t>Karlsen, S. and Nelson, R., (2021</w:t>
      </w:r>
      <w:bookmarkEnd w:id="87"/>
      <w:r w:rsidRPr="00DE6D1F">
        <w:rPr>
          <w:rFonts w:cs="Arial"/>
        </w:rPr>
        <w:t>). ‘Staying “one step ahead of a racist”: expanding understandings of the experiences of the covid-19 pandemic among people from minoritized ethnic groups living in Britain.’ </w:t>
      </w:r>
      <w:r w:rsidRPr="00DE6D1F">
        <w:rPr>
          <w:rFonts w:cs="Arial"/>
          <w:i/>
          <w:iCs/>
        </w:rPr>
        <w:t>Frontiers in Sociology</w:t>
      </w:r>
      <w:r w:rsidRPr="00DE6D1F">
        <w:rPr>
          <w:rFonts w:cs="Arial"/>
        </w:rPr>
        <w:t>, </w:t>
      </w:r>
      <w:r w:rsidRPr="00DE6D1F">
        <w:rPr>
          <w:rFonts w:cs="Arial"/>
          <w:i/>
          <w:iCs/>
        </w:rPr>
        <w:t>6</w:t>
      </w:r>
      <w:r w:rsidRPr="00DE6D1F">
        <w:rPr>
          <w:rFonts w:cs="Arial"/>
        </w:rPr>
        <w:t xml:space="preserve">, Available at: </w:t>
      </w:r>
      <w:r w:rsidRPr="00731AFB">
        <w:rPr>
          <w:rFonts w:cs="Arial"/>
        </w:rPr>
        <w:t>https://www.frontiersin.org/journals/sociology/articles/10.3389/fsoc.2021.730313/pdf</w:t>
      </w:r>
      <w:r w:rsidRPr="00DE6D1F">
        <w:rPr>
          <w:rFonts w:cs="Arial"/>
        </w:rPr>
        <w:t xml:space="preserve"> (Accessed: 5 March 2026)</w:t>
      </w:r>
    </w:p>
    <w:p w14:paraId="22996FCD" w14:textId="750C8D37" w:rsidR="00D66F31" w:rsidRPr="00DE6D1F" w:rsidRDefault="00D66F31" w:rsidP="00731AFB">
      <w:pPr>
        <w:jc w:val="left"/>
        <w:rPr>
          <w:rFonts w:cs="Arial"/>
        </w:rPr>
      </w:pPr>
      <w:proofErr w:type="spellStart"/>
      <w:r w:rsidRPr="00DE6D1F">
        <w:rPr>
          <w:rFonts w:cs="Arial"/>
        </w:rPr>
        <w:t>Katikireddi</w:t>
      </w:r>
      <w:proofErr w:type="spellEnd"/>
      <w:r w:rsidRPr="00DE6D1F">
        <w:rPr>
          <w:rFonts w:cs="Arial"/>
        </w:rPr>
        <w:t>, S.V., Lal, S., Carrol, E.D., Niedzwiedz, C.L., Khunti, K., Dundas, R., Diderichsen, F. and Barr, B., (2021). ‘Unequal impact of the COVID-19 crisis on minority ethnic groups: a framework for understanding and addressing inequalities.’ </w:t>
      </w:r>
      <w:r w:rsidRPr="00DE6D1F">
        <w:rPr>
          <w:rFonts w:cs="Arial"/>
          <w:i/>
          <w:iCs/>
        </w:rPr>
        <w:t xml:space="preserve">J </w:t>
      </w:r>
      <w:proofErr w:type="spellStart"/>
      <w:r w:rsidRPr="00DE6D1F">
        <w:rPr>
          <w:rFonts w:cs="Arial"/>
          <w:i/>
          <w:iCs/>
        </w:rPr>
        <w:t>Epidemiol</w:t>
      </w:r>
      <w:proofErr w:type="spellEnd"/>
      <w:r w:rsidRPr="00DE6D1F">
        <w:rPr>
          <w:rFonts w:cs="Arial"/>
          <w:i/>
          <w:iCs/>
        </w:rPr>
        <w:t xml:space="preserve"> Community Health</w:t>
      </w:r>
      <w:r w:rsidRPr="00DE6D1F">
        <w:rPr>
          <w:rFonts w:cs="Arial"/>
        </w:rPr>
        <w:t>, </w:t>
      </w:r>
      <w:r w:rsidRPr="00DE6D1F">
        <w:rPr>
          <w:rFonts w:cs="Arial"/>
          <w:i/>
          <w:iCs/>
        </w:rPr>
        <w:t>75</w:t>
      </w:r>
      <w:r w:rsidRPr="00DE6D1F">
        <w:rPr>
          <w:rFonts w:cs="Arial"/>
        </w:rPr>
        <w:t xml:space="preserve">(10), pp.970-974. Available at:   </w:t>
      </w:r>
      <w:r w:rsidRPr="00731AFB">
        <w:rPr>
          <w:rFonts w:cs="Arial"/>
        </w:rPr>
        <w:t>Unequal impact of the COVID-19 crisis on minority ethnic groups: a framework for understanding and addressing inequalities</w:t>
      </w:r>
      <w:r w:rsidRPr="00DE6D1F">
        <w:rPr>
          <w:rFonts w:cs="Arial"/>
        </w:rPr>
        <w:t xml:space="preserve"> (Accessed: 5 March 2026)</w:t>
      </w:r>
    </w:p>
    <w:p w14:paraId="7362CD2F" w14:textId="7432D794" w:rsidR="00D66F31" w:rsidRPr="00DE6D1F" w:rsidRDefault="00D66F31" w:rsidP="00731AFB">
      <w:pPr>
        <w:jc w:val="left"/>
        <w:rPr>
          <w:rFonts w:cs="Arial"/>
        </w:rPr>
      </w:pPr>
      <w:proofErr w:type="spellStart"/>
      <w:r w:rsidRPr="00DE6D1F">
        <w:rPr>
          <w:rFonts w:cs="Arial"/>
        </w:rPr>
        <w:t>Kauh</w:t>
      </w:r>
      <w:proofErr w:type="spellEnd"/>
      <w:r w:rsidRPr="00DE6D1F">
        <w:rPr>
          <w:rFonts w:cs="Arial"/>
        </w:rPr>
        <w:t>, T.J., Read, J.N.G. and Scheitler, A.J., (2021). ‘The critical role of racial/ethnic data disaggregation for health equity.’ </w:t>
      </w:r>
      <w:r w:rsidRPr="00DE6D1F">
        <w:rPr>
          <w:rFonts w:cs="Arial"/>
          <w:i/>
          <w:iCs/>
        </w:rPr>
        <w:t>Population research and policy review</w:t>
      </w:r>
      <w:r w:rsidRPr="00DE6D1F">
        <w:rPr>
          <w:rFonts w:cs="Arial"/>
        </w:rPr>
        <w:t>, </w:t>
      </w:r>
      <w:r w:rsidRPr="00DE6D1F">
        <w:rPr>
          <w:rFonts w:cs="Arial"/>
          <w:i/>
          <w:iCs/>
        </w:rPr>
        <w:t>40</w:t>
      </w:r>
      <w:r w:rsidRPr="00DE6D1F">
        <w:rPr>
          <w:rFonts w:cs="Arial"/>
        </w:rPr>
        <w:t xml:space="preserve">(1), pp.1-7. Available at: </w:t>
      </w:r>
      <w:r w:rsidRPr="00731AFB">
        <w:rPr>
          <w:rFonts w:cs="Arial"/>
        </w:rPr>
        <w:t>https://pmc.ncbi.nlm.nih.gov/articles/PMC7791160/pdf/11113_2020_Article_9631.pdf</w:t>
      </w:r>
      <w:r w:rsidRPr="00DE6D1F">
        <w:rPr>
          <w:rFonts w:cs="Arial"/>
        </w:rPr>
        <w:t xml:space="preserve"> (Accessed: 5 March 2026)</w:t>
      </w:r>
    </w:p>
    <w:p w14:paraId="30666961" w14:textId="676B91AF" w:rsidR="00D66F31" w:rsidRPr="00DE6D1F" w:rsidRDefault="00D66F31" w:rsidP="00731AFB">
      <w:pPr>
        <w:jc w:val="left"/>
        <w:rPr>
          <w:rFonts w:cs="Arial"/>
        </w:rPr>
      </w:pPr>
      <w:r w:rsidRPr="00DE6D1F">
        <w:rPr>
          <w:rFonts w:cs="Arial"/>
        </w:rPr>
        <w:t xml:space="preserve">Keleynikov, M., Cohen, N. and </w:t>
      </w:r>
      <w:proofErr w:type="spellStart"/>
      <w:r w:rsidRPr="00DE6D1F">
        <w:rPr>
          <w:rFonts w:cs="Arial"/>
        </w:rPr>
        <w:t>Benatov</w:t>
      </w:r>
      <w:proofErr w:type="spellEnd"/>
      <w:r w:rsidRPr="00DE6D1F">
        <w:rPr>
          <w:rFonts w:cs="Arial"/>
        </w:rPr>
        <w:t>, J., (2024). ‘Maternal distress during the COVID-19 outbreak: A socio-ecological perspective.’ </w:t>
      </w:r>
      <w:proofErr w:type="spellStart"/>
      <w:r w:rsidRPr="00DE6D1F">
        <w:rPr>
          <w:rFonts w:cs="Arial"/>
          <w:i/>
          <w:iCs/>
        </w:rPr>
        <w:t>Plos</w:t>
      </w:r>
      <w:proofErr w:type="spellEnd"/>
      <w:r w:rsidRPr="00DE6D1F">
        <w:rPr>
          <w:rFonts w:cs="Arial"/>
          <w:i/>
          <w:iCs/>
        </w:rPr>
        <w:t xml:space="preserve"> one</w:t>
      </w:r>
      <w:r w:rsidRPr="00DE6D1F">
        <w:rPr>
          <w:rFonts w:cs="Arial"/>
        </w:rPr>
        <w:t>, </w:t>
      </w:r>
      <w:r w:rsidRPr="00DE6D1F">
        <w:rPr>
          <w:rFonts w:cs="Arial"/>
          <w:i/>
          <w:iCs/>
        </w:rPr>
        <w:t>19</w:t>
      </w:r>
      <w:r w:rsidRPr="00DE6D1F">
        <w:rPr>
          <w:rFonts w:cs="Arial"/>
        </w:rPr>
        <w:t xml:space="preserve">(5), p.e0302266. Available at:  </w:t>
      </w:r>
      <w:r w:rsidRPr="00731AFB">
        <w:rPr>
          <w:rFonts w:cs="Arial"/>
        </w:rPr>
        <w:lastRenderedPageBreak/>
        <w:t>https://journals.plos.org/plosone/article/file?id=10.1371/journal.pone.0302266&amp;type=printable</w:t>
      </w:r>
      <w:r w:rsidRPr="00DE6D1F">
        <w:rPr>
          <w:rFonts w:cs="Arial"/>
        </w:rPr>
        <w:t xml:space="preserve"> (Accessed: 5 March 2026)</w:t>
      </w:r>
    </w:p>
    <w:p w14:paraId="63E577E4" w14:textId="142EF6D3" w:rsidR="00D66F31" w:rsidRPr="00DE6D1F" w:rsidRDefault="00D66F31" w:rsidP="00731AFB">
      <w:pPr>
        <w:jc w:val="left"/>
        <w:rPr>
          <w:rFonts w:cs="Arial"/>
        </w:rPr>
      </w:pPr>
      <w:r w:rsidRPr="00DE6D1F">
        <w:rPr>
          <w:rFonts w:cs="Arial"/>
        </w:rPr>
        <w:t>Khan, S., Asif, A. and Jaffery, A.E., (2021). ‘Language in a time of COVID-19: literacy bias ethnic minorities face during COVID-19 from online information in the UK.’ </w:t>
      </w:r>
      <w:r w:rsidRPr="00DE6D1F">
        <w:rPr>
          <w:rFonts w:cs="Arial"/>
          <w:i/>
          <w:iCs/>
        </w:rPr>
        <w:t>Journal of Racial and Ethnic Health Disparities</w:t>
      </w:r>
      <w:r w:rsidRPr="00DE6D1F">
        <w:rPr>
          <w:rFonts w:cs="Arial"/>
        </w:rPr>
        <w:t>, </w:t>
      </w:r>
      <w:r w:rsidRPr="00DE6D1F">
        <w:rPr>
          <w:rFonts w:cs="Arial"/>
          <w:i/>
          <w:iCs/>
        </w:rPr>
        <w:t>8</w:t>
      </w:r>
      <w:r w:rsidRPr="00DE6D1F">
        <w:rPr>
          <w:rFonts w:cs="Arial"/>
        </w:rPr>
        <w:t xml:space="preserve">(5), pp.1242-1248. Available at: </w:t>
      </w:r>
      <w:r w:rsidRPr="00731AFB">
        <w:rPr>
          <w:rFonts w:cs="Arial"/>
        </w:rPr>
        <w:t>https://link.springer.com/content/pdf/10.1007/s40615-020-00883-8.pdf</w:t>
      </w:r>
      <w:r w:rsidRPr="00DE6D1F">
        <w:rPr>
          <w:rFonts w:cs="Arial"/>
        </w:rPr>
        <w:t xml:space="preserve"> (Accessed: 5 March 2026)</w:t>
      </w:r>
    </w:p>
    <w:p w14:paraId="753554DE" w14:textId="55D542E6" w:rsidR="00D66F31" w:rsidRPr="00DE6D1F" w:rsidRDefault="00D66F31" w:rsidP="00731AFB">
      <w:pPr>
        <w:jc w:val="left"/>
        <w:rPr>
          <w:rFonts w:cs="Arial"/>
        </w:rPr>
      </w:pPr>
      <w:r w:rsidRPr="00DE6D1F">
        <w:rPr>
          <w:rFonts w:cs="Arial"/>
        </w:rPr>
        <w:t>Kilanowski, J.F., (2017). ‘Breadth of the socio-ecological model.’ </w:t>
      </w:r>
      <w:r w:rsidRPr="00DE6D1F">
        <w:rPr>
          <w:rFonts w:cs="Arial"/>
          <w:i/>
          <w:iCs/>
        </w:rPr>
        <w:t xml:space="preserve">Journal of </w:t>
      </w:r>
      <w:proofErr w:type="spellStart"/>
      <w:r w:rsidRPr="00DE6D1F">
        <w:rPr>
          <w:rFonts w:cs="Arial"/>
          <w:i/>
          <w:iCs/>
        </w:rPr>
        <w:t>agromedicine</w:t>
      </w:r>
      <w:proofErr w:type="spellEnd"/>
      <w:r w:rsidRPr="00DE6D1F">
        <w:rPr>
          <w:rFonts w:cs="Arial"/>
        </w:rPr>
        <w:t>, </w:t>
      </w:r>
      <w:r w:rsidRPr="00DE6D1F">
        <w:rPr>
          <w:rFonts w:cs="Arial"/>
          <w:i/>
          <w:iCs/>
        </w:rPr>
        <w:t>22</w:t>
      </w:r>
      <w:r w:rsidRPr="00DE6D1F">
        <w:rPr>
          <w:rFonts w:cs="Arial"/>
        </w:rPr>
        <w:t xml:space="preserve">(4), pp.295-297. Available at:  </w:t>
      </w:r>
      <w:r w:rsidRPr="00731AFB">
        <w:rPr>
          <w:rFonts w:cs="Arial"/>
        </w:rPr>
        <w:t>Breadth of the Socio-Ecological Model</w:t>
      </w:r>
      <w:r w:rsidRPr="00DE6D1F">
        <w:rPr>
          <w:rFonts w:cs="Arial"/>
        </w:rPr>
        <w:t xml:space="preserve"> (Accessed: 5 March 2026)</w:t>
      </w:r>
    </w:p>
    <w:p w14:paraId="1A05D032" w14:textId="204CEBB3" w:rsidR="00D66F31" w:rsidRPr="00DE6D1F" w:rsidRDefault="00D66F31" w:rsidP="00731AFB">
      <w:pPr>
        <w:jc w:val="left"/>
        <w:rPr>
          <w:rFonts w:cs="Arial"/>
        </w:rPr>
      </w:pPr>
      <w:r w:rsidRPr="00DE6D1F">
        <w:rPr>
          <w:rFonts w:cs="Arial"/>
        </w:rPr>
        <w:t>Kirby, T., (2020). ‘Evidence mounts on the disproportionate effect of COVID-19 on ethnic minorities.’ </w:t>
      </w:r>
      <w:r w:rsidRPr="00DE6D1F">
        <w:rPr>
          <w:rFonts w:cs="Arial"/>
          <w:i/>
          <w:iCs/>
        </w:rPr>
        <w:t>The Lancet Respiratory Medicine</w:t>
      </w:r>
      <w:r w:rsidRPr="00DE6D1F">
        <w:rPr>
          <w:rFonts w:cs="Arial"/>
        </w:rPr>
        <w:t>, </w:t>
      </w:r>
      <w:r w:rsidRPr="00DE6D1F">
        <w:rPr>
          <w:rFonts w:cs="Arial"/>
          <w:i/>
          <w:iCs/>
        </w:rPr>
        <w:t>8</w:t>
      </w:r>
      <w:r w:rsidRPr="00DE6D1F">
        <w:rPr>
          <w:rFonts w:cs="Arial"/>
        </w:rPr>
        <w:t xml:space="preserve">(6), pp.547-548. Available at:  </w:t>
      </w:r>
      <w:r w:rsidRPr="00731AFB">
        <w:rPr>
          <w:rFonts w:cs="Arial"/>
        </w:rPr>
        <w:t>https://www.thelancet.com/journals/lanres/article/PIIS2213-2600(20)30228-9/fulltext?ref=ageoftransformation.org</w:t>
      </w:r>
      <w:r w:rsidRPr="00DE6D1F">
        <w:rPr>
          <w:rFonts w:cs="Arial"/>
        </w:rPr>
        <w:t xml:space="preserve"> (Accessed: 5 March 2026)</w:t>
      </w:r>
    </w:p>
    <w:p w14:paraId="6C10D844" w14:textId="170701A6" w:rsidR="00D66F31" w:rsidRPr="00DE6D1F" w:rsidRDefault="00D66F31" w:rsidP="00731AFB">
      <w:pPr>
        <w:jc w:val="left"/>
        <w:rPr>
          <w:rFonts w:cs="Arial"/>
        </w:rPr>
      </w:pPr>
      <w:r w:rsidRPr="00DE6D1F">
        <w:rPr>
          <w:rFonts w:cs="Arial"/>
        </w:rPr>
        <w:t xml:space="preserve">Kish, K., Zywert, K., </w:t>
      </w:r>
      <w:proofErr w:type="spellStart"/>
      <w:r w:rsidRPr="00DE6D1F">
        <w:rPr>
          <w:rFonts w:cs="Arial"/>
        </w:rPr>
        <w:t>Hensher</w:t>
      </w:r>
      <w:proofErr w:type="spellEnd"/>
      <w:r w:rsidRPr="00DE6D1F">
        <w:rPr>
          <w:rFonts w:cs="Arial"/>
        </w:rPr>
        <w:t xml:space="preserve">, M., Davy, B.J. and </w:t>
      </w:r>
      <w:proofErr w:type="spellStart"/>
      <w:r w:rsidRPr="00DE6D1F">
        <w:rPr>
          <w:rFonts w:cs="Arial"/>
        </w:rPr>
        <w:t>Quilley</w:t>
      </w:r>
      <w:proofErr w:type="spellEnd"/>
      <w:r w:rsidRPr="00DE6D1F">
        <w:rPr>
          <w:rFonts w:cs="Arial"/>
        </w:rPr>
        <w:t>, S., (2021). ‘Socioecological system transformation: lessons from COVID-19.’ </w:t>
      </w:r>
      <w:r w:rsidRPr="00DE6D1F">
        <w:rPr>
          <w:rFonts w:cs="Arial"/>
          <w:i/>
          <w:iCs/>
        </w:rPr>
        <w:t>World</w:t>
      </w:r>
      <w:r w:rsidRPr="00DE6D1F">
        <w:rPr>
          <w:rFonts w:cs="Arial"/>
        </w:rPr>
        <w:t>, </w:t>
      </w:r>
      <w:r w:rsidRPr="00DE6D1F">
        <w:rPr>
          <w:rFonts w:cs="Arial"/>
          <w:i/>
          <w:iCs/>
        </w:rPr>
        <w:t>2</w:t>
      </w:r>
      <w:r w:rsidRPr="00DE6D1F">
        <w:rPr>
          <w:rFonts w:cs="Arial"/>
        </w:rPr>
        <w:t xml:space="preserve">(1), pp.15-31. Available at:   </w:t>
      </w:r>
      <w:r w:rsidRPr="00731AFB">
        <w:rPr>
          <w:rFonts w:cs="Arial"/>
        </w:rPr>
        <w:t>https://www.mdpi.com/2673-4060/2/1/2</w:t>
      </w:r>
      <w:r w:rsidRPr="00DE6D1F">
        <w:rPr>
          <w:rFonts w:cs="Arial"/>
        </w:rPr>
        <w:t xml:space="preserve"> (Accessed: 5 March 2026)</w:t>
      </w:r>
    </w:p>
    <w:p w14:paraId="5D459B31" w14:textId="0C72683A" w:rsidR="00D66F31" w:rsidRPr="00DE6D1F" w:rsidRDefault="00D66F31" w:rsidP="00731AFB">
      <w:pPr>
        <w:jc w:val="left"/>
        <w:rPr>
          <w:rFonts w:cs="Arial"/>
        </w:rPr>
      </w:pPr>
      <w:r w:rsidRPr="00DE6D1F">
        <w:rPr>
          <w:rFonts w:cs="Arial"/>
        </w:rPr>
        <w:t>Knights, F., Carter, J., Deal, A., Crawshaw, A.F., Hayward, S.E., Jones, L. and Hargreaves, S., (2021). ‘Impact of COVID-19 on migrants’ access to primary care and implications for vaccine roll-out: a national qualitative study.’ </w:t>
      </w:r>
      <w:r w:rsidRPr="00DE6D1F">
        <w:rPr>
          <w:rFonts w:cs="Arial"/>
          <w:i/>
          <w:iCs/>
        </w:rPr>
        <w:t>British Journal of General Practice</w:t>
      </w:r>
      <w:r w:rsidRPr="00DE6D1F">
        <w:rPr>
          <w:rFonts w:cs="Arial"/>
        </w:rPr>
        <w:t xml:space="preserve">. Available at:  </w:t>
      </w:r>
      <w:r w:rsidRPr="00731AFB">
        <w:rPr>
          <w:rFonts w:cs="Arial"/>
        </w:rPr>
        <w:t>https://bjgp.org/content/bjgp/early/2021/06/14/BJGP.2021.0028.full.pdf</w:t>
      </w:r>
      <w:r w:rsidRPr="00DE6D1F">
        <w:rPr>
          <w:rFonts w:cs="Arial"/>
        </w:rPr>
        <w:t xml:space="preserve"> (Accessed: 5 March 2026)</w:t>
      </w:r>
    </w:p>
    <w:p w14:paraId="525F959E" w14:textId="731022E2" w:rsidR="00D66F31" w:rsidRPr="00DE6D1F" w:rsidRDefault="00D66F31" w:rsidP="00731AFB">
      <w:pPr>
        <w:jc w:val="left"/>
        <w:rPr>
          <w:rFonts w:cs="Arial"/>
        </w:rPr>
      </w:pPr>
      <w:r w:rsidRPr="00DE6D1F">
        <w:rPr>
          <w:rFonts w:cs="Arial"/>
        </w:rPr>
        <w:t xml:space="preserve">Kumar, P., Chakraborty, A.B., </w:t>
      </w:r>
      <w:proofErr w:type="spellStart"/>
      <w:r w:rsidRPr="00DE6D1F">
        <w:rPr>
          <w:rFonts w:cs="Arial"/>
        </w:rPr>
        <w:t>Dhandore</w:t>
      </w:r>
      <w:proofErr w:type="spellEnd"/>
      <w:r w:rsidRPr="00DE6D1F">
        <w:rPr>
          <w:rFonts w:cs="Arial"/>
        </w:rPr>
        <w:t xml:space="preserve">, S., </w:t>
      </w:r>
      <w:proofErr w:type="spellStart"/>
      <w:r w:rsidRPr="00DE6D1F">
        <w:rPr>
          <w:rFonts w:cs="Arial"/>
        </w:rPr>
        <w:t>Dhalaria</w:t>
      </w:r>
      <w:proofErr w:type="spellEnd"/>
      <w:r w:rsidRPr="00DE6D1F">
        <w:rPr>
          <w:rFonts w:cs="Arial"/>
        </w:rPr>
        <w:t>, P., Singh, A.K., Agarwal, D., Singh, K., Priyadarshini, P., Jain, P., Bahl, V. and Taneja, G., (2023). ‘Balancing routine and pandemic: the synergy of India’s Universal Immunization Program and COVID-19 Vaccination Program.’ </w:t>
      </w:r>
      <w:r w:rsidRPr="00DE6D1F">
        <w:rPr>
          <w:rFonts w:cs="Arial"/>
          <w:i/>
          <w:iCs/>
        </w:rPr>
        <w:t>Vaccines</w:t>
      </w:r>
      <w:r w:rsidRPr="00DE6D1F">
        <w:rPr>
          <w:rFonts w:cs="Arial"/>
        </w:rPr>
        <w:t>, </w:t>
      </w:r>
      <w:r w:rsidRPr="00DE6D1F">
        <w:rPr>
          <w:rFonts w:cs="Arial"/>
          <w:i/>
          <w:iCs/>
        </w:rPr>
        <w:t>11</w:t>
      </w:r>
      <w:r w:rsidRPr="00DE6D1F">
        <w:rPr>
          <w:rFonts w:cs="Arial"/>
        </w:rPr>
        <w:t xml:space="preserve">(12), p.1776. Available at:  </w:t>
      </w:r>
      <w:r w:rsidRPr="00731AFB">
        <w:rPr>
          <w:rFonts w:cs="Arial"/>
        </w:rPr>
        <w:t>https://www.mdpi.com/2076-393X/11/12/1776</w:t>
      </w:r>
      <w:r w:rsidRPr="00DE6D1F">
        <w:rPr>
          <w:rFonts w:cs="Arial"/>
        </w:rPr>
        <w:t xml:space="preserve"> (Accessed: 5 March 2026)</w:t>
      </w:r>
    </w:p>
    <w:p w14:paraId="37FBC10A" w14:textId="0FB0E05C" w:rsidR="00D66F31" w:rsidRPr="00DE6D1F" w:rsidRDefault="00D66F31" w:rsidP="00731AFB">
      <w:pPr>
        <w:jc w:val="left"/>
        <w:rPr>
          <w:rFonts w:cs="Arial"/>
        </w:rPr>
      </w:pPr>
      <w:r w:rsidRPr="00DE6D1F">
        <w:rPr>
          <w:rFonts w:cs="Arial"/>
        </w:rPr>
        <w:t>Ladson-Billings, G., (2021). ‘Critical race theory—What it is not!’. In </w:t>
      </w:r>
      <w:r w:rsidRPr="00DE6D1F">
        <w:rPr>
          <w:rFonts w:cs="Arial"/>
          <w:i/>
          <w:iCs/>
        </w:rPr>
        <w:t>Handbook of critical race theory in education</w:t>
      </w:r>
      <w:r w:rsidRPr="00DE6D1F">
        <w:rPr>
          <w:rFonts w:cs="Arial"/>
        </w:rPr>
        <w:t xml:space="preserve"> (pp. 32-43). Routledge. Available at:  </w:t>
      </w:r>
      <w:r w:rsidRPr="00731AFB">
        <w:rPr>
          <w:rFonts w:cs="Arial"/>
        </w:rPr>
        <w:t>https://www.loyola.edu/_media/join-us/karson-institute/documents/Critical%20Race%20Theory%20What%20it%20is%20not.pdf</w:t>
      </w:r>
      <w:r w:rsidRPr="00DE6D1F">
        <w:rPr>
          <w:rFonts w:cs="Arial"/>
        </w:rPr>
        <w:t xml:space="preserve"> (Accessed: 5 March 2026)</w:t>
      </w:r>
    </w:p>
    <w:p w14:paraId="50297306" w14:textId="275171D2" w:rsidR="00D66F31" w:rsidRPr="00DE6D1F" w:rsidRDefault="00D66F31" w:rsidP="00731AFB">
      <w:pPr>
        <w:jc w:val="left"/>
        <w:rPr>
          <w:rFonts w:cs="Arial"/>
        </w:rPr>
      </w:pPr>
      <w:r w:rsidRPr="00DE6D1F">
        <w:rPr>
          <w:rFonts w:cs="Arial"/>
        </w:rPr>
        <w:lastRenderedPageBreak/>
        <w:t>Ledesma, M.C. and Calderón, D., 2015. Critical race theory in education: A review of past literature and a look to the future. </w:t>
      </w:r>
      <w:r w:rsidRPr="00DE6D1F">
        <w:rPr>
          <w:rFonts w:cs="Arial"/>
          <w:i/>
          <w:iCs/>
        </w:rPr>
        <w:t>Qualitative inquiry</w:t>
      </w:r>
      <w:r w:rsidRPr="00DE6D1F">
        <w:rPr>
          <w:rFonts w:cs="Arial"/>
        </w:rPr>
        <w:t>, </w:t>
      </w:r>
      <w:r w:rsidRPr="00DE6D1F">
        <w:rPr>
          <w:rFonts w:cs="Arial"/>
          <w:i/>
          <w:iCs/>
        </w:rPr>
        <w:t>21</w:t>
      </w:r>
      <w:r w:rsidRPr="00DE6D1F">
        <w:rPr>
          <w:rFonts w:cs="Arial"/>
        </w:rPr>
        <w:t xml:space="preserve">(3), pp.206-222. Available at:  </w:t>
      </w:r>
      <w:r w:rsidRPr="00731AFB">
        <w:rPr>
          <w:rFonts w:cs="Arial"/>
        </w:rPr>
        <w:t>https://www.cs.jhu.edu/~misha/DIReadingSeminar/Papers/Ledesma14.pdf</w:t>
      </w:r>
      <w:r w:rsidRPr="00DE6D1F">
        <w:rPr>
          <w:rFonts w:cs="Arial"/>
        </w:rPr>
        <w:t xml:space="preserve"> (Accessed: 5 March 2026)</w:t>
      </w:r>
    </w:p>
    <w:p w14:paraId="612E9793" w14:textId="6A538B44" w:rsidR="00D66F31" w:rsidRPr="00DE6D1F" w:rsidRDefault="00D66F31" w:rsidP="00731AFB">
      <w:pPr>
        <w:jc w:val="left"/>
        <w:rPr>
          <w:rFonts w:cs="Arial"/>
        </w:rPr>
      </w:pPr>
      <w:r w:rsidRPr="00DE6D1F">
        <w:rPr>
          <w:rFonts w:cs="Arial"/>
        </w:rPr>
        <w:t>Lee, B.C., Bendixsen, C., Liebman, A.K. and Gallagher, S.S., (2017). ‘Using the socio-ecological model to frame agricultural safety and health interventions.’ </w:t>
      </w:r>
      <w:r w:rsidRPr="00DE6D1F">
        <w:rPr>
          <w:rFonts w:cs="Arial"/>
          <w:i/>
          <w:iCs/>
        </w:rPr>
        <w:t xml:space="preserve">Journal of </w:t>
      </w:r>
      <w:proofErr w:type="spellStart"/>
      <w:r w:rsidRPr="00DE6D1F">
        <w:rPr>
          <w:rFonts w:cs="Arial"/>
          <w:i/>
          <w:iCs/>
        </w:rPr>
        <w:t>agromedicine</w:t>
      </w:r>
      <w:proofErr w:type="spellEnd"/>
      <w:r w:rsidRPr="00DE6D1F">
        <w:rPr>
          <w:rFonts w:cs="Arial"/>
        </w:rPr>
        <w:t>, </w:t>
      </w:r>
      <w:r w:rsidRPr="00DE6D1F">
        <w:rPr>
          <w:rFonts w:cs="Arial"/>
          <w:i/>
          <w:iCs/>
        </w:rPr>
        <w:t>22</w:t>
      </w:r>
      <w:r w:rsidRPr="00DE6D1F">
        <w:rPr>
          <w:rFonts w:cs="Arial"/>
        </w:rPr>
        <w:t xml:space="preserve">(4), pp.298-303. Available at:  </w:t>
      </w:r>
      <w:r w:rsidRPr="00731AFB">
        <w:rPr>
          <w:rFonts w:cs="Arial"/>
        </w:rPr>
        <w:t>https://pmc.ncbi.nlm.nih.gov/articles/PMC11060605/pdf/nihms-1985717.pdf</w:t>
      </w:r>
      <w:r w:rsidRPr="00DE6D1F">
        <w:rPr>
          <w:rFonts w:cs="Arial"/>
        </w:rPr>
        <w:t xml:space="preserve"> (Accessed: 5 March 2026)</w:t>
      </w:r>
    </w:p>
    <w:p w14:paraId="5379DFE8" w14:textId="40525BB5" w:rsidR="00D66F31" w:rsidRPr="00DE6D1F" w:rsidRDefault="00D66F31" w:rsidP="00731AFB">
      <w:pPr>
        <w:jc w:val="left"/>
        <w:rPr>
          <w:rFonts w:cs="Arial"/>
        </w:rPr>
      </w:pPr>
      <w:r w:rsidRPr="00DE6D1F">
        <w:rPr>
          <w:rFonts w:cs="Arial"/>
        </w:rPr>
        <w:t>Litchfield, I., Shukla, D. and Greenfield, S., (2021). ‘Impact of COVID-19 on the digital divide: a rapid review.’ </w:t>
      </w:r>
      <w:r w:rsidRPr="00DE6D1F">
        <w:rPr>
          <w:rFonts w:cs="Arial"/>
          <w:i/>
          <w:iCs/>
        </w:rPr>
        <w:t>BMJ Open</w:t>
      </w:r>
      <w:r w:rsidRPr="00DE6D1F">
        <w:rPr>
          <w:rFonts w:cs="Arial"/>
        </w:rPr>
        <w:t>, </w:t>
      </w:r>
      <w:r w:rsidRPr="00DE6D1F">
        <w:rPr>
          <w:rFonts w:cs="Arial"/>
          <w:i/>
          <w:iCs/>
        </w:rPr>
        <w:t>11</w:t>
      </w:r>
      <w:r w:rsidRPr="00DE6D1F">
        <w:rPr>
          <w:rFonts w:cs="Arial"/>
        </w:rPr>
        <w:t xml:space="preserve">(10). Available at: </w:t>
      </w:r>
      <w:r w:rsidRPr="00731AFB">
        <w:rPr>
          <w:rFonts w:cs="Arial"/>
        </w:rPr>
        <w:t>https://bmjopen.bmj.com/content/bmjopen/11/10/e053440.full.pdf</w:t>
      </w:r>
      <w:r w:rsidRPr="00DE6D1F">
        <w:rPr>
          <w:rFonts w:cs="Arial"/>
        </w:rPr>
        <w:t xml:space="preserve"> (Accessed: 5 March 2026)</w:t>
      </w:r>
    </w:p>
    <w:p w14:paraId="058FAAA4" w14:textId="69781BED" w:rsidR="00D66F31" w:rsidRPr="00DE6D1F" w:rsidRDefault="00096D7E" w:rsidP="00731AFB">
      <w:pPr>
        <w:jc w:val="left"/>
        <w:rPr>
          <w:rFonts w:cs="Arial"/>
        </w:rPr>
      </w:pPr>
      <w:r w:rsidRPr="00DE6D1F">
        <w:rPr>
          <w:rFonts w:cs="Arial"/>
        </w:rPr>
        <w:t>Lloyds</w:t>
      </w:r>
      <w:r w:rsidR="00D66F31" w:rsidRPr="00DE6D1F">
        <w:rPr>
          <w:rFonts w:cs="Arial"/>
        </w:rPr>
        <w:t xml:space="preserve"> Banking </w:t>
      </w:r>
      <w:proofErr w:type="gramStart"/>
      <w:r w:rsidR="00D66F31" w:rsidRPr="00DE6D1F">
        <w:rPr>
          <w:rFonts w:cs="Arial"/>
        </w:rPr>
        <w:t>Group  (</w:t>
      </w:r>
      <w:proofErr w:type="gramEnd"/>
      <w:r w:rsidR="00D66F31" w:rsidRPr="00DE6D1F">
        <w:rPr>
          <w:rFonts w:cs="Arial"/>
        </w:rPr>
        <w:t xml:space="preserve">2021), </w:t>
      </w:r>
      <w:r w:rsidR="00D66F31" w:rsidRPr="00DE6D1F">
        <w:rPr>
          <w:rFonts w:cs="Arial"/>
          <w:i/>
          <w:iCs/>
        </w:rPr>
        <w:t>Consumer Digital Index Report</w:t>
      </w:r>
      <w:r w:rsidR="00D66F31" w:rsidRPr="00DE6D1F">
        <w:rPr>
          <w:rFonts w:cs="Arial"/>
        </w:rPr>
        <w:t xml:space="preserve"> </w:t>
      </w:r>
      <w:proofErr w:type="gramStart"/>
      <w:r w:rsidR="00D66F31" w:rsidRPr="00DE6D1F">
        <w:rPr>
          <w:rFonts w:cs="Arial"/>
        </w:rPr>
        <w:t>2021,  Available</w:t>
      </w:r>
      <w:proofErr w:type="gramEnd"/>
      <w:r w:rsidR="00D66F31" w:rsidRPr="00DE6D1F">
        <w:rPr>
          <w:rFonts w:cs="Arial"/>
        </w:rPr>
        <w:t xml:space="preserve"> at: https://www.lloydsbankinggroup.com/assets/pdfs/media/consumer-digital-index/2021-</w:t>
      </w:r>
      <w:bookmarkStart w:id="88" w:name="_Hlk223645742"/>
      <w:r w:rsidR="00D66F31" w:rsidRPr="00DE6D1F">
        <w:rPr>
          <w:rFonts w:cs="Arial"/>
        </w:rPr>
        <w:t>consumer-digital-index-report</w:t>
      </w:r>
      <w:bookmarkEnd w:id="88"/>
      <w:r w:rsidR="00D66F31" w:rsidRPr="00DE6D1F">
        <w:rPr>
          <w:rFonts w:cs="Arial"/>
        </w:rPr>
        <w:t>.pdf (Accessed: 5 March 2026)</w:t>
      </w:r>
    </w:p>
    <w:p w14:paraId="73920382" w14:textId="17F67DBC" w:rsidR="00D66F31" w:rsidRPr="00DE6D1F" w:rsidRDefault="00D66F31" w:rsidP="00731AFB">
      <w:pPr>
        <w:jc w:val="left"/>
        <w:rPr>
          <w:rFonts w:cs="Arial"/>
        </w:rPr>
      </w:pPr>
      <w:r w:rsidRPr="00DE6D1F">
        <w:rPr>
          <w:rFonts w:cs="Arial"/>
        </w:rPr>
        <w:t>Loomba, S., De Figueiredo, A., Piatek, S.J., De Graaf, K. and Larson, H.J., (2021). ‘Measuring the impact of COVID-19 vaccine misinformation on vaccination intent in the UK and USA.’ </w:t>
      </w:r>
      <w:r w:rsidRPr="00DE6D1F">
        <w:rPr>
          <w:rFonts w:cs="Arial"/>
          <w:i/>
          <w:iCs/>
        </w:rPr>
        <w:t>Nature human behaviour</w:t>
      </w:r>
      <w:r w:rsidRPr="00DE6D1F">
        <w:rPr>
          <w:rFonts w:cs="Arial"/>
        </w:rPr>
        <w:t>, </w:t>
      </w:r>
      <w:r w:rsidRPr="00DE6D1F">
        <w:rPr>
          <w:rFonts w:cs="Arial"/>
          <w:i/>
          <w:iCs/>
        </w:rPr>
        <w:t>5</w:t>
      </w:r>
      <w:r w:rsidRPr="00DE6D1F">
        <w:rPr>
          <w:rFonts w:cs="Arial"/>
        </w:rPr>
        <w:t xml:space="preserve">(3), pp.337-348. Available at:   </w:t>
      </w:r>
      <w:r w:rsidRPr="00731AFB">
        <w:rPr>
          <w:rFonts w:cs="Arial"/>
        </w:rPr>
        <w:t>https://www.nature.com/articles/s41562-021-01056-1.pdf</w:t>
      </w:r>
      <w:r w:rsidRPr="00DE6D1F">
        <w:rPr>
          <w:rFonts w:cs="Arial"/>
        </w:rPr>
        <w:t xml:space="preserve"> (Accessed: 5 March 2026)</w:t>
      </w:r>
    </w:p>
    <w:p w14:paraId="439D7954" w14:textId="179B495B" w:rsidR="00D66F31" w:rsidRPr="00DE6D1F" w:rsidRDefault="00D66F31" w:rsidP="00731AFB">
      <w:pPr>
        <w:jc w:val="left"/>
        <w:rPr>
          <w:rFonts w:cs="Arial"/>
        </w:rPr>
      </w:pPr>
      <w:r w:rsidRPr="00DE6D1F">
        <w:rPr>
          <w:rFonts w:cs="Arial"/>
        </w:rPr>
        <w:t xml:space="preserve">Mahabeer, P. and </w:t>
      </w:r>
      <w:proofErr w:type="spellStart"/>
      <w:r w:rsidRPr="00DE6D1F">
        <w:rPr>
          <w:rFonts w:cs="Arial"/>
        </w:rPr>
        <w:t>Pirtheepal</w:t>
      </w:r>
      <w:proofErr w:type="spellEnd"/>
      <w:r w:rsidRPr="00DE6D1F">
        <w:rPr>
          <w:rFonts w:cs="Arial"/>
        </w:rPr>
        <w:t>, T., (2019). ‘Assessment, plagiarism and its effect on academic integrity: Experiences of academics at a university in South Africa.’ </w:t>
      </w:r>
      <w:r w:rsidRPr="00DE6D1F">
        <w:rPr>
          <w:rFonts w:cs="Arial"/>
          <w:i/>
          <w:iCs/>
        </w:rPr>
        <w:t>South African Journal of Science</w:t>
      </w:r>
      <w:r w:rsidRPr="00DE6D1F">
        <w:rPr>
          <w:rFonts w:cs="Arial"/>
        </w:rPr>
        <w:t>, </w:t>
      </w:r>
      <w:r w:rsidRPr="00DE6D1F">
        <w:rPr>
          <w:rFonts w:cs="Arial"/>
          <w:i/>
          <w:iCs/>
        </w:rPr>
        <w:t>115</w:t>
      </w:r>
      <w:r w:rsidRPr="00DE6D1F">
        <w:rPr>
          <w:rFonts w:cs="Arial"/>
        </w:rPr>
        <w:t xml:space="preserve">(11-12), pp.1-8. Available at: </w:t>
      </w:r>
      <w:r w:rsidRPr="00731AFB">
        <w:rPr>
          <w:rFonts w:cs="Arial"/>
        </w:rPr>
        <w:t>https://www.scielo.org.za/pdf/sajs/v115n11-12/04.pdf</w:t>
      </w:r>
      <w:r w:rsidRPr="00DE6D1F">
        <w:rPr>
          <w:rFonts w:cs="Arial"/>
        </w:rPr>
        <w:t xml:space="preserve"> (Accessed: 5 March 2026)</w:t>
      </w:r>
    </w:p>
    <w:p w14:paraId="0B4462F6" w14:textId="01E04197" w:rsidR="00D66F31" w:rsidRPr="00DE6D1F" w:rsidRDefault="00D66F31" w:rsidP="00731AFB">
      <w:pPr>
        <w:jc w:val="left"/>
        <w:rPr>
          <w:rFonts w:cs="Arial"/>
        </w:rPr>
      </w:pPr>
      <w:r w:rsidRPr="00DE6D1F">
        <w:rPr>
          <w:rFonts w:cs="Arial"/>
        </w:rPr>
        <w:t>Mahmood, F., Acharya, D., Kumar, K. and Paudyal, V., (2021). ‘Impact of COVID-19 pandemic on Black, Asian and Minority Ethnic (BAME) communities: a qualitative study on the perspectives of BAME community leaders.’ </w:t>
      </w:r>
      <w:proofErr w:type="spellStart"/>
      <w:r w:rsidRPr="00DE6D1F">
        <w:rPr>
          <w:rFonts w:cs="Arial"/>
          <w:i/>
          <w:iCs/>
        </w:rPr>
        <w:t>medRxiv</w:t>
      </w:r>
      <w:proofErr w:type="spellEnd"/>
      <w:r w:rsidRPr="00DE6D1F">
        <w:rPr>
          <w:rFonts w:cs="Arial"/>
        </w:rPr>
        <w:t xml:space="preserve">, pp.2021-03. Available at:  </w:t>
      </w:r>
      <w:r w:rsidRPr="00731AFB">
        <w:rPr>
          <w:rFonts w:cs="Arial"/>
        </w:rPr>
        <w:t>https://www.medrxiv.org/content/10.1101/2021.03.03.21252286.full.pdf</w:t>
      </w:r>
      <w:r w:rsidRPr="00DE6D1F">
        <w:rPr>
          <w:rFonts w:cs="Arial"/>
        </w:rPr>
        <w:t xml:space="preserve"> (Accessed: 5 March 2026)</w:t>
      </w:r>
    </w:p>
    <w:p w14:paraId="599529DE" w14:textId="3F292806" w:rsidR="00D66F31" w:rsidRPr="00DE6D1F" w:rsidRDefault="00D66F31" w:rsidP="00731AFB">
      <w:pPr>
        <w:jc w:val="left"/>
        <w:rPr>
          <w:rFonts w:cs="Arial"/>
        </w:rPr>
      </w:pPr>
      <w:r w:rsidRPr="00DE6D1F">
        <w:rPr>
          <w:rFonts w:cs="Arial"/>
        </w:rPr>
        <w:t>Majumdar, A., (2019). ‘Thematic analysis in qualitative research.’ In </w:t>
      </w:r>
      <w:r w:rsidRPr="00DE6D1F">
        <w:rPr>
          <w:rFonts w:cs="Arial"/>
          <w:i/>
          <w:iCs/>
        </w:rPr>
        <w:t>Qualitative techniques for workplace data analysis</w:t>
      </w:r>
      <w:r w:rsidRPr="00DE6D1F">
        <w:rPr>
          <w:rFonts w:cs="Arial"/>
        </w:rPr>
        <w:t xml:space="preserve"> (pp. 197-220). IGI Global Scientific Publishing. Available at: </w:t>
      </w:r>
      <w:r w:rsidRPr="00731AFB">
        <w:rPr>
          <w:rFonts w:cs="Arial"/>
        </w:rPr>
        <w:lastRenderedPageBreak/>
        <w:t>https://www.academia.edu/download/63061214/Thematic-Analysis-in-Qualitative-Research20200423-68414-5n8j1w.pdf</w:t>
      </w:r>
      <w:r w:rsidRPr="00DE6D1F">
        <w:rPr>
          <w:rFonts w:cs="Arial"/>
        </w:rPr>
        <w:t xml:space="preserve"> (Accessed: 5 March 2026)</w:t>
      </w:r>
    </w:p>
    <w:p w14:paraId="4A7413D2" w14:textId="4D81212D" w:rsidR="00D66F31" w:rsidRPr="00DE6D1F" w:rsidRDefault="00D66F31" w:rsidP="00731AFB">
      <w:pPr>
        <w:jc w:val="left"/>
        <w:rPr>
          <w:rFonts w:cs="Arial"/>
        </w:rPr>
      </w:pPr>
      <w:r w:rsidRPr="00DE6D1F">
        <w:rPr>
          <w:rFonts w:cs="Arial"/>
        </w:rPr>
        <w:t>Mao, G., Fernandes-Jesus, M., Ntontis, E. and Drury, J., (2021). ‘What have we learned about COVID-19 volunteering in the UK? A rapid review of the literature.’ </w:t>
      </w:r>
      <w:r w:rsidRPr="00DE6D1F">
        <w:rPr>
          <w:rFonts w:cs="Arial"/>
          <w:i/>
          <w:iCs/>
        </w:rPr>
        <w:t>BMC Public Health</w:t>
      </w:r>
      <w:r w:rsidRPr="00DE6D1F">
        <w:rPr>
          <w:rFonts w:cs="Arial"/>
        </w:rPr>
        <w:t>, </w:t>
      </w:r>
      <w:r w:rsidRPr="00DE6D1F">
        <w:rPr>
          <w:rFonts w:cs="Arial"/>
          <w:i/>
          <w:iCs/>
        </w:rPr>
        <w:t>21</w:t>
      </w:r>
      <w:r w:rsidRPr="00DE6D1F">
        <w:rPr>
          <w:rFonts w:cs="Arial"/>
        </w:rPr>
        <w:t xml:space="preserve">(1), p.1470. Available at: </w:t>
      </w:r>
      <w:r w:rsidRPr="00731AFB">
        <w:rPr>
          <w:rFonts w:cs="Arial"/>
        </w:rPr>
        <w:t>https://link.springer.com/content/pdf/10.1186/s12889-021-11390-8.pdf</w:t>
      </w:r>
      <w:r w:rsidRPr="00DE6D1F">
        <w:rPr>
          <w:rFonts w:cs="Arial"/>
        </w:rPr>
        <w:t xml:space="preserve"> (Accessed: 5 March 2026)</w:t>
      </w:r>
    </w:p>
    <w:p w14:paraId="622947E3" w14:textId="591E700B" w:rsidR="00D66F31" w:rsidRPr="00DE6D1F" w:rsidRDefault="00D66F31" w:rsidP="00731AFB">
      <w:pPr>
        <w:jc w:val="left"/>
        <w:rPr>
          <w:rFonts w:cs="Arial"/>
        </w:rPr>
      </w:pPr>
      <w:r w:rsidRPr="00DE6D1F">
        <w:rPr>
          <w:rFonts w:cs="Arial"/>
        </w:rPr>
        <w:t xml:space="preserve">Mathur, R., Bear, L., </w:t>
      </w:r>
      <w:proofErr w:type="spellStart"/>
      <w:r w:rsidRPr="00DE6D1F">
        <w:rPr>
          <w:rFonts w:cs="Arial"/>
        </w:rPr>
        <w:t>Khunti</w:t>
      </w:r>
      <w:proofErr w:type="spellEnd"/>
      <w:r w:rsidRPr="00DE6D1F">
        <w:rPr>
          <w:rFonts w:cs="Arial"/>
        </w:rPr>
        <w:t>, K. and Eggo, R.M., (2020). ‘Urgent actions and policies needed to address COVID-19 among UK ethnic minorities.’ </w:t>
      </w:r>
      <w:r w:rsidRPr="00DE6D1F">
        <w:rPr>
          <w:rFonts w:cs="Arial"/>
          <w:i/>
          <w:iCs/>
        </w:rPr>
        <w:t>The Lancet</w:t>
      </w:r>
      <w:r w:rsidRPr="00DE6D1F">
        <w:rPr>
          <w:rFonts w:cs="Arial"/>
        </w:rPr>
        <w:t>, </w:t>
      </w:r>
      <w:r w:rsidRPr="00DE6D1F">
        <w:rPr>
          <w:rFonts w:cs="Arial"/>
          <w:i/>
          <w:iCs/>
        </w:rPr>
        <w:t>396</w:t>
      </w:r>
      <w:r w:rsidRPr="00DE6D1F">
        <w:rPr>
          <w:rFonts w:cs="Arial"/>
        </w:rPr>
        <w:t xml:space="preserve">(10266), pp.1866-1868. Available at:   </w:t>
      </w:r>
      <w:r w:rsidRPr="00731AFB">
        <w:rPr>
          <w:rFonts w:cs="Arial"/>
        </w:rPr>
        <w:t>https://www.thelancet.com/pdfs/journals/lancet/PIIS0140-6736(20)32465-X.pdf</w:t>
      </w:r>
      <w:r w:rsidRPr="00DE6D1F">
        <w:rPr>
          <w:rFonts w:cs="Arial"/>
        </w:rPr>
        <w:t xml:space="preserve"> (Accessed: 5 March 2026)</w:t>
      </w:r>
    </w:p>
    <w:p w14:paraId="782E413E" w14:textId="77777777" w:rsidR="00D66F31" w:rsidRPr="00DE6D1F" w:rsidRDefault="00D66F31" w:rsidP="00731AFB">
      <w:pPr>
        <w:jc w:val="left"/>
        <w:rPr>
          <w:rFonts w:cs="Arial"/>
        </w:rPr>
      </w:pPr>
      <w:r w:rsidRPr="00DE6D1F">
        <w:rPr>
          <w:rFonts w:cs="Arial"/>
        </w:rPr>
        <w:t>Morales, D.R. and Ali, S.N., (2021). ‘COVID-19 and disparities affecting ethnic minorities.’ </w:t>
      </w:r>
      <w:r w:rsidRPr="00DE6D1F">
        <w:rPr>
          <w:rFonts w:cs="Arial"/>
          <w:i/>
          <w:iCs/>
        </w:rPr>
        <w:t>The Lancet</w:t>
      </w:r>
      <w:r w:rsidRPr="00DE6D1F">
        <w:rPr>
          <w:rFonts w:cs="Arial"/>
        </w:rPr>
        <w:t>, </w:t>
      </w:r>
      <w:r w:rsidRPr="00DE6D1F">
        <w:rPr>
          <w:rFonts w:cs="Arial"/>
          <w:i/>
          <w:iCs/>
        </w:rPr>
        <w:t>397</w:t>
      </w:r>
      <w:r w:rsidRPr="00DE6D1F">
        <w:rPr>
          <w:rFonts w:cs="Arial"/>
        </w:rPr>
        <w:t xml:space="preserve">(10286), pp.1684-1685. Available at: https://www.thelancet.com/pdfs/journals/lancet/PIIS0140-6736(21)00949-1.pdf. (Accessed: 5 March 2026) </w:t>
      </w:r>
    </w:p>
    <w:p w14:paraId="2189D931" w14:textId="19FD5E1A" w:rsidR="00D66F31" w:rsidRPr="00DE6D1F" w:rsidRDefault="00D66F31" w:rsidP="00731AFB">
      <w:pPr>
        <w:jc w:val="left"/>
        <w:rPr>
          <w:rFonts w:cs="Arial"/>
        </w:rPr>
      </w:pPr>
      <w:r w:rsidRPr="00DE6D1F">
        <w:rPr>
          <w:rFonts w:cs="Arial"/>
        </w:rPr>
        <w:t>Nath, V. and Lockwood, G., (2022). ‘Implications of the UK Equality Law for tele-homeworking: COVID-19 and beyond.’ </w:t>
      </w:r>
      <w:r w:rsidRPr="00DE6D1F">
        <w:rPr>
          <w:rFonts w:cs="Arial"/>
          <w:i/>
          <w:iCs/>
        </w:rPr>
        <w:t>International Journal of Law and Management</w:t>
      </w:r>
      <w:r w:rsidRPr="00DE6D1F">
        <w:rPr>
          <w:rFonts w:cs="Arial"/>
        </w:rPr>
        <w:t>, </w:t>
      </w:r>
      <w:r w:rsidRPr="00DE6D1F">
        <w:rPr>
          <w:rFonts w:cs="Arial"/>
          <w:i/>
          <w:iCs/>
        </w:rPr>
        <w:t>64</w:t>
      </w:r>
      <w:r w:rsidRPr="00DE6D1F">
        <w:rPr>
          <w:rFonts w:cs="Arial"/>
        </w:rPr>
        <w:t xml:space="preserve">(2), pp.253-272. Available at: </w:t>
      </w:r>
      <w:r w:rsidRPr="00731AFB">
        <w:rPr>
          <w:rFonts w:cs="Arial"/>
        </w:rPr>
        <w:t>https://www.emerald.com/ijlma/article-pdf/64/2/253/900441/ijlma-07-2021-0183.pdf</w:t>
      </w:r>
      <w:r w:rsidRPr="00DE6D1F">
        <w:rPr>
          <w:rFonts w:cs="Arial"/>
        </w:rPr>
        <w:t xml:space="preserve"> (Accessed: 5 March 2026)</w:t>
      </w:r>
    </w:p>
    <w:p w14:paraId="405DF568" w14:textId="2E9C8FE1" w:rsidR="00D66F31" w:rsidRPr="00DE6D1F" w:rsidRDefault="00D66F31" w:rsidP="00731AFB">
      <w:pPr>
        <w:jc w:val="left"/>
        <w:rPr>
          <w:rFonts w:cs="Arial"/>
        </w:rPr>
      </w:pPr>
      <w:r w:rsidRPr="00DE6D1F">
        <w:rPr>
          <w:rFonts w:cs="Arial"/>
        </w:rPr>
        <w:t>Ndlovu-</w:t>
      </w:r>
      <w:proofErr w:type="spellStart"/>
      <w:r w:rsidRPr="00DE6D1F">
        <w:rPr>
          <w:rFonts w:cs="Arial"/>
        </w:rPr>
        <w:t>Gatsheni</w:t>
      </w:r>
      <w:proofErr w:type="spellEnd"/>
      <w:r w:rsidRPr="00DE6D1F">
        <w:rPr>
          <w:rFonts w:cs="Arial"/>
        </w:rPr>
        <w:t>, S.J., (2020). ‘Geopolitics of power and knowledge in the COVID-19 pandemic: Decolonial reflections on a global crisis.’ </w:t>
      </w:r>
      <w:r w:rsidRPr="00DE6D1F">
        <w:rPr>
          <w:rFonts w:cs="Arial"/>
          <w:i/>
          <w:iCs/>
        </w:rPr>
        <w:t>Journal of Developing Societies</w:t>
      </w:r>
      <w:r w:rsidRPr="00DE6D1F">
        <w:rPr>
          <w:rFonts w:cs="Arial"/>
        </w:rPr>
        <w:t>, </w:t>
      </w:r>
      <w:r w:rsidRPr="00DE6D1F">
        <w:rPr>
          <w:rFonts w:cs="Arial"/>
          <w:i/>
          <w:iCs/>
        </w:rPr>
        <w:t>36</w:t>
      </w:r>
      <w:r w:rsidRPr="00DE6D1F">
        <w:rPr>
          <w:rFonts w:cs="Arial"/>
        </w:rPr>
        <w:t xml:space="preserve">(4), pp.366-389. Available at:  </w:t>
      </w:r>
      <w:r w:rsidRPr="00731AFB">
        <w:rPr>
          <w:rFonts w:cs="Arial"/>
        </w:rPr>
        <w:t>https://www.academia.edu/download/73817615/0169796X20963252.pdf</w:t>
      </w:r>
      <w:r w:rsidRPr="00DE6D1F">
        <w:rPr>
          <w:rFonts w:cs="Arial"/>
        </w:rPr>
        <w:t xml:space="preserve"> (Accessed: 5 March 2026)</w:t>
      </w:r>
    </w:p>
    <w:p w14:paraId="6F9C70FE" w14:textId="4235C8E8" w:rsidR="00D66F31" w:rsidRPr="00DE6D1F" w:rsidRDefault="00D66F31" w:rsidP="00731AFB">
      <w:pPr>
        <w:jc w:val="left"/>
        <w:rPr>
          <w:rFonts w:cs="Arial"/>
        </w:rPr>
      </w:pPr>
      <w:bookmarkStart w:id="89" w:name="_Hlk223639896"/>
      <w:r w:rsidRPr="00DE6D1F">
        <w:rPr>
          <w:rFonts w:cs="Arial"/>
        </w:rPr>
        <w:t>Nurunnabi, M. and Hossain, M.A., (2019</w:t>
      </w:r>
      <w:bookmarkEnd w:id="89"/>
      <w:r w:rsidRPr="00DE6D1F">
        <w:rPr>
          <w:rFonts w:cs="Arial"/>
        </w:rPr>
        <w:t>). ‘Data falsification and question on academic integrity.’ </w:t>
      </w:r>
      <w:r w:rsidRPr="00DE6D1F">
        <w:rPr>
          <w:rFonts w:cs="Arial"/>
          <w:i/>
          <w:iCs/>
        </w:rPr>
        <w:t>Accountability in Research</w:t>
      </w:r>
      <w:r w:rsidRPr="00DE6D1F">
        <w:rPr>
          <w:rFonts w:cs="Arial"/>
        </w:rPr>
        <w:t>, </w:t>
      </w:r>
      <w:r w:rsidRPr="00DE6D1F">
        <w:rPr>
          <w:rFonts w:cs="Arial"/>
          <w:i/>
          <w:iCs/>
        </w:rPr>
        <w:t>26</w:t>
      </w:r>
      <w:r w:rsidRPr="00DE6D1F">
        <w:rPr>
          <w:rFonts w:cs="Arial"/>
        </w:rPr>
        <w:t xml:space="preserve">(2), pp.108-122. Available at: </w:t>
      </w:r>
      <w:r w:rsidRPr="00731AFB">
        <w:rPr>
          <w:rFonts w:cs="Arial"/>
        </w:rPr>
        <w:t>https://www.academia.edu/download/58402717/Data_falsification_and_question_on_academic_integrity.pdf</w:t>
      </w:r>
      <w:r w:rsidRPr="00DE6D1F">
        <w:rPr>
          <w:rFonts w:cs="Arial"/>
        </w:rPr>
        <w:t xml:space="preserve"> (Accessed: 5 March 2026)</w:t>
      </w:r>
    </w:p>
    <w:p w14:paraId="3FCF6E3E" w14:textId="74AB70D4" w:rsidR="00D66F31" w:rsidRPr="00DE6D1F" w:rsidRDefault="00D66F31" w:rsidP="00731AFB">
      <w:pPr>
        <w:jc w:val="left"/>
        <w:rPr>
          <w:rFonts w:cs="Arial"/>
        </w:rPr>
      </w:pPr>
      <w:r w:rsidRPr="00DE6D1F">
        <w:rPr>
          <w:rFonts w:cs="Arial"/>
        </w:rPr>
        <w:t xml:space="preserve">ONS (2021a), </w:t>
      </w:r>
      <w:r w:rsidRPr="00DE6D1F">
        <w:rPr>
          <w:rFonts w:cs="Arial"/>
          <w:i/>
          <w:iCs/>
        </w:rPr>
        <w:t>Data and analysis from Census 2021</w:t>
      </w:r>
      <w:r w:rsidRPr="00DE6D1F">
        <w:rPr>
          <w:rFonts w:cs="Arial"/>
        </w:rPr>
        <w:t xml:space="preserve">, Available at: </w:t>
      </w:r>
      <w:r w:rsidRPr="00731AFB">
        <w:rPr>
          <w:rFonts w:cs="Arial"/>
        </w:rPr>
        <w:t>https://www.ons.gov.uk/peoplepopulationandcommunity/healthandsocialcare/conditionsanddiseases/articles/whyhaveblackandsouthasianpeoplebeenhithardestbycovid19/2020-12-14#:~:text=Multi%2Dgenerational%20households%20are%20much,or%20people%20of%20Indian%20ethnicity</w:t>
      </w:r>
      <w:r w:rsidRPr="00DE6D1F">
        <w:rPr>
          <w:rFonts w:cs="Arial"/>
        </w:rPr>
        <w:t>. (Accessed: 5 March 2026)</w:t>
      </w:r>
    </w:p>
    <w:p w14:paraId="13C51798" w14:textId="5B23FFA0" w:rsidR="00D66F31" w:rsidRPr="00DE6D1F" w:rsidRDefault="00D66F31" w:rsidP="00731AFB">
      <w:pPr>
        <w:jc w:val="left"/>
        <w:rPr>
          <w:rFonts w:cs="Arial"/>
        </w:rPr>
      </w:pPr>
      <w:r w:rsidRPr="00DE6D1F">
        <w:rPr>
          <w:rFonts w:cs="Arial"/>
        </w:rPr>
        <w:lastRenderedPageBreak/>
        <w:t xml:space="preserve">ONS (2021b), </w:t>
      </w:r>
      <w:r w:rsidRPr="00DE6D1F">
        <w:rPr>
          <w:rFonts w:cs="Arial"/>
          <w:i/>
          <w:iCs/>
        </w:rPr>
        <w:t>Coronavirus and vaccination rates in people aged 70 years and over by socio-demographic characteristic, England: 8 December 2020 to 11 March 2021,</w:t>
      </w:r>
      <w:r w:rsidRPr="00DE6D1F">
        <w:rPr>
          <w:rFonts w:cs="Arial"/>
        </w:rPr>
        <w:t xml:space="preserve"> Available at: </w:t>
      </w:r>
      <w:r w:rsidRPr="00731AFB">
        <w:rPr>
          <w:rFonts w:cs="Arial"/>
        </w:rPr>
        <w:t>https://www.google.com/search?q=https://www.ons.gov.uk/peoplepopulationandcommunity/healthandsocialcare/healthandwellbeing/bulletins/coronavirusandvaccinationratesinpeopleaged70yearsandoverbysociodemographiccharacteristicengland/8december2020to11march2021</w:t>
      </w:r>
      <w:r w:rsidRPr="00DE6D1F">
        <w:rPr>
          <w:rFonts w:cs="Arial"/>
        </w:rPr>
        <w:t>(Accessed: 5 March 2026)</w:t>
      </w:r>
    </w:p>
    <w:p w14:paraId="0B26D83F" w14:textId="03B100A5" w:rsidR="00D66F31" w:rsidRPr="00DE6D1F" w:rsidRDefault="00D66F31" w:rsidP="00731AFB">
      <w:pPr>
        <w:jc w:val="left"/>
        <w:rPr>
          <w:rFonts w:cs="Arial"/>
        </w:rPr>
      </w:pPr>
      <w:r w:rsidRPr="00DE6D1F">
        <w:rPr>
          <w:rFonts w:cs="Arial"/>
        </w:rPr>
        <w:t xml:space="preserve">ONS (2021c), </w:t>
      </w:r>
      <w:r w:rsidRPr="00DE6D1F">
        <w:rPr>
          <w:rFonts w:cs="Arial"/>
          <w:i/>
          <w:iCs/>
        </w:rPr>
        <w:t xml:space="preserve">Coronavirus and vaccine hesitancy, Great </w:t>
      </w:r>
      <w:proofErr w:type="gramStart"/>
      <w:r w:rsidRPr="00DE6D1F">
        <w:rPr>
          <w:rFonts w:cs="Arial"/>
          <w:i/>
          <w:iCs/>
        </w:rPr>
        <w:t>Britain</w:t>
      </w:r>
      <w:r w:rsidRPr="00DE6D1F">
        <w:rPr>
          <w:rFonts w:cs="Arial"/>
        </w:rPr>
        <w:t xml:space="preserve">  Available</w:t>
      </w:r>
      <w:proofErr w:type="gramEnd"/>
      <w:r w:rsidRPr="00DE6D1F">
        <w:rPr>
          <w:rFonts w:cs="Arial"/>
        </w:rPr>
        <w:t xml:space="preserve"> at: </w:t>
      </w:r>
      <w:r w:rsidRPr="00731AFB">
        <w:rPr>
          <w:rFonts w:cs="Arial"/>
        </w:rPr>
        <w:t>Coronavirus and vaccine hesitancy, Great Britain - Office for National Statistics</w:t>
      </w:r>
      <w:r w:rsidRPr="00DE6D1F">
        <w:rPr>
          <w:rFonts w:cs="Arial"/>
        </w:rPr>
        <w:t xml:space="preserve"> (Accessed: 5 March 2026)</w:t>
      </w:r>
    </w:p>
    <w:p w14:paraId="6C429AF0" w14:textId="19C828F1" w:rsidR="00D66F31" w:rsidRPr="00DE6D1F" w:rsidRDefault="00D66F31" w:rsidP="00731AFB">
      <w:pPr>
        <w:jc w:val="left"/>
        <w:rPr>
          <w:rFonts w:cs="Arial"/>
        </w:rPr>
      </w:pPr>
      <w:r w:rsidRPr="00DE6D1F">
        <w:rPr>
          <w:rFonts w:cs="Arial"/>
        </w:rPr>
        <w:t>Paat, Y.F., Camacho, E., Ruiz, S.L., Garcia Tovar, D., Núñez-Mchiri, G.G., Duarte-Gardea, M.O., Corral, G., Oviedo Ramirez, S., Markham, C., Torres-Hostos, L. and Singh, K.C., (2024). ‘A Socio-Ecological Approach to A Community-Based Health Promotion Intervention on the US-Mexico Border: Insights and Lessons Learned During the COVID-19 Pandemic.’ </w:t>
      </w:r>
      <w:r w:rsidRPr="00DE6D1F">
        <w:rPr>
          <w:rFonts w:cs="Arial"/>
          <w:i/>
          <w:iCs/>
        </w:rPr>
        <w:t>Journal of Applied Social Science</w:t>
      </w:r>
      <w:r w:rsidRPr="00DE6D1F">
        <w:rPr>
          <w:rFonts w:cs="Arial"/>
        </w:rPr>
        <w:t>, </w:t>
      </w:r>
      <w:r w:rsidRPr="00DE6D1F">
        <w:rPr>
          <w:rFonts w:cs="Arial"/>
          <w:i/>
          <w:iCs/>
        </w:rPr>
        <w:t>18</w:t>
      </w:r>
      <w:r w:rsidRPr="00DE6D1F">
        <w:rPr>
          <w:rFonts w:cs="Arial"/>
        </w:rPr>
        <w:t xml:space="preserve">(1), pp.62-77. Available at:  </w:t>
      </w:r>
      <w:r w:rsidRPr="00731AFB">
        <w:rPr>
          <w:rFonts w:cs="Arial"/>
        </w:rPr>
        <w:t>https://journals.sagepub.com/doi/pdf/10.1177/19367244231202715</w:t>
      </w:r>
      <w:r w:rsidRPr="00DE6D1F">
        <w:rPr>
          <w:rFonts w:cs="Arial"/>
        </w:rPr>
        <w:t xml:space="preserve"> (Accessed: 5 March 2026)</w:t>
      </w:r>
    </w:p>
    <w:p w14:paraId="523ECFEA" w14:textId="1787A752" w:rsidR="00D66F31" w:rsidRPr="00DE6D1F" w:rsidRDefault="00D66F31" w:rsidP="00731AFB">
      <w:pPr>
        <w:jc w:val="left"/>
        <w:rPr>
          <w:rFonts w:cs="Arial"/>
        </w:rPr>
      </w:pPr>
      <w:r w:rsidRPr="00DE6D1F">
        <w:rPr>
          <w:rFonts w:cs="Arial"/>
        </w:rPr>
        <w:t>Patel, P., Beale, S., Nguyen, V., Braithwaite, I., Byrne, T.E., Erica Fong, W.L., Fragaszy, E., Geismar, C., Hoskins, S., Navaratnam, A.M. and Shrotri, M., (2023). ‘Inequalities in access to paid sick leave among workers in England and Wales.’ </w:t>
      </w:r>
      <w:r w:rsidRPr="00DE6D1F">
        <w:rPr>
          <w:rFonts w:cs="Arial"/>
          <w:i/>
          <w:iCs/>
        </w:rPr>
        <w:t>The International Journal of Health Planning and Management</w:t>
      </w:r>
      <w:r w:rsidRPr="00DE6D1F">
        <w:rPr>
          <w:rFonts w:cs="Arial"/>
        </w:rPr>
        <w:t xml:space="preserve">. Available at:   </w:t>
      </w:r>
      <w:r w:rsidRPr="00731AFB">
        <w:rPr>
          <w:rFonts w:cs="Arial"/>
        </w:rPr>
        <w:t>https://onlinelibrary.wiley.com/doi/pdf/10.1002/hpm.3697</w:t>
      </w:r>
      <w:r w:rsidRPr="00DE6D1F">
        <w:rPr>
          <w:rFonts w:cs="Arial"/>
        </w:rPr>
        <w:t xml:space="preserve"> (Accessed: 5 March 2026)</w:t>
      </w:r>
    </w:p>
    <w:p w14:paraId="4EBB1F0C" w14:textId="62214364" w:rsidR="00D66F31" w:rsidRPr="00DE6D1F" w:rsidRDefault="00D66F31" w:rsidP="00731AFB">
      <w:pPr>
        <w:jc w:val="left"/>
        <w:rPr>
          <w:rFonts w:cs="Arial"/>
        </w:rPr>
      </w:pPr>
      <w:r w:rsidRPr="00DE6D1F">
        <w:rPr>
          <w:rFonts w:cs="Arial"/>
        </w:rPr>
        <w:t>Platt, L., (2021). ‘COVID-19 and ethnic inequalities in England.’ </w:t>
      </w:r>
      <w:r w:rsidRPr="00DE6D1F">
        <w:rPr>
          <w:rFonts w:cs="Arial"/>
          <w:i/>
          <w:iCs/>
        </w:rPr>
        <w:t>LSE Public Policy Review</w:t>
      </w:r>
      <w:r w:rsidRPr="00DE6D1F">
        <w:rPr>
          <w:rFonts w:cs="Arial"/>
        </w:rPr>
        <w:t>, </w:t>
      </w:r>
      <w:r w:rsidRPr="00DE6D1F">
        <w:rPr>
          <w:rFonts w:cs="Arial"/>
          <w:i/>
          <w:iCs/>
        </w:rPr>
        <w:t>1</w:t>
      </w:r>
      <w:r w:rsidRPr="00DE6D1F">
        <w:rPr>
          <w:rFonts w:cs="Arial"/>
        </w:rPr>
        <w:t xml:space="preserve">(4). Available at: </w:t>
      </w:r>
      <w:r w:rsidRPr="00731AFB">
        <w:rPr>
          <w:rFonts w:cs="Arial"/>
        </w:rPr>
        <w:t>https://ppr.lse.ac.uk/articles/10.31389/lseppr.33?utm_source=TrendMD&amp;utm_medium=cpc&amp;utm_campaign=LSE_Public_Policy_Review_TrendMD_0</w:t>
      </w:r>
      <w:r w:rsidRPr="00DE6D1F">
        <w:rPr>
          <w:rFonts w:cs="Arial"/>
        </w:rPr>
        <w:t xml:space="preserve"> (Accessed: 5 March 2026)</w:t>
      </w:r>
    </w:p>
    <w:p w14:paraId="7BA2DD6E" w14:textId="53EBE212" w:rsidR="00D66F31" w:rsidRPr="00DE6D1F" w:rsidRDefault="00D66F31" w:rsidP="00731AFB">
      <w:pPr>
        <w:jc w:val="left"/>
        <w:rPr>
          <w:rFonts w:cs="Arial"/>
        </w:rPr>
      </w:pPr>
      <w:r w:rsidRPr="00DE6D1F">
        <w:rPr>
          <w:rFonts w:cs="Arial"/>
        </w:rPr>
        <w:t xml:space="preserve">Pollock, M., Rogers, J., Kwako, A., </w:t>
      </w:r>
      <w:proofErr w:type="spellStart"/>
      <w:r w:rsidRPr="00DE6D1F">
        <w:rPr>
          <w:rFonts w:cs="Arial"/>
        </w:rPr>
        <w:t>Matschiner</w:t>
      </w:r>
      <w:proofErr w:type="spellEnd"/>
      <w:r w:rsidRPr="00DE6D1F">
        <w:rPr>
          <w:rFonts w:cs="Arial"/>
        </w:rPr>
        <w:t xml:space="preserve">, A., Kendall, R., </w:t>
      </w:r>
      <w:proofErr w:type="spellStart"/>
      <w:r w:rsidRPr="00DE6D1F">
        <w:rPr>
          <w:rFonts w:cs="Arial"/>
        </w:rPr>
        <w:t>Bingener</w:t>
      </w:r>
      <w:proofErr w:type="spellEnd"/>
      <w:r w:rsidRPr="00DE6D1F">
        <w:rPr>
          <w:rFonts w:cs="Arial"/>
        </w:rPr>
        <w:t xml:space="preserve">, C., Reece, E., Kennedy, B.C. and Howard, J.R., (2022). The conflict campaign: Exploring local experiences of the campaign to ban “critical race theory” in public K–12 education in the US, 2020–2021. Available at:  </w:t>
      </w:r>
      <w:r w:rsidRPr="00731AFB">
        <w:rPr>
          <w:rFonts w:cs="Arial"/>
        </w:rPr>
        <w:t>https://digitalcommons.chapman.edu/cgi/viewcontent.cgi?article=1421&amp;context=education_articles</w:t>
      </w:r>
      <w:r w:rsidRPr="00DE6D1F">
        <w:rPr>
          <w:rFonts w:cs="Arial"/>
        </w:rPr>
        <w:t xml:space="preserve"> (Accessed: 5 March 2026)</w:t>
      </w:r>
    </w:p>
    <w:p w14:paraId="3215CF81" w14:textId="6A018198" w:rsidR="00D66F31" w:rsidRPr="00DE6D1F" w:rsidRDefault="00D66F31" w:rsidP="00731AFB">
      <w:pPr>
        <w:jc w:val="left"/>
        <w:rPr>
          <w:rFonts w:cs="Arial"/>
        </w:rPr>
      </w:pPr>
      <w:r w:rsidRPr="00DE6D1F">
        <w:rPr>
          <w:rFonts w:cs="Arial"/>
        </w:rPr>
        <w:t xml:space="preserve">Poole, S.M., Grier, S.A., Thomas, K.D., </w:t>
      </w:r>
      <w:proofErr w:type="spellStart"/>
      <w:r w:rsidRPr="00DE6D1F">
        <w:rPr>
          <w:rFonts w:cs="Arial"/>
        </w:rPr>
        <w:t>Sobande</w:t>
      </w:r>
      <w:proofErr w:type="spellEnd"/>
      <w:r w:rsidRPr="00DE6D1F">
        <w:rPr>
          <w:rFonts w:cs="Arial"/>
        </w:rPr>
        <w:t xml:space="preserve">, F., Ekpo, A.E., Torres, L.T., Addington, L.A., Weekes-Laidlow, M. and Henderson, G.R., (2021). ‘Operationalizing critical race theory in the </w:t>
      </w:r>
      <w:r w:rsidRPr="00DE6D1F">
        <w:rPr>
          <w:rFonts w:cs="Arial"/>
        </w:rPr>
        <w:lastRenderedPageBreak/>
        <w:t>marketplace.’ </w:t>
      </w:r>
      <w:r w:rsidRPr="00DE6D1F">
        <w:rPr>
          <w:rFonts w:cs="Arial"/>
          <w:i/>
          <w:iCs/>
        </w:rPr>
        <w:t>Journal of Public Policy &amp; Marketing</w:t>
      </w:r>
      <w:r w:rsidRPr="00DE6D1F">
        <w:rPr>
          <w:rFonts w:cs="Arial"/>
        </w:rPr>
        <w:t>, </w:t>
      </w:r>
      <w:r w:rsidRPr="00DE6D1F">
        <w:rPr>
          <w:rFonts w:cs="Arial"/>
          <w:i/>
          <w:iCs/>
        </w:rPr>
        <w:t>40</w:t>
      </w:r>
      <w:r w:rsidRPr="00DE6D1F">
        <w:rPr>
          <w:rFonts w:cs="Arial"/>
        </w:rPr>
        <w:t xml:space="preserve">(2), pp.126-142. Available at:  </w:t>
      </w:r>
      <w:r w:rsidRPr="00731AFB">
        <w:rPr>
          <w:rFonts w:cs="Arial"/>
        </w:rPr>
        <w:t>https://epublications.marquette.edu/cgi/viewcontent.cgi?article=1572&amp;context=comm_fac</w:t>
      </w:r>
      <w:r w:rsidRPr="00DE6D1F">
        <w:rPr>
          <w:rFonts w:cs="Arial"/>
        </w:rPr>
        <w:t xml:space="preserve"> (Accessed: 5 March 2026)</w:t>
      </w:r>
    </w:p>
    <w:p w14:paraId="09C65C29" w14:textId="593A8122" w:rsidR="00D66F31" w:rsidRPr="00DE6D1F" w:rsidRDefault="00D66F31" w:rsidP="00731AFB">
      <w:pPr>
        <w:jc w:val="left"/>
        <w:rPr>
          <w:rFonts w:cs="Arial"/>
        </w:rPr>
      </w:pPr>
      <w:r w:rsidRPr="00DE6D1F">
        <w:rPr>
          <w:rFonts w:cs="Arial"/>
        </w:rPr>
        <w:t xml:space="preserve">Pritchard, E., Matthews, P.C., Stoesser, N., Eyre, D.W., Gethings, O., </w:t>
      </w:r>
      <w:proofErr w:type="spellStart"/>
      <w:r w:rsidRPr="00DE6D1F">
        <w:rPr>
          <w:rFonts w:cs="Arial"/>
        </w:rPr>
        <w:t>Vihta</w:t>
      </w:r>
      <w:proofErr w:type="spellEnd"/>
      <w:r w:rsidRPr="00DE6D1F">
        <w:rPr>
          <w:rFonts w:cs="Arial"/>
        </w:rPr>
        <w:t xml:space="preserve">, K.D., Jones, J., House, T., </w:t>
      </w:r>
      <w:proofErr w:type="spellStart"/>
      <w:r w:rsidRPr="00DE6D1F">
        <w:rPr>
          <w:rFonts w:cs="Arial"/>
        </w:rPr>
        <w:t>VanSteenHouse</w:t>
      </w:r>
      <w:proofErr w:type="spellEnd"/>
      <w:r w:rsidRPr="00DE6D1F">
        <w:rPr>
          <w:rFonts w:cs="Arial"/>
        </w:rPr>
        <w:t>, H., Bell, I. and Bell, J.I., (2021). ‘Impact of vaccination on new SARS-CoV-2 infections in the United Kingdom.’ </w:t>
      </w:r>
      <w:r w:rsidRPr="00DE6D1F">
        <w:rPr>
          <w:rFonts w:cs="Arial"/>
          <w:i/>
          <w:iCs/>
        </w:rPr>
        <w:t>Nature medicine</w:t>
      </w:r>
      <w:r w:rsidRPr="00DE6D1F">
        <w:rPr>
          <w:rFonts w:cs="Arial"/>
        </w:rPr>
        <w:t>, </w:t>
      </w:r>
      <w:r w:rsidRPr="00DE6D1F">
        <w:rPr>
          <w:rFonts w:cs="Arial"/>
          <w:i/>
          <w:iCs/>
        </w:rPr>
        <w:t>27</w:t>
      </w:r>
      <w:r w:rsidRPr="00DE6D1F">
        <w:rPr>
          <w:rFonts w:cs="Arial"/>
        </w:rPr>
        <w:t xml:space="preserve">(8), pp.1370-1378. Available at:  </w:t>
      </w:r>
      <w:r w:rsidRPr="00731AFB">
        <w:rPr>
          <w:rFonts w:cs="Arial"/>
        </w:rPr>
        <w:t>https://www.nature.com/articles/s41591-021-01410-w.pdf</w:t>
      </w:r>
      <w:r w:rsidRPr="00DE6D1F">
        <w:rPr>
          <w:rFonts w:cs="Arial"/>
        </w:rPr>
        <w:t xml:space="preserve"> (Accessed: 5 March 2026)</w:t>
      </w:r>
    </w:p>
    <w:p w14:paraId="19CA51A3" w14:textId="1DDEAC5E" w:rsidR="00D66F31" w:rsidRPr="00DE6D1F" w:rsidRDefault="00D66F31" w:rsidP="00731AFB">
      <w:pPr>
        <w:jc w:val="left"/>
        <w:rPr>
          <w:rFonts w:cs="Arial"/>
        </w:rPr>
      </w:pPr>
      <w:r w:rsidRPr="00DE6D1F">
        <w:rPr>
          <w:rFonts w:cs="Arial"/>
        </w:rPr>
        <w:t>Ross, S., Fenney, D., Thorstensen-Woll, C. and Buck, D., (2021). ‘Directors of public health and the Covid-19 pandemic.’ </w:t>
      </w:r>
      <w:r w:rsidRPr="00DE6D1F">
        <w:rPr>
          <w:rFonts w:cs="Arial"/>
          <w:i/>
          <w:iCs/>
        </w:rPr>
        <w:t>The King’s Fund</w:t>
      </w:r>
      <w:r w:rsidRPr="00DE6D1F">
        <w:rPr>
          <w:rFonts w:cs="Arial"/>
        </w:rPr>
        <w:t xml:space="preserve">. Available at:  </w:t>
      </w:r>
      <w:r w:rsidRPr="00731AFB">
        <w:rPr>
          <w:rFonts w:cs="Arial"/>
        </w:rPr>
        <w:t>https://www.health.org.uk/sites/default/files/upload/publications/2021/Directors_of_Public_Health_and_COVID-19_A_Year_Like_No_Other_WEB.pdf</w:t>
      </w:r>
      <w:r w:rsidRPr="00DE6D1F">
        <w:rPr>
          <w:rFonts w:cs="Arial"/>
        </w:rPr>
        <w:t xml:space="preserve"> (Accessed: 5 March 2026)</w:t>
      </w:r>
    </w:p>
    <w:p w14:paraId="01AA8B4C" w14:textId="5FBAEE4F" w:rsidR="00D66F31" w:rsidRPr="00DE6D1F" w:rsidRDefault="00D66F31" w:rsidP="00731AFB">
      <w:pPr>
        <w:jc w:val="left"/>
        <w:rPr>
          <w:rFonts w:cs="Arial"/>
        </w:rPr>
      </w:pPr>
      <w:r w:rsidRPr="00DE6D1F">
        <w:rPr>
          <w:rFonts w:cs="Arial"/>
        </w:rPr>
        <w:t xml:space="preserve">Saba, R. A. (2020), </w:t>
      </w:r>
      <w:r w:rsidRPr="00DE6D1F">
        <w:rPr>
          <w:rFonts w:cs="Arial"/>
          <w:i/>
          <w:iCs/>
        </w:rPr>
        <w:t>Inequality and the impact of Covid-19: How discrimination is shaping the experiences of minorities and indigenous peoples during the pandemic</w:t>
      </w:r>
      <w:r w:rsidRPr="00DE6D1F">
        <w:rPr>
          <w:rFonts w:cs="Arial"/>
        </w:rPr>
        <w:t xml:space="preserve"> - Available at:  </w:t>
      </w:r>
      <w:r w:rsidRPr="00731AFB">
        <w:rPr>
          <w:rFonts w:cs="Arial"/>
        </w:rPr>
        <w:t>Inequality and the impact of Covid-19: How discrimination is shaping the experiences of minorities and indigenous peoples during the pandemic - Minority Rights Group</w:t>
      </w:r>
      <w:r w:rsidRPr="00DE6D1F">
        <w:rPr>
          <w:rFonts w:cs="Arial"/>
        </w:rPr>
        <w:t xml:space="preserve"> (Accessed: 5 March 2026)</w:t>
      </w:r>
    </w:p>
    <w:p w14:paraId="06AE951D" w14:textId="77777777" w:rsidR="00D66F31" w:rsidRPr="00DE6D1F" w:rsidRDefault="00D66F31" w:rsidP="00731AFB">
      <w:pPr>
        <w:jc w:val="left"/>
        <w:rPr>
          <w:rFonts w:cs="Arial"/>
        </w:rPr>
      </w:pPr>
      <w:r w:rsidRPr="00DE6D1F">
        <w:rPr>
          <w:rFonts w:cs="Arial"/>
        </w:rPr>
        <w:t xml:space="preserve">Sanderson, M., Allen, P. and </w:t>
      </w:r>
      <w:proofErr w:type="spellStart"/>
      <w:r w:rsidRPr="00DE6D1F">
        <w:rPr>
          <w:rFonts w:cs="Arial"/>
        </w:rPr>
        <w:t>Osipovic</w:t>
      </w:r>
      <w:proofErr w:type="spellEnd"/>
      <w:r w:rsidRPr="00DE6D1F">
        <w:rPr>
          <w:rFonts w:cs="Arial"/>
        </w:rPr>
        <w:t>, D., (2017). ‘The regulation of competition in the National Health Service (NHS): what difference has the Health and Social Care Act 2012 made?’ </w:t>
      </w:r>
      <w:r w:rsidRPr="00DE6D1F">
        <w:rPr>
          <w:rFonts w:cs="Arial"/>
          <w:i/>
          <w:iCs/>
        </w:rPr>
        <w:t>Health Economics, Policy and Law</w:t>
      </w:r>
      <w:r w:rsidRPr="00DE6D1F">
        <w:rPr>
          <w:rFonts w:cs="Arial"/>
        </w:rPr>
        <w:t>, </w:t>
      </w:r>
      <w:r w:rsidRPr="00DE6D1F">
        <w:rPr>
          <w:rFonts w:cs="Arial"/>
          <w:i/>
          <w:iCs/>
        </w:rPr>
        <w:t>12</w:t>
      </w:r>
      <w:r w:rsidRPr="00DE6D1F">
        <w:rPr>
          <w:rFonts w:cs="Arial"/>
        </w:rPr>
        <w:t>(1), pp.1-19. Available at: https://www.cambridge.org/core/services/aop-cambridge-core/content/view/7053DC2623A3CAD947F000E444260B35/S1744133116000116a.pdf/div-class-title-the-regulation-of-competition-in-the-national-health-service-nhs-what-difference-has-the-health-and-social-care-act-2012-made-div.pdf (Accessed: 5 March 2026)</w:t>
      </w:r>
    </w:p>
    <w:p w14:paraId="729B3D58" w14:textId="66194672" w:rsidR="00D66F31" w:rsidRPr="00DE6D1F" w:rsidRDefault="00D66F31" w:rsidP="00731AFB">
      <w:pPr>
        <w:jc w:val="left"/>
        <w:rPr>
          <w:rFonts w:cs="Arial"/>
        </w:rPr>
      </w:pPr>
      <w:r w:rsidRPr="00DE6D1F">
        <w:rPr>
          <w:rFonts w:cs="Arial"/>
        </w:rPr>
        <w:t>Schuklenk, U., (2020). ‘The ethical challenges of the SARS</w:t>
      </w:r>
      <w:r w:rsidRPr="00DE6D1F">
        <w:rPr>
          <w:rFonts w:ascii="Cambria Math" w:hAnsi="Cambria Math" w:cs="Cambria Math"/>
        </w:rPr>
        <w:t>‐</w:t>
      </w:r>
      <w:r w:rsidRPr="00DE6D1F">
        <w:rPr>
          <w:rFonts w:cs="Arial"/>
        </w:rPr>
        <w:t>CoV</w:t>
      </w:r>
      <w:r w:rsidRPr="00DE6D1F">
        <w:rPr>
          <w:rFonts w:ascii="Cambria Math" w:hAnsi="Cambria Math" w:cs="Cambria Math"/>
        </w:rPr>
        <w:t>‐</w:t>
      </w:r>
      <w:r w:rsidRPr="00DE6D1F">
        <w:rPr>
          <w:rFonts w:cs="Arial"/>
        </w:rPr>
        <w:t>2 pandemic in the global south and the global north–same and different.’ </w:t>
      </w:r>
      <w:r w:rsidRPr="00DE6D1F">
        <w:rPr>
          <w:rFonts w:cs="Arial"/>
          <w:i/>
          <w:iCs/>
        </w:rPr>
        <w:t>Developing World Bioethics</w:t>
      </w:r>
      <w:r w:rsidRPr="00DE6D1F">
        <w:rPr>
          <w:rFonts w:cs="Arial"/>
        </w:rPr>
        <w:t>, </w:t>
      </w:r>
      <w:r w:rsidRPr="00DE6D1F">
        <w:rPr>
          <w:rFonts w:cs="Arial"/>
          <w:i/>
          <w:iCs/>
        </w:rPr>
        <w:t>20</w:t>
      </w:r>
      <w:r w:rsidRPr="00DE6D1F">
        <w:rPr>
          <w:rFonts w:cs="Arial"/>
        </w:rPr>
        <w:t xml:space="preserve">(2), p.62. Available at:  </w:t>
      </w:r>
      <w:r w:rsidRPr="00731AFB">
        <w:rPr>
          <w:rFonts w:cs="Arial"/>
        </w:rPr>
        <w:t>https://pmc.ncbi.nlm.nih.gov/articles/PMC7267380/pdf/DEWB-20-62.pdf</w:t>
      </w:r>
      <w:r w:rsidRPr="00DE6D1F">
        <w:rPr>
          <w:rFonts w:cs="Arial"/>
        </w:rPr>
        <w:t xml:space="preserve"> (Accessed: 5 March 2026)</w:t>
      </w:r>
    </w:p>
    <w:p w14:paraId="488D5890" w14:textId="78293C67" w:rsidR="00D66F31" w:rsidRPr="00DE6D1F" w:rsidRDefault="00D66F31" w:rsidP="00731AFB">
      <w:pPr>
        <w:jc w:val="left"/>
        <w:rPr>
          <w:rFonts w:cs="Arial"/>
        </w:rPr>
      </w:pPr>
      <w:r w:rsidRPr="00DE6D1F">
        <w:rPr>
          <w:rFonts w:cs="Arial"/>
        </w:rPr>
        <w:t xml:space="preserve">Scott, S., McGowan, V.J., Wildman, J.M., </w:t>
      </w:r>
      <w:proofErr w:type="spellStart"/>
      <w:r w:rsidRPr="00DE6D1F">
        <w:rPr>
          <w:rFonts w:cs="Arial"/>
        </w:rPr>
        <w:t>Bidmead</w:t>
      </w:r>
      <w:proofErr w:type="spellEnd"/>
      <w:r w:rsidRPr="00DE6D1F">
        <w:rPr>
          <w:rFonts w:cs="Arial"/>
        </w:rPr>
        <w:t>, E., Hartley, J., Mathews, C., James, B., Sullivan, C., Bambra, C. and Sowden, S., (2022). ‘COVID-19 and the role of Voluntary, Community, and Social Enterprises in northern England in responding to the needs of marginalised communities: a qualitative focus group study.’ </w:t>
      </w:r>
      <w:r w:rsidRPr="00DE6D1F">
        <w:rPr>
          <w:rFonts w:cs="Arial"/>
          <w:i/>
          <w:iCs/>
        </w:rPr>
        <w:t>The Lancet</w:t>
      </w:r>
      <w:r w:rsidRPr="00DE6D1F">
        <w:rPr>
          <w:rFonts w:cs="Arial"/>
        </w:rPr>
        <w:t>, </w:t>
      </w:r>
      <w:r w:rsidRPr="00DE6D1F">
        <w:rPr>
          <w:rFonts w:cs="Arial"/>
          <w:i/>
          <w:iCs/>
        </w:rPr>
        <w:t>400</w:t>
      </w:r>
      <w:r w:rsidRPr="00DE6D1F">
        <w:rPr>
          <w:rFonts w:cs="Arial"/>
        </w:rPr>
        <w:t xml:space="preserve">, p.S78. Available </w:t>
      </w:r>
      <w:r w:rsidRPr="00DE6D1F">
        <w:rPr>
          <w:rFonts w:cs="Arial"/>
        </w:rPr>
        <w:lastRenderedPageBreak/>
        <w:t xml:space="preserve">at:  </w:t>
      </w:r>
      <w:r w:rsidRPr="00731AFB">
        <w:rPr>
          <w:rFonts w:cs="Arial"/>
        </w:rPr>
        <w:t>https://www.thelancet.com/journals/lancet/article/PIIS0140-6736(22)02288-7/fulltext</w:t>
      </w:r>
      <w:r w:rsidRPr="00DE6D1F">
        <w:rPr>
          <w:rFonts w:cs="Arial"/>
        </w:rPr>
        <w:t xml:space="preserve"> (Accessed: 5 March 2026)</w:t>
      </w:r>
    </w:p>
    <w:p w14:paraId="718B63C0" w14:textId="1AAF1AFD" w:rsidR="00D66F31" w:rsidRPr="00DE6D1F" w:rsidRDefault="00D66F31" w:rsidP="00731AFB">
      <w:pPr>
        <w:jc w:val="left"/>
        <w:rPr>
          <w:rFonts w:cs="Arial"/>
        </w:rPr>
      </w:pPr>
      <w:r w:rsidRPr="00DE6D1F">
        <w:rPr>
          <w:rFonts w:cs="Arial"/>
        </w:rPr>
        <w:t>South, J., Woodall, J., Stansfield, J., Mapplethorpe, T., Passey, A. and Bagnall, A.M., (2024). ‘A qualitative synthesis of practice-based learning from case studies on COVID community champion programmes in England, UK.’ </w:t>
      </w:r>
      <w:r w:rsidRPr="00DE6D1F">
        <w:rPr>
          <w:rFonts w:cs="Arial"/>
          <w:i/>
          <w:iCs/>
        </w:rPr>
        <w:t>BMC Public Health</w:t>
      </w:r>
      <w:r w:rsidRPr="00DE6D1F">
        <w:rPr>
          <w:rFonts w:cs="Arial"/>
        </w:rPr>
        <w:t>, </w:t>
      </w:r>
      <w:r w:rsidRPr="00DE6D1F">
        <w:rPr>
          <w:rFonts w:cs="Arial"/>
          <w:i/>
          <w:iCs/>
        </w:rPr>
        <w:t>24</w:t>
      </w:r>
      <w:r w:rsidRPr="00DE6D1F">
        <w:rPr>
          <w:rFonts w:cs="Arial"/>
        </w:rPr>
        <w:t xml:space="preserve">(1), p.7. Available at: </w:t>
      </w:r>
      <w:r w:rsidRPr="00731AFB">
        <w:rPr>
          <w:rFonts w:cs="Arial"/>
        </w:rPr>
        <w:t>https://link.springer.com/content/pdf/10.1186/s12889-023-17470-1.pdf</w:t>
      </w:r>
      <w:r w:rsidRPr="00DE6D1F">
        <w:rPr>
          <w:rFonts w:cs="Arial"/>
        </w:rPr>
        <w:t xml:space="preserve"> (Accessed: 5 March 2026)</w:t>
      </w:r>
    </w:p>
    <w:p w14:paraId="0B7EBBFB" w14:textId="22431192" w:rsidR="00D66F31" w:rsidRPr="00DE6D1F" w:rsidRDefault="00D66F31" w:rsidP="00731AFB">
      <w:pPr>
        <w:jc w:val="left"/>
        <w:rPr>
          <w:rFonts w:cs="Arial"/>
          <w:i/>
          <w:iCs/>
        </w:rPr>
      </w:pPr>
      <w:r w:rsidRPr="00DE6D1F">
        <w:rPr>
          <w:rFonts w:cs="Arial"/>
        </w:rPr>
        <w:t xml:space="preserve">Stafford, J. (2024) </w:t>
      </w:r>
      <w:r w:rsidRPr="00DE6D1F">
        <w:rPr>
          <w:rFonts w:cs="Arial"/>
          <w:i/>
          <w:iCs/>
        </w:rPr>
        <w:t xml:space="preserve">Experts outline how to reduce COVID-19 health inequalities for ethnic minority groups </w:t>
      </w:r>
      <w:r w:rsidRPr="00DE6D1F">
        <w:rPr>
          <w:rFonts w:cs="Arial"/>
        </w:rPr>
        <w:t xml:space="preserve">Available at:  </w:t>
      </w:r>
      <w:r w:rsidRPr="00731AFB">
        <w:rPr>
          <w:rFonts w:cs="Arial"/>
        </w:rPr>
        <w:t>Experts outline how to reduce COVID-19 health inequalities for ethnic minority groups</w:t>
      </w:r>
      <w:r w:rsidRPr="00DE6D1F">
        <w:rPr>
          <w:rFonts w:cs="Arial"/>
        </w:rPr>
        <w:t xml:space="preserve"> (Accessed: 5 March 2026)</w:t>
      </w:r>
    </w:p>
    <w:p w14:paraId="17FE5025" w14:textId="32818F41" w:rsidR="00D66F31" w:rsidRPr="00DE6D1F" w:rsidRDefault="00D66F31" w:rsidP="00731AFB">
      <w:pPr>
        <w:jc w:val="left"/>
        <w:rPr>
          <w:rFonts w:cs="Arial"/>
        </w:rPr>
      </w:pPr>
      <w:r w:rsidRPr="00DE6D1F">
        <w:rPr>
          <w:rFonts w:cs="Arial"/>
        </w:rPr>
        <w:t xml:space="preserve">UCL (2023) </w:t>
      </w:r>
      <w:r w:rsidRPr="00DE6D1F">
        <w:rPr>
          <w:rFonts w:cs="Arial"/>
          <w:i/>
          <w:iCs/>
        </w:rPr>
        <w:t>Lessons must be learnt from Covid-19’s unequal impact on minority groups | UCL News - UCL – University College London</w:t>
      </w:r>
      <w:r w:rsidRPr="00DE6D1F">
        <w:rPr>
          <w:rFonts w:cs="Arial"/>
        </w:rPr>
        <w:t xml:space="preserve"> Available at:  </w:t>
      </w:r>
      <w:r w:rsidRPr="00731AFB">
        <w:rPr>
          <w:rFonts w:cs="Arial"/>
        </w:rPr>
        <w:t>Lessons must be learnt from Covid-19’s unequal impact on minority groups | UCL News - UCL – University College London</w:t>
      </w:r>
      <w:r w:rsidRPr="00DE6D1F">
        <w:rPr>
          <w:rFonts w:cs="Arial"/>
        </w:rPr>
        <w:t xml:space="preserve"> (Accessed: 5 March 2026)</w:t>
      </w:r>
    </w:p>
    <w:p w14:paraId="12556B9E" w14:textId="4B4315BD" w:rsidR="00D66F31" w:rsidRPr="00DE6D1F" w:rsidRDefault="00D66F31" w:rsidP="00731AFB">
      <w:pPr>
        <w:jc w:val="left"/>
        <w:rPr>
          <w:rFonts w:cs="Arial"/>
        </w:rPr>
      </w:pPr>
      <w:r w:rsidRPr="00DE6D1F">
        <w:rPr>
          <w:rFonts w:cs="Arial"/>
        </w:rPr>
        <w:t xml:space="preserve">UK Gov (2022) </w:t>
      </w:r>
      <w:r w:rsidRPr="00DE6D1F">
        <w:rPr>
          <w:rFonts w:cs="Arial"/>
          <w:i/>
          <w:iCs/>
        </w:rPr>
        <w:t>Final report on progress to address COVID-19 health inequalities</w:t>
      </w:r>
      <w:r w:rsidRPr="00DE6D1F">
        <w:rPr>
          <w:rFonts w:cs="Arial"/>
        </w:rPr>
        <w:t xml:space="preserve"> Available at:  </w:t>
      </w:r>
      <w:r w:rsidRPr="00731AFB">
        <w:rPr>
          <w:rFonts w:cs="Arial"/>
        </w:rPr>
        <w:t>Final report on progress to address COVID-19 health inequalities - GOV.UK</w:t>
      </w:r>
      <w:r w:rsidRPr="00DE6D1F">
        <w:rPr>
          <w:rFonts w:cs="Arial"/>
        </w:rPr>
        <w:t xml:space="preserve"> (Accessed: 5 March 2026)</w:t>
      </w:r>
    </w:p>
    <w:p w14:paraId="720E4D82" w14:textId="5A809022" w:rsidR="00D66F31" w:rsidRPr="00DE6D1F" w:rsidRDefault="00D66F31" w:rsidP="00731AFB">
      <w:pPr>
        <w:jc w:val="left"/>
        <w:rPr>
          <w:rFonts w:cs="Arial"/>
        </w:rPr>
      </w:pPr>
      <w:r w:rsidRPr="00DE6D1F">
        <w:rPr>
          <w:rFonts w:cs="Arial"/>
        </w:rPr>
        <w:t xml:space="preserve">UK Parliament (2020), </w:t>
      </w:r>
      <w:r w:rsidRPr="00DE6D1F">
        <w:rPr>
          <w:rFonts w:cs="Arial"/>
          <w:i/>
          <w:iCs/>
        </w:rPr>
        <w:t>Impact of COVID-19 on different ethnic minority groups,</w:t>
      </w:r>
      <w:r w:rsidRPr="00DE6D1F">
        <w:rPr>
          <w:rFonts w:cs="Arial"/>
        </w:rPr>
        <w:t xml:space="preserve"> Available at: </w:t>
      </w:r>
      <w:r w:rsidRPr="00731AFB">
        <w:rPr>
          <w:rFonts w:cs="Arial"/>
        </w:rPr>
        <w:t>https://post.parliament.uk/impact-of-covid-19-on-different-ethnic-minority-groups/</w:t>
      </w:r>
      <w:r w:rsidRPr="00DE6D1F">
        <w:rPr>
          <w:rFonts w:cs="Arial"/>
        </w:rPr>
        <w:t xml:space="preserve"> (Accessed: 5 March 2026)</w:t>
      </w:r>
    </w:p>
    <w:p w14:paraId="29C06E83" w14:textId="035328A6" w:rsidR="00D66F31" w:rsidRPr="00DE6D1F" w:rsidRDefault="00D66F31" w:rsidP="00731AFB">
      <w:pPr>
        <w:jc w:val="left"/>
        <w:rPr>
          <w:rFonts w:cs="Arial"/>
        </w:rPr>
      </w:pPr>
      <w:r w:rsidRPr="00DE6D1F">
        <w:rPr>
          <w:rFonts w:cs="Arial"/>
        </w:rPr>
        <w:t xml:space="preserve">Van Bortel, T., Lombardo, C., Guo, L., Solomon, S., Martin, S., Hughes, K., Weeks, L., </w:t>
      </w:r>
      <w:proofErr w:type="spellStart"/>
      <w:r w:rsidRPr="00DE6D1F">
        <w:rPr>
          <w:rFonts w:cs="Arial"/>
        </w:rPr>
        <w:t>Crepaz</w:t>
      </w:r>
      <w:proofErr w:type="spellEnd"/>
      <w:r w:rsidRPr="00DE6D1F">
        <w:rPr>
          <w:rFonts w:cs="Arial"/>
        </w:rPr>
        <w:t>-Keay, D., McDaid, S., Chantler, O. and Thorpe, L., (2022). ‘The mental health experiences of ethnic minorities in the UK during the Coronavirus pandemic: A qualitative exploration.’ </w:t>
      </w:r>
      <w:r w:rsidRPr="00DE6D1F">
        <w:rPr>
          <w:rFonts w:cs="Arial"/>
          <w:i/>
          <w:iCs/>
        </w:rPr>
        <w:t>Frontiers in public health</w:t>
      </w:r>
      <w:r w:rsidRPr="00DE6D1F">
        <w:rPr>
          <w:rFonts w:cs="Arial"/>
        </w:rPr>
        <w:t>, </w:t>
      </w:r>
      <w:r w:rsidRPr="00DE6D1F">
        <w:rPr>
          <w:rFonts w:cs="Arial"/>
          <w:i/>
          <w:iCs/>
        </w:rPr>
        <w:t>10</w:t>
      </w:r>
      <w:r w:rsidRPr="00DE6D1F">
        <w:rPr>
          <w:rFonts w:cs="Arial"/>
        </w:rPr>
        <w:t xml:space="preserve">, p.875198. Available at:  </w:t>
      </w:r>
      <w:r w:rsidRPr="00731AFB">
        <w:rPr>
          <w:rFonts w:cs="Arial"/>
        </w:rPr>
        <w:t>https://www.frontiersin.org/journals/public-health/articles/10.3389/fpubh.2022.875198/pdf</w:t>
      </w:r>
      <w:r w:rsidRPr="00DE6D1F">
        <w:rPr>
          <w:rFonts w:cs="Arial"/>
        </w:rPr>
        <w:t xml:space="preserve"> (Accessed: 5 March 2026)</w:t>
      </w:r>
    </w:p>
    <w:p w14:paraId="303C7FE1" w14:textId="77777777" w:rsidR="00D66F31" w:rsidRPr="00DE6D1F" w:rsidRDefault="00D66F31" w:rsidP="00731AFB">
      <w:pPr>
        <w:jc w:val="left"/>
        <w:rPr>
          <w:rFonts w:cs="Arial"/>
        </w:rPr>
      </w:pPr>
      <w:proofErr w:type="spellStart"/>
      <w:r w:rsidRPr="00DE6D1F">
        <w:rPr>
          <w:rFonts w:cs="Arial"/>
        </w:rPr>
        <w:t>Vanderslott</w:t>
      </w:r>
      <w:proofErr w:type="spellEnd"/>
      <w:r w:rsidRPr="00DE6D1F">
        <w:rPr>
          <w:rFonts w:cs="Arial"/>
        </w:rPr>
        <w:t xml:space="preserve">, S., Joynes-Burgess, K., Kadambari, S., O'Dwyer, E. and </w:t>
      </w:r>
      <w:proofErr w:type="spellStart"/>
      <w:r w:rsidRPr="00DE6D1F">
        <w:rPr>
          <w:rFonts w:cs="Arial"/>
        </w:rPr>
        <w:t>Alidu</w:t>
      </w:r>
      <w:proofErr w:type="spellEnd"/>
      <w:r w:rsidRPr="00DE6D1F">
        <w:rPr>
          <w:rFonts w:cs="Arial"/>
        </w:rPr>
        <w:t>, L., (2024). ‘Examining the role of community champions to promote vaccine uptake in under-served communities in the United Kingdom: Lessons from the COVID-19 pandemic.’ </w:t>
      </w:r>
      <w:r w:rsidRPr="00DE6D1F">
        <w:rPr>
          <w:rFonts w:cs="Arial"/>
          <w:i/>
          <w:iCs/>
        </w:rPr>
        <w:t>SSM-Qualitative Research in Health</w:t>
      </w:r>
      <w:r w:rsidRPr="00DE6D1F">
        <w:rPr>
          <w:rFonts w:cs="Arial"/>
        </w:rPr>
        <w:t>, </w:t>
      </w:r>
      <w:r w:rsidRPr="00DE6D1F">
        <w:rPr>
          <w:rFonts w:cs="Arial"/>
          <w:i/>
          <w:iCs/>
        </w:rPr>
        <w:t>5</w:t>
      </w:r>
      <w:r w:rsidRPr="00DE6D1F">
        <w:rPr>
          <w:rFonts w:cs="Arial"/>
        </w:rPr>
        <w:t>, Available at: https://www.sciencedirect.com/science/article/pii/S2667321524000453 (Accessed: 5 March 2026)</w:t>
      </w:r>
    </w:p>
    <w:p w14:paraId="1C02B1BC" w14:textId="3C14C3B2" w:rsidR="00D66F31" w:rsidRPr="00DE6D1F" w:rsidRDefault="00D66F31" w:rsidP="00731AFB">
      <w:pPr>
        <w:jc w:val="left"/>
        <w:rPr>
          <w:rFonts w:cs="Arial"/>
        </w:rPr>
      </w:pPr>
      <w:r w:rsidRPr="00DE6D1F">
        <w:rPr>
          <w:rFonts w:cs="Arial"/>
        </w:rPr>
        <w:lastRenderedPageBreak/>
        <w:t>Zhang, N., Yang, S. and Jia, P., (2022). ‘Cultivating resilience during the COVID-19 pandemic: A socioecological perspective.’ </w:t>
      </w:r>
      <w:r w:rsidRPr="00DE6D1F">
        <w:rPr>
          <w:rFonts w:cs="Arial"/>
          <w:i/>
          <w:iCs/>
        </w:rPr>
        <w:t>Annual review of psychology</w:t>
      </w:r>
      <w:r w:rsidRPr="00DE6D1F">
        <w:rPr>
          <w:rFonts w:cs="Arial"/>
        </w:rPr>
        <w:t>, </w:t>
      </w:r>
      <w:r w:rsidRPr="00DE6D1F">
        <w:rPr>
          <w:rFonts w:cs="Arial"/>
          <w:i/>
          <w:iCs/>
        </w:rPr>
        <w:t>73</w:t>
      </w:r>
      <w:r w:rsidRPr="00DE6D1F">
        <w:rPr>
          <w:rFonts w:cs="Arial"/>
        </w:rPr>
        <w:t xml:space="preserve">(1), pp.575-598. Available at:  </w:t>
      </w:r>
      <w:r w:rsidRPr="00731AFB">
        <w:rPr>
          <w:rFonts w:cs="Arial"/>
        </w:rPr>
        <w:t>https://www.annualreviews.org/content/journals/10.1146/annurev-psych-030221-031857?crawler=true&amp;mimetype=application/pdf</w:t>
      </w:r>
      <w:r w:rsidRPr="00DE6D1F">
        <w:rPr>
          <w:rFonts w:cs="Arial"/>
        </w:rPr>
        <w:t xml:space="preserve"> (Accessed: 5 March 2026)</w:t>
      </w:r>
    </w:p>
    <w:p w14:paraId="44017FC8" w14:textId="77777777" w:rsidR="00D66F31" w:rsidRPr="00DE6D1F" w:rsidRDefault="00D66F31" w:rsidP="00731AFB">
      <w:pPr>
        <w:spacing w:line="259" w:lineRule="auto"/>
        <w:jc w:val="left"/>
        <w:rPr>
          <w:rFonts w:cs="Arial"/>
        </w:rPr>
      </w:pPr>
      <w:r w:rsidRPr="00DE6D1F">
        <w:rPr>
          <w:rFonts w:cs="Arial"/>
        </w:rPr>
        <w:br w:type="page"/>
      </w:r>
    </w:p>
    <w:p w14:paraId="422FA587" w14:textId="77777777" w:rsidR="00D66F31" w:rsidRPr="00DE6D1F" w:rsidRDefault="00D66F31" w:rsidP="00D66F31">
      <w:pPr>
        <w:pStyle w:val="Heading1"/>
      </w:pPr>
      <w:bookmarkStart w:id="90" w:name="_Toc223650692"/>
      <w:r w:rsidRPr="00DE6D1F">
        <w:lastRenderedPageBreak/>
        <w:t>Appendix A: Results summary table for source tracking</w:t>
      </w:r>
      <w:bookmarkEnd w:id="90"/>
    </w:p>
    <w:tbl>
      <w:tblPr>
        <w:tblStyle w:val="TableGrid"/>
        <w:tblW w:w="0" w:type="auto"/>
        <w:tblLook w:val="04A0" w:firstRow="1" w:lastRow="0" w:firstColumn="1" w:lastColumn="0" w:noHBand="0" w:noVBand="1"/>
      </w:tblPr>
      <w:tblGrid>
        <w:gridCol w:w="1491"/>
        <w:gridCol w:w="1722"/>
        <w:gridCol w:w="1347"/>
        <w:gridCol w:w="1455"/>
        <w:gridCol w:w="1795"/>
        <w:gridCol w:w="1540"/>
      </w:tblGrid>
      <w:tr w:rsidR="00D66F31" w:rsidRPr="00DE6D1F" w14:paraId="7C0C6DA4" w14:textId="77777777" w:rsidTr="005A1D3E">
        <w:tc>
          <w:tcPr>
            <w:tcW w:w="1882" w:type="dxa"/>
          </w:tcPr>
          <w:p w14:paraId="38EDFF37" w14:textId="77777777" w:rsidR="00D66F31" w:rsidRPr="00DE6D1F" w:rsidRDefault="00D66F31" w:rsidP="005A1D3E">
            <w:pPr>
              <w:jc w:val="center"/>
              <w:rPr>
                <w:b/>
                <w:bCs/>
              </w:rPr>
            </w:pPr>
            <w:r w:rsidRPr="00DE6D1F">
              <w:rPr>
                <w:b/>
                <w:bCs/>
              </w:rPr>
              <w:t>Author and year</w:t>
            </w:r>
          </w:p>
        </w:tc>
        <w:tc>
          <w:tcPr>
            <w:tcW w:w="1882" w:type="dxa"/>
          </w:tcPr>
          <w:p w14:paraId="1D64AC49" w14:textId="77777777" w:rsidR="00D66F31" w:rsidRPr="00DE6D1F" w:rsidRDefault="00D66F31" w:rsidP="005A1D3E">
            <w:pPr>
              <w:jc w:val="center"/>
              <w:rPr>
                <w:b/>
                <w:bCs/>
              </w:rPr>
            </w:pPr>
            <w:r w:rsidRPr="00DE6D1F">
              <w:rPr>
                <w:b/>
                <w:bCs/>
              </w:rPr>
              <w:t>Title</w:t>
            </w:r>
          </w:p>
        </w:tc>
        <w:tc>
          <w:tcPr>
            <w:tcW w:w="1882" w:type="dxa"/>
          </w:tcPr>
          <w:p w14:paraId="3A32350D" w14:textId="77777777" w:rsidR="00D66F31" w:rsidRPr="00DE6D1F" w:rsidRDefault="00D66F31" w:rsidP="005A1D3E">
            <w:pPr>
              <w:jc w:val="center"/>
              <w:rPr>
                <w:b/>
                <w:bCs/>
              </w:rPr>
            </w:pPr>
            <w:r w:rsidRPr="00DE6D1F">
              <w:rPr>
                <w:b/>
                <w:bCs/>
              </w:rPr>
              <w:t>Type of study</w:t>
            </w:r>
          </w:p>
        </w:tc>
        <w:tc>
          <w:tcPr>
            <w:tcW w:w="1882" w:type="dxa"/>
          </w:tcPr>
          <w:p w14:paraId="332A06F8" w14:textId="77777777" w:rsidR="00D66F31" w:rsidRPr="00DE6D1F" w:rsidRDefault="00D66F31" w:rsidP="005A1D3E">
            <w:pPr>
              <w:jc w:val="center"/>
              <w:rPr>
                <w:b/>
                <w:bCs/>
              </w:rPr>
            </w:pPr>
            <w:r w:rsidRPr="00DE6D1F">
              <w:rPr>
                <w:b/>
                <w:bCs/>
              </w:rPr>
              <w:t>Method and sample</w:t>
            </w:r>
          </w:p>
        </w:tc>
        <w:tc>
          <w:tcPr>
            <w:tcW w:w="1883" w:type="dxa"/>
          </w:tcPr>
          <w:p w14:paraId="6E5A2A5D" w14:textId="77777777" w:rsidR="00D66F31" w:rsidRPr="00DE6D1F" w:rsidRDefault="00D66F31" w:rsidP="005A1D3E">
            <w:pPr>
              <w:jc w:val="center"/>
              <w:rPr>
                <w:b/>
                <w:bCs/>
              </w:rPr>
            </w:pPr>
            <w:r w:rsidRPr="00DE6D1F">
              <w:rPr>
                <w:b/>
                <w:bCs/>
              </w:rPr>
              <w:t>Main findings</w:t>
            </w:r>
          </w:p>
        </w:tc>
        <w:tc>
          <w:tcPr>
            <w:tcW w:w="1883" w:type="dxa"/>
          </w:tcPr>
          <w:p w14:paraId="14181C90" w14:textId="77777777" w:rsidR="00D66F31" w:rsidRPr="00DE6D1F" w:rsidRDefault="00D66F31" w:rsidP="005A1D3E">
            <w:pPr>
              <w:jc w:val="center"/>
              <w:rPr>
                <w:b/>
                <w:bCs/>
              </w:rPr>
            </w:pPr>
            <w:r w:rsidRPr="00DE6D1F">
              <w:rPr>
                <w:b/>
                <w:bCs/>
              </w:rPr>
              <w:t>Codes</w:t>
            </w:r>
          </w:p>
        </w:tc>
      </w:tr>
      <w:tr w:rsidR="00D66F31" w:rsidRPr="00DE6D1F" w14:paraId="19443FB1" w14:textId="77777777" w:rsidTr="005A1D3E">
        <w:tc>
          <w:tcPr>
            <w:tcW w:w="1882" w:type="dxa"/>
          </w:tcPr>
          <w:p w14:paraId="03D728AA" w14:textId="77777777" w:rsidR="00D66F31" w:rsidRPr="00DE6D1F" w:rsidRDefault="00D66F31" w:rsidP="005A1D3E">
            <w:proofErr w:type="spellStart"/>
            <w:r w:rsidRPr="00DE6D1F">
              <w:t>Kapilashrami</w:t>
            </w:r>
            <w:proofErr w:type="spellEnd"/>
            <w:r w:rsidRPr="00DE6D1F">
              <w:t xml:space="preserve"> et al., 2022</w:t>
            </w:r>
          </w:p>
        </w:tc>
        <w:tc>
          <w:tcPr>
            <w:tcW w:w="1882" w:type="dxa"/>
          </w:tcPr>
          <w:p w14:paraId="703FAD70" w14:textId="77777777" w:rsidR="00D66F31" w:rsidRPr="00DE6D1F" w:rsidRDefault="00D66F31" w:rsidP="005A1D3E">
            <w:r w:rsidRPr="00DE6D1F">
              <w:t>Ethnic disparities in health &amp; social care workers’ exposure, protection and clinical management of the Covid 19 pandemic in the UK</w:t>
            </w:r>
          </w:p>
        </w:tc>
        <w:tc>
          <w:tcPr>
            <w:tcW w:w="1882" w:type="dxa"/>
          </w:tcPr>
          <w:p w14:paraId="55ED9DEB" w14:textId="77777777" w:rsidR="00D66F31" w:rsidRPr="00DE6D1F" w:rsidRDefault="00D66F31" w:rsidP="005A1D3E">
            <w:r w:rsidRPr="00DE6D1F">
              <w:t xml:space="preserve">Primary quantitative research </w:t>
            </w:r>
          </w:p>
        </w:tc>
        <w:tc>
          <w:tcPr>
            <w:tcW w:w="1882" w:type="dxa"/>
          </w:tcPr>
          <w:p w14:paraId="17D02082" w14:textId="77777777" w:rsidR="00D66F31" w:rsidRPr="00DE6D1F" w:rsidRDefault="00D66F31" w:rsidP="005A1D3E">
            <w:r w:rsidRPr="00DE6D1F">
              <w:t xml:space="preserve">Cross-sectional survey with 456 healthcare workers </w:t>
            </w:r>
          </w:p>
        </w:tc>
        <w:tc>
          <w:tcPr>
            <w:tcW w:w="1883" w:type="dxa"/>
          </w:tcPr>
          <w:p w14:paraId="267BD06D" w14:textId="77777777" w:rsidR="00D66F31" w:rsidRPr="00DE6D1F" w:rsidRDefault="00D66F31" w:rsidP="005A1D3E">
            <w:r w:rsidRPr="00DE6D1F">
              <w:t>Ethnic disparities, workplace hazards, disproportionate responsibility for the clinical management of infection and systemic racial bias in the appointment of minority ethnic nursing staff to Covid 19 areas</w:t>
            </w:r>
          </w:p>
        </w:tc>
        <w:tc>
          <w:tcPr>
            <w:tcW w:w="1883" w:type="dxa"/>
          </w:tcPr>
          <w:p w14:paraId="76F7BE16" w14:textId="77777777" w:rsidR="00D66F31" w:rsidRPr="00DE6D1F" w:rsidRDefault="00D66F31" w:rsidP="005A1D3E">
            <w:r w:rsidRPr="00DE6D1F">
              <w:t>Ethnic disparities, racial bias</w:t>
            </w:r>
          </w:p>
        </w:tc>
      </w:tr>
      <w:tr w:rsidR="00D66F31" w:rsidRPr="00DE6D1F" w14:paraId="30C88181" w14:textId="77777777" w:rsidTr="005A1D3E">
        <w:tc>
          <w:tcPr>
            <w:tcW w:w="1882" w:type="dxa"/>
          </w:tcPr>
          <w:p w14:paraId="6A4C19C7" w14:textId="77777777" w:rsidR="00D66F31" w:rsidRPr="00DE6D1F" w:rsidRDefault="00D66F31" w:rsidP="005A1D3E">
            <w:r w:rsidRPr="00DE6D1F">
              <w:t>Daga et al., 2020</w:t>
            </w:r>
          </w:p>
        </w:tc>
        <w:tc>
          <w:tcPr>
            <w:tcW w:w="1882" w:type="dxa"/>
          </w:tcPr>
          <w:p w14:paraId="0485D524" w14:textId="77777777" w:rsidR="00D66F31" w:rsidRPr="00DE6D1F" w:rsidRDefault="00D66F31" w:rsidP="005A1D3E">
            <w:r w:rsidRPr="00DE6D1F">
              <w:t>Self-reported occupational risk for Covid 19 in hospital doctors from black Asian and minority ethnic communities in UK</w:t>
            </w:r>
          </w:p>
        </w:tc>
        <w:tc>
          <w:tcPr>
            <w:tcW w:w="1882" w:type="dxa"/>
          </w:tcPr>
          <w:p w14:paraId="1D4E847F" w14:textId="77777777" w:rsidR="00D66F31" w:rsidRPr="00DE6D1F" w:rsidRDefault="00D66F31" w:rsidP="005A1D3E">
            <w:r w:rsidRPr="00DE6D1F">
              <w:t>Secondary quantitative research</w:t>
            </w:r>
          </w:p>
        </w:tc>
        <w:tc>
          <w:tcPr>
            <w:tcW w:w="1882" w:type="dxa"/>
          </w:tcPr>
          <w:p w14:paraId="683DBB60" w14:textId="77777777" w:rsidR="00D66F31" w:rsidRPr="00DE6D1F" w:rsidRDefault="00D66F31" w:rsidP="005A1D3E">
            <w:r w:rsidRPr="00DE6D1F">
              <w:t>Sub analysis of a larger survey with health care workers</w:t>
            </w:r>
          </w:p>
        </w:tc>
        <w:tc>
          <w:tcPr>
            <w:tcW w:w="1883" w:type="dxa"/>
          </w:tcPr>
          <w:p w14:paraId="234A3768" w14:textId="77777777" w:rsidR="00D66F31" w:rsidRPr="00DE6D1F" w:rsidRDefault="00D66F31" w:rsidP="005A1D3E">
            <w:r w:rsidRPr="00DE6D1F">
              <w:t xml:space="preserve">Lower access to personal protection and less compliance with social distancing for the minorities. Inability to self-isolate explained a 1.7 times higher risk of Covid 19 for the minorities </w:t>
            </w:r>
          </w:p>
        </w:tc>
        <w:tc>
          <w:tcPr>
            <w:tcW w:w="1883" w:type="dxa"/>
          </w:tcPr>
          <w:p w14:paraId="713C48FA" w14:textId="77777777" w:rsidR="00D66F31" w:rsidRPr="00DE6D1F" w:rsidRDefault="00D66F31" w:rsidP="005A1D3E">
            <w:r w:rsidRPr="00DE6D1F">
              <w:t>Lower access to personal protection, inability to self-isolate</w:t>
            </w:r>
          </w:p>
        </w:tc>
      </w:tr>
      <w:tr w:rsidR="00D66F31" w:rsidRPr="00DE6D1F" w14:paraId="316F8F39" w14:textId="77777777" w:rsidTr="005A1D3E">
        <w:tc>
          <w:tcPr>
            <w:tcW w:w="1882" w:type="dxa"/>
          </w:tcPr>
          <w:p w14:paraId="171CEDE2" w14:textId="77777777" w:rsidR="00D66F31" w:rsidRPr="00DE6D1F" w:rsidRDefault="00D66F31" w:rsidP="005A1D3E">
            <w:r w:rsidRPr="00DE6D1F">
              <w:lastRenderedPageBreak/>
              <w:t>Van Bortel et al., 2022</w:t>
            </w:r>
          </w:p>
        </w:tc>
        <w:tc>
          <w:tcPr>
            <w:tcW w:w="1882" w:type="dxa"/>
          </w:tcPr>
          <w:p w14:paraId="4BDEBD89" w14:textId="77777777" w:rsidR="00D66F31" w:rsidRPr="00DE6D1F" w:rsidRDefault="00D66F31" w:rsidP="005A1D3E">
            <w:r w:rsidRPr="00DE6D1F">
              <w:t>The mental health experiences of ethnic minorities in the UK during the Coronavirus pandemic: A qualitative exploration</w:t>
            </w:r>
          </w:p>
        </w:tc>
        <w:tc>
          <w:tcPr>
            <w:tcW w:w="1882" w:type="dxa"/>
          </w:tcPr>
          <w:p w14:paraId="3B1A00B8" w14:textId="77777777" w:rsidR="00D66F31" w:rsidRPr="00DE6D1F" w:rsidRDefault="00D66F31" w:rsidP="005A1D3E">
            <w:r w:rsidRPr="00DE6D1F">
              <w:t>Primary qualitative research</w:t>
            </w:r>
          </w:p>
        </w:tc>
        <w:tc>
          <w:tcPr>
            <w:tcW w:w="1882" w:type="dxa"/>
          </w:tcPr>
          <w:p w14:paraId="6F9A656A" w14:textId="77777777" w:rsidR="00D66F31" w:rsidRPr="00DE6D1F" w:rsidRDefault="00D66F31" w:rsidP="005A1D3E">
            <w:r w:rsidRPr="00DE6D1F">
              <w:t xml:space="preserve">Exploratory qualitative study involving respondents from ethnic communities across the UK </w:t>
            </w:r>
          </w:p>
        </w:tc>
        <w:tc>
          <w:tcPr>
            <w:tcW w:w="1883" w:type="dxa"/>
          </w:tcPr>
          <w:p w14:paraId="113173CB" w14:textId="77777777" w:rsidR="00D66F31" w:rsidRPr="00DE6D1F" w:rsidRDefault="00D66F31" w:rsidP="005A1D3E">
            <w:r w:rsidRPr="00DE6D1F">
              <w:t>Varying pandemic mental health experiences of ethnic minorities in the UK</w:t>
            </w:r>
          </w:p>
        </w:tc>
        <w:tc>
          <w:tcPr>
            <w:tcW w:w="1883" w:type="dxa"/>
          </w:tcPr>
          <w:p w14:paraId="3133F5F5" w14:textId="77777777" w:rsidR="00D66F31" w:rsidRPr="00DE6D1F" w:rsidRDefault="00D66F31" w:rsidP="005A1D3E">
            <w:r w:rsidRPr="00DE6D1F">
              <w:t>mental health experiences, ethnic minorities</w:t>
            </w:r>
          </w:p>
        </w:tc>
      </w:tr>
      <w:tr w:rsidR="00D66F31" w:rsidRPr="00DE6D1F" w14:paraId="1A407805" w14:textId="77777777" w:rsidTr="005A1D3E">
        <w:tc>
          <w:tcPr>
            <w:tcW w:w="1882" w:type="dxa"/>
          </w:tcPr>
          <w:p w14:paraId="1FD641AB" w14:textId="77777777" w:rsidR="00D66F31" w:rsidRPr="00DE6D1F" w:rsidRDefault="00D66F31" w:rsidP="005A1D3E">
            <w:proofErr w:type="spellStart"/>
            <w:r w:rsidRPr="00DE6D1F">
              <w:t>Abuelgasim</w:t>
            </w:r>
            <w:proofErr w:type="spellEnd"/>
            <w:r w:rsidRPr="00DE6D1F">
              <w:t xml:space="preserve"> et al., 2020</w:t>
            </w:r>
          </w:p>
        </w:tc>
        <w:tc>
          <w:tcPr>
            <w:tcW w:w="1882" w:type="dxa"/>
          </w:tcPr>
          <w:p w14:paraId="79A20D4B" w14:textId="77777777" w:rsidR="00D66F31" w:rsidRPr="00DE6D1F" w:rsidRDefault="00D66F31" w:rsidP="005A1D3E">
            <w:r w:rsidRPr="00DE6D1F">
              <w:t>Unique public health issues facing Black, Asian and minority ethnic communities</w:t>
            </w:r>
          </w:p>
        </w:tc>
        <w:tc>
          <w:tcPr>
            <w:tcW w:w="1882" w:type="dxa"/>
          </w:tcPr>
          <w:p w14:paraId="58E4DDB9" w14:textId="77777777" w:rsidR="00D66F31" w:rsidRPr="00DE6D1F" w:rsidRDefault="00D66F31" w:rsidP="005A1D3E">
            <w:r w:rsidRPr="00DE6D1F">
              <w:t>Secondary qualitative research</w:t>
            </w:r>
          </w:p>
        </w:tc>
        <w:tc>
          <w:tcPr>
            <w:tcW w:w="1882" w:type="dxa"/>
          </w:tcPr>
          <w:p w14:paraId="5F1AD633" w14:textId="77777777" w:rsidR="00D66F31" w:rsidRPr="00DE6D1F" w:rsidRDefault="00D66F31" w:rsidP="005A1D3E">
            <w:r w:rsidRPr="00DE6D1F">
              <w:t xml:space="preserve">Review of existing literature on public health issues facing ethnic minorities in the UK </w:t>
            </w:r>
          </w:p>
        </w:tc>
        <w:tc>
          <w:tcPr>
            <w:tcW w:w="1883" w:type="dxa"/>
          </w:tcPr>
          <w:p w14:paraId="2398541F" w14:textId="77777777" w:rsidR="00D66F31" w:rsidRPr="00DE6D1F" w:rsidRDefault="00D66F31" w:rsidP="005A1D3E">
            <w:r w:rsidRPr="00DE6D1F">
              <w:t xml:space="preserve">Link between ethnicity, incidence and outcomes of Covid 19 for the ethnic minorities  </w:t>
            </w:r>
          </w:p>
        </w:tc>
        <w:tc>
          <w:tcPr>
            <w:tcW w:w="1883" w:type="dxa"/>
          </w:tcPr>
          <w:p w14:paraId="25DFEAD3" w14:textId="77777777" w:rsidR="00D66F31" w:rsidRPr="00DE6D1F" w:rsidRDefault="00D66F31" w:rsidP="005A1D3E">
            <w:r w:rsidRPr="00DE6D1F">
              <w:t>Outcomes of Covid 19</w:t>
            </w:r>
          </w:p>
        </w:tc>
      </w:tr>
      <w:tr w:rsidR="00D66F31" w:rsidRPr="00DE6D1F" w14:paraId="2701D148" w14:textId="77777777" w:rsidTr="005A1D3E">
        <w:tc>
          <w:tcPr>
            <w:tcW w:w="1882" w:type="dxa"/>
          </w:tcPr>
          <w:p w14:paraId="364929B7" w14:textId="77777777" w:rsidR="00D66F31" w:rsidRPr="00DE6D1F" w:rsidRDefault="00D66F31" w:rsidP="005A1D3E">
            <w:r w:rsidRPr="00DE6D1F">
              <w:t>Karlsen and Nelson, 2021</w:t>
            </w:r>
          </w:p>
        </w:tc>
        <w:tc>
          <w:tcPr>
            <w:tcW w:w="1882" w:type="dxa"/>
          </w:tcPr>
          <w:p w14:paraId="2FD2196A" w14:textId="77777777" w:rsidR="00D66F31" w:rsidRPr="00DE6D1F" w:rsidRDefault="00D66F31" w:rsidP="005A1D3E">
            <w:r w:rsidRPr="00DE6D1F">
              <w:t>Staying “one step ahead of a racist”: expanding understandings of the experiences of the covid-19 pandemic among people from minoritized ethnic groups living in Britain</w:t>
            </w:r>
          </w:p>
        </w:tc>
        <w:tc>
          <w:tcPr>
            <w:tcW w:w="1882" w:type="dxa"/>
          </w:tcPr>
          <w:p w14:paraId="2A25B95F" w14:textId="77777777" w:rsidR="00D66F31" w:rsidRPr="00DE6D1F" w:rsidRDefault="00D66F31" w:rsidP="005A1D3E">
            <w:r w:rsidRPr="00DE6D1F">
              <w:t>Primary qualitative research</w:t>
            </w:r>
          </w:p>
        </w:tc>
        <w:tc>
          <w:tcPr>
            <w:tcW w:w="1882" w:type="dxa"/>
          </w:tcPr>
          <w:p w14:paraId="04453E64" w14:textId="77777777" w:rsidR="00D66F31" w:rsidRPr="00DE6D1F" w:rsidRDefault="00D66F31" w:rsidP="005A1D3E">
            <w:r w:rsidRPr="00DE6D1F">
              <w:t>Interview of ethnic groups living in South West England</w:t>
            </w:r>
          </w:p>
        </w:tc>
        <w:tc>
          <w:tcPr>
            <w:tcW w:w="1883" w:type="dxa"/>
          </w:tcPr>
          <w:p w14:paraId="6F7743BD" w14:textId="77777777" w:rsidR="00D66F31" w:rsidRPr="00DE6D1F" w:rsidRDefault="00D66F31" w:rsidP="005A1D3E">
            <w:r w:rsidRPr="00DE6D1F">
              <w:t>Frustration with government and racism in wider society affected confidence in key public institutions, such as the NHS. Barriers to informal local-community pandemic responses.</w:t>
            </w:r>
          </w:p>
        </w:tc>
        <w:tc>
          <w:tcPr>
            <w:tcW w:w="1883" w:type="dxa"/>
          </w:tcPr>
          <w:p w14:paraId="4D6E9974" w14:textId="77777777" w:rsidR="00D66F31" w:rsidRPr="00DE6D1F" w:rsidRDefault="00D66F31" w:rsidP="005A1D3E">
            <w:r w:rsidRPr="00DE6D1F">
              <w:t>Racism, public institutions, local community pandemic responses</w:t>
            </w:r>
          </w:p>
        </w:tc>
      </w:tr>
      <w:tr w:rsidR="00D66F31" w:rsidRPr="00321D06" w14:paraId="79583A6D" w14:textId="77777777" w:rsidTr="005A1D3E">
        <w:tc>
          <w:tcPr>
            <w:tcW w:w="1882" w:type="dxa"/>
          </w:tcPr>
          <w:p w14:paraId="0BC67E57" w14:textId="77777777" w:rsidR="00D66F31" w:rsidRPr="00DE6D1F" w:rsidRDefault="00D66F31" w:rsidP="005A1D3E">
            <w:r w:rsidRPr="00DE6D1F">
              <w:lastRenderedPageBreak/>
              <w:t>South et al., 2024</w:t>
            </w:r>
          </w:p>
        </w:tc>
        <w:tc>
          <w:tcPr>
            <w:tcW w:w="1882" w:type="dxa"/>
          </w:tcPr>
          <w:p w14:paraId="58E99882" w14:textId="77777777" w:rsidR="00D66F31" w:rsidRPr="00DE6D1F" w:rsidRDefault="00D66F31" w:rsidP="005A1D3E">
            <w:r w:rsidRPr="00DE6D1F">
              <w:t>A qualitative synthesis of practice-based learning from case studies on COVID community champion programmes in England, UK</w:t>
            </w:r>
          </w:p>
        </w:tc>
        <w:tc>
          <w:tcPr>
            <w:tcW w:w="1882" w:type="dxa"/>
          </w:tcPr>
          <w:p w14:paraId="148CA951" w14:textId="77777777" w:rsidR="00D66F31" w:rsidRPr="00DE6D1F" w:rsidRDefault="00D66F31" w:rsidP="005A1D3E">
            <w:r w:rsidRPr="00DE6D1F">
              <w:t xml:space="preserve">Qualitative secondary research </w:t>
            </w:r>
          </w:p>
        </w:tc>
        <w:tc>
          <w:tcPr>
            <w:tcW w:w="1882" w:type="dxa"/>
          </w:tcPr>
          <w:p w14:paraId="73484617" w14:textId="77777777" w:rsidR="00D66F31" w:rsidRPr="00DE6D1F" w:rsidRDefault="00D66F31" w:rsidP="005A1D3E">
            <w:r w:rsidRPr="00DE6D1F">
              <w:t>Analysis of 16 Covid community champion case studies</w:t>
            </w:r>
          </w:p>
        </w:tc>
        <w:tc>
          <w:tcPr>
            <w:tcW w:w="1883" w:type="dxa"/>
          </w:tcPr>
          <w:p w14:paraId="36B5CD01" w14:textId="77777777" w:rsidR="00D66F31" w:rsidRPr="00DE6D1F" w:rsidRDefault="00D66F31" w:rsidP="005A1D3E">
            <w:r w:rsidRPr="00DE6D1F">
              <w:t>Stronger relationships with communities identified key to equitable prevention of infection</w:t>
            </w:r>
          </w:p>
        </w:tc>
        <w:tc>
          <w:tcPr>
            <w:tcW w:w="1883" w:type="dxa"/>
          </w:tcPr>
          <w:p w14:paraId="77866186" w14:textId="77777777" w:rsidR="00D66F31" w:rsidRPr="00321D06" w:rsidRDefault="00D66F31" w:rsidP="005A1D3E">
            <w:r w:rsidRPr="00DE6D1F">
              <w:t>Relationships with communities, equitable prevention</w:t>
            </w:r>
          </w:p>
        </w:tc>
      </w:tr>
    </w:tbl>
    <w:p w14:paraId="48C66567" w14:textId="77777777" w:rsidR="00D66F31" w:rsidRPr="00321D06" w:rsidRDefault="00D66F31" w:rsidP="00D66F31"/>
    <w:p w14:paraId="148E9712" w14:textId="77777777" w:rsidR="00D66F31" w:rsidRDefault="00D66F31" w:rsidP="00D66F31">
      <w:pPr>
        <w:ind w:left="360"/>
        <w:rPr>
          <w:rFonts w:cs="Arial"/>
        </w:rPr>
      </w:pPr>
    </w:p>
    <w:p w14:paraId="320DE715" w14:textId="77777777" w:rsidR="00D66F31" w:rsidRPr="00D66F31" w:rsidRDefault="00D66F31" w:rsidP="00D66F31">
      <w:pPr>
        <w:ind w:left="360"/>
        <w:rPr>
          <w:rFonts w:cs="Arial"/>
        </w:rPr>
      </w:pPr>
    </w:p>
    <w:p w14:paraId="23E09C9A" w14:textId="77777777" w:rsidR="000E0E12" w:rsidRPr="00D66F31" w:rsidRDefault="000E0E12" w:rsidP="00D66F31">
      <w:pPr>
        <w:rPr>
          <w:rFonts w:cs="Arial"/>
        </w:rPr>
      </w:pPr>
    </w:p>
    <w:p w14:paraId="7AE493A3" w14:textId="77777777" w:rsidR="000E0E12" w:rsidRPr="00D66F31" w:rsidRDefault="000E0E12" w:rsidP="00D66F31">
      <w:pPr>
        <w:rPr>
          <w:rFonts w:cs="Arial"/>
        </w:rPr>
      </w:pPr>
    </w:p>
    <w:p w14:paraId="2E00D04C" w14:textId="77777777" w:rsidR="000E0E12" w:rsidRPr="00D66F31" w:rsidRDefault="000E0E12" w:rsidP="00D66F31">
      <w:pPr>
        <w:rPr>
          <w:rFonts w:cs="Arial"/>
        </w:rPr>
      </w:pPr>
    </w:p>
    <w:p w14:paraId="7043C5A7" w14:textId="77777777" w:rsidR="000E0E12" w:rsidRPr="00D66F31" w:rsidRDefault="000E0E12" w:rsidP="00D66F31">
      <w:pPr>
        <w:rPr>
          <w:rFonts w:cs="Arial"/>
        </w:rPr>
      </w:pPr>
    </w:p>
    <w:p w14:paraId="730293E5" w14:textId="77777777" w:rsidR="000E0E12" w:rsidRPr="00D66F31" w:rsidRDefault="000E0E12" w:rsidP="00D66F31">
      <w:pPr>
        <w:rPr>
          <w:rFonts w:cs="Arial"/>
        </w:rPr>
      </w:pPr>
    </w:p>
    <w:bookmarkEnd w:id="84"/>
    <w:p w14:paraId="44F0BEB0" w14:textId="77777777" w:rsidR="000E0E12" w:rsidRPr="00D66F31" w:rsidRDefault="000E0E12" w:rsidP="00D66F31">
      <w:pPr>
        <w:rPr>
          <w:rFonts w:cs="Arial"/>
        </w:rPr>
      </w:pPr>
    </w:p>
    <w:p w14:paraId="593A5967" w14:textId="77777777" w:rsidR="000E0E12" w:rsidRPr="00D66F31" w:rsidRDefault="000E0E12" w:rsidP="00D66F31">
      <w:pPr>
        <w:rPr>
          <w:rFonts w:cs="Arial"/>
          <w:lang w:val="en-IN"/>
        </w:rPr>
      </w:pPr>
    </w:p>
    <w:sectPr w:rsidR="000E0E12" w:rsidRPr="00D66F31" w:rsidSect="000E0E12">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69C6F" w14:textId="77777777" w:rsidR="00D06CD1" w:rsidRDefault="00D06CD1" w:rsidP="000E0E12">
      <w:pPr>
        <w:spacing w:after="0" w:line="240" w:lineRule="auto"/>
      </w:pPr>
      <w:r>
        <w:separator/>
      </w:r>
    </w:p>
  </w:endnote>
  <w:endnote w:type="continuationSeparator" w:id="0">
    <w:p w14:paraId="1A1EBECC" w14:textId="77777777" w:rsidR="00D06CD1" w:rsidRDefault="00D06CD1" w:rsidP="000E0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5916569"/>
      <w:docPartObj>
        <w:docPartGallery w:val="Page Numbers (Bottom of Page)"/>
        <w:docPartUnique/>
      </w:docPartObj>
    </w:sdtPr>
    <w:sdtEndPr/>
    <w:sdtContent>
      <w:p w14:paraId="3A7D4292" w14:textId="0590F55D" w:rsidR="00153924" w:rsidRDefault="00153924">
        <w:pPr>
          <w:pStyle w:val="Footer"/>
          <w:jc w:val="right"/>
        </w:pPr>
        <w:r>
          <w:fldChar w:fldCharType="begin"/>
        </w:r>
        <w:r>
          <w:instrText>PAGE   \* MERGEFORMAT</w:instrText>
        </w:r>
        <w:r>
          <w:fldChar w:fldCharType="separate"/>
        </w:r>
        <w:r>
          <w:t>2</w:t>
        </w:r>
        <w:r>
          <w:fldChar w:fldCharType="end"/>
        </w:r>
      </w:p>
    </w:sdtContent>
  </w:sdt>
  <w:p w14:paraId="123339D7" w14:textId="77777777" w:rsidR="00153924" w:rsidRDefault="00153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4C0C9" w14:textId="77777777" w:rsidR="00D06CD1" w:rsidRDefault="00D06CD1" w:rsidP="000E0E12">
      <w:pPr>
        <w:spacing w:after="0" w:line="240" w:lineRule="auto"/>
      </w:pPr>
      <w:r>
        <w:separator/>
      </w:r>
    </w:p>
  </w:footnote>
  <w:footnote w:type="continuationSeparator" w:id="0">
    <w:p w14:paraId="0F1035E3" w14:textId="77777777" w:rsidR="00D06CD1" w:rsidRDefault="00D06CD1" w:rsidP="000E0E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6CB1"/>
    <w:multiLevelType w:val="hybridMultilevel"/>
    <w:tmpl w:val="0AF4A50A"/>
    <w:lvl w:ilvl="0" w:tplc="0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9B86210"/>
    <w:multiLevelType w:val="multilevel"/>
    <w:tmpl w:val="B06466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37121D6"/>
    <w:multiLevelType w:val="multilevel"/>
    <w:tmpl w:val="87F69320"/>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86B2396"/>
    <w:multiLevelType w:val="hybridMultilevel"/>
    <w:tmpl w:val="B866AF86"/>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412963"/>
    <w:multiLevelType w:val="hybridMultilevel"/>
    <w:tmpl w:val="F6E8D7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8763282">
    <w:abstractNumId w:val="5"/>
  </w:num>
  <w:num w:numId="2" w16cid:durableId="469597422">
    <w:abstractNumId w:val="0"/>
  </w:num>
  <w:num w:numId="3" w16cid:durableId="909996741">
    <w:abstractNumId w:val="3"/>
  </w:num>
  <w:num w:numId="4" w16cid:durableId="279999806">
    <w:abstractNumId w:val="1"/>
  </w:num>
  <w:num w:numId="5" w16cid:durableId="190925483">
    <w:abstractNumId w:val="4"/>
  </w:num>
  <w:num w:numId="6" w16cid:durableId="13875591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MxNTU1MwKyjM3MDJR0lIJTi4sz8/NACkxqAQlL3EAsAAAA"/>
  </w:docVars>
  <w:rsids>
    <w:rsidRoot w:val="007D51CB"/>
    <w:rsid w:val="00010FD6"/>
    <w:rsid w:val="00014EC1"/>
    <w:rsid w:val="00040A71"/>
    <w:rsid w:val="0005034B"/>
    <w:rsid w:val="00050F00"/>
    <w:rsid w:val="00053BB5"/>
    <w:rsid w:val="00054FDE"/>
    <w:rsid w:val="00063045"/>
    <w:rsid w:val="00063C77"/>
    <w:rsid w:val="00073D88"/>
    <w:rsid w:val="00076486"/>
    <w:rsid w:val="000804DF"/>
    <w:rsid w:val="00083F83"/>
    <w:rsid w:val="00096D7E"/>
    <w:rsid w:val="000B056D"/>
    <w:rsid w:val="000B5170"/>
    <w:rsid w:val="000C3A82"/>
    <w:rsid w:val="000D393D"/>
    <w:rsid w:val="000E0E12"/>
    <w:rsid w:val="000E1994"/>
    <w:rsid w:val="000E699C"/>
    <w:rsid w:val="000E6D0C"/>
    <w:rsid w:val="000E78A1"/>
    <w:rsid w:val="000F603C"/>
    <w:rsid w:val="00100D1B"/>
    <w:rsid w:val="00136951"/>
    <w:rsid w:val="00137D6A"/>
    <w:rsid w:val="00151F4B"/>
    <w:rsid w:val="00153924"/>
    <w:rsid w:val="00154B88"/>
    <w:rsid w:val="00155EB4"/>
    <w:rsid w:val="00186DDA"/>
    <w:rsid w:val="00195300"/>
    <w:rsid w:val="001A0795"/>
    <w:rsid w:val="001A2133"/>
    <w:rsid w:val="001A223B"/>
    <w:rsid w:val="001A2C02"/>
    <w:rsid w:val="001A2F4B"/>
    <w:rsid w:val="001B7486"/>
    <w:rsid w:val="001D1419"/>
    <w:rsid w:val="001D3091"/>
    <w:rsid w:val="001D3660"/>
    <w:rsid w:val="001D3842"/>
    <w:rsid w:val="001E15E4"/>
    <w:rsid w:val="001F4E15"/>
    <w:rsid w:val="0020557F"/>
    <w:rsid w:val="00206A06"/>
    <w:rsid w:val="002229BE"/>
    <w:rsid w:val="002236E1"/>
    <w:rsid w:val="00230DE5"/>
    <w:rsid w:val="0023531F"/>
    <w:rsid w:val="002441F1"/>
    <w:rsid w:val="002524DD"/>
    <w:rsid w:val="00256ABB"/>
    <w:rsid w:val="002617AB"/>
    <w:rsid w:val="0026423D"/>
    <w:rsid w:val="00264F53"/>
    <w:rsid w:val="00270C31"/>
    <w:rsid w:val="00284680"/>
    <w:rsid w:val="00286F99"/>
    <w:rsid w:val="0029193D"/>
    <w:rsid w:val="00294594"/>
    <w:rsid w:val="00296C9B"/>
    <w:rsid w:val="002A0B43"/>
    <w:rsid w:val="002A6F94"/>
    <w:rsid w:val="002A7069"/>
    <w:rsid w:val="002C05A6"/>
    <w:rsid w:val="002D1843"/>
    <w:rsid w:val="002E2E54"/>
    <w:rsid w:val="002E3F1E"/>
    <w:rsid w:val="002E5D66"/>
    <w:rsid w:val="002E61F2"/>
    <w:rsid w:val="002E6D59"/>
    <w:rsid w:val="002F0094"/>
    <w:rsid w:val="00306F0B"/>
    <w:rsid w:val="00327000"/>
    <w:rsid w:val="00347F3A"/>
    <w:rsid w:val="00350419"/>
    <w:rsid w:val="00350432"/>
    <w:rsid w:val="00356FAE"/>
    <w:rsid w:val="00361AF7"/>
    <w:rsid w:val="00362596"/>
    <w:rsid w:val="00362705"/>
    <w:rsid w:val="0036279C"/>
    <w:rsid w:val="00364D92"/>
    <w:rsid w:val="00366FF2"/>
    <w:rsid w:val="00377F4C"/>
    <w:rsid w:val="00382249"/>
    <w:rsid w:val="003827E5"/>
    <w:rsid w:val="003849F3"/>
    <w:rsid w:val="003917F3"/>
    <w:rsid w:val="00397DB6"/>
    <w:rsid w:val="003B0223"/>
    <w:rsid w:val="003B0BBD"/>
    <w:rsid w:val="003B3517"/>
    <w:rsid w:val="003B4536"/>
    <w:rsid w:val="003B55F1"/>
    <w:rsid w:val="003C0E8C"/>
    <w:rsid w:val="003C10FF"/>
    <w:rsid w:val="003C3D83"/>
    <w:rsid w:val="003D1AF2"/>
    <w:rsid w:val="003D4F06"/>
    <w:rsid w:val="003E2049"/>
    <w:rsid w:val="003E7105"/>
    <w:rsid w:val="003F3105"/>
    <w:rsid w:val="00413A3B"/>
    <w:rsid w:val="0041438D"/>
    <w:rsid w:val="00414DC9"/>
    <w:rsid w:val="00432C95"/>
    <w:rsid w:val="004350CA"/>
    <w:rsid w:val="00457DA6"/>
    <w:rsid w:val="00462F03"/>
    <w:rsid w:val="0046609B"/>
    <w:rsid w:val="00476013"/>
    <w:rsid w:val="00477D5A"/>
    <w:rsid w:val="004865AA"/>
    <w:rsid w:val="004925A3"/>
    <w:rsid w:val="00492DF0"/>
    <w:rsid w:val="00495AB4"/>
    <w:rsid w:val="004A0271"/>
    <w:rsid w:val="004A3BC5"/>
    <w:rsid w:val="004B12A3"/>
    <w:rsid w:val="004C201C"/>
    <w:rsid w:val="004C5C26"/>
    <w:rsid w:val="004D03E8"/>
    <w:rsid w:val="004E3289"/>
    <w:rsid w:val="004F6567"/>
    <w:rsid w:val="004F66FE"/>
    <w:rsid w:val="00506CCE"/>
    <w:rsid w:val="00514CCD"/>
    <w:rsid w:val="00516EC7"/>
    <w:rsid w:val="0054523F"/>
    <w:rsid w:val="00547FB1"/>
    <w:rsid w:val="005574E4"/>
    <w:rsid w:val="0056374F"/>
    <w:rsid w:val="0057267E"/>
    <w:rsid w:val="00583B43"/>
    <w:rsid w:val="00585A2D"/>
    <w:rsid w:val="005A72E4"/>
    <w:rsid w:val="005D051D"/>
    <w:rsid w:val="005D5085"/>
    <w:rsid w:val="005E53F6"/>
    <w:rsid w:val="005E5930"/>
    <w:rsid w:val="005E6D8E"/>
    <w:rsid w:val="005F0040"/>
    <w:rsid w:val="00603DCC"/>
    <w:rsid w:val="00612AD4"/>
    <w:rsid w:val="0062000F"/>
    <w:rsid w:val="00625389"/>
    <w:rsid w:val="0062780E"/>
    <w:rsid w:val="006440B4"/>
    <w:rsid w:val="00662C26"/>
    <w:rsid w:val="00673990"/>
    <w:rsid w:val="00680D05"/>
    <w:rsid w:val="00690BDE"/>
    <w:rsid w:val="006C225E"/>
    <w:rsid w:val="006C2A0A"/>
    <w:rsid w:val="006C4436"/>
    <w:rsid w:val="006C7C3C"/>
    <w:rsid w:val="006D24AE"/>
    <w:rsid w:val="006D58EB"/>
    <w:rsid w:val="006E77C5"/>
    <w:rsid w:val="006F503A"/>
    <w:rsid w:val="00711A63"/>
    <w:rsid w:val="00721422"/>
    <w:rsid w:val="007243C5"/>
    <w:rsid w:val="00724FA1"/>
    <w:rsid w:val="00725B30"/>
    <w:rsid w:val="00731AFB"/>
    <w:rsid w:val="00735E40"/>
    <w:rsid w:val="00745CB1"/>
    <w:rsid w:val="00747B8B"/>
    <w:rsid w:val="007642D5"/>
    <w:rsid w:val="00764E7D"/>
    <w:rsid w:val="007655BC"/>
    <w:rsid w:val="0076589B"/>
    <w:rsid w:val="00765E7D"/>
    <w:rsid w:val="00773686"/>
    <w:rsid w:val="00793A71"/>
    <w:rsid w:val="007A5F52"/>
    <w:rsid w:val="007B284B"/>
    <w:rsid w:val="007B4013"/>
    <w:rsid w:val="007B565B"/>
    <w:rsid w:val="007B56EF"/>
    <w:rsid w:val="007C3467"/>
    <w:rsid w:val="007C4D5A"/>
    <w:rsid w:val="007C6437"/>
    <w:rsid w:val="007D3C42"/>
    <w:rsid w:val="007D3FFC"/>
    <w:rsid w:val="007D51CB"/>
    <w:rsid w:val="0080581D"/>
    <w:rsid w:val="00812A7C"/>
    <w:rsid w:val="00812DF3"/>
    <w:rsid w:val="00813A6E"/>
    <w:rsid w:val="008200E8"/>
    <w:rsid w:val="00824636"/>
    <w:rsid w:val="0083007F"/>
    <w:rsid w:val="00845CC9"/>
    <w:rsid w:val="0085239B"/>
    <w:rsid w:val="0085266A"/>
    <w:rsid w:val="0087549B"/>
    <w:rsid w:val="00880E86"/>
    <w:rsid w:val="00881512"/>
    <w:rsid w:val="00882C01"/>
    <w:rsid w:val="00884D9B"/>
    <w:rsid w:val="00890306"/>
    <w:rsid w:val="008A0A1E"/>
    <w:rsid w:val="008B1ABE"/>
    <w:rsid w:val="008B3A38"/>
    <w:rsid w:val="008B46CD"/>
    <w:rsid w:val="008B5DB1"/>
    <w:rsid w:val="008C3827"/>
    <w:rsid w:val="008C76F7"/>
    <w:rsid w:val="008E2CB4"/>
    <w:rsid w:val="008E30C6"/>
    <w:rsid w:val="008F06E9"/>
    <w:rsid w:val="008F7836"/>
    <w:rsid w:val="009278B0"/>
    <w:rsid w:val="009312CA"/>
    <w:rsid w:val="0093267B"/>
    <w:rsid w:val="0094407E"/>
    <w:rsid w:val="009604B7"/>
    <w:rsid w:val="00963AA5"/>
    <w:rsid w:val="00973555"/>
    <w:rsid w:val="0099388C"/>
    <w:rsid w:val="009A73BD"/>
    <w:rsid w:val="009B7E0B"/>
    <w:rsid w:val="009C1546"/>
    <w:rsid w:val="009C3E13"/>
    <w:rsid w:val="009C53CA"/>
    <w:rsid w:val="009D1537"/>
    <w:rsid w:val="009E10B4"/>
    <w:rsid w:val="009E30EF"/>
    <w:rsid w:val="009E78C9"/>
    <w:rsid w:val="009F6E42"/>
    <w:rsid w:val="00A00DC5"/>
    <w:rsid w:val="00A0262E"/>
    <w:rsid w:val="00A04795"/>
    <w:rsid w:val="00A0541D"/>
    <w:rsid w:val="00A1396C"/>
    <w:rsid w:val="00A13C86"/>
    <w:rsid w:val="00A15D93"/>
    <w:rsid w:val="00A30435"/>
    <w:rsid w:val="00A420E0"/>
    <w:rsid w:val="00A4476A"/>
    <w:rsid w:val="00A5225B"/>
    <w:rsid w:val="00A55366"/>
    <w:rsid w:val="00A55597"/>
    <w:rsid w:val="00A71D91"/>
    <w:rsid w:val="00A8146F"/>
    <w:rsid w:val="00A949B9"/>
    <w:rsid w:val="00A95254"/>
    <w:rsid w:val="00AA0ADE"/>
    <w:rsid w:val="00AA159E"/>
    <w:rsid w:val="00AD260D"/>
    <w:rsid w:val="00AD7608"/>
    <w:rsid w:val="00AF1362"/>
    <w:rsid w:val="00AF1FA2"/>
    <w:rsid w:val="00AF578E"/>
    <w:rsid w:val="00AF5A25"/>
    <w:rsid w:val="00B12B20"/>
    <w:rsid w:val="00B14B00"/>
    <w:rsid w:val="00B151B4"/>
    <w:rsid w:val="00B17019"/>
    <w:rsid w:val="00B235A7"/>
    <w:rsid w:val="00B26CC8"/>
    <w:rsid w:val="00B328D6"/>
    <w:rsid w:val="00B35D41"/>
    <w:rsid w:val="00B44A16"/>
    <w:rsid w:val="00B507A1"/>
    <w:rsid w:val="00B51D7A"/>
    <w:rsid w:val="00B563E0"/>
    <w:rsid w:val="00B60EDB"/>
    <w:rsid w:val="00B62EA3"/>
    <w:rsid w:val="00BA4EBE"/>
    <w:rsid w:val="00BB37A2"/>
    <w:rsid w:val="00BC295B"/>
    <w:rsid w:val="00BC398E"/>
    <w:rsid w:val="00BC5D02"/>
    <w:rsid w:val="00BD11A1"/>
    <w:rsid w:val="00BD4DB4"/>
    <w:rsid w:val="00BD5C79"/>
    <w:rsid w:val="00BD6AE0"/>
    <w:rsid w:val="00BE7CBE"/>
    <w:rsid w:val="00BF6429"/>
    <w:rsid w:val="00C055FD"/>
    <w:rsid w:val="00C16462"/>
    <w:rsid w:val="00C23528"/>
    <w:rsid w:val="00C23D68"/>
    <w:rsid w:val="00C34BDE"/>
    <w:rsid w:val="00C35C8B"/>
    <w:rsid w:val="00C3670C"/>
    <w:rsid w:val="00C456E8"/>
    <w:rsid w:val="00C50D81"/>
    <w:rsid w:val="00C54AE5"/>
    <w:rsid w:val="00C562B8"/>
    <w:rsid w:val="00C664C0"/>
    <w:rsid w:val="00C71292"/>
    <w:rsid w:val="00C761CC"/>
    <w:rsid w:val="00C76A8A"/>
    <w:rsid w:val="00C770B0"/>
    <w:rsid w:val="00C772C1"/>
    <w:rsid w:val="00C77B6C"/>
    <w:rsid w:val="00C826A9"/>
    <w:rsid w:val="00CA0968"/>
    <w:rsid w:val="00CA4A81"/>
    <w:rsid w:val="00CB15E8"/>
    <w:rsid w:val="00CC052C"/>
    <w:rsid w:val="00CC477C"/>
    <w:rsid w:val="00CC5354"/>
    <w:rsid w:val="00CD1388"/>
    <w:rsid w:val="00CD71BF"/>
    <w:rsid w:val="00CD7833"/>
    <w:rsid w:val="00CD7DDD"/>
    <w:rsid w:val="00CE28C6"/>
    <w:rsid w:val="00CF38E3"/>
    <w:rsid w:val="00CF59A5"/>
    <w:rsid w:val="00D00B38"/>
    <w:rsid w:val="00D0345B"/>
    <w:rsid w:val="00D04396"/>
    <w:rsid w:val="00D05378"/>
    <w:rsid w:val="00D06CD1"/>
    <w:rsid w:val="00D16A6D"/>
    <w:rsid w:val="00D1715C"/>
    <w:rsid w:val="00D2100B"/>
    <w:rsid w:val="00D27F8C"/>
    <w:rsid w:val="00D41153"/>
    <w:rsid w:val="00D42726"/>
    <w:rsid w:val="00D47C37"/>
    <w:rsid w:val="00D53156"/>
    <w:rsid w:val="00D56F06"/>
    <w:rsid w:val="00D66F31"/>
    <w:rsid w:val="00D72EF9"/>
    <w:rsid w:val="00D92C85"/>
    <w:rsid w:val="00DA0931"/>
    <w:rsid w:val="00DA4B52"/>
    <w:rsid w:val="00DB2547"/>
    <w:rsid w:val="00DC75A8"/>
    <w:rsid w:val="00DD211B"/>
    <w:rsid w:val="00DE05FE"/>
    <w:rsid w:val="00DE3713"/>
    <w:rsid w:val="00DE405C"/>
    <w:rsid w:val="00DE48D3"/>
    <w:rsid w:val="00DE6D1F"/>
    <w:rsid w:val="00DE7CE0"/>
    <w:rsid w:val="00DF0BCF"/>
    <w:rsid w:val="00DF14EA"/>
    <w:rsid w:val="00DF2D4B"/>
    <w:rsid w:val="00DF4148"/>
    <w:rsid w:val="00DF6887"/>
    <w:rsid w:val="00DF745A"/>
    <w:rsid w:val="00E0669A"/>
    <w:rsid w:val="00E10A01"/>
    <w:rsid w:val="00E10DBD"/>
    <w:rsid w:val="00E10FDB"/>
    <w:rsid w:val="00E23FE4"/>
    <w:rsid w:val="00E25BC0"/>
    <w:rsid w:val="00E304C3"/>
    <w:rsid w:val="00E33F5B"/>
    <w:rsid w:val="00E37C30"/>
    <w:rsid w:val="00E509AC"/>
    <w:rsid w:val="00E706B4"/>
    <w:rsid w:val="00E91723"/>
    <w:rsid w:val="00E97B7D"/>
    <w:rsid w:val="00EC0950"/>
    <w:rsid w:val="00EC130F"/>
    <w:rsid w:val="00EC69C0"/>
    <w:rsid w:val="00ED0973"/>
    <w:rsid w:val="00ED6BDF"/>
    <w:rsid w:val="00EE3D9E"/>
    <w:rsid w:val="00EE5561"/>
    <w:rsid w:val="00F04AAD"/>
    <w:rsid w:val="00F05CFB"/>
    <w:rsid w:val="00F063D4"/>
    <w:rsid w:val="00F11EF6"/>
    <w:rsid w:val="00F2759C"/>
    <w:rsid w:val="00F322A2"/>
    <w:rsid w:val="00F33918"/>
    <w:rsid w:val="00F40AC5"/>
    <w:rsid w:val="00F45AD6"/>
    <w:rsid w:val="00F518E8"/>
    <w:rsid w:val="00F56861"/>
    <w:rsid w:val="00F61F21"/>
    <w:rsid w:val="00F66A86"/>
    <w:rsid w:val="00F676E8"/>
    <w:rsid w:val="00F724D4"/>
    <w:rsid w:val="00F76BC1"/>
    <w:rsid w:val="00F85C0E"/>
    <w:rsid w:val="00F93990"/>
    <w:rsid w:val="00FA0562"/>
    <w:rsid w:val="00FB20F7"/>
    <w:rsid w:val="00FB7D5C"/>
    <w:rsid w:val="00FC4039"/>
    <w:rsid w:val="00FC5753"/>
    <w:rsid w:val="00FD14AB"/>
    <w:rsid w:val="00FD541D"/>
    <w:rsid w:val="00FE496D"/>
    <w:rsid w:val="00FE5960"/>
    <w:rsid w:val="00FE65A0"/>
    <w:rsid w:val="00FE77F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FAEE7"/>
  <w15:chartTrackingRefBased/>
  <w15:docId w15:val="{1429F782-D8BD-4810-A64C-19246757A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GB"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D7A"/>
    <w:pPr>
      <w:spacing w:line="360" w:lineRule="auto"/>
      <w:jc w:val="both"/>
    </w:pPr>
    <w:rPr>
      <w:rFonts w:ascii="Arial" w:hAnsi="Arial"/>
      <w:kern w:val="0"/>
      <w:szCs w:val="22"/>
      <w14:ligatures w14:val="none"/>
    </w:rPr>
  </w:style>
  <w:style w:type="paragraph" w:styleId="Heading1">
    <w:name w:val="heading 1"/>
    <w:basedOn w:val="Normal"/>
    <w:next w:val="Normal"/>
    <w:link w:val="Heading1Char"/>
    <w:autoRedefine/>
    <w:uiPriority w:val="9"/>
    <w:qFormat/>
    <w:rsid w:val="00B51D7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9E30EF"/>
    <w:pPr>
      <w:outlineLvl w:val="1"/>
    </w:pPr>
    <w:rPr>
      <w:rFonts w:ascii="Aptos" w:eastAsiaTheme="minorEastAsia" w:hAnsi="Aptos" w:cs="Arial"/>
      <w:b/>
      <w:bCs/>
      <w:iCs/>
      <w:sz w:val="28"/>
      <w:szCs w:val="20"/>
    </w:rPr>
  </w:style>
  <w:style w:type="paragraph" w:styleId="Heading3">
    <w:name w:val="heading 3"/>
    <w:basedOn w:val="Normal"/>
    <w:next w:val="Normal"/>
    <w:link w:val="Heading3Char"/>
    <w:autoRedefine/>
    <w:uiPriority w:val="9"/>
    <w:unhideWhenUsed/>
    <w:qFormat/>
    <w:rsid w:val="00D66F31"/>
    <w:pPr>
      <w:keepNext/>
      <w:keepLines/>
      <w:spacing w:before="40" w:after="0"/>
      <w:outlineLvl w:val="2"/>
    </w:pPr>
    <w:rPr>
      <w:rFonts w:eastAsiaTheme="majorEastAsia" w:cstheme="majorBidi"/>
      <w:i/>
      <w:kern w:val="2"/>
      <w:szCs w:val="24"/>
      <w14:ligatures w14:val="standardContextual"/>
    </w:rPr>
  </w:style>
  <w:style w:type="paragraph" w:styleId="Heading4">
    <w:name w:val="heading 4"/>
    <w:basedOn w:val="Normal"/>
    <w:next w:val="Normal"/>
    <w:link w:val="Heading4Char"/>
    <w:uiPriority w:val="9"/>
    <w:semiHidden/>
    <w:unhideWhenUsed/>
    <w:qFormat/>
    <w:rsid w:val="007D51C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D51C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D51C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D51C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D51C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D51C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D7A"/>
    <w:rPr>
      <w:rFonts w:ascii="Arial" w:eastAsiaTheme="majorEastAsia" w:hAnsi="Arial" w:cstheme="majorBidi"/>
      <w:b/>
      <w:kern w:val="0"/>
      <w:sz w:val="32"/>
      <w:szCs w:val="32"/>
      <w14:ligatures w14:val="none"/>
    </w:rPr>
  </w:style>
  <w:style w:type="character" w:customStyle="1" w:styleId="Heading3Char">
    <w:name w:val="Heading 3 Char"/>
    <w:basedOn w:val="DefaultParagraphFont"/>
    <w:link w:val="Heading3"/>
    <w:uiPriority w:val="9"/>
    <w:rsid w:val="00D66F31"/>
    <w:rPr>
      <w:rFonts w:ascii="Arial" w:eastAsiaTheme="majorEastAsia" w:hAnsi="Arial" w:cstheme="majorBidi"/>
      <w:i/>
      <w:szCs w:val="24"/>
    </w:rPr>
  </w:style>
  <w:style w:type="paragraph" w:styleId="Title">
    <w:name w:val="Title"/>
    <w:basedOn w:val="Normal"/>
    <w:next w:val="Normal"/>
    <w:link w:val="TitleChar"/>
    <w:autoRedefine/>
    <w:uiPriority w:val="10"/>
    <w:qFormat/>
    <w:rsid w:val="00CC052C"/>
    <w:pPr>
      <w:spacing w:after="0"/>
      <w:contextualSpacing/>
      <w:jc w:val="center"/>
    </w:pPr>
    <w:rPr>
      <w:rFonts w:eastAsiaTheme="majorEastAsia" w:cstheme="majorBidi"/>
      <w:b/>
      <w:spacing w:val="-10"/>
      <w:kern w:val="28"/>
      <w:sz w:val="32"/>
      <w:szCs w:val="56"/>
      <w14:ligatures w14:val="standardContextual"/>
    </w:rPr>
  </w:style>
  <w:style w:type="character" w:customStyle="1" w:styleId="TitleChar">
    <w:name w:val="Title Char"/>
    <w:basedOn w:val="DefaultParagraphFont"/>
    <w:link w:val="Title"/>
    <w:uiPriority w:val="10"/>
    <w:rsid w:val="00CC052C"/>
    <w:rPr>
      <w:rFonts w:ascii="Times New Roman" w:eastAsiaTheme="majorEastAsia" w:hAnsi="Times New Roman" w:cstheme="majorBidi"/>
      <w:b/>
      <w:spacing w:val="-10"/>
      <w:kern w:val="28"/>
      <w:sz w:val="32"/>
      <w:szCs w:val="56"/>
    </w:rPr>
  </w:style>
  <w:style w:type="character" w:customStyle="1" w:styleId="Heading2Char">
    <w:name w:val="Heading 2 Char"/>
    <w:basedOn w:val="DefaultParagraphFont"/>
    <w:link w:val="Heading2"/>
    <w:uiPriority w:val="9"/>
    <w:rsid w:val="009E30EF"/>
    <w:rPr>
      <w:rFonts w:ascii="Aptos" w:eastAsiaTheme="minorEastAsia" w:hAnsi="Aptos" w:cs="Arial"/>
      <w:b/>
      <w:bCs/>
      <w:iCs/>
      <w:kern w:val="0"/>
      <w:sz w:val="28"/>
      <w14:ligatures w14:val="none"/>
    </w:rPr>
  </w:style>
  <w:style w:type="character" w:customStyle="1" w:styleId="Heading4Char">
    <w:name w:val="Heading 4 Char"/>
    <w:basedOn w:val="DefaultParagraphFont"/>
    <w:link w:val="Heading4"/>
    <w:uiPriority w:val="9"/>
    <w:semiHidden/>
    <w:rsid w:val="007D51CB"/>
    <w:rPr>
      <w:rFonts w:eastAsiaTheme="majorEastAsia" w:cstheme="majorBidi"/>
      <w:i/>
      <w:iCs/>
      <w:color w:val="2F5496" w:themeColor="accent1" w:themeShade="BF"/>
      <w:kern w:val="0"/>
      <w:sz w:val="24"/>
      <w:szCs w:val="22"/>
      <w14:ligatures w14:val="none"/>
    </w:rPr>
  </w:style>
  <w:style w:type="character" w:customStyle="1" w:styleId="Heading5Char">
    <w:name w:val="Heading 5 Char"/>
    <w:basedOn w:val="DefaultParagraphFont"/>
    <w:link w:val="Heading5"/>
    <w:uiPriority w:val="9"/>
    <w:semiHidden/>
    <w:rsid w:val="007D51CB"/>
    <w:rPr>
      <w:rFonts w:eastAsiaTheme="majorEastAsia" w:cstheme="majorBidi"/>
      <w:color w:val="2F5496" w:themeColor="accent1" w:themeShade="BF"/>
      <w:kern w:val="0"/>
      <w:sz w:val="24"/>
      <w:szCs w:val="22"/>
      <w14:ligatures w14:val="none"/>
    </w:rPr>
  </w:style>
  <w:style w:type="character" w:customStyle="1" w:styleId="Heading6Char">
    <w:name w:val="Heading 6 Char"/>
    <w:basedOn w:val="DefaultParagraphFont"/>
    <w:link w:val="Heading6"/>
    <w:uiPriority w:val="9"/>
    <w:semiHidden/>
    <w:rsid w:val="007D51CB"/>
    <w:rPr>
      <w:rFonts w:eastAsiaTheme="majorEastAsia" w:cstheme="majorBidi"/>
      <w:i/>
      <w:iCs/>
      <w:color w:val="595959" w:themeColor="text1" w:themeTint="A6"/>
      <w:kern w:val="0"/>
      <w:sz w:val="24"/>
      <w:szCs w:val="22"/>
      <w14:ligatures w14:val="none"/>
    </w:rPr>
  </w:style>
  <w:style w:type="character" w:customStyle="1" w:styleId="Heading7Char">
    <w:name w:val="Heading 7 Char"/>
    <w:basedOn w:val="DefaultParagraphFont"/>
    <w:link w:val="Heading7"/>
    <w:uiPriority w:val="9"/>
    <w:semiHidden/>
    <w:rsid w:val="007D51CB"/>
    <w:rPr>
      <w:rFonts w:eastAsiaTheme="majorEastAsia" w:cstheme="majorBidi"/>
      <w:color w:val="595959" w:themeColor="text1" w:themeTint="A6"/>
      <w:kern w:val="0"/>
      <w:sz w:val="24"/>
      <w:szCs w:val="22"/>
      <w14:ligatures w14:val="none"/>
    </w:rPr>
  </w:style>
  <w:style w:type="character" w:customStyle="1" w:styleId="Heading8Char">
    <w:name w:val="Heading 8 Char"/>
    <w:basedOn w:val="DefaultParagraphFont"/>
    <w:link w:val="Heading8"/>
    <w:uiPriority w:val="9"/>
    <w:semiHidden/>
    <w:rsid w:val="007D51CB"/>
    <w:rPr>
      <w:rFonts w:eastAsiaTheme="majorEastAsia" w:cstheme="majorBidi"/>
      <w:i/>
      <w:iCs/>
      <w:color w:val="272727" w:themeColor="text1" w:themeTint="D8"/>
      <w:kern w:val="0"/>
      <w:sz w:val="24"/>
      <w:szCs w:val="22"/>
      <w14:ligatures w14:val="none"/>
    </w:rPr>
  </w:style>
  <w:style w:type="character" w:customStyle="1" w:styleId="Heading9Char">
    <w:name w:val="Heading 9 Char"/>
    <w:basedOn w:val="DefaultParagraphFont"/>
    <w:link w:val="Heading9"/>
    <w:uiPriority w:val="9"/>
    <w:semiHidden/>
    <w:rsid w:val="007D51CB"/>
    <w:rPr>
      <w:rFonts w:eastAsiaTheme="majorEastAsia" w:cstheme="majorBidi"/>
      <w:color w:val="272727" w:themeColor="text1" w:themeTint="D8"/>
      <w:kern w:val="0"/>
      <w:sz w:val="24"/>
      <w:szCs w:val="22"/>
      <w14:ligatures w14:val="none"/>
    </w:rPr>
  </w:style>
  <w:style w:type="paragraph" w:styleId="Subtitle">
    <w:name w:val="Subtitle"/>
    <w:basedOn w:val="Normal"/>
    <w:next w:val="Normal"/>
    <w:link w:val="SubtitleChar"/>
    <w:uiPriority w:val="11"/>
    <w:qFormat/>
    <w:rsid w:val="007D51CB"/>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D51CB"/>
    <w:rPr>
      <w:rFonts w:eastAsiaTheme="majorEastAsia" w:cstheme="majorBidi"/>
      <w:color w:val="595959" w:themeColor="text1" w:themeTint="A6"/>
      <w:spacing w:val="15"/>
      <w:kern w:val="0"/>
      <w:sz w:val="28"/>
      <w:szCs w:val="25"/>
      <w14:ligatures w14:val="none"/>
    </w:rPr>
  </w:style>
  <w:style w:type="paragraph" w:styleId="Quote">
    <w:name w:val="Quote"/>
    <w:basedOn w:val="Normal"/>
    <w:next w:val="Normal"/>
    <w:link w:val="QuoteChar"/>
    <w:uiPriority w:val="29"/>
    <w:qFormat/>
    <w:rsid w:val="007D51CB"/>
    <w:pPr>
      <w:spacing w:before="160"/>
      <w:jc w:val="center"/>
    </w:pPr>
    <w:rPr>
      <w:i/>
      <w:iCs/>
      <w:color w:val="404040" w:themeColor="text1" w:themeTint="BF"/>
    </w:rPr>
  </w:style>
  <w:style w:type="character" w:customStyle="1" w:styleId="QuoteChar">
    <w:name w:val="Quote Char"/>
    <w:basedOn w:val="DefaultParagraphFont"/>
    <w:link w:val="Quote"/>
    <w:uiPriority w:val="29"/>
    <w:rsid w:val="007D51CB"/>
    <w:rPr>
      <w:rFonts w:ascii="Times New Roman" w:hAnsi="Times New Roman"/>
      <w:i/>
      <w:iCs/>
      <w:color w:val="404040" w:themeColor="text1" w:themeTint="BF"/>
      <w:kern w:val="0"/>
      <w:sz w:val="24"/>
      <w:szCs w:val="22"/>
      <w14:ligatures w14:val="none"/>
    </w:rPr>
  </w:style>
  <w:style w:type="paragraph" w:styleId="ListParagraph">
    <w:name w:val="List Paragraph"/>
    <w:basedOn w:val="Normal"/>
    <w:uiPriority w:val="34"/>
    <w:qFormat/>
    <w:rsid w:val="007D51CB"/>
    <w:pPr>
      <w:ind w:left="720"/>
      <w:contextualSpacing/>
    </w:pPr>
  </w:style>
  <w:style w:type="character" w:styleId="IntenseEmphasis">
    <w:name w:val="Intense Emphasis"/>
    <w:basedOn w:val="DefaultParagraphFont"/>
    <w:uiPriority w:val="21"/>
    <w:qFormat/>
    <w:rsid w:val="007D51CB"/>
    <w:rPr>
      <w:i/>
      <w:iCs/>
      <w:color w:val="2F5496" w:themeColor="accent1" w:themeShade="BF"/>
    </w:rPr>
  </w:style>
  <w:style w:type="paragraph" w:styleId="IntenseQuote">
    <w:name w:val="Intense Quote"/>
    <w:basedOn w:val="Normal"/>
    <w:next w:val="Normal"/>
    <w:link w:val="IntenseQuoteChar"/>
    <w:uiPriority w:val="30"/>
    <w:qFormat/>
    <w:rsid w:val="007D51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D51CB"/>
    <w:rPr>
      <w:rFonts w:ascii="Times New Roman" w:hAnsi="Times New Roman"/>
      <w:i/>
      <w:iCs/>
      <w:color w:val="2F5496" w:themeColor="accent1" w:themeShade="BF"/>
      <w:kern w:val="0"/>
      <w:sz w:val="24"/>
      <w:szCs w:val="22"/>
      <w14:ligatures w14:val="none"/>
    </w:rPr>
  </w:style>
  <w:style w:type="character" w:styleId="IntenseReference">
    <w:name w:val="Intense Reference"/>
    <w:basedOn w:val="DefaultParagraphFont"/>
    <w:uiPriority w:val="32"/>
    <w:qFormat/>
    <w:rsid w:val="007D51CB"/>
    <w:rPr>
      <w:b/>
      <w:bCs/>
      <w:smallCaps/>
      <w:color w:val="2F5496" w:themeColor="accent1" w:themeShade="BF"/>
      <w:spacing w:val="5"/>
    </w:rPr>
  </w:style>
  <w:style w:type="character" w:customStyle="1" w:styleId="normaltextrun">
    <w:name w:val="normaltextrun"/>
    <w:basedOn w:val="DefaultParagraphFont"/>
    <w:rsid w:val="009E30EF"/>
  </w:style>
  <w:style w:type="character" w:styleId="Hyperlink">
    <w:name w:val="Hyperlink"/>
    <w:basedOn w:val="DefaultParagraphFont"/>
    <w:uiPriority w:val="99"/>
    <w:unhideWhenUsed/>
    <w:rsid w:val="004E3289"/>
    <w:rPr>
      <w:color w:val="0563C1" w:themeColor="hyperlink"/>
      <w:u w:val="single"/>
    </w:rPr>
  </w:style>
  <w:style w:type="character" w:styleId="FollowedHyperlink">
    <w:name w:val="FollowedHyperlink"/>
    <w:basedOn w:val="DefaultParagraphFont"/>
    <w:uiPriority w:val="99"/>
    <w:semiHidden/>
    <w:unhideWhenUsed/>
    <w:rsid w:val="004E3289"/>
    <w:rPr>
      <w:color w:val="954F72" w:themeColor="followedHyperlink"/>
      <w:u w:val="single"/>
    </w:rPr>
  </w:style>
  <w:style w:type="paragraph" w:styleId="Header">
    <w:name w:val="header"/>
    <w:basedOn w:val="Normal"/>
    <w:link w:val="HeaderChar"/>
    <w:uiPriority w:val="99"/>
    <w:unhideWhenUsed/>
    <w:rsid w:val="000E0E12"/>
    <w:pPr>
      <w:tabs>
        <w:tab w:val="center" w:pos="4513"/>
        <w:tab w:val="right" w:pos="9026"/>
      </w:tabs>
      <w:spacing w:after="0" w:line="240" w:lineRule="auto"/>
    </w:pPr>
    <w:rPr>
      <w:szCs w:val="20"/>
    </w:rPr>
  </w:style>
  <w:style w:type="character" w:customStyle="1" w:styleId="HeaderChar">
    <w:name w:val="Header Char"/>
    <w:basedOn w:val="DefaultParagraphFont"/>
    <w:link w:val="Header"/>
    <w:uiPriority w:val="99"/>
    <w:rsid w:val="000E0E12"/>
    <w:rPr>
      <w:rFonts w:ascii="Arial" w:hAnsi="Arial"/>
      <w:kern w:val="0"/>
      <w14:ligatures w14:val="none"/>
    </w:rPr>
  </w:style>
  <w:style w:type="paragraph" w:styleId="Footer">
    <w:name w:val="footer"/>
    <w:basedOn w:val="Normal"/>
    <w:link w:val="FooterChar"/>
    <w:uiPriority w:val="99"/>
    <w:unhideWhenUsed/>
    <w:rsid w:val="000E0E12"/>
    <w:pPr>
      <w:tabs>
        <w:tab w:val="center" w:pos="4513"/>
        <w:tab w:val="right" w:pos="9026"/>
      </w:tabs>
      <w:spacing w:after="0" w:line="240" w:lineRule="auto"/>
    </w:pPr>
    <w:rPr>
      <w:szCs w:val="20"/>
    </w:rPr>
  </w:style>
  <w:style w:type="character" w:customStyle="1" w:styleId="FooterChar">
    <w:name w:val="Footer Char"/>
    <w:basedOn w:val="DefaultParagraphFont"/>
    <w:link w:val="Footer"/>
    <w:uiPriority w:val="99"/>
    <w:rsid w:val="000E0E12"/>
    <w:rPr>
      <w:rFonts w:ascii="Arial" w:hAnsi="Arial"/>
      <w:kern w:val="0"/>
      <w14:ligatures w14:val="none"/>
    </w:rPr>
  </w:style>
  <w:style w:type="paragraph" w:styleId="TOCHeading">
    <w:name w:val="TOC Heading"/>
    <w:basedOn w:val="Heading1"/>
    <w:next w:val="Normal"/>
    <w:uiPriority w:val="39"/>
    <w:unhideWhenUsed/>
    <w:qFormat/>
    <w:rsid w:val="000E0E12"/>
    <w:pPr>
      <w:spacing w:line="259" w:lineRule="auto"/>
      <w:jc w:val="left"/>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0E0E12"/>
    <w:pPr>
      <w:spacing w:after="100"/>
    </w:pPr>
    <w:rPr>
      <w:szCs w:val="20"/>
    </w:rPr>
  </w:style>
  <w:style w:type="paragraph" w:styleId="TOC2">
    <w:name w:val="toc 2"/>
    <w:basedOn w:val="Normal"/>
    <w:next w:val="Normal"/>
    <w:autoRedefine/>
    <w:uiPriority w:val="39"/>
    <w:unhideWhenUsed/>
    <w:rsid w:val="000E0E12"/>
    <w:pPr>
      <w:spacing w:after="100"/>
      <w:ind w:left="220"/>
    </w:pPr>
    <w:rPr>
      <w:szCs w:val="20"/>
    </w:rPr>
  </w:style>
  <w:style w:type="paragraph" w:styleId="TOC3">
    <w:name w:val="toc 3"/>
    <w:basedOn w:val="Normal"/>
    <w:next w:val="Normal"/>
    <w:autoRedefine/>
    <w:uiPriority w:val="39"/>
    <w:unhideWhenUsed/>
    <w:rsid w:val="000E0E12"/>
    <w:pPr>
      <w:spacing w:after="100"/>
      <w:ind w:left="440"/>
    </w:pPr>
    <w:rPr>
      <w:szCs w:val="20"/>
    </w:rPr>
  </w:style>
  <w:style w:type="character" w:styleId="CommentReference">
    <w:name w:val="annotation reference"/>
    <w:basedOn w:val="DefaultParagraphFont"/>
    <w:uiPriority w:val="99"/>
    <w:semiHidden/>
    <w:unhideWhenUsed/>
    <w:rsid w:val="002A6F94"/>
    <w:rPr>
      <w:sz w:val="16"/>
      <w:szCs w:val="16"/>
    </w:rPr>
  </w:style>
  <w:style w:type="paragraph" w:styleId="CommentText">
    <w:name w:val="annotation text"/>
    <w:basedOn w:val="Normal"/>
    <w:link w:val="CommentTextChar"/>
    <w:uiPriority w:val="99"/>
    <w:semiHidden/>
    <w:unhideWhenUsed/>
    <w:rsid w:val="002A6F94"/>
    <w:pPr>
      <w:spacing w:line="240" w:lineRule="auto"/>
    </w:pPr>
    <w:rPr>
      <w:sz w:val="20"/>
      <w:szCs w:val="18"/>
    </w:rPr>
  </w:style>
  <w:style w:type="character" w:customStyle="1" w:styleId="CommentTextChar">
    <w:name w:val="Comment Text Char"/>
    <w:basedOn w:val="DefaultParagraphFont"/>
    <w:link w:val="CommentText"/>
    <w:uiPriority w:val="99"/>
    <w:semiHidden/>
    <w:rsid w:val="002A6F94"/>
    <w:rPr>
      <w:rFonts w:ascii="Arial" w:hAnsi="Arial"/>
      <w:kern w:val="0"/>
      <w:sz w:val="20"/>
      <w:szCs w:val="18"/>
      <w14:ligatures w14:val="none"/>
    </w:rPr>
  </w:style>
  <w:style w:type="paragraph" w:styleId="CommentSubject">
    <w:name w:val="annotation subject"/>
    <w:basedOn w:val="CommentText"/>
    <w:next w:val="CommentText"/>
    <w:link w:val="CommentSubjectChar"/>
    <w:uiPriority w:val="99"/>
    <w:semiHidden/>
    <w:unhideWhenUsed/>
    <w:rsid w:val="002A6F94"/>
    <w:rPr>
      <w:b/>
      <w:bCs/>
    </w:rPr>
  </w:style>
  <w:style w:type="character" w:customStyle="1" w:styleId="CommentSubjectChar">
    <w:name w:val="Comment Subject Char"/>
    <w:basedOn w:val="CommentTextChar"/>
    <w:link w:val="CommentSubject"/>
    <w:uiPriority w:val="99"/>
    <w:semiHidden/>
    <w:rsid w:val="002A6F94"/>
    <w:rPr>
      <w:rFonts w:ascii="Arial" w:hAnsi="Arial"/>
      <w:b/>
      <w:bCs/>
      <w:kern w:val="0"/>
      <w:sz w:val="20"/>
      <w:szCs w:val="18"/>
      <w14:ligatures w14:val="none"/>
    </w:rPr>
  </w:style>
  <w:style w:type="character" w:styleId="UnresolvedMention">
    <w:name w:val="Unresolved Mention"/>
    <w:basedOn w:val="DefaultParagraphFont"/>
    <w:uiPriority w:val="99"/>
    <w:semiHidden/>
    <w:unhideWhenUsed/>
    <w:rsid w:val="00D66F31"/>
    <w:rPr>
      <w:color w:val="605E5C"/>
      <w:shd w:val="clear" w:color="auto" w:fill="E1DFDD"/>
    </w:rPr>
  </w:style>
  <w:style w:type="table" w:styleId="TableGrid">
    <w:name w:val="Table Grid"/>
    <w:basedOn w:val="TableNormal"/>
    <w:uiPriority w:val="39"/>
    <w:rsid w:val="00D66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7340DF-3E21-47C8-8AE0-CBF8D1F87511}" type="doc">
      <dgm:prSet loTypeId="urn:microsoft.com/office/officeart/2005/8/layout/process2" loCatId="process" qsTypeId="urn:microsoft.com/office/officeart/2005/8/quickstyle/simple1" qsCatId="simple" csTypeId="urn:microsoft.com/office/officeart/2005/8/colors/accent1_2" csCatId="accent1" phldr="1"/>
      <dgm:spPr/>
    </dgm:pt>
    <dgm:pt modelId="{176DFE09-A3B5-4EC8-BF5D-A08E9A2626CC}">
      <dgm:prSet phldrT="[Text]" custT="1"/>
      <dgm:spPr/>
      <dgm:t>
        <a:bodyPr/>
        <a:lstStyle/>
        <a:p>
          <a:r>
            <a:rPr lang="en-IN" sz="1200">
              <a:latin typeface="Arial" panose="020B0604020202020204" pitchFamily="34" charset="0"/>
              <a:cs typeface="Arial" panose="020B0604020202020204" pitchFamily="34" charset="0"/>
            </a:rPr>
            <a:t>Search based on targeted keywords</a:t>
          </a:r>
          <a:endParaRPr lang="en-GB" sz="1200">
            <a:latin typeface="Arial" panose="020B0604020202020204" pitchFamily="34" charset="0"/>
            <a:cs typeface="Arial" panose="020B0604020202020204" pitchFamily="34" charset="0"/>
          </a:endParaRPr>
        </a:p>
      </dgm:t>
    </dgm:pt>
    <dgm:pt modelId="{E0024BEC-6411-444B-9D61-437D18B983D1}" type="parTrans" cxnId="{AC9CBF61-ADA8-4AA3-A045-100787DB28F9}">
      <dgm:prSet/>
      <dgm:spPr/>
      <dgm:t>
        <a:bodyPr/>
        <a:lstStyle/>
        <a:p>
          <a:endParaRPr lang="en-GB"/>
        </a:p>
      </dgm:t>
    </dgm:pt>
    <dgm:pt modelId="{A2B255ED-27D5-4032-8213-668995A3F6AD}" type="sibTrans" cxnId="{AC9CBF61-ADA8-4AA3-A045-100787DB28F9}">
      <dgm:prSet/>
      <dgm:spPr/>
      <dgm:t>
        <a:bodyPr/>
        <a:lstStyle/>
        <a:p>
          <a:endParaRPr lang="en-GB"/>
        </a:p>
      </dgm:t>
    </dgm:pt>
    <dgm:pt modelId="{B7607ABB-AE1D-4B00-8443-9E37F4E7F608}">
      <dgm:prSet phldrT="[Text]" custT="1"/>
      <dgm:spPr/>
      <dgm:t>
        <a:bodyPr/>
        <a:lstStyle/>
        <a:p>
          <a:r>
            <a:rPr lang="en-IN" sz="1200">
              <a:latin typeface="Arial" panose="020B0604020202020204" pitchFamily="34" charset="0"/>
              <a:cs typeface="Arial" panose="020B0604020202020204" pitchFamily="34" charset="0"/>
            </a:rPr>
            <a:t>Application of Boolean operators to narrow the search</a:t>
          </a:r>
          <a:endParaRPr lang="en-GB" sz="1200">
            <a:latin typeface="Arial" panose="020B0604020202020204" pitchFamily="34" charset="0"/>
            <a:cs typeface="Arial" panose="020B0604020202020204" pitchFamily="34" charset="0"/>
          </a:endParaRPr>
        </a:p>
      </dgm:t>
    </dgm:pt>
    <dgm:pt modelId="{3BEA10E5-5312-4824-B667-4D2D67174A9A}" type="parTrans" cxnId="{466A58C9-796F-4AC6-A86E-98CDDBEB4AB3}">
      <dgm:prSet/>
      <dgm:spPr/>
      <dgm:t>
        <a:bodyPr/>
        <a:lstStyle/>
        <a:p>
          <a:endParaRPr lang="en-GB"/>
        </a:p>
      </dgm:t>
    </dgm:pt>
    <dgm:pt modelId="{D48DCA8F-14BA-404F-B85A-BDE5D4BD388C}" type="sibTrans" cxnId="{466A58C9-796F-4AC6-A86E-98CDDBEB4AB3}">
      <dgm:prSet/>
      <dgm:spPr/>
      <dgm:t>
        <a:bodyPr/>
        <a:lstStyle/>
        <a:p>
          <a:endParaRPr lang="en-GB"/>
        </a:p>
      </dgm:t>
    </dgm:pt>
    <dgm:pt modelId="{E972F59B-868F-4692-B173-1EBA9A17879C}">
      <dgm:prSet phldrT="[Text]" custT="1"/>
      <dgm:spPr/>
      <dgm:t>
        <a:bodyPr/>
        <a:lstStyle/>
        <a:p>
          <a:r>
            <a:rPr lang="en-IN" sz="1200">
              <a:latin typeface="Arial" panose="020B0604020202020204" pitchFamily="34" charset="0"/>
              <a:cs typeface="Arial" panose="020B0604020202020204" pitchFamily="34" charset="0"/>
            </a:rPr>
            <a:t>Application of the skimming technique and the CRAAP test to select academic sources </a:t>
          </a:r>
          <a:endParaRPr lang="en-GB" sz="1200">
            <a:latin typeface="Arial" panose="020B0604020202020204" pitchFamily="34" charset="0"/>
            <a:cs typeface="Arial" panose="020B0604020202020204" pitchFamily="34" charset="0"/>
          </a:endParaRPr>
        </a:p>
      </dgm:t>
    </dgm:pt>
    <dgm:pt modelId="{7E2D4C3A-B1B7-4649-BC20-84AFCD0DCD40}" type="parTrans" cxnId="{11600267-B059-479C-BB0A-355D81DB84BE}">
      <dgm:prSet/>
      <dgm:spPr/>
      <dgm:t>
        <a:bodyPr/>
        <a:lstStyle/>
        <a:p>
          <a:endParaRPr lang="en-GB"/>
        </a:p>
      </dgm:t>
    </dgm:pt>
    <dgm:pt modelId="{CC816A7D-89B4-41CE-A898-59D0CE337C39}" type="sibTrans" cxnId="{11600267-B059-479C-BB0A-355D81DB84BE}">
      <dgm:prSet/>
      <dgm:spPr/>
      <dgm:t>
        <a:bodyPr/>
        <a:lstStyle/>
        <a:p>
          <a:endParaRPr lang="en-GB"/>
        </a:p>
      </dgm:t>
    </dgm:pt>
    <dgm:pt modelId="{A18015D5-2E43-4F99-AF51-236C804F5CD3}">
      <dgm:prSet custT="1"/>
      <dgm:spPr/>
      <dgm:t>
        <a:bodyPr/>
        <a:lstStyle/>
        <a:p>
          <a:r>
            <a:rPr lang="en-IN" sz="1200">
              <a:latin typeface="Arial" panose="020B0604020202020204" pitchFamily="34" charset="0"/>
              <a:cs typeface="Arial" panose="020B0604020202020204" pitchFamily="34" charset="0"/>
            </a:rPr>
            <a:t>Application of the inclusion and exclusion criteria to increase the credibility of the findings and keep the study focused on the research aim </a:t>
          </a:r>
          <a:endParaRPr lang="en-GB" sz="1200">
            <a:latin typeface="Arial" panose="020B0604020202020204" pitchFamily="34" charset="0"/>
            <a:cs typeface="Arial" panose="020B0604020202020204" pitchFamily="34" charset="0"/>
          </a:endParaRPr>
        </a:p>
      </dgm:t>
    </dgm:pt>
    <dgm:pt modelId="{534E1D82-BE3A-4A9E-A741-1B65A887F775}" type="parTrans" cxnId="{5D08556E-D3DE-43C9-AA86-E7A271F181FF}">
      <dgm:prSet/>
      <dgm:spPr/>
      <dgm:t>
        <a:bodyPr/>
        <a:lstStyle/>
        <a:p>
          <a:endParaRPr lang="en-GB"/>
        </a:p>
      </dgm:t>
    </dgm:pt>
    <dgm:pt modelId="{3321669E-C4B1-4047-BFB7-B87923A684F1}" type="sibTrans" cxnId="{5D08556E-D3DE-43C9-AA86-E7A271F181FF}">
      <dgm:prSet/>
      <dgm:spPr/>
      <dgm:t>
        <a:bodyPr/>
        <a:lstStyle/>
        <a:p>
          <a:endParaRPr lang="en-GB"/>
        </a:p>
      </dgm:t>
    </dgm:pt>
    <dgm:pt modelId="{6D7953F6-7320-4559-8FFE-DE9FE3BCFBF4}" type="pres">
      <dgm:prSet presAssocID="{9A7340DF-3E21-47C8-8AE0-CBF8D1F87511}" presName="linearFlow" presStyleCnt="0">
        <dgm:presLayoutVars>
          <dgm:resizeHandles val="exact"/>
        </dgm:presLayoutVars>
      </dgm:prSet>
      <dgm:spPr/>
    </dgm:pt>
    <dgm:pt modelId="{D00C0549-B043-4BED-A16F-4E632D6F2405}" type="pres">
      <dgm:prSet presAssocID="{176DFE09-A3B5-4EC8-BF5D-A08E9A2626CC}" presName="node" presStyleLbl="node1" presStyleIdx="0" presStyleCnt="4">
        <dgm:presLayoutVars>
          <dgm:bulletEnabled val="1"/>
        </dgm:presLayoutVars>
      </dgm:prSet>
      <dgm:spPr/>
    </dgm:pt>
    <dgm:pt modelId="{62C72E62-71DF-43A7-8FC9-DA9125FBD7F1}" type="pres">
      <dgm:prSet presAssocID="{A2B255ED-27D5-4032-8213-668995A3F6AD}" presName="sibTrans" presStyleLbl="sibTrans2D1" presStyleIdx="0" presStyleCnt="3"/>
      <dgm:spPr/>
    </dgm:pt>
    <dgm:pt modelId="{D5443071-D04D-4C68-BA18-C15AE34C6BAF}" type="pres">
      <dgm:prSet presAssocID="{A2B255ED-27D5-4032-8213-668995A3F6AD}" presName="connectorText" presStyleLbl="sibTrans2D1" presStyleIdx="0" presStyleCnt="3"/>
      <dgm:spPr/>
    </dgm:pt>
    <dgm:pt modelId="{B9EB124D-4178-43DA-91D0-C641F17AD3F2}" type="pres">
      <dgm:prSet presAssocID="{B7607ABB-AE1D-4B00-8443-9E37F4E7F608}" presName="node" presStyleLbl="node1" presStyleIdx="1" presStyleCnt="4">
        <dgm:presLayoutVars>
          <dgm:bulletEnabled val="1"/>
        </dgm:presLayoutVars>
      </dgm:prSet>
      <dgm:spPr/>
    </dgm:pt>
    <dgm:pt modelId="{B13914DE-7698-4FF0-95F3-E755D7CA3165}" type="pres">
      <dgm:prSet presAssocID="{D48DCA8F-14BA-404F-B85A-BDE5D4BD388C}" presName="sibTrans" presStyleLbl="sibTrans2D1" presStyleIdx="1" presStyleCnt="3"/>
      <dgm:spPr/>
    </dgm:pt>
    <dgm:pt modelId="{1002B694-02FF-493F-B9FD-C473C32B7CB0}" type="pres">
      <dgm:prSet presAssocID="{D48DCA8F-14BA-404F-B85A-BDE5D4BD388C}" presName="connectorText" presStyleLbl="sibTrans2D1" presStyleIdx="1" presStyleCnt="3"/>
      <dgm:spPr/>
    </dgm:pt>
    <dgm:pt modelId="{B46FBFF5-9D4C-4A8E-BCAF-1D4C33473EC9}" type="pres">
      <dgm:prSet presAssocID="{E972F59B-868F-4692-B173-1EBA9A17879C}" presName="node" presStyleLbl="node1" presStyleIdx="2" presStyleCnt="4">
        <dgm:presLayoutVars>
          <dgm:bulletEnabled val="1"/>
        </dgm:presLayoutVars>
      </dgm:prSet>
      <dgm:spPr/>
    </dgm:pt>
    <dgm:pt modelId="{047225DA-A28B-400A-B1E6-2C48A34A5AA0}" type="pres">
      <dgm:prSet presAssocID="{CC816A7D-89B4-41CE-A898-59D0CE337C39}" presName="sibTrans" presStyleLbl="sibTrans2D1" presStyleIdx="2" presStyleCnt="3"/>
      <dgm:spPr/>
    </dgm:pt>
    <dgm:pt modelId="{EED34509-1EE3-40BC-9100-321A04359E4C}" type="pres">
      <dgm:prSet presAssocID="{CC816A7D-89B4-41CE-A898-59D0CE337C39}" presName="connectorText" presStyleLbl="sibTrans2D1" presStyleIdx="2" presStyleCnt="3"/>
      <dgm:spPr/>
    </dgm:pt>
    <dgm:pt modelId="{CE1EBB2B-6480-47E1-9122-6CE0C22D4936}" type="pres">
      <dgm:prSet presAssocID="{A18015D5-2E43-4F99-AF51-236C804F5CD3}" presName="node" presStyleLbl="node1" presStyleIdx="3" presStyleCnt="4">
        <dgm:presLayoutVars>
          <dgm:bulletEnabled val="1"/>
        </dgm:presLayoutVars>
      </dgm:prSet>
      <dgm:spPr/>
    </dgm:pt>
  </dgm:ptLst>
  <dgm:cxnLst>
    <dgm:cxn modelId="{C7C6B904-809A-444F-8809-80A904EC1118}" type="presOf" srcId="{CC816A7D-89B4-41CE-A898-59D0CE337C39}" destId="{047225DA-A28B-400A-B1E6-2C48A34A5AA0}" srcOrd="0" destOrd="0" presId="urn:microsoft.com/office/officeart/2005/8/layout/process2"/>
    <dgm:cxn modelId="{C905C712-6FD8-481E-AAF0-496DE7493960}" type="presOf" srcId="{E972F59B-868F-4692-B173-1EBA9A17879C}" destId="{B46FBFF5-9D4C-4A8E-BCAF-1D4C33473EC9}" srcOrd="0" destOrd="0" presId="urn:microsoft.com/office/officeart/2005/8/layout/process2"/>
    <dgm:cxn modelId="{2AA3EF1D-3F0E-4437-8F47-478A3489ECF8}" type="presOf" srcId="{A2B255ED-27D5-4032-8213-668995A3F6AD}" destId="{D5443071-D04D-4C68-BA18-C15AE34C6BAF}" srcOrd="1" destOrd="0" presId="urn:microsoft.com/office/officeart/2005/8/layout/process2"/>
    <dgm:cxn modelId="{E809483A-012A-40D6-8BF4-9AC9C4812226}" type="presOf" srcId="{176DFE09-A3B5-4EC8-BF5D-A08E9A2626CC}" destId="{D00C0549-B043-4BED-A16F-4E632D6F2405}" srcOrd="0" destOrd="0" presId="urn:microsoft.com/office/officeart/2005/8/layout/process2"/>
    <dgm:cxn modelId="{AC9CBF61-ADA8-4AA3-A045-100787DB28F9}" srcId="{9A7340DF-3E21-47C8-8AE0-CBF8D1F87511}" destId="{176DFE09-A3B5-4EC8-BF5D-A08E9A2626CC}" srcOrd="0" destOrd="0" parTransId="{E0024BEC-6411-444B-9D61-437D18B983D1}" sibTransId="{A2B255ED-27D5-4032-8213-668995A3F6AD}"/>
    <dgm:cxn modelId="{20E6DE41-DFF5-4475-AFE0-BA0130D4C378}" type="presOf" srcId="{CC816A7D-89B4-41CE-A898-59D0CE337C39}" destId="{EED34509-1EE3-40BC-9100-321A04359E4C}" srcOrd="1" destOrd="0" presId="urn:microsoft.com/office/officeart/2005/8/layout/process2"/>
    <dgm:cxn modelId="{11600267-B059-479C-BB0A-355D81DB84BE}" srcId="{9A7340DF-3E21-47C8-8AE0-CBF8D1F87511}" destId="{E972F59B-868F-4692-B173-1EBA9A17879C}" srcOrd="2" destOrd="0" parTransId="{7E2D4C3A-B1B7-4649-BC20-84AFCD0DCD40}" sibTransId="{CC816A7D-89B4-41CE-A898-59D0CE337C39}"/>
    <dgm:cxn modelId="{72E09469-F499-445E-BC9C-6A702FB42A82}" type="presOf" srcId="{A18015D5-2E43-4F99-AF51-236C804F5CD3}" destId="{CE1EBB2B-6480-47E1-9122-6CE0C22D4936}" srcOrd="0" destOrd="0" presId="urn:microsoft.com/office/officeart/2005/8/layout/process2"/>
    <dgm:cxn modelId="{5D08556E-D3DE-43C9-AA86-E7A271F181FF}" srcId="{9A7340DF-3E21-47C8-8AE0-CBF8D1F87511}" destId="{A18015D5-2E43-4F99-AF51-236C804F5CD3}" srcOrd="3" destOrd="0" parTransId="{534E1D82-BE3A-4A9E-A741-1B65A887F775}" sibTransId="{3321669E-C4B1-4047-BFB7-B87923A684F1}"/>
    <dgm:cxn modelId="{A3D03E9C-B7AB-4921-8B26-418CDC681C89}" type="presOf" srcId="{9A7340DF-3E21-47C8-8AE0-CBF8D1F87511}" destId="{6D7953F6-7320-4559-8FFE-DE9FE3BCFBF4}" srcOrd="0" destOrd="0" presId="urn:microsoft.com/office/officeart/2005/8/layout/process2"/>
    <dgm:cxn modelId="{466A58C9-796F-4AC6-A86E-98CDDBEB4AB3}" srcId="{9A7340DF-3E21-47C8-8AE0-CBF8D1F87511}" destId="{B7607ABB-AE1D-4B00-8443-9E37F4E7F608}" srcOrd="1" destOrd="0" parTransId="{3BEA10E5-5312-4824-B667-4D2D67174A9A}" sibTransId="{D48DCA8F-14BA-404F-B85A-BDE5D4BD388C}"/>
    <dgm:cxn modelId="{2B4984D3-3D1B-40AF-8E76-36E1B7ABF656}" type="presOf" srcId="{A2B255ED-27D5-4032-8213-668995A3F6AD}" destId="{62C72E62-71DF-43A7-8FC9-DA9125FBD7F1}" srcOrd="0" destOrd="0" presId="urn:microsoft.com/office/officeart/2005/8/layout/process2"/>
    <dgm:cxn modelId="{783D26D9-0CC9-4340-A00E-78828B4C5D70}" type="presOf" srcId="{D48DCA8F-14BA-404F-B85A-BDE5D4BD388C}" destId="{B13914DE-7698-4FF0-95F3-E755D7CA3165}" srcOrd="0" destOrd="0" presId="urn:microsoft.com/office/officeart/2005/8/layout/process2"/>
    <dgm:cxn modelId="{A90CA7DD-1850-4549-8526-C96114391492}" type="presOf" srcId="{B7607ABB-AE1D-4B00-8443-9E37F4E7F608}" destId="{B9EB124D-4178-43DA-91D0-C641F17AD3F2}" srcOrd="0" destOrd="0" presId="urn:microsoft.com/office/officeart/2005/8/layout/process2"/>
    <dgm:cxn modelId="{DDFE08E2-678E-48E2-8AFB-3AA8C0A83DC7}" type="presOf" srcId="{D48DCA8F-14BA-404F-B85A-BDE5D4BD388C}" destId="{1002B694-02FF-493F-B9FD-C473C32B7CB0}" srcOrd="1" destOrd="0" presId="urn:microsoft.com/office/officeart/2005/8/layout/process2"/>
    <dgm:cxn modelId="{96779F0D-DCDF-4563-A4B3-896C87472801}" type="presParOf" srcId="{6D7953F6-7320-4559-8FFE-DE9FE3BCFBF4}" destId="{D00C0549-B043-4BED-A16F-4E632D6F2405}" srcOrd="0" destOrd="0" presId="urn:microsoft.com/office/officeart/2005/8/layout/process2"/>
    <dgm:cxn modelId="{6608B48F-7767-436C-A437-CB1269562D8C}" type="presParOf" srcId="{6D7953F6-7320-4559-8FFE-DE9FE3BCFBF4}" destId="{62C72E62-71DF-43A7-8FC9-DA9125FBD7F1}" srcOrd="1" destOrd="0" presId="urn:microsoft.com/office/officeart/2005/8/layout/process2"/>
    <dgm:cxn modelId="{07532F65-FBFE-4838-8172-65296034A536}" type="presParOf" srcId="{62C72E62-71DF-43A7-8FC9-DA9125FBD7F1}" destId="{D5443071-D04D-4C68-BA18-C15AE34C6BAF}" srcOrd="0" destOrd="0" presId="urn:microsoft.com/office/officeart/2005/8/layout/process2"/>
    <dgm:cxn modelId="{976E08BC-B9CA-4972-8923-B8849DAE0A74}" type="presParOf" srcId="{6D7953F6-7320-4559-8FFE-DE9FE3BCFBF4}" destId="{B9EB124D-4178-43DA-91D0-C641F17AD3F2}" srcOrd="2" destOrd="0" presId="urn:microsoft.com/office/officeart/2005/8/layout/process2"/>
    <dgm:cxn modelId="{85C9FFB4-CA9C-457E-B033-E492101CDDA0}" type="presParOf" srcId="{6D7953F6-7320-4559-8FFE-DE9FE3BCFBF4}" destId="{B13914DE-7698-4FF0-95F3-E755D7CA3165}" srcOrd="3" destOrd="0" presId="urn:microsoft.com/office/officeart/2005/8/layout/process2"/>
    <dgm:cxn modelId="{8E3714BC-36F0-46DD-931B-C6C561A5CC94}" type="presParOf" srcId="{B13914DE-7698-4FF0-95F3-E755D7CA3165}" destId="{1002B694-02FF-493F-B9FD-C473C32B7CB0}" srcOrd="0" destOrd="0" presId="urn:microsoft.com/office/officeart/2005/8/layout/process2"/>
    <dgm:cxn modelId="{1AE5A93A-3360-40FD-A439-1395473D0E94}" type="presParOf" srcId="{6D7953F6-7320-4559-8FFE-DE9FE3BCFBF4}" destId="{B46FBFF5-9D4C-4A8E-BCAF-1D4C33473EC9}" srcOrd="4" destOrd="0" presId="urn:microsoft.com/office/officeart/2005/8/layout/process2"/>
    <dgm:cxn modelId="{E0E6BF76-043E-4C63-AB75-72FB1DDF787C}" type="presParOf" srcId="{6D7953F6-7320-4559-8FFE-DE9FE3BCFBF4}" destId="{047225DA-A28B-400A-B1E6-2C48A34A5AA0}" srcOrd="5" destOrd="0" presId="urn:microsoft.com/office/officeart/2005/8/layout/process2"/>
    <dgm:cxn modelId="{FCDC2C47-DB1E-4233-B6E6-E2D4FDBED2C7}" type="presParOf" srcId="{047225DA-A28B-400A-B1E6-2C48A34A5AA0}" destId="{EED34509-1EE3-40BC-9100-321A04359E4C}" srcOrd="0" destOrd="0" presId="urn:microsoft.com/office/officeart/2005/8/layout/process2"/>
    <dgm:cxn modelId="{37E8C723-4651-40E9-9330-508F58FFE3C0}" type="presParOf" srcId="{6D7953F6-7320-4559-8FFE-DE9FE3BCFBF4}" destId="{CE1EBB2B-6480-47E1-9122-6CE0C22D4936}" srcOrd="6" destOrd="0" presId="urn:microsoft.com/office/officeart/2005/8/layout/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0C0549-B043-4BED-A16F-4E632D6F2405}">
      <dsp:nvSpPr>
        <dsp:cNvPr id="0" name=""/>
        <dsp:cNvSpPr/>
      </dsp:nvSpPr>
      <dsp:spPr>
        <a:xfrm>
          <a:off x="1214632" y="4111"/>
          <a:ext cx="3057134" cy="7642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Search based on targeted keywords</a:t>
          </a:r>
          <a:endParaRPr lang="en-GB" sz="1200" kern="1200">
            <a:latin typeface="Arial" panose="020B0604020202020204" pitchFamily="34" charset="0"/>
            <a:cs typeface="Arial" panose="020B0604020202020204" pitchFamily="34" charset="0"/>
          </a:endParaRPr>
        </a:p>
      </dsp:txBody>
      <dsp:txXfrm>
        <a:off x="1237017" y="26496"/>
        <a:ext cx="3012364" cy="719513"/>
      </dsp:txXfrm>
    </dsp:sp>
    <dsp:sp modelId="{62C72E62-71DF-43A7-8FC9-DA9125FBD7F1}">
      <dsp:nvSpPr>
        <dsp:cNvPr id="0" name=""/>
        <dsp:cNvSpPr/>
      </dsp:nvSpPr>
      <dsp:spPr>
        <a:xfrm rot="5400000">
          <a:off x="2599896" y="787501"/>
          <a:ext cx="286606" cy="3439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2640021" y="816161"/>
        <a:ext cx="206357" cy="200624"/>
      </dsp:txXfrm>
    </dsp:sp>
    <dsp:sp modelId="{B9EB124D-4178-43DA-91D0-C641F17AD3F2}">
      <dsp:nvSpPr>
        <dsp:cNvPr id="0" name=""/>
        <dsp:cNvSpPr/>
      </dsp:nvSpPr>
      <dsp:spPr>
        <a:xfrm>
          <a:off x="1214632" y="1150536"/>
          <a:ext cx="3057134" cy="7642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Application of Boolean operators to narrow the search</a:t>
          </a:r>
          <a:endParaRPr lang="en-GB" sz="1200" kern="1200">
            <a:latin typeface="Arial" panose="020B0604020202020204" pitchFamily="34" charset="0"/>
            <a:cs typeface="Arial" panose="020B0604020202020204" pitchFamily="34" charset="0"/>
          </a:endParaRPr>
        </a:p>
      </dsp:txBody>
      <dsp:txXfrm>
        <a:off x="1237017" y="1172921"/>
        <a:ext cx="3012364" cy="719513"/>
      </dsp:txXfrm>
    </dsp:sp>
    <dsp:sp modelId="{B13914DE-7698-4FF0-95F3-E755D7CA3165}">
      <dsp:nvSpPr>
        <dsp:cNvPr id="0" name=""/>
        <dsp:cNvSpPr/>
      </dsp:nvSpPr>
      <dsp:spPr>
        <a:xfrm rot="5400000">
          <a:off x="2599896" y="1933927"/>
          <a:ext cx="286606" cy="3439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2640021" y="1962587"/>
        <a:ext cx="206357" cy="200624"/>
      </dsp:txXfrm>
    </dsp:sp>
    <dsp:sp modelId="{B46FBFF5-9D4C-4A8E-BCAF-1D4C33473EC9}">
      <dsp:nvSpPr>
        <dsp:cNvPr id="0" name=""/>
        <dsp:cNvSpPr/>
      </dsp:nvSpPr>
      <dsp:spPr>
        <a:xfrm>
          <a:off x="1214632" y="2296961"/>
          <a:ext cx="3057134" cy="7642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Application of the skimming technique and the CRAAP test to select academic sources </a:t>
          </a:r>
          <a:endParaRPr lang="en-GB" sz="1200" kern="1200">
            <a:latin typeface="Arial" panose="020B0604020202020204" pitchFamily="34" charset="0"/>
            <a:cs typeface="Arial" panose="020B0604020202020204" pitchFamily="34" charset="0"/>
          </a:endParaRPr>
        </a:p>
      </dsp:txBody>
      <dsp:txXfrm>
        <a:off x="1237017" y="2319346"/>
        <a:ext cx="3012364" cy="719513"/>
      </dsp:txXfrm>
    </dsp:sp>
    <dsp:sp modelId="{047225DA-A28B-400A-B1E6-2C48A34A5AA0}">
      <dsp:nvSpPr>
        <dsp:cNvPr id="0" name=""/>
        <dsp:cNvSpPr/>
      </dsp:nvSpPr>
      <dsp:spPr>
        <a:xfrm rot="5400000">
          <a:off x="2599896" y="3080352"/>
          <a:ext cx="286606" cy="3439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2640021" y="3109012"/>
        <a:ext cx="206357" cy="200624"/>
      </dsp:txXfrm>
    </dsp:sp>
    <dsp:sp modelId="{CE1EBB2B-6480-47E1-9122-6CE0C22D4936}">
      <dsp:nvSpPr>
        <dsp:cNvPr id="0" name=""/>
        <dsp:cNvSpPr/>
      </dsp:nvSpPr>
      <dsp:spPr>
        <a:xfrm>
          <a:off x="1214632" y="3443387"/>
          <a:ext cx="3057134" cy="7642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Application of the inclusion and exclusion criteria to increase the credibility of the findings and keep the study focused on the research aim </a:t>
          </a:r>
          <a:endParaRPr lang="en-GB" sz="1200" kern="1200">
            <a:latin typeface="Arial" panose="020B0604020202020204" pitchFamily="34" charset="0"/>
            <a:cs typeface="Arial" panose="020B0604020202020204" pitchFamily="34" charset="0"/>
          </a:endParaRPr>
        </a:p>
      </dsp:txBody>
      <dsp:txXfrm>
        <a:off x="1237017" y="3465772"/>
        <a:ext cx="3012364" cy="71951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1E888-AE25-470B-9491-46D9F58C1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50</Pages>
  <Words>15620</Words>
  <Characters>89034</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Nurkas Kaneez (2225340)</cp:lastModifiedBy>
  <cp:revision>3</cp:revision>
  <dcterms:created xsi:type="dcterms:W3CDTF">2026-03-07T09:13:00Z</dcterms:created>
  <dcterms:modified xsi:type="dcterms:W3CDTF">2026-03-22T09:47:00Z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f9b226b3-2a78-4438-8b2d-de75b4173939</vt:lpwstr>
  </property>
</Properties>
</file>