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9DB0F" w14:textId="5535769E" w:rsidR="00AE4986" w:rsidRDefault="00AE4986" w:rsidP="00AE4986">
      <w:pPr>
        <w:pStyle w:val="NormalWeb"/>
        <w:spacing w:before="0" w:beforeAutospacing="0" w:after="0" w:afterAutospacing="0"/>
        <w:ind w:left="-180" w:right="-334"/>
      </w:pPr>
      <w:r>
        <w:rPr>
          <w:noProof/>
        </w:rPr>
        <w:drawing>
          <wp:inline distT="0" distB="0" distL="0" distR="0" wp14:anchorId="097CA6F3" wp14:editId="0C452F55">
            <wp:extent cx="1905000" cy="638175"/>
            <wp:effectExtent l="19050" t="1905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CC59243" w14:textId="77777777" w:rsidR="00AE4986" w:rsidRDefault="00AE4986" w:rsidP="00AE4986">
      <w:pPr>
        <w:pStyle w:val="NormalWeb"/>
        <w:spacing w:before="0" w:beforeAutospacing="0" w:after="0" w:afterAutospacing="0"/>
        <w:ind w:left="-180" w:right="-334"/>
      </w:pPr>
    </w:p>
    <w:p w14:paraId="0288D695" w14:textId="77777777" w:rsidR="00AE4986" w:rsidRDefault="00AE4986" w:rsidP="00AE4986">
      <w:pPr>
        <w:pStyle w:val="NormalWeb"/>
        <w:spacing w:before="0" w:beforeAutospacing="0" w:after="0" w:afterAutospacing="0"/>
        <w:ind w:left="-180" w:right="-334"/>
      </w:pPr>
    </w:p>
    <w:p w14:paraId="569CB51F" w14:textId="77777777" w:rsidR="00AE4986" w:rsidRDefault="00AE4986" w:rsidP="00AE4986">
      <w:pPr>
        <w:pStyle w:val="NormalWeb"/>
        <w:spacing w:before="0" w:beforeAutospacing="0" w:after="0" w:afterAutospacing="0"/>
        <w:ind w:left="-180" w:right="-334"/>
        <w:jc w:val="center"/>
        <w:rPr>
          <w:rFonts w:ascii="Arial" w:hAnsi="Arial" w:cs="Arial"/>
          <w:b/>
          <w:sz w:val="28"/>
          <w:szCs w:val="28"/>
          <w:lang w:val="cy-GB"/>
        </w:rPr>
      </w:pPr>
      <w:proofErr w:type="spellStart"/>
      <w:r>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14:paraId="54DD396F" w14:textId="77777777" w:rsidR="00AE4986" w:rsidRDefault="00AE4986" w:rsidP="00AE4986">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Assignment</w:t>
      </w:r>
      <w:proofErr w:type="spellEnd"/>
      <w:r>
        <w:rPr>
          <w:rFonts w:ascii="Arial" w:hAnsi="Arial" w:cs="Arial"/>
          <w:b/>
          <w:sz w:val="28"/>
          <w:szCs w:val="28"/>
          <w:lang w:val="cy-GB"/>
        </w:rPr>
        <w:t xml:space="preserve"> </w:t>
      </w:r>
      <w:proofErr w:type="spellStart"/>
      <w:r>
        <w:rPr>
          <w:rFonts w:ascii="Arial" w:hAnsi="Arial" w:cs="Arial"/>
          <w:b/>
          <w:sz w:val="28"/>
          <w:szCs w:val="28"/>
          <w:lang w:val="cy-GB"/>
        </w:rPr>
        <w:t>coversheet</w:t>
      </w:r>
      <w:proofErr w:type="spellEnd"/>
      <w:r>
        <w:rPr>
          <w:rFonts w:ascii="Arial" w:hAnsi="Arial" w:cs="Arial"/>
          <w:b/>
          <w:sz w:val="28"/>
          <w:szCs w:val="28"/>
          <w:lang w:val="cy-GB"/>
        </w:rPr>
        <w:t xml:space="preserve"> &amp; </w:t>
      </w:r>
      <w:proofErr w:type="spellStart"/>
      <w:r>
        <w:rPr>
          <w:rFonts w:ascii="Arial" w:hAnsi="Arial" w:cs="Arial"/>
          <w:b/>
          <w:sz w:val="28"/>
          <w:szCs w:val="28"/>
          <w:lang w:val="cy-GB"/>
        </w:rPr>
        <w:t>feedback</w:t>
      </w:r>
      <w:proofErr w:type="spellEnd"/>
      <w:r>
        <w:rPr>
          <w:rFonts w:ascii="Arial" w:hAnsi="Arial" w:cs="Arial"/>
          <w:b/>
          <w:sz w:val="28"/>
          <w:szCs w:val="28"/>
          <w:lang w:val="cy-GB"/>
        </w:rPr>
        <w:t xml:space="preserve"> </w:t>
      </w:r>
      <w:proofErr w:type="spellStart"/>
      <w:r>
        <w:rPr>
          <w:rFonts w:ascii="Arial" w:hAnsi="Arial" w:cs="Arial"/>
          <w:b/>
          <w:sz w:val="28"/>
          <w:szCs w:val="28"/>
          <w:lang w:val="cy-GB"/>
        </w:rPr>
        <w:t>form</w:t>
      </w:r>
      <w:proofErr w:type="spellEnd"/>
    </w:p>
    <w:p w14:paraId="45F139A1" w14:textId="77777777" w:rsidR="00AE4986" w:rsidRDefault="00AE4986" w:rsidP="00AE4986">
      <w:pPr>
        <w:rPr>
          <w:rFonts w:ascii="Arial" w:hAnsi="Arial" w:cs="Arial"/>
          <w:sz w:val="28"/>
          <w:szCs w:val="28"/>
          <w:lang w:val="cy-GB"/>
        </w:rPr>
      </w:pPr>
    </w:p>
    <w:p w14:paraId="523CBB51" w14:textId="77777777" w:rsidR="00AE4986" w:rsidRDefault="00AE4986" w:rsidP="00AE4986">
      <w:pPr>
        <w:pStyle w:val="Heading3"/>
        <w:jc w:val="center"/>
        <w:rPr>
          <w:rFonts w:eastAsia="SimSun"/>
          <w:lang w:val="cy-GB"/>
        </w:rPr>
      </w:pPr>
      <w:r>
        <w:rPr>
          <w:rFonts w:eastAsia="SimSun"/>
          <w:lang w:val="cy-GB"/>
        </w:rPr>
        <w:t>THIS SHEET MUST BE THE FIRST PAGE OF THE ASSIGNMENT YOU ARE SUBMITTING  (DO NOT SEND AS A SEPARATE FILE)</w:t>
      </w:r>
    </w:p>
    <w:p w14:paraId="7EEAE67E" w14:textId="77777777" w:rsidR="00AE4986" w:rsidRDefault="00AE4986" w:rsidP="00AE4986">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E4986" w14:paraId="5C4468C2" w14:textId="77777777" w:rsidTr="00AE498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4996856"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E4986" w14:paraId="791CD05D" w14:textId="77777777" w:rsidTr="00AE4986">
        <w:trPr>
          <w:trHeight w:val="718"/>
        </w:trPr>
        <w:tc>
          <w:tcPr>
            <w:tcW w:w="8856" w:type="dxa"/>
            <w:gridSpan w:val="5"/>
            <w:tcBorders>
              <w:top w:val="single" w:sz="4" w:space="0" w:color="000000"/>
              <w:left w:val="single" w:sz="4" w:space="0" w:color="000000"/>
              <w:bottom w:val="single" w:sz="4" w:space="0" w:color="000000"/>
              <w:right w:val="single" w:sz="4" w:space="0" w:color="000000"/>
            </w:tcBorders>
            <w:hideMark/>
          </w:tcPr>
          <w:p w14:paraId="4773B930"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3D9430B1"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Bridget Thomas</w:t>
            </w:r>
          </w:p>
        </w:tc>
      </w:tr>
      <w:tr w:rsidR="00AE4986" w14:paraId="1DA69523" w14:textId="77777777" w:rsidTr="00AE4986">
        <w:trPr>
          <w:trHeight w:val="849"/>
        </w:trPr>
        <w:tc>
          <w:tcPr>
            <w:tcW w:w="4788" w:type="dxa"/>
            <w:tcBorders>
              <w:top w:val="single" w:sz="4" w:space="0" w:color="000000"/>
              <w:left w:val="single" w:sz="4" w:space="0" w:color="000000"/>
              <w:bottom w:val="single" w:sz="4" w:space="0" w:color="000000"/>
              <w:right w:val="single" w:sz="4" w:space="0" w:color="000000"/>
            </w:tcBorders>
          </w:tcPr>
          <w:p w14:paraId="6172665C"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Pr>
                <w:rFonts w:ascii="Times New Roman" w:hAnsi="Times New Roman"/>
                <w:color w:val="auto"/>
                <w:sz w:val="24"/>
                <w:szCs w:val="24"/>
              </w:rPr>
              <w:t xml:space="preserve"> </w:t>
            </w:r>
            <w:r>
              <w:rPr>
                <w:rFonts w:ascii="Arial" w:hAnsi="Arial" w:cs="Arial"/>
                <w:sz w:val="22"/>
                <w:szCs w:val="22"/>
              </w:rPr>
              <w:t xml:space="preserve">HPCA7001  </w:t>
            </w:r>
          </w:p>
          <w:p w14:paraId="7CCDCAE2" w14:textId="77777777" w:rsidR="00AE4986" w:rsidRDefault="00AE4986">
            <w:pPr>
              <w:pStyle w:val="NormalWeb"/>
              <w:spacing w:before="0" w:beforeAutospacing="0" w:after="0" w:afterAutospacing="0"/>
              <w:ind w:right="34"/>
              <w:rPr>
                <w:rFonts w:ascii="Arial" w:hAnsi="Arial" w:cs="Arial"/>
                <w:sz w:val="22"/>
                <w:szCs w:val="22"/>
              </w:rPr>
            </w:pPr>
          </w:p>
          <w:p w14:paraId="7DED3CC7"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p>
          <w:p w14:paraId="1141A817"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14:paraId="1EDA2F55" w14:textId="77777777" w:rsidR="00AE4986" w:rsidRDefault="00AE4986">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14:paraId="33569377"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1B640FEE" w14:textId="77777777" w:rsidR="00AE4986" w:rsidRDefault="00AE4986">
            <w:pPr>
              <w:pStyle w:val="NormalWeb"/>
              <w:spacing w:before="0" w:beforeAutospacing="0" w:after="0" w:afterAutospacing="0"/>
              <w:ind w:right="34"/>
              <w:rPr>
                <w:rFonts w:ascii="Arial" w:hAnsi="Arial" w:cs="Arial"/>
                <w:sz w:val="22"/>
                <w:szCs w:val="22"/>
              </w:rPr>
            </w:pPr>
          </w:p>
          <w:p w14:paraId="68C3CCD0"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2301429</w:t>
            </w:r>
          </w:p>
        </w:tc>
        <w:tc>
          <w:tcPr>
            <w:tcW w:w="1802" w:type="dxa"/>
            <w:tcBorders>
              <w:top w:val="single" w:sz="4" w:space="0" w:color="000000"/>
              <w:left w:val="single" w:sz="4" w:space="0" w:color="000000"/>
              <w:bottom w:val="single" w:sz="4" w:space="0" w:color="000000"/>
              <w:right w:val="single" w:sz="4" w:space="0" w:color="000000"/>
            </w:tcBorders>
            <w:hideMark/>
          </w:tcPr>
          <w:p w14:paraId="3A953FF9"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0AC40954"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trike/>
                <w:sz w:val="22"/>
                <w:szCs w:val="22"/>
              </w:rPr>
              <w:t>Yes</w:t>
            </w:r>
            <w:r>
              <w:rPr>
                <w:rFonts w:ascii="Arial" w:hAnsi="Arial" w:cs="Arial"/>
                <w:sz w:val="22"/>
                <w:szCs w:val="22"/>
              </w:rPr>
              <w:t>/No</w:t>
            </w:r>
          </w:p>
        </w:tc>
      </w:tr>
      <w:tr w:rsidR="00AE4986" w14:paraId="03E0EBB8" w14:textId="77777777" w:rsidTr="00AE498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AB42D58" w14:textId="77777777" w:rsidR="00AE4986" w:rsidRDefault="00AE4986">
            <w:pPr>
              <w:pStyle w:val="NormalWeb"/>
              <w:spacing w:before="0" w:beforeAutospacing="0" w:after="0" w:afterAutospacing="0"/>
              <w:ind w:right="34"/>
              <w:rPr>
                <w:rFonts w:ascii="Segoe UI" w:hAnsi="Segoe UI" w:cs="Segoe UI"/>
                <w:color w:val="373A3C"/>
                <w:shd w:val="clear" w:color="auto" w:fill="FBF7F5"/>
              </w:rPr>
            </w:pPr>
            <w:r>
              <w:rPr>
                <w:rFonts w:ascii="Arial" w:hAnsi="Arial" w:cs="Arial"/>
                <w:sz w:val="22"/>
                <w:szCs w:val="22"/>
              </w:rPr>
              <w:t xml:space="preserve">Module </w:t>
            </w:r>
            <w:proofErr w:type="gramStart"/>
            <w:r>
              <w:rPr>
                <w:rFonts w:ascii="Arial" w:hAnsi="Arial" w:cs="Arial"/>
                <w:sz w:val="22"/>
                <w:szCs w:val="22"/>
              </w:rPr>
              <w:t>tutor:</w:t>
            </w:r>
            <w:r>
              <w:rPr>
                <w:rFonts w:ascii="Segoe UI" w:hAnsi="Segoe UI" w:cs="Segoe UI"/>
                <w:color w:val="373A3C"/>
                <w:shd w:val="clear" w:color="auto" w:fill="FBF7F5"/>
              </w:rPr>
              <w:t>,</w:t>
            </w:r>
            <w:proofErr w:type="gramEnd"/>
            <w:r>
              <w:rPr>
                <w:rFonts w:ascii="Segoe UI" w:hAnsi="Segoe UI" w:cs="Segoe UI"/>
                <w:color w:val="373A3C"/>
                <w:shd w:val="clear" w:color="auto" w:fill="FBF7F5"/>
              </w:rPr>
              <w:t xml:space="preserve"> Dr Nicholas Campion, </w:t>
            </w:r>
          </w:p>
          <w:p w14:paraId="0D3C4357" w14:textId="77777777" w:rsidR="00AE4986" w:rsidRDefault="00AE4986">
            <w:pPr>
              <w:pStyle w:val="NormalWeb"/>
              <w:spacing w:before="0" w:beforeAutospacing="0" w:after="0" w:afterAutospacing="0"/>
              <w:ind w:right="34"/>
              <w:rPr>
                <w:rFonts w:ascii="Arial" w:hAnsi="Arial" w:cs="Arial"/>
                <w:sz w:val="22"/>
                <w:szCs w:val="22"/>
              </w:rPr>
            </w:pPr>
          </w:p>
          <w:p w14:paraId="5BF02730" w14:textId="77777777" w:rsidR="00AE4986" w:rsidRDefault="00AE4986">
            <w:pPr>
              <w:pStyle w:val="NormalWeb"/>
              <w:spacing w:before="0" w:beforeAutospacing="0" w:after="0" w:afterAutospacing="0"/>
              <w:ind w:right="34"/>
              <w:rPr>
                <w:rFonts w:ascii="Arial" w:hAnsi="Arial" w:cs="Arial"/>
                <w:sz w:val="22"/>
                <w:szCs w:val="22"/>
              </w:rPr>
            </w:pPr>
          </w:p>
          <w:p w14:paraId="271C3A53" w14:textId="77777777" w:rsidR="00AE4986" w:rsidRDefault="00AE4986">
            <w:pPr>
              <w:pStyle w:val="NormalWeb"/>
              <w:spacing w:before="0" w:beforeAutospacing="0" w:after="0" w:afterAutospacing="0"/>
              <w:ind w:right="34"/>
              <w:rPr>
                <w:rFonts w:ascii="Arial" w:hAnsi="Arial" w:cs="Arial"/>
                <w:sz w:val="22"/>
                <w:szCs w:val="22"/>
              </w:rPr>
            </w:pPr>
          </w:p>
          <w:p w14:paraId="00F64C7C"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date:4</w:t>
            </w:r>
            <w:r>
              <w:rPr>
                <w:rFonts w:ascii="Arial" w:hAnsi="Arial" w:cs="Arial"/>
                <w:sz w:val="22"/>
                <w:szCs w:val="22"/>
                <w:vertAlign w:val="superscript"/>
              </w:rPr>
              <w:t>th</w:t>
            </w:r>
            <w:r>
              <w:rPr>
                <w:rFonts w:ascii="Arial" w:hAnsi="Arial" w:cs="Arial"/>
                <w:sz w:val="22"/>
                <w:szCs w:val="22"/>
              </w:rPr>
              <w:t xml:space="preserve"> November</w:t>
            </w:r>
          </w:p>
        </w:tc>
      </w:tr>
      <w:tr w:rsidR="00AE4986" w14:paraId="3F468B14" w14:textId="77777777" w:rsidTr="00AE4986">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66BFADEF" w14:textId="77777777" w:rsidR="00AE4986" w:rsidRDefault="00AE4986">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280A915" w14:textId="77777777" w:rsidR="00AE4986" w:rsidRDefault="00AE4986">
            <w:pPr>
              <w:rPr>
                <w:rFonts w:ascii="Arial" w:hAnsi="Arial" w:cs="Arial"/>
              </w:rPr>
            </w:pPr>
          </w:p>
          <w:p w14:paraId="7CE383DC" w14:textId="61F73904" w:rsidR="00AE4986" w:rsidRDefault="00AE4986">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B22747">
              <w:rPr>
                <w:rFonts w:ascii="Arial" w:hAnsi="Arial" w:cs="Arial"/>
              </w:rPr>
            </w:r>
            <w:r w:rsidR="00B22747">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sidR="00B22747">
              <w:rPr>
                <w:rFonts w:ascii="Arial" w:hAnsi="Arial" w:cs="Arial"/>
              </w:rPr>
            </w:r>
            <w:r w:rsidR="00B22747">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sidR="00B22747">
              <w:rPr>
                <w:rFonts w:ascii="Arial" w:hAnsi="Arial" w:cs="Arial"/>
              </w:rPr>
            </w:r>
            <w:r w:rsidR="00B22747">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B22747">
              <w:rPr>
                <w:rFonts w:ascii="Arial" w:hAnsi="Arial" w:cs="Arial"/>
              </w:rPr>
            </w:r>
            <w:r w:rsidR="00B22747">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sidR="00B22747">
              <w:rPr>
                <w:rFonts w:ascii="Arial" w:hAnsi="Arial" w:cs="Arial"/>
              </w:rPr>
            </w:r>
            <w:r w:rsidR="00B22747">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sidR="00B22747">
              <w:rPr>
                <w:rFonts w:ascii="Arial" w:hAnsi="Arial" w:cs="Arial"/>
              </w:rPr>
            </w:r>
            <w:r w:rsidR="00B22747">
              <w:rPr>
                <w:rFonts w:ascii="Arial" w:hAnsi="Arial" w:cs="Arial"/>
              </w:rPr>
              <w:fldChar w:fldCharType="separate"/>
            </w:r>
            <w:r>
              <w:rPr>
                <w:rFonts w:ascii="Times New Roman" w:hAnsi="Times New Roman" w:cs="Times New Roman"/>
                <w:sz w:val="24"/>
                <w:szCs w:val="24"/>
              </w:rPr>
              <w:fldChar w:fldCharType="end"/>
            </w:r>
            <w:bookmarkEnd w:id="5"/>
            <w:r w:rsidR="004075C5">
              <w:rPr>
                <w:rFonts w:ascii="Times New Roman" w:hAnsi="Times New Roman" w:cs="Times New Roman"/>
                <w:sz w:val="24"/>
                <w:szCs w:val="24"/>
              </w:rPr>
              <w:t xml:space="preserve">           DRAFT</w:t>
            </w:r>
          </w:p>
        </w:tc>
      </w:tr>
      <w:tr w:rsidR="00AE4986" w14:paraId="6B98B00C" w14:textId="77777777" w:rsidTr="00AE498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052575C" w14:textId="77777777" w:rsidR="00AE4986" w:rsidRDefault="00AE4986">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1EE16C6" w14:textId="77777777" w:rsidR="00AE4986" w:rsidRDefault="00B22747">
            <w:pPr>
              <w:pStyle w:val="NormalWeb"/>
              <w:spacing w:before="0" w:beforeAutospacing="0" w:after="0" w:afterAutospacing="0"/>
              <w:ind w:right="34"/>
              <w:rPr>
                <w:rFonts w:ascii="Arial" w:hAnsi="Arial" w:cs="Arial"/>
                <w:sz w:val="22"/>
                <w:szCs w:val="22"/>
              </w:rPr>
            </w:pPr>
            <w:r>
              <w:pict w14:anchorId="03A5C4D4">
                <v:rect id="_x0000_s1026" style="position:absolute;margin-left:395.4pt;margin-top:8.7pt;width:23.25pt;height:22.5pt;z-index:251658240" filled="f">
                  <v:textbox>
                    <w:txbxContent>
                      <w:p w14:paraId="0E1D7905" w14:textId="77777777" w:rsidR="00AE4986" w:rsidRDefault="00AE4986" w:rsidP="00AE4986">
                        <w:r>
                          <w:t>X</w:t>
                        </w:r>
                      </w:p>
                    </w:txbxContent>
                  </v:textbox>
                </v:rect>
              </w:pict>
            </w:r>
            <w:r w:rsidR="00AE4986">
              <w:rPr>
                <w:rFonts w:ascii="Arial" w:hAnsi="Arial" w:cs="Arial"/>
                <w:sz w:val="22"/>
                <w:szCs w:val="22"/>
              </w:rPr>
              <w:t>Signed ……………………………………………………………</w:t>
            </w:r>
          </w:p>
          <w:p w14:paraId="65EC862A" w14:textId="77777777" w:rsidR="00AE4986" w:rsidRDefault="00AE4986">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p>
          <w:p w14:paraId="3DE3EA1A" w14:textId="77777777" w:rsidR="00AE4986" w:rsidRDefault="00AE4986">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AE4986" w14:paraId="74B9357D" w14:textId="77777777" w:rsidTr="00AE498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BA6BCEF" w14:textId="77777777" w:rsidR="00AE4986" w:rsidRDefault="00AE4986">
            <w:pPr>
              <w:rPr>
                <w:rFonts w:ascii="Arial" w:hAnsi="Arial" w:cs="Times New Roman"/>
                <w:b/>
                <w:sz w:val="24"/>
                <w:szCs w:val="24"/>
              </w:rPr>
            </w:pPr>
          </w:p>
          <w:p w14:paraId="26AB1157" w14:textId="77777777" w:rsidR="00AE4986" w:rsidRDefault="00AE4986">
            <w:pPr>
              <w:rPr>
                <w:rFonts w:ascii="Arial" w:hAnsi="Arial"/>
                <w:b/>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E4986" w14:paraId="36883315" w14:textId="77777777">
              <w:tc>
                <w:tcPr>
                  <w:tcW w:w="6970" w:type="dxa"/>
                  <w:tcBorders>
                    <w:top w:val="single" w:sz="4" w:space="0" w:color="auto"/>
                    <w:left w:val="single" w:sz="4" w:space="0" w:color="auto"/>
                    <w:bottom w:val="single" w:sz="4" w:space="0" w:color="auto"/>
                    <w:right w:val="single" w:sz="4" w:space="0" w:color="auto"/>
                  </w:tcBorders>
                </w:tcPr>
                <w:p w14:paraId="0BC4FB65" w14:textId="77777777" w:rsidR="00AE4986" w:rsidRDefault="00AE4986">
                  <w:pPr>
                    <w:rPr>
                      <w:rFonts w:ascii="Arial" w:hAnsi="Arial"/>
                      <w:sz w:val="20"/>
                      <w:szCs w:val="20"/>
                    </w:rPr>
                  </w:pPr>
                </w:p>
                <w:p w14:paraId="1EECFB6E" w14:textId="77777777" w:rsidR="00AE4986" w:rsidRDefault="00AE4986">
                  <w:pPr>
                    <w:rPr>
                      <w:rFonts w:ascii="Arial" w:hAnsi="Arial"/>
                      <w:b/>
                      <w:sz w:val="20"/>
                      <w:szCs w:val="20"/>
                    </w:rPr>
                  </w:pPr>
                  <w:r>
                    <w:rPr>
                      <w:rFonts w:ascii="Arial" w:hAnsi="Arial"/>
                      <w:b/>
                      <w:sz w:val="20"/>
                      <w:szCs w:val="20"/>
                    </w:rPr>
                    <w:t>Final Mark</w:t>
                  </w:r>
                </w:p>
                <w:p w14:paraId="0476651C" w14:textId="77777777" w:rsidR="00AE4986" w:rsidRDefault="00AE4986">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hideMark/>
                </w:tcPr>
                <w:p w14:paraId="4D1194D9" w14:textId="77777777" w:rsidR="00AE4986" w:rsidRDefault="00AE4986">
                  <w:pPr>
                    <w:rPr>
                      <w:rFonts w:ascii="Arial" w:hAnsi="Arial"/>
                      <w:sz w:val="20"/>
                      <w:szCs w:val="20"/>
                    </w:rPr>
                  </w:pPr>
                  <w:r>
                    <w:rPr>
                      <w:rFonts w:ascii="Arial" w:hAnsi="Arial"/>
                      <w:sz w:val="20"/>
                      <w:szCs w:val="20"/>
                    </w:rPr>
                    <w:t>WILL BE GIVEN ON TURNITIN</w:t>
                  </w:r>
                </w:p>
              </w:tc>
            </w:tr>
          </w:tbl>
          <w:p w14:paraId="221C75D6" w14:textId="77777777" w:rsidR="00AE4986" w:rsidRDefault="00AE4986">
            <w:pPr>
              <w:pStyle w:val="NormalWeb"/>
              <w:spacing w:before="0" w:beforeAutospacing="0" w:after="0" w:afterAutospacing="0"/>
              <w:ind w:left="142" w:right="34"/>
              <w:rPr>
                <w:rFonts w:ascii="Arial" w:hAnsi="Arial" w:cs="Arial"/>
                <w:b/>
                <w:sz w:val="22"/>
                <w:szCs w:val="22"/>
              </w:rPr>
            </w:pPr>
          </w:p>
          <w:p w14:paraId="38E157FA" w14:textId="77777777" w:rsidR="00AE4986" w:rsidRDefault="00AE4986">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7F8E55E" w14:textId="77777777" w:rsidR="00AE4986" w:rsidRDefault="00AE4986">
            <w:pPr>
              <w:pStyle w:val="NormalWeb"/>
              <w:spacing w:before="0" w:beforeAutospacing="0" w:after="0" w:afterAutospacing="0"/>
              <w:rPr>
                <w:rFonts w:ascii="Arial" w:hAnsi="Arial" w:cs="Arial"/>
                <w:b/>
                <w:sz w:val="22"/>
                <w:szCs w:val="22"/>
              </w:rPr>
            </w:pPr>
          </w:p>
          <w:p w14:paraId="62840EEE" w14:textId="77777777" w:rsidR="00AE4986" w:rsidRDefault="00AE4986">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7F3D9ABF" w14:textId="77777777" w:rsidR="00AE4986" w:rsidRDefault="00AE4986">
            <w:pPr>
              <w:pStyle w:val="NormalWeb"/>
              <w:spacing w:before="0" w:beforeAutospacing="0" w:after="0" w:afterAutospacing="0"/>
              <w:rPr>
                <w:rFonts w:ascii="Arial" w:hAnsi="Arial" w:cs="Arial"/>
                <w:b/>
                <w:sz w:val="22"/>
                <w:szCs w:val="22"/>
              </w:rPr>
            </w:pPr>
          </w:p>
          <w:p w14:paraId="79668CDE" w14:textId="77777777" w:rsidR="00AE4986" w:rsidRDefault="00AE4986">
            <w:pPr>
              <w:pStyle w:val="NormalWeb"/>
              <w:spacing w:before="0" w:beforeAutospacing="0" w:after="0" w:afterAutospacing="0"/>
              <w:rPr>
                <w:rFonts w:ascii="Arial" w:hAnsi="Arial" w:cs="Arial"/>
                <w:b/>
                <w:sz w:val="22"/>
                <w:szCs w:val="22"/>
              </w:rPr>
            </w:pPr>
          </w:p>
          <w:p w14:paraId="6E3707AC" w14:textId="77777777" w:rsidR="00AE4986" w:rsidRDefault="00AE4986">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502E4865" w14:textId="77777777" w:rsidR="00AE4986" w:rsidRDefault="00AE4986">
            <w:pPr>
              <w:pStyle w:val="NormalWeb"/>
              <w:rPr>
                <w:rFonts w:ascii="Arial" w:hAnsi="Arial" w:cs="Arial"/>
                <w:sz w:val="22"/>
                <w:szCs w:val="22"/>
              </w:rPr>
            </w:pPr>
            <w:r>
              <w:rPr>
                <w:rFonts w:ascii="Arial" w:hAnsi="Arial" w:cs="Arial"/>
                <w:sz w:val="22"/>
                <w:szCs w:val="22"/>
              </w:rPr>
              <w:t>Comments:</w:t>
            </w:r>
          </w:p>
          <w:p w14:paraId="1A9C2EB9" w14:textId="77777777" w:rsidR="00AE4986" w:rsidRDefault="00AE4986">
            <w:pPr>
              <w:pStyle w:val="NormalWeb"/>
              <w:rPr>
                <w:rFonts w:ascii="Arial" w:hAnsi="Arial" w:cs="Arial"/>
                <w:sz w:val="22"/>
                <w:szCs w:val="22"/>
              </w:rPr>
            </w:pPr>
          </w:p>
        </w:tc>
      </w:tr>
      <w:tr w:rsidR="00AE4986" w14:paraId="46F623C9" w14:textId="77777777" w:rsidTr="00AE498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045E4CA" w14:textId="77777777" w:rsidR="00AE4986" w:rsidRDefault="00AE4986">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466CDE9" w14:textId="77777777" w:rsidR="00AE4986" w:rsidRDefault="00AE4986">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AE4986" w14:paraId="529563B4" w14:textId="77777777" w:rsidTr="00AE4986">
        <w:tc>
          <w:tcPr>
            <w:tcW w:w="8856" w:type="dxa"/>
            <w:gridSpan w:val="5"/>
            <w:tcBorders>
              <w:top w:val="single" w:sz="4" w:space="0" w:color="000000"/>
              <w:left w:val="single" w:sz="4" w:space="0" w:color="000000"/>
              <w:bottom w:val="single" w:sz="4" w:space="0" w:color="000000"/>
              <w:right w:val="single" w:sz="4" w:space="0" w:color="000000"/>
            </w:tcBorders>
          </w:tcPr>
          <w:p w14:paraId="6BC7AA71" w14:textId="77777777" w:rsidR="00AE4986" w:rsidRDefault="00AE4986">
            <w:pPr>
              <w:pStyle w:val="NormalWeb"/>
              <w:spacing w:before="0" w:beforeAutospacing="0" w:after="0" w:afterAutospacing="0"/>
              <w:ind w:right="-334"/>
              <w:rPr>
                <w:rFonts w:ascii="Arial" w:hAnsi="Arial" w:cs="Arial"/>
                <w:bCs/>
                <w:i/>
                <w:sz w:val="22"/>
                <w:szCs w:val="22"/>
              </w:rPr>
            </w:pPr>
          </w:p>
          <w:p w14:paraId="65E2ADF4" w14:textId="77777777" w:rsidR="00AE4986" w:rsidRDefault="00AE498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4438620D" w14:textId="77777777" w:rsidR="00AE4986" w:rsidRDefault="00AE4986">
            <w:pPr>
              <w:pStyle w:val="NormalWeb"/>
              <w:spacing w:before="0" w:beforeAutospacing="0" w:after="0" w:afterAutospacing="0"/>
              <w:ind w:right="-334"/>
              <w:rPr>
                <w:rFonts w:ascii="Arial" w:hAnsi="Arial" w:cs="Arial"/>
                <w:b/>
                <w:bCs/>
                <w:sz w:val="22"/>
                <w:szCs w:val="22"/>
              </w:rPr>
            </w:pPr>
          </w:p>
          <w:p w14:paraId="42166297" w14:textId="77777777" w:rsidR="00AE4986" w:rsidRDefault="00AE4986">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6FD11AD6" w14:textId="77777777" w:rsidR="00AE4986" w:rsidRDefault="00AE4986">
            <w:pPr>
              <w:pStyle w:val="NormalWeb"/>
              <w:spacing w:before="0" w:beforeAutospacing="0" w:after="0" w:afterAutospacing="0"/>
              <w:ind w:right="-334"/>
              <w:rPr>
                <w:rFonts w:ascii="Arial" w:hAnsi="Arial" w:cs="Arial"/>
                <w:bCs/>
                <w:sz w:val="22"/>
                <w:szCs w:val="22"/>
              </w:rPr>
            </w:pPr>
          </w:p>
          <w:p w14:paraId="43FF77BB" w14:textId="77777777" w:rsidR="00AE4986" w:rsidRDefault="00AE4986">
            <w:pPr>
              <w:pStyle w:val="NormalWeb"/>
              <w:spacing w:before="0" w:beforeAutospacing="0" w:after="0" w:afterAutospacing="0"/>
              <w:ind w:right="-334"/>
              <w:rPr>
                <w:rFonts w:ascii="Arial" w:hAnsi="Arial" w:cs="Arial"/>
                <w:bCs/>
                <w:sz w:val="22"/>
                <w:szCs w:val="22"/>
              </w:rPr>
            </w:pPr>
          </w:p>
          <w:p w14:paraId="3AA121AB" w14:textId="77777777" w:rsidR="00AE4986" w:rsidRDefault="00AE4986">
            <w:pPr>
              <w:pStyle w:val="NormalWeb"/>
              <w:spacing w:before="0" w:beforeAutospacing="0" w:after="0" w:afterAutospacing="0"/>
              <w:ind w:right="-334"/>
              <w:rPr>
                <w:rFonts w:ascii="Arial" w:hAnsi="Arial" w:cs="Arial"/>
                <w:bCs/>
                <w:sz w:val="22"/>
                <w:szCs w:val="22"/>
              </w:rPr>
            </w:pPr>
          </w:p>
        </w:tc>
      </w:tr>
      <w:tr w:rsidR="00AE4986" w14:paraId="7D2E3A4A" w14:textId="77777777" w:rsidTr="00AE498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81ECE47" w14:textId="77777777" w:rsidR="00AE4986" w:rsidRDefault="00AE4986">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0DC441F" w14:textId="77777777" w:rsidR="00AE4986" w:rsidRDefault="00AE4986">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AE4986" w14:paraId="002DFCB9" w14:textId="77777777" w:rsidTr="00AE498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17F31B3" w14:textId="77777777" w:rsidR="00AE4986" w:rsidRDefault="00AE4986">
            <w:pPr>
              <w:rPr>
                <w:rFonts w:ascii="Arial" w:hAnsi="Arial" w:cs="Arial"/>
                <w:b/>
              </w:rPr>
            </w:pPr>
            <w:r>
              <w:rPr>
                <w:rFonts w:ascii="Arial" w:hAnsi="Arial" w:cs="Arial"/>
                <w:b/>
              </w:rPr>
              <w:t>AGREED INTERNAL MARK (where necessary):</w:t>
            </w:r>
          </w:p>
          <w:p w14:paraId="37A293F1" w14:textId="77777777" w:rsidR="00AE4986" w:rsidRDefault="00AE4986">
            <w:pPr>
              <w:rPr>
                <w:rFonts w:ascii="Arial" w:hAnsi="Arial" w:cs="Arial"/>
                <w:b/>
              </w:rPr>
            </w:pPr>
          </w:p>
          <w:p w14:paraId="73125E63" w14:textId="77777777" w:rsidR="00AE4986" w:rsidRDefault="00AE4986">
            <w:pPr>
              <w:rPr>
                <w:rFonts w:ascii="Arial" w:hAnsi="Arial" w:cs="Arial"/>
                <w:b/>
              </w:rPr>
            </w:pPr>
            <w:r>
              <w:rPr>
                <w:rFonts w:ascii="Arial" w:hAnsi="Arial" w:cs="Arial"/>
                <w:b/>
              </w:rPr>
              <w:t>Comment on process of arriving at agreed mark:</w:t>
            </w:r>
          </w:p>
          <w:p w14:paraId="22BBF401" w14:textId="77777777" w:rsidR="00AE4986" w:rsidRDefault="00AE4986">
            <w:pPr>
              <w:rPr>
                <w:rFonts w:ascii="Arial" w:hAnsi="Arial" w:cs="Arial"/>
                <w:b/>
              </w:rPr>
            </w:pPr>
          </w:p>
          <w:p w14:paraId="327651D4" w14:textId="77777777" w:rsidR="00AE4986" w:rsidRDefault="00AE4986">
            <w:pPr>
              <w:rPr>
                <w:rFonts w:ascii="Arial" w:hAnsi="Arial" w:cs="Arial"/>
                <w:b/>
              </w:rPr>
            </w:pPr>
          </w:p>
        </w:tc>
      </w:tr>
      <w:tr w:rsidR="00AE4986" w14:paraId="4482AC63" w14:textId="77777777" w:rsidTr="00AE498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F44FC5A" w14:textId="77777777" w:rsidR="00AE4986" w:rsidRDefault="00AE4986">
            <w:pPr>
              <w:rPr>
                <w:rFonts w:ascii="Arial" w:hAnsi="Arial" w:cs="Arial"/>
                <w:b/>
              </w:rPr>
            </w:pPr>
            <w:r>
              <w:rPr>
                <w:rFonts w:ascii="Arial" w:hAnsi="Arial" w:cs="Arial"/>
                <w:b/>
              </w:rPr>
              <w:t>External Examiner’s comments (if relevant)</w:t>
            </w:r>
          </w:p>
          <w:p w14:paraId="1491FCEA" w14:textId="77777777" w:rsidR="00AE4986" w:rsidRDefault="00AE4986">
            <w:pPr>
              <w:pStyle w:val="NormalWeb"/>
              <w:spacing w:before="0" w:beforeAutospacing="0" w:after="0" w:afterAutospacing="0"/>
              <w:ind w:right="-334"/>
              <w:rPr>
                <w:rFonts w:ascii="Arial" w:hAnsi="Arial" w:cs="Arial"/>
                <w:bCs/>
                <w:sz w:val="22"/>
                <w:szCs w:val="22"/>
              </w:rPr>
            </w:pPr>
          </w:p>
          <w:p w14:paraId="3FA05461" w14:textId="77777777" w:rsidR="00AE4986" w:rsidRDefault="00AE4986">
            <w:pPr>
              <w:pStyle w:val="NormalWeb"/>
              <w:spacing w:before="0" w:beforeAutospacing="0" w:after="0" w:afterAutospacing="0"/>
              <w:ind w:right="-334"/>
              <w:rPr>
                <w:rFonts w:ascii="Arial" w:hAnsi="Arial" w:cs="Arial"/>
                <w:bCs/>
                <w:sz w:val="22"/>
                <w:szCs w:val="22"/>
              </w:rPr>
            </w:pPr>
          </w:p>
          <w:p w14:paraId="04D1EFFF" w14:textId="77777777" w:rsidR="00AE4986" w:rsidRDefault="00AE4986">
            <w:pPr>
              <w:pStyle w:val="NormalWeb"/>
              <w:spacing w:before="0" w:beforeAutospacing="0" w:after="0" w:afterAutospacing="0"/>
              <w:ind w:right="-334"/>
              <w:rPr>
                <w:rFonts w:ascii="Arial" w:hAnsi="Arial" w:cs="Arial"/>
                <w:bCs/>
                <w:sz w:val="22"/>
                <w:szCs w:val="22"/>
              </w:rPr>
            </w:pPr>
          </w:p>
          <w:p w14:paraId="04F0CC8D" w14:textId="77777777" w:rsidR="00AE4986" w:rsidRDefault="00AE4986">
            <w:pPr>
              <w:pStyle w:val="NormalWeb"/>
              <w:spacing w:before="0" w:beforeAutospacing="0" w:after="0" w:afterAutospacing="0"/>
              <w:ind w:right="-334"/>
              <w:rPr>
                <w:rFonts w:ascii="Arial" w:hAnsi="Arial" w:cs="Arial"/>
                <w:bCs/>
                <w:sz w:val="22"/>
                <w:szCs w:val="22"/>
              </w:rPr>
            </w:pPr>
          </w:p>
          <w:p w14:paraId="24E3F891" w14:textId="77777777" w:rsidR="00AE4986" w:rsidRDefault="00AE4986">
            <w:pPr>
              <w:pStyle w:val="NormalWeb"/>
              <w:spacing w:before="0" w:beforeAutospacing="0" w:after="0" w:afterAutospacing="0"/>
              <w:ind w:right="-334"/>
              <w:rPr>
                <w:rFonts w:ascii="Arial" w:hAnsi="Arial" w:cs="Arial"/>
                <w:bCs/>
                <w:sz w:val="22"/>
                <w:szCs w:val="22"/>
              </w:rPr>
            </w:pPr>
          </w:p>
          <w:p w14:paraId="58C3A71E" w14:textId="77777777" w:rsidR="00AE4986" w:rsidRDefault="00AE4986">
            <w:pPr>
              <w:pStyle w:val="NormalWeb"/>
              <w:spacing w:before="0" w:beforeAutospacing="0" w:after="0" w:afterAutospacing="0"/>
              <w:ind w:right="-334"/>
              <w:rPr>
                <w:rFonts w:ascii="Arial" w:hAnsi="Arial" w:cs="Arial"/>
                <w:bCs/>
                <w:sz w:val="22"/>
                <w:szCs w:val="22"/>
              </w:rPr>
            </w:pPr>
          </w:p>
          <w:p w14:paraId="64EF1EEF" w14:textId="77777777" w:rsidR="00AE4986" w:rsidRDefault="00AE4986">
            <w:pPr>
              <w:pStyle w:val="NormalWeb"/>
              <w:spacing w:before="0" w:beforeAutospacing="0" w:after="0" w:afterAutospacing="0"/>
              <w:ind w:right="-334"/>
              <w:rPr>
                <w:rFonts w:ascii="Arial" w:hAnsi="Arial" w:cs="Arial"/>
                <w:bCs/>
                <w:sz w:val="22"/>
                <w:szCs w:val="22"/>
              </w:rPr>
            </w:pPr>
          </w:p>
        </w:tc>
      </w:tr>
      <w:tr w:rsidR="00AE4986" w14:paraId="2628C9F2" w14:textId="77777777" w:rsidTr="00AE498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41C2B94" w14:textId="77777777" w:rsidR="00AE4986" w:rsidRDefault="00AE4986">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7C0AFE6" w14:textId="77777777" w:rsidR="00AE4986" w:rsidRDefault="00AE4986">
            <w:pPr>
              <w:rPr>
                <w:rFonts w:ascii="Arial" w:hAnsi="Arial" w:cs="Arial"/>
              </w:rPr>
            </w:pPr>
            <w:r>
              <w:rPr>
                <w:rFonts w:ascii="Arial" w:hAnsi="Arial" w:cs="Arial"/>
              </w:rPr>
              <w:t>Date:</w:t>
            </w:r>
          </w:p>
        </w:tc>
      </w:tr>
    </w:tbl>
    <w:p w14:paraId="05D81605" w14:textId="77777777" w:rsidR="00AE4986" w:rsidRDefault="00AE4986" w:rsidP="00AE4986">
      <w:pPr>
        <w:pStyle w:val="NormalWeb"/>
        <w:spacing w:before="0" w:beforeAutospacing="0" w:after="0" w:afterAutospacing="0"/>
        <w:ind w:right="-334"/>
        <w:rPr>
          <w:rFonts w:ascii="Trebuchet MS" w:hAnsi="Trebuchet MS" w:cs="Tahoma"/>
          <w:bCs/>
          <w:sz w:val="24"/>
          <w:szCs w:val="24"/>
        </w:rPr>
      </w:pPr>
    </w:p>
    <w:p w14:paraId="2DBD6EE3" w14:textId="77777777" w:rsidR="00AE4986" w:rsidRDefault="00AE4986">
      <w:pPr>
        <w:rPr>
          <w:rFonts w:cstheme="minorHAnsi"/>
          <w:sz w:val="32"/>
          <w:szCs w:val="32"/>
        </w:rPr>
      </w:pPr>
      <w:r>
        <w:rPr>
          <w:rFonts w:cstheme="minorHAnsi"/>
          <w:sz w:val="32"/>
          <w:szCs w:val="32"/>
        </w:rPr>
        <w:br w:type="page"/>
      </w:r>
    </w:p>
    <w:p w14:paraId="6A7FD21E" w14:textId="2398889B" w:rsidR="004D5B52" w:rsidRDefault="004D5B52">
      <w:pPr>
        <w:rPr>
          <w:rFonts w:cstheme="minorHAnsi"/>
          <w:sz w:val="32"/>
          <w:szCs w:val="32"/>
        </w:rPr>
      </w:pPr>
      <w:r w:rsidRPr="004D5B52">
        <w:rPr>
          <w:rFonts w:cstheme="minorHAnsi"/>
          <w:sz w:val="32"/>
          <w:szCs w:val="32"/>
        </w:rPr>
        <w:lastRenderedPageBreak/>
        <w:t>‘A Critical Comparison of Two JSTOR Papers’.</w:t>
      </w:r>
    </w:p>
    <w:p w14:paraId="7A84B53C" w14:textId="0713ACE8" w:rsidR="000D549D" w:rsidRPr="00600CE9" w:rsidRDefault="00AE4986">
      <w:pPr>
        <w:rPr>
          <w:rFonts w:cstheme="minorHAnsi"/>
          <w:sz w:val="24"/>
          <w:szCs w:val="24"/>
        </w:rPr>
      </w:pPr>
      <w:r>
        <w:rPr>
          <w:rFonts w:cstheme="minorHAnsi"/>
          <w:sz w:val="24"/>
          <w:szCs w:val="24"/>
        </w:rPr>
        <w:t>2263 words</w:t>
      </w:r>
    </w:p>
    <w:p w14:paraId="528FF8F0" w14:textId="6BA122DE" w:rsidR="006140D0" w:rsidRPr="00600CE9" w:rsidRDefault="006140D0">
      <w:pPr>
        <w:rPr>
          <w:rFonts w:cstheme="minorHAnsi"/>
          <w:b/>
          <w:bCs/>
          <w:sz w:val="24"/>
          <w:szCs w:val="24"/>
        </w:rPr>
      </w:pPr>
      <w:r w:rsidRPr="00600CE9">
        <w:rPr>
          <w:rFonts w:cstheme="minorHAnsi"/>
          <w:b/>
          <w:bCs/>
          <w:sz w:val="24"/>
          <w:szCs w:val="24"/>
        </w:rPr>
        <w:t>Introduction</w:t>
      </w:r>
    </w:p>
    <w:p w14:paraId="3AD52470" w14:textId="54F5BB9F" w:rsidR="00312F20" w:rsidRPr="00600CE9" w:rsidRDefault="00312F20">
      <w:pPr>
        <w:rPr>
          <w:rFonts w:cstheme="minorHAnsi"/>
          <w:sz w:val="24"/>
          <w:szCs w:val="24"/>
        </w:rPr>
      </w:pPr>
      <w:r w:rsidRPr="00600CE9">
        <w:rPr>
          <w:rFonts w:cstheme="minorHAnsi"/>
          <w:sz w:val="24"/>
          <w:szCs w:val="24"/>
        </w:rPr>
        <w:t xml:space="preserve">The two articles I have chosen to discuss are </w:t>
      </w:r>
      <w:r w:rsidR="00E51E18" w:rsidRPr="00AC0EDF">
        <w:rPr>
          <w:sz w:val="24"/>
          <w:szCs w:val="24"/>
        </w:rPr>
        <w:t>Raymond Head’s 1993 article ‘Holst – Astrology and Modernism in ‘The Planets’</w:t>
      </w:r>
      <w:r w:rsidR="002341C9">
        <w:rPr>
          <w:sz w:val="24"/>
          <w:szCs w:val="24"/>
        </w:rPr>
        <w:t>’,</w:t>
      </w:r>
      <w:r w:rsidR="00E51E18">
        <w:rPr>
          <w:rStyle w:val="FootnoteReference"/>
          <w:sz w:val="24"/>
          <w:szCs w:val="24"/>
        </w:rPr>
        <w:footnoteReference w:id="1"/>
      </w:r>
      <w:r w:rsidR="00E51E18" w:rsidRPr="00AC0EDF">
        <w:rPr>
          <w:sz w:val="24"/>
          <w:szCs w:val="24"/>
        </w:rPr>
        <w:t xml:space="preserve"> </w:t>
      </w:r>
      <w:r w:rsidRPr="00600CE9">
        <w:rPr>
          <w:rFonts w:cstheme="minorHAnsi"/>
          <w:sz w:val="24"/>
          <w:szCs w:val="24"/>
        </w:rPr>
        <w:t xml:space="preserve">and Eleanor Long’s </w:t>
      </w:r>
      <w:r w:rsidR="002341C9">
        <w:rPr>
          <w:sz w:val="24"/>
          <w:szCs w:val="24"/>
        </w:rPr>
        <w:t xml:space="preserve">1984 article ‘How the Dog Got It’s Days: A </w:t>
      </w:r>
      <w:proofErr w:type="spellStart"/>
      <w:r w:rsidR="002341C9">
        <w:rPr>
          <w:sz w:val="24"/>
          <w:szCs w:val="24"/>
        </w:rPr>
        <w:t>Skeptical</w:t>
      </w:r>
      <w:proofErr w:type="spellEnd"/>
      <w:r w:rsidR="002341C9">
        <w:rPr>
          <w:sz w:val="24"/>
          <w:szCs w:val="24"/>
        </w:rPr>
        <w:t xml:space="preserve"> Inquiry into Traditional Star and Weather Lore’</w:t>
      </w:r>
      <w:r w:rsidR="000F45DA">
        <w:rPr>
          <w:sz w:val="24"/>
          <w:szCs w:val="24"/>
        </w:rPr>
        <w:t>.</w:t>
      </w:r>
      <w:r w:rsidR="002341C9">
        <w:rPr>
          <w:rStyle w:val="FootnoteReference"/>
          <w:sz w:val="24"/>
          <w:szCs w:val="24"/>
        </w:rPr>
        <w:footnoteReference w:id="2"/>
      </w:r>
      <w:r w:rsidR="002341C9">
        <w:rPr>
          <w:sz w:val="24"/>
          <w:szCs w:val="24"/>
        </w:rPr>
        <w:t xml:space="preserve"> </w:t>
      </w:r>
    </w:p>
    <w:p w14:paraId="3801CA60" w14:textId="510D81E4" w:rsidR="006140D0" w:rsidRPr="00600CE9" w:rsidRDefault="006140D0">
      <w:pPr>
        <w:rPr>
          <w:rFonts w:cstheme="minorHAnsi"/>
          <w:b/>
          <w:bCs/>
          <w:sz w:val="24"/>
          <w:szCs w:val="24"/>
        </w:rPr>
      </w:pPr>
      <w:r w:rsidRPr="00600CE9">
        <w:rPr>
          <w:rFonts w:cstheme="minorHAnsi"/>
          <w:b/>
          <w:bCs/>
          <w:sz w:val="24"/>
          <w:szCs w:val="24"/>
        </w:rPr>
        <w:t>Context</w:t>
      </w:r>
    </w:p>
    <w:p w14:paraId="1EFC0640" w14:textId="77777777" w:rsidR="00767A45" w:rsidRDefault="00767A45" w:rsidP="00767A45">
      <w:pPr>
        <w:rPr>
          <w:rFonts w:ascii="AppleSystemUIFont" w:eastAsiaTheme="minorEastAsia" w:hAnsi="AppleSystemUIFont" w:cs="AppleSystemUIFont"/>
          <w:sz w:val="26"/>
          <w:szCs w:val="26"/>
          <w:lang w:eastAsia="en-GB"/>
        </w:rPr>
      </w:pPr>
      <w:r w:rsidRPr="00057FD5">
        <w:rPr>
          <w:rFonts w:ascii="AppleSystemUIFont" w:eastAsiaTheme="minorEastAsia" w:hAnsi="AppleSystemUIFont" w:cs="AppleSystemUIFont"/>
          <w:sz w:val="26"/>
          <w:szCs w:val="26"/>
          <w:lang w:eastAsia="en-GB"/>
        </w:rPr>
        <w:t xml:space="preserve">The Journal </w:t>
      </w:r>
      <w:r w:rsidRPr="00057FD5">
        <w:rPr>
          <w:rFonts w:ascii="AppleSystemUIFont" w:eastAsiaTheme="minorEastAsia" w:hAnsi="AppleSystemUIFont" w:cs="AppleSystemUIFont"/>
          <w:i/>
          <w:iCs/>
          <w:sz w:val="26"/>
          <w:szCs w:val="26"/>
          <w:lang w:eastAsia="en-GB"/>
        </w:rPr>
        <w:t>Western Folklore</w:t>
      </w:r>
      <w:r w:rsidRPr="00057FD5">
        <w:rPr>
          <w:rFonts w:ascii="AppleSystemUIFont" w:eastAsiaTheme="minorEastAsia" w:hAnsi="AppleSystemUIFont" w:cs="AppleSystemUIFont"/>
          <w:sz w:val="26"/>
          <w:szCs w:val="26"/>
          <w:lang w:eastAsia="en-GB"/>
        </w:rPr>
        <w:t xml:space="preserve"> first appeared in 1942 as the </w:t>
      </w:r>
      <w:r w:rsidRPr="00057FD5">
        <w:rPr>
          <w:rFonts w:ascii="AppleSystemUIFont" w:eastAsiaTheme="minorEastAsia" w:hAnsi="AppleSystemUIFont" w:cs="AppleSystemUIFont"/>
          <w:i/>
          <w:iCs/>
          <w:sz w:val="26"/>
          <w:szCs w:val="26"/>
          <w:lang w:eastAsia="en-GB"/>
        </w:rPr>
        <w:t>California Folklore Quarterly.</w:t>
      </w:r>
      <w:r w:rsidRPr="00057FD5">
        <w:rPr>
          <w:rFonts w:ascii="AppleSystemUIFont" w:eastAsiaTheme="minorEastAsia" w:hAnsi="AppleSystemUIFont" w:cs="AppleSystemUIFont"/>
          <w:i/>
          <w:iCs/>
          <w:sz w:val="26"/>
          <w:szCs w:val="26"/>
          <w:vertAlign w:val="superscript"/>
          <w:lang w:eastAsia="en-GB"/>
        </w:rPr>
        <w:footnoteReference w:id="3"/>
      </w:r>
      <w:r w:rsidRPr="00057FD5">
        <w:rPr>
          <w:rFonts w:ascii="AppleSystemUIFont" w:eastAsiaTheme="minorEastAsia" w:hAnsi="AppleSystemUIFont" w:cs="AppleSystemUIFont"/>
          <w:i/>
          <w:iCs/>
          <w:sz w:val="26"/>
          <w:szCs w:val="26"/>
          <w:lang w:eastAsia="en-GB"/>
        </w:rPr>
        <w:t xml:space="preserve"> </w:t>
      </w:r>
      <w:r w:rsidRPr="00057FD5">
        <w:rPr>
          <w:rFonts w:ascii="AppleSystemUIFont" w:eastAsiaTheme="minorEastAsia" w:hAnsi="AppleSystemUIFont" w:cs="AppleSystemUIFont"/>
          <w:sz w:val="26"/>
          <w:szCs w:val="26"/>
          <w:lang w:eastAsia="en-GB"/>
        </w:rPr>
        <w:t>It was a scholarly journal concerned with contemporary folklore.</w:t>
      </w:r>
    </w:p>
    <w:p w14:paraId="1D60CBD1" w14:textId="6F1D6786" w:rsidR="001906D4" w:rsidRDefault="00976A4D" w:rsidP="003E46A9">
      <w:pPr>
        <w:rPr>
          <w:rFonts w:cstheme="minorHAnsi"/>
          <w:sz w:val="24"/>
          <w:szCs w:val="24"/>
        </w:rPr>
      </w:pPr>
      <w:r>
        <w:rPr>
          <w:rFonts w:cstheme="minorHAnsi"/>
          <w:sz w:val="24"/>
          <w:szCs w:val="24"/>
        </w:rPr>
        <w:t>a group which had its roots in the Berkely Folklore Society. Founded in 1907 the first president of the Berkeley group echoed the sentiments of other American Folklore scholars of the time that there was</w:t>
      </w:r>
    </w:p>
    <w:p w14:paraId="052594ED" w14:textId="16F1EEA1" w:rsidR="00057FD5" w:rsidRDefault="00976A4D" w:rsidP="003E46A9">
      <w:pPr>
        <w:rPr>
          <w:rFonts w:cstheme="minorHAnsi"/>
          <w:sz w:val="24"/>
          <w:szCs w:val="24"/>
        </w:rPr>
      </w:pPr>
      <w:r>
        <w:rPr>
          <w:rFonts w:cstheme="minorHAnsi"/>
          <w:sz w:val="24"/>
          <w:szCs w:val="24"/>
        </w:rPr>
        <w:t xml:space="preserve"> {little historicity to be found in Folklore, </w:t>
      </w:r>
      <w:r w:rsidR="001906D4" w:rsidRPr="00600CE9">
        <w:rPr>
          <w:rFonts w:cstheme="minorHAnsi"/>
          <w:color w:val="201F1E"/>
          <w:sz w:val="24"/>
          <w:szCs w:val="24"/>
          <w:shd w:val="clear" w:color="auto" w:fill="FFFFFF"/>
        </w:rPr>
        <w:t xml:space="preserve">that illiterate people had no </w:t>
      </w:r>
      <w:proofErr w:type="gramStart"/>
      <w:r w:rsidR="001906D4" w:rsidRPr="00600CE9">
        <w:rPr>
          <w:rFonts w:cstheme="minorHAnsi"/>
          <w:color w:val="201F1E"/>
          <w:sz w:val="24"/>
          <w:szCs w:val="24"/>
          <w:shd w:val="clear" w:color="auto" w:fill="FFFFFF"/>
        </w:rPr>
        <w:t>history. </w:t>
      </w:r>
      <w:r w:rsidR="001906D4" w:rsidRPr="00600CE9">
        <w:rPr>
          <w:rFonts w:cstheme="minorHAnsi"/>
          <w:sz w:val="24"/>
          <w:szCs w:val="24"/>
        </w:rPr>
        <w:t xml:space="preserve">  </w:t>
      </w:r>
      <w:proofErr w:type="gramEnd"/>
      <w:r>
        <w:rPr>
          <w:rFonts w:cstheme="minorHAnsi"/>
          <w:sz w:val="24"/>
          <w:szCs w:val="24"/>
        </w:rPr>
        <w:t xml:space="preserve">.} </w:t>
      </w:r>
      <w:r w:rsidR="00AB7856" w:rsidRPr="00600CE9">
        <w:rPr>
          <w:rFonts w:cstheme="minorHAnsi"/>
          <w:sz w:val="24"/>
          <w:szCs w:val="24"/>
        </w:rPr>
        <w:t xml:space="preserve">  </w:t>
      </w:r>
    </w:p>
    <w:p w14:paraId="7A981765" w14:textId="2577C0CF" w:rsidR="00976A4D" w:rsidRDefault="00174653" w:rsidP="003E46A9">
      <w:pPr>
        <w:rPr>
          <w:rFonts w:cstheme="minorHAnsi"/>
          <w:color w:val="201F1E"/>
          <w:sz w:val="24"/>
          <w:szCs w:val="24"/>
          <w:shd w:val="clear" w:color="auto" w:fill="FFFFFF"/>
        </w:rPr>
      </w:pPr>
      <w:r>
        <w:rPr>
          <w:rFonts w:cstheme="minorHAnsi"/>
          <w:color w:val="201F1E"/>
          <w:sz w:val="24"/>
          <w:szCs w:val="24"/>
          <w:shd w:val="clear" w:color="auto" w:fill="FFFFFF"/>
        </w:rPr>
        <w:t xml:space="preserve">From the beginning Native American folklore was explicitly excluded from the remit.  The expressed rationale for this is that it was better served elsewhere.  </w:t>
      </w:r>
    </w:p>
    <w:p w14:paraId="18247C87" w14:textId="396A437B" w:rsidR="00174653" w:rsidRDefault="00174653" w:rsidP="003E46A9">
      <w:pPr>
        <w:rPr>
          <w:rFonts w:cstheme="minorHAnsi"/>
          <w:sz w:val="24"/>
          <w:szCs w:val="24"/>
        </w:rPr>
      </w:pPr>
      <w:r>
        <w:rPr>
          <w:rFonts w:cstheme="minorHAnsi"/>
          <w:color w:val="201F1E"/>
          <w:sz w:val="24"/>
          <w:szCs w:val="24"/>
          <w:shd w:val="clear" w:color="auto" w:fill="FFFFFF"/>
        </w:rPr>
        <w:t>{EAGLETON CULTURE AS CIVILISATION – CULTURE AS WAY OF LIFE}</w:t>
      </w:r>
    </w:p>
    <w:p w14:paraId="11F7F111" w14:textId="0D7C4E4B" w:rsidR="002020FD" w:rsidRDefault="00976A4D" w:rsidP="003E46A9">
      <w:pPr>
        <w:rPr>
          <w:rFonts w:cstheme="minorHAnsi"/>
          <w:color w:val="201F1E"/>
          <w:sz w:val="24"/>
          <w:szCs w:val="24"/>
          <w:shd w:val="clear" w:color="auto" w:fill="FFFFFF"/>
        </w:rPr>
      </w:pPr>
      <w:r w:rsidRPr="00600CE9">
        <w:rPr>
          <w:rFonts w:cstheme="minorHAnsi"/>
          <w:sz w:val="24"/>
          <w:szCs w:val="24"/>
        </w:rPr>
        <w:t>The study of folklore in the United States was conducted by local enthusiasts and academics and was at the outset concerned with c</w:t>
      </w:r>
      <w:r w:rsidR="00174653">
        <w:rPr>
          <w:rFonts w:cstheme="minorHAnsi"/>
          <w:sz w:val="24"/>
          <w:szCs w:val="24"/>
        </w:rPr>
        <w:t>ontemporary</w:t>
      </w:r>
      <w:r w:rsidRPr="00600CE9">
        <w:rPr>
          <w:rFonts w:cstheme="minorHAnsi"/>
          <w:sz w:val="24"/>
          <w:szCs w:val="24"/>
        </w:rPr>
        <w:t xml:space="preserve"> folklore</w:t>
      </w:r>
      <w:r w:rsidR="002020FD">
        <w:rPr>
          <w:rFonts w:cstheme="minorHAnsi"/>
          <w:sz w:val="24"/>
          <w:szCs w:val="24"/>
        </w:rPr>
        <w:t xml:space="preserve">. </w:t>
      </w:r>
      <w:r w:rsidRPr="00600CE9">
        <w:rPr>
          <w:rFonts w:cstheme="minorHAnsi"/>
          <w:sz w:val="24"/>
          <w:szCs w:val="24"/>
        </w:rPr>
        <w:t xml:space="preserve"> As the century progressed this focus allowed for investigation of ‘street culture’ ‘urban </w:t>
      </w:r>
      <w:proofErr w:type="gramStart"/>
      <w:r w:rsidRPr="00600CE9">
        <w:rPr>
          <w:rFonts w:cstheme="minorHAnsi"/>
          <w:sz w:val="24"/>
          <w:szCs w:val="24"/>
        </w:rPr>
        <w:t>myths’</w:t>
      </w:r>
      <w:proofErr w:type="gramEnd"/>
      <w:r w:rsidRPr="00600CE9">
        <w:rPr>
          <w:rFonts w:cstheme="minorHAnsi"/>
          <w:sz w:val="24"/>
          <w:szCs w:val="24"/>
        </w:rPr>
        <w:t xml:space="preserve"> and popular music.</w:t>
      </w:r>
      <w:r w:rsidRPr="00600CE9">
        <w:rPr>
          <w:rFonts w:cstheme="minorHAnsi"/>
          <w:color w:val="201F1E"/>
          <w:sz w:val="24"/>
          <w:szCs w:val="24"/>
          <w:shd w:val="clear" w:color="auto" w:fill="FFFFFF"/>
        </w:rPr>
        <w:t xml:space="preserve"> </w:t>
      </w:r>
      <w:r>
        <w:rPr>
          <w:rFonts w:cstheme="minorHAnsi"/>
          <w:color w:val="201F1E"/>
          <w:sz w:val="24"/>
          <w:szCs w:val="24"/>
          <w:shd w:val="clear" w:color="auto" w:fill="FFFFFF"/>
        </w:rPr>
        <w:t xml:space="preserve"> </w:t>
      </w:r>
    </w:p>
    <w:p w14:paraId="02E39994" w14:textId="291B7FA1" w:rsidR="00174653" w:rsidRDefault="002020FD" w:rsidP="003E46A9">
      <w:pPr>
        <w:rPr>
          <w:rFonts w:cstheme="minorHAnsi"/>
          <w:color w:val="201F1E"/>
          <w:sz w:val="24"/>
          <w:szCs w:val="24"/>
          <w:shd w:val="clear" w:color="auto" w:fill="FFFFFF"/>
        </w:rPr>
      </w:pPr>
      <w:r>
        <w:rPr>
          <w:rFonts w:cstheme="minorHAnsi"/>
          <w:color w:val="201F1E"/>
          <w:sz w:val="24"/>
          <w:szCs w:val="24"/>
          <w:shd w:val="clear" w:color="auto" w:fill="FFFFFF"/>
        </w:rPr>
        <w:t>{TO INVESTIGATE, DOCUMENT AND DISSEMINATE FOLKLORE} statement from</w:t>
      </w:r>
      <w:r w:rsidR="00174653">
        <w:rPr>
          <w:rFonts w:cstheme="minorHAnsi"/>
          <w:color w:val="201F1E"/>
          <w:sz w:val="24"/>
          <w:szCs w:val="24"/>
          <w:shd w:val="clear" w:color="auto" w:fill="FFFFFF"/>
        </w:rPr>
        <w:t>???</w:t>
      </w:r>
      <w:r w:rsidR="00174653">
        <w:rPr>
          <w:rStyle w:val="FootnoteReference"/>
          <w:rFonts w:cstheme="minorHAnsi"/>
          <w:color w:val="201F1E"/>
          <w:sz w:val="24"/>
          <w:szCs w:val="24"/>
          <w:shd w:val="clear" w:color="auto" w:fill="FFFFFF"/>
        </w:rPr>
        <w:footnoteReference w:id="4"/>
      </w:r>
    </w:p>
    <w:p w14:paraId="6B20F8E7" w14:textId="2B5B105F" w:rsidR="002020FD" w:rsidRDefault="00976A4D" w:rsidP="003E46A9">
      <w:pPr>
        <w:rPr>
          <w:rFonts w:cstheme="minorHAnsi"/>
          <w:color w:val="201F1E"/>
          <w:sz w:val="24"/>
          <w:szCs w:val="24"/>
          <w:shd w:val="clear" w:color="auto" w:fill="FFFFFF"/>
        </w:rPr>
      </w:pPr>
      <w:r>
        <w:rPr>
          <w:rFonts w:cstheme="minorHAnsi"/>
          <w:color w:val="201F1E"/>
          <w:sz w:val="24"/>
          <w:szCs w:val="24"/>
          <w:shd w:val="clear" w:color="auto" w:fill="FFFFFF"/>
        </w:rPr>
        <w:t xml:space="preserve">the scope of scholarly interest had </w:t>
      </w:r>
      <w:proofErr w:type="gramStart"/>
      <w:r>
        <w:rPr>
          <w:rFonts w:cstheme="minorHAnsi"/>
          <w:color w:val="201F1E"/>
          <w:sz w:val="24"/>
          <w:szCs w:val="24"/>
          <w:shd w:val="clear" w:color="auto" w:fill="FFFFFF"/>
        </w:rPr>
        <w:t>expanded</w:t>
      </w:r>
      <w:proofErr w:type="gramEnd"/>
      <w:r>
        <w:rPr>
          <w:rFonts w:cstheme="minorHAnsi"/>
          <w:color w:val="201F1E"/>
          <w:sz w:val="24"/>
          <w:szCs w:val="24"/>
          <w:shd w:val="clear" w:color="auto" w:fill="FFFFFF"/>
        </w:rPr>
        <w:t xml:space="preserve"> </w:t>
      </w:r>
      <w:r w:rsidR="002020FD">
        <w:rPr>
          <w:rFonts w:cstheme="minorHAnsi"/>
          <w:color w:val="201F1E"/>
          <w:sz w:val="24"/>
          <w:szCs w:val="24"/>
          <w:shd w:val="clear" w:color="auto" w:fill="FFFFFF"/>
        </w:rPr>
        <w:t>and</w:t>
      </w:r>
      <w:r w:rsidR="00174653">
        <w:rPr>
          <w:rFonts w:cstheme="minorHAnsi"/>
          <w:color w:val="201F1E"/>
          <w:sz w:val="24"/>
          <w:szCs w:val="24"/>
          <w:shd w:val="clear" w:color="auto" w:fill="FFFFFF"/>
        </w:rPr>
        <w:t xml:space="preserve"> the society</w:t>
      </w:r>
      <w:r w:rsidR="002020FD">
        <w:rPr>
          <w:rFonts w:cstheme="minorHAnsi"/>
          <w:color w:val="201F1E"/>
          <w:sz w:val="24"/>
          <w:szCs w:val="24"/>
          <w:shd w:val="clear" w:color="auto" w:fill="FFFFFF"/>
        </w:rPr>
        <w:t xml:space="preserve"> hosted</w:t>
      </w:r>
      <w:r>
        <w:rPr>
          <w:rFonts w:cstheme="minorHAnsi"/>
          <w:color w:val="201F1E"/>
          <w:sz w:val="24"/>
          <w:szCs w:val="24"/>
          <w:shd w:val="clear" w:color="auto" w:fill="FFFFFF"/>
        </w:rPr>
        <w:t xml:space="preserve"> an annual conference held on different campuses of the University of California each year</w:t>
      </w:r>
      <w:r w:rsidR="002020FD">
        <w:rPr>
          <w:rFonts w:cstheme="minorHAnsi"/>
          <w:color w:val="201F1E"/>
          <w:sz w:val="24"/>
          <w:szCs w:val="24"/>
          <w:shd w:val="clear" w:color="auto" w:fill="FFFFFF"/>
        </w:rPr>
        <w:t>.  The remit of the society</w:t>
      </w:r>
      <w:r w:rsidR="00174653">
        <w:rPr>
          <w:rFonts w:cstheme="minorHAnsi"/>
          <w:color w:val="201F1E"/>
          <w:sz w:val="24"/>
          <w:szCs w:val="24"/>
          <w:shd w:val="clear" w:color="auto" w:fill="FFFFFF"/>
        </w:rPr>
        <w:t xml:space="preserve"> was</w:t>
      </w:r>
      <w:r w:rsidR="002020FD">
        <w:rPr>
          <w:rFonts w:cstheme="minorHAnsi"/>
          <w:color w:val="201F1E"/>
          <w:sz w:val="24"/>
          <w:szCs w:val="24"/>
          <w:shd w:val="clear" w:color="auto" w:fill="FFFFFF"/>
        </w:rPr>
        <w:t xml:space="preserve"> similarly expanded and updated. </w:t>
      </w:r>
    </w:p>
    <w:p w14:paraId="71248E81" w14:textId="4BC95D74" w:rsidR="00174653" w:rsidRPr="00600CE9" w:rsidRDefault="00976A4D" w:rsidP="00174653">
      <w:pPr>
        <w:rPr>
          <w:rFonts w:cstheme="minorHAnsi"/>
          <w:sz w:val="24"/>
          <w:szCs w:val="24"/>
        </w:rPr>
      </w:pPr>
      <w:r>
        <w:rPr>
          <w:rFonts w:cstheme="minorHAnsi"/>
          <w:color w:val="201F1E"/>
          <w:sz w:val="24"/>
          <w:szCs w:val="24"/>
          <w:shd w:val="clear" w:color="auto" w:fill="FFFFFF"/>
        </w:rPr>
        <w:t>{</w:t>
      </w:r>
      <w:r w:rsidRPr="00600CE9">
        <w:rPr>
          <w:rFonts w:cstheme="minorHAnsi"/>
          <w:color w:val="201F1E"/>
          <w:sz w:val="24"/>
          <w:szCs w:val="24"/>
          <w:shd w:val="clear" w:color="auto" w:fill="FFFFFF"/>
        </w:rPr>
        <w:t xml:space="preserve">Eleanor Long's </w:t>
      </w:r>
      <w:r>
        <w:rPr>
          <w:rFonts w:cstheme="minorHAnsi"/>
          <w:color w:val="201F1E"/>
          <w:sz w:val="24"/>
          <w:szCs w:val="24"/>
          <w:shd w:val="clear" w:color="auto" w:fill="FFFFFF"/>
        </w:rPr>
        <w:t>prize winning</w:t>
      </w:r>
      <w:r w:rsidR="00BB5B1A">
        <w:rPr>
          <w:rStyle w:val="FootnoteReference"/>
          <w:rFonts w:cstheme="minorHAnsi"/>
          <w:color w:val="201F1E"/>
          <w:sz w:val="24"/>
          <w:szCs w:val="24"/>
          <w:shd w:val="clear" w:color="auto" w:fill="FFFFFF"/>
        </w:rPr>
        <w:footnoteReference w:id="5"/>
      </w:r>
      <w:r>
        <w:rPr>
          <w:rFonts w:cstheme="minorHAnsi"/>
          <w:color w:val="201F1E"/>
          <w:sz w:val="24"/>
          <w:szCs w:val="24"/>
          <w:shd w:val="clear" w:color="auto" w:fill="FFFFFF"/>
        </w:rPr>
        <w:t xml:space="preserve"> </w:t>
      </w:r>
      <w:r w:rsidR="00BB5B1A">
        <w:rPr>
          <w:rFonts w:cstheme="minorHAnsi"/>
          <w:color w:val="201F1E"/>
          <w:sz w:val="24"/>
          <w:szCs w:val="24"/>
          <w:shd w:val="clear" w:color="auto" w:fill="FFFFFF"/>
        </w:rPr>
        <w:t xml:space="preserve">1968 </w:t>
      </w:r>
      <w:r w:rsidR="00767A45" w:rsidRPr="00600CE9">
        <w:rPr>
          <w:rFonts w:cstheme="minorHAnsi"/>
          <w:color w:val="201F1E"/>
          <w:sz w:val="24"/>
          <w:szCs w:val="24"/>
          <w:shd w:val="clear" w:color="auto" w:fill="FFFFFF"/>
        </w:rPr>
        <w:t xml:space="preserve">PhD </w:t>
      </w:r>
      <w:r w:rsidR="00BB5B1A">
        <w:rPr>
          <w:rFonts w:cstheme="minorHAnsi"/>
          <w:color w:val="201F1E"/>
          <w:sz w:val="24"/>
          <w:szCs w:val="24"/>
          <w:shd w:val="clear" w:color="auto" w:fill="FFFFFF"/>
        </w:rPr>
        <w:t>dissertation</w:t>
      </w:r>
      <w:r>
        <w:rPr>
          <w:rStyle w:val="FootnoteReference"/>
          <w:rFonts w:cstheme="minorHAnsi"/>
          <w:color w:val="201F1E"/>
          <w:sz w:val="24"/>
          <w:szCs w:val="24"/>
          <w:shd w:val="clear" w:color="auto" w:fill="FFFFFF"/>
        </w:rPr>
        <w:footnoteReference w:id="6"/>
      </w:r>
      <w:r w:rsidRPr="00600CE9">
        <w:rPr>
          <w:rFonts w:cstheme="minorHAnsi"/>
          <w:color w:val="201F1E"/>
          <w:sz w:val="24"/>
          <w:szCs w:val="24"/>
          <w:shd w:val="clear" w:color="auto" w:fill="FFFFFF"/>
        </w:rPr>
        <w:t xml:space="preserve"> was ground-breaking, she </w:t>
      </w:r>
      <w:r w:rsidR="00174653" w:rsidRPr="00600CE9">
        <w:rPr>
          <w:rFonts w:cstheme="minorHAnsi"/>
          <w:sz w:val="24"/>
          <w:szCs w:val="24"/>
        </w:rPr>
        <w:t xml:space="preserve">demonstrated the survival in a twentieth century </w:t>
      </w:r>
      <w:r w:rsidR="00BB5B1A">
        <w:rPr>
          <w:rFonts w:cstheme="minorHAnsi"/>
          <w:sz w:val="24"/>
          <w:szCs w:val="24"/>
        </w:rPr>
        <w:t>Anglo-American ballad of</w:t>
      </w:r>
      <w:r w:rsidR="00174653" w:rsidRPr="00600CE9">
        <w:rPr>
          <w:rFonts w:cstheme="minorHAnsi"/>
          <w:sz w:val="24"/>
          <w:szCs w:val="24"/>
        </w:rPr>
        <w:t xml:space="preserve"> a motif first </w:t>
      </w:r>
      <w:r w:rsidR="00174653" w:rsidRPr="00600CE9">
        <w:rPr>
          <w:rFonts w:cstheme="minorHAnsi"/>
          <w:sz w:val="24"/>
          <w:szCs w:val="24"/>
        </w:rPr>
        <w:lastRenderedPageBreak/>
        <w:t>recorded in Ancient Greece.</w:t>
      </w:r>
      <w:r w:rsidR="001906D4">
        <w:rPr>
          <w:rFonts w:cstheme="minorHAnsi"/>
          <w:sz w:val="24"/>
          <w:szCs w:val="24"/>
        </w:rPr>
        <w:t xml:space="preserve">  </w:t>
      </w:r>
      <w:r w:rsidR="0053084E" w:rsidRPr="00600CE9">
        <w:rPr>
          <w:rFonts w:cstheme="minorHAnsi"/>
          <w:color w:val="201F1E"/>
          <w:sz w:val="24"/>
          <w:szCs w:val="24"/>
          <w:shd w:val="clear" w:color="auto" w:fill="FFFFFF"/>
        </w:rPr>
        <w:t>Although this didn't do anything for the reputation of folklore as history</w:t>
      </w:r>
      <w:r w:rsidR="0053084E">
        <w:rPr>
          <w:rFonts w:cstheme="minorHAnsi"/>
          <w:color w:val="201F1E"/>
          <w:sz w:val="24"/>
          <w:szCs w:val="24"/>
          <w:shd w:val="clear" w:color="auto" w:fill="FFFFFF"/>
        </w:rPr>
        <w:t>,</w:t>
      </w:r>
      <w:r w:rsidR="0053084E" w:rsidRPr="00600CE9">
        <w:rPr>
          <w:rFonts w:cstheme="minorHAnsi"/>
          <w:color w:val="201F1E"/>
          <w:sz w:val="24"/>
          <w:szCs w:val="24"/>
          <w:shd w:val="clear" w:color="auto" w:fill="FFFFFF"/>
        </w:rPr>
        <w:t xml:space="preserve"> it evidenced the survival of a motif that had crossed two continents and persisted for two millennia</w:t>
      </w:r>
      <w:r w:rsidR="0053084E">
        <w:rPr>
          <w:rFonts w:cstheme="minorHAnsi"/>
          <w:color w:val="201F1E"/>
          <w:sz w:val="24"/>
          <w:szCs w:val="24"/>
          <w:shd w:val="clear" w:color="auto" w:fill="FFFFFF"/>
        </w:rPr>
        <w:t xml:space="preserve"> and established Eleanor Long as a talented researcher.</w:t>
      </w:r>
      <w:r w:rsidR="0053084E" w:rsidRPr="00600CE9">
        <w:rPr>
          <w:rFonts w:cstheme="minorHAnsi"/>
          <w:color w:val="201F1E"/>
          <w:sz w:val="24"/>
          <w:szCs w:val="24"/>
        </w:rPr>
        <w:br/>
      </w:r>
      <w:r w:rsidR="001906D4">
        <w:rPr>
          <w:rFonts w:cstheme="minorHAnsi"/>
          <w:sz w:val="24"/>
          <w:szCs w:val="24"/>
        </w:rPr>
        <w:t>She became a respected authority on Folklore and balladry and held positions at prominent Universities in the United States and Canada</w:t>
      </w:r>
      <w:r w:rsidR="0053084E">
        <w:rPr>
          <w:rFonts w:cstheme="minorHAnsi"/>
          <w:sz w:val="24"/>
          <w:szCs w:val="24"/>
        </w:rPr>
        <w:t>.  This article was therefore written by an experienced and respected researcher and writer and published in an established journal that was very much a product of the twentieth century</w:t>
      </w:r>
      <w:r w:rsidR="0080169B">
        <w:rPr>
          <w:rFonts w:cstheme="minorHAnsi"/>
          <w:sz w:val="24"/>
          <w:szCs w:val="24"/>
        </w:rPr>
        <w:t xml:space="preserve">.  The Journal and the </w:t>
      </w:r>
      <w:r w:rsidR="0053084E">
        <w:rPr>
          <w:rFonts w:cstheme="minorHAnsi"/>
          <w:sz w:val="24"/>
          <w:szCs w:val="24"/>
        </w:rPr>
        <w:t xml:space="preserve">discipline </w:t>
      </w:r>
      <w:proofErr w:type="gramStart"/>
      <w:r w:rsidR="0053084E" w:rsidRPr="004D5B52">
        <w:rPr>
          <w:rFonts w:cstheme="minorHAnsi"/>
          <w:sz w:val="24"/>
          <w:szCs w:val="24"/>
          <w:highlight w:val="magenta"/>
        </w:rPr>
        <w:t>emerge</w:t>
      </w:r>
      <w:r w:rsidR="004D5B52" w:rsidRPr="004D5B52">
        <w:rPr>
          <w:rFonts w:cstheme="minorHAnsi"/>
          <w:sz w:val="24"/>
          <w:szCs w:val="24"/>
          <w:highlight w:val="magenta"/>
        </w:rPr>
        <w:t>d</w:t>
      </w:r>
      <w:r w:rsidR="0080169B" w:rsidRPr="004D5B52">
        <w:rPr>
          <w:rFonts w:cstheme="minorHAnsi"/>
          <w:sz w:val="24"/>
          <w:szCs w:val="24"/>
          <w:highlight w:val="magenta"/>
        </w:rPr>
        <w:t xml:space="preserve"> </w:t>
      </w:r>
      <w:r w:rsidR="0053084E" w:rsidRPr="004D5B52">
        <w:rPr>
          <w:rFonts w:cstheme="minorHAnsi"/>
          <w:sz w:val="24"/>
          <w:szCs w:val="24"/>
          <w:highlight w:val="magenta"/>
        </w:rPr>
        <w:t xml:space="preserve"> as</w:t>
      </w:r>
      <w:proofErr w:type="gramEnd"/>
      <w:r w:rsidR="0053084E" w:rsidRPr="004D5B52">
        <w:rPr>
          <w:rFonts w:cstheme="minorHAnsi"/>
          <w:sz w:val="24"/>
          <w:szCs w:val="24"/>
          <w:highlight w:val="magenta"/>
        </w:rPr>
        <w:t xml:space="preserve"> a result of nineteenth century shifts in the </w:t>
      </w:r>
      <w:r w:rsidR="0080169B" w:rsidRPr="004D5B52">
        <w:rPr>
          <w:rFonts w:cstheme="minorHAnsi"/>
          <w:sz w:val="24"/>
          <w:szCs w:val="24"/>
          <w:highlight w:val="magenta"/>
        </w:rPr>
        <w:t>understa</w:t>
      </w:r>
      <w:r w:rsidR="004D5B52" w:rsidRPr="004D5B52">
        <w:rPr>
          <w:rFonts w:cstheme="minorHAnsi"/>
          <w:sz w:val="24"/>
          <w:szCs w:val="24"/>
          <w:highlight w:val="magenta"/>
        </w:rPr>
        <w:t>nding and re-</w:t>
      </w:r>
      <w:r w:rsidR="0053084E" w:rsidRPr="004D5B52">
        <w:rPr>
          <w:rFonts w:cstheme="minorHAnsi"/>
          <w:sz w:val="24"/>
          <w:szCs w:val="24"/>
          <w:highlight w:val="magenta"/>
        </w:rPr>
        <w:t>definition of culture</w:t>
      </w:r>
    </w:p>
    <w:p w14:paraId="53A7D9A5" w14:textId="03AE6512" w:rsidR="00976A4D" w:rsidRDefault="00976A4D" w:rsidP="003E46A9">
      <w:pPr>
        <w:rPr>
          <w:rFonts w:cstheme="minorHAnsi"/>
          <w:sz w:val="24"/>
          <w:szCs w:val="24"/>
        </w:rPr>
      </w:pPr>
    </w:p>
    <w:p w14:paraId="725726E3" w14:textId="55AB0FBD" w:rsidR="00D860CB" w:rsidRDefault="003E46A9" w:rsidP="003E46A9">
      <w:pPr>
        <w:rPr>
          <w:rFonts w:cstheme="minorHAnsi"/>
          <w:sz w:val="24"/>
          <w:szCs w:val="24"/>
        </w:rPr>
      </w:pPr>
      <w:r w:rsidRPr="00600CE9">
        <w:rPr>
          <w:rFonts w:cstheme="minorHAnsi"/>
          <w:sz w:val="24"/>
          <w:szCs w:val="24"/>
        </w:rPr>
        <w:t xml:space="preserve">The first issue of </w:t>
      </w:r>
      <w:r w:rsidRPr="00600CE9">
        <w:rPr>
          <w:rFonts w:cstheme="minorHAnsi"/>
          <w:i/>
          <w:iCs/>
          <w:sz w:val="24"/>
          <w:szCs w:val="24"/>
        </w:rPr>
        <w:t>Tempo</w:t>
      </w:r>
      <w:r w:rsidRPr="00600CE9">
        <w:rPr>
          <w:rFonts w:cstheme="minorHAnsi"/>
          <w:sz w:val="24"/>
          <w:szCs w:val="24"/>
        </w:rPr>
        <w:t xml:space="preserve"> appeared in </w:t>
      </w:r>
      <w:r w:rsidRPr="00881A94">
        <w:rPr>
          <w:rFonts w:cstheme="minorHAnsi"/>
          <w:sz w:val="24"/>
          <w:szCs w:val="24"/>
          <w:highlight w:val="magenta"/>
        </w:rPr>
        <w:t>1940</w:t>
      </w:r>
      <w:r w:rsidRPr="00600CE9">
        <w:rPr>
          <w:rFonts w:cstheme="minorHAnsi"/>
          <w:sz w:val="24"/>
          <w:szCs w:val="24"/>
        </w:rPr>
        <w:t xml:space="preserve"> stating its remit to expose and explore twentieth century music.</w:t>
      </w:r>
      <w:r w:rsidR="00174653">
        <w:rPr>
          <w:rFonts w:cstheme="minorHAnsi"/>
          <w:sz w:val="24"/>
          <w:szCs w:val="24"/>
        </w:rPr>
        <w:t xml:space="preserve">  </w:t>
      </w:r>
      <w:r w:rsidR="0080169B">
        <w:rPr>
          <w:rFonts w:cstheme="minorHAnsi"/>
          <w:sz w:val="24"/>
          <w:szCs w:val="24"/>
        </w:rPr>
        <w:t>The first issues were subtitled ‘The Boosey and Hawkes Newsletter’</w:t>
      </w:r>
      <w:r w:rsidR="00D860CB">
        <w:rPr>
          <w:rFonts w:cstheme="minorHAnsi"/>
          <w:sz w:val="24"/>
          <w:szCs w:val="24"/>
        </w:rPr>
        <w:t>.   It could perhaps be seen as a mid-century marketing venture by the biggest publishers of new music.  Production</w:t>
      </w:r>
      <w:r w:rsidR="004D5B52">
        <w:rPr>
          <w:rFonts w:cstheme="minorHAnsi"/>
          <w:sz w:val="24"/>
          <w:szCs w:val="24"/>
        </w:rPr>
        <w:t xml:space="preserve"> of the journal</w:t>
      </w:r>
      <w:r w:rsidR="00D860CB">
        <w:rPr>
          <w:rFonts w:cstheme="minorHAnsi"/>
          <w:sz w:val="24"/>
          <w:szCs w:val="24"/>
        </w:rPr>
        <w:t xml:space="preserve"> was disrupted by the second world war and when the New Series emerged as a quarterly the was no mention of Boosey and Hawkes in the title</w:t>
      </w:r>
      <w:r w:rsidR="004D5B52">
        <w:rPr>
          <w:rFonts w:cstheme="minorHAnsi"/>
          <w:sz w:val="24"/>
          <w:szCs w:val="24"/>
        </w:rPr>
        <w:t>.</w:t>
      </w:r>
      <w:r w:rsidR="00D860CB">
        <w:rPr>
          <w:rFonts w:cstheme="minorHAnsi"/>
          <w:sz w:val="24"/>
          <w:szCs w:val="24"/>
        </w:rPr>
        <w:t xml:space="preserve">  The publication matured through several editorships and expanded the scope of the music it covered adopting a global or ‘world’ perspective.</w:t>
      </w:r>
      <w:r w:rsidR="004D5B52">
        <w:rPr>
          <w:rFonts w:cstheme="minorHAnsi"/>
          <w:sz w:val="24"/>
          <w:szCs w:val="24"/>
        </w:rPr>
        <w:t xml:space="preserve">  </w:t>
      </w:r>
    </w:p>
    <w:p w14:paraId="25E0C477" w14:textId="77777777" w:rsidR="00881A94" w:rsidRPr="00057FD5" w:rsidRDefault="00881A94" w:rsidP="00881A94">
      <w:pPr>
        <w:spacing w:after="0" w:line="240" w:lineRule="auto"/>
        <w:rPr>
          <w:rFonts w:ascii="AppleSystemUIFont" w:eastAsiaTheme="minorEastAsia" w:hAnsi="AppleSystemUIFont" w:cs="AppleSystemUIFont"/>
          <w:sz w:val="26"/>
          <w:szCs w:val="26"/>
          <w:lang w:eastAsia="en-GB"/>
        </w:rPr>
      </w:pPr>
      <w:r w:rsidRPr="00057FD5">
        <w:rPr>
          <w:rFonts w:ascii="AppleSystemUIFont" w:eastAsiaTheme="minorEastAsia" w:hAnsi="AppleSystemUIFont" w:cs="AppleSystemUIFont"/>
          <w:sz w:val="26"/>
          <w:szCs w:val="26"/>
          <w:lang w:eastAsia="en-GB"/>
        </w:rPr>
        <w:t xml:space="preserve">Tempo is a journal of new music founded </w:t>
      </w:r>
      <w:r w:rsidRPr="00057FD5">
        <w:rPr>
          <w:rFonts w:ascii="AppleSystemUIFont" w:eastAsiaTheme="minorEastAsia" w:hAnsi="AppleSystemUIFont" w:cs="AppleSystemUIFont"/>
          <w:sz w:val="26"/>
          <w:szCs w:val="26"/>
          <w:highlight w:val="magenta"/>
          <w:lang w:eastAsia="en-GB"/>
        </w:rPr>
        <w:t>in 1939</w:t>
      </w:r>
      <w:r w:rsidRPr="00057FD5">
        <w:rPr>
          <w:rFonts w:ascii="AppleSystemUIFont" w:eastAsiaTheme="minorEastAsia" w:hAnsi="AppleSystemUIFont" w:cs="AppleSystemUIFont"/>
          <w:sz w:val="26"/>
          <w:szCs w:val="26"/>
          <w:lang w:eastAsia="en-GB"/>
        </w:rPr>
        <w:t xml:space="preserve"> with the specific intent of exploring and promoting the work of twentieth-century composers.</w:t>
      </w:r>
      <w:r w:rsidRPr="00057FD5">
        <w:rPr>
          <w:rFonts w:ascii="AppleSystemUIFont" w:eastAsiaTheme="minorEastAsia" w:hAnsi="AppleSystemUIFont" w:cs="AppleSystemUIFont"/>
          <w:sz w:val="26"/>
          <w:szCs w:val="26"/>
          <w:vertAlign w:val="superscript"/>
          <w:lang w:eastAsia="en-GB"/>
        </w:rPr>
        <w:footnoteReference w:id="7"/>
      </w:r>
      <w:r w:rsidRPr="00057FD5">
        <w:rPr>
          <w:rFonts w:ascii="AppleSystemUIFont" w:eastAsiaTheme="minorEastAsia" w:hAnsi="AppleSystemUIFont" w:cs="AppleSystemUIFont"/>
          <w:sz w:val="26"/>
          <w:szCs w:val="26"/>
          <w:lang w:eastAsia="en-GB"/>
        </w:rPr>
        <w:t xml:space="preserve">  </w:t>
      </w:r>
    </w:p>
    <w:p w14:paraId="1E879B88" w14:textId="77777777" w:rsidR="00881A94" w:rsidRDefault="00881A94" w:rsidP="003E46A9">
      <w:pPr>
        <w:rPr>
          <w:rFonts w:cstheme="minorHAnsi"/>
          <w:sz w:val="24"/>
          <w:szCs w:val="24"/>
        </w:rPr>
      </w:pPr>
    </w:p>
    <w:p w14:paraId="49C4A41B" w14:textId="77777777" w:rsidR="00881A94" w:rsidRDefault="00881A94" w:rsidP="003E46A9">
      <w:pPr>
        <w:rPr>
          <w:rFonts w:cstheme="minorHAnsi"/>
          <w:sz w:val="24"/>
          <w:szCs w:val="24"/>
        </w:rPr>
      </w:pPr>
    </w:p>
    <w:p w14:paraId="26B30CBE" w14:textId="432402A5" w:rsidR="00D860CB" w:rsidRPr="00D860CB" w:rsidRDefault="00D860CB" w:rsidP="003E46A9">
      <w:pPr>
        <w:rPr>
          <w:rFonts w:cstheme="minorHAnsi"/>
          <w:sz w:val="24"/>
          <w:szCs w:val="24"/>
        </w:rPr>
      </w:pPr>
      <w:r>
        <w:rPr>
          <w:rFonts w:cstheme="minorHAnsi"/>
          <w:sz w:val="24"/>
          <w:szCs w:val="24"/>
        </w:rPr>
        <w:t xml:space="preserve">Raymond Head is a somewhat elusive figure.  He has contributed several articles to </w:t>
      </w:r>
      <w:r w:rsidRPr="00D860CB">
        <w:rPr>
          <w:rFonts w:cstheme="minorHAnsi"/>
          <w:i/>
          <w:iCs/>
          <w:sz w:val="24"/>
          <w:szCs w:val="24"/>
        </w:rPr>
        <w:t>Tempo</w:t>
      </w:r>
      <w:r>
        <w:rPr>
          <w:rFonts w:cstheme="minorHAnsi"/>
          <w:i/>
          <w:iCs/>
          <w:sz w:val="24"/>
          <w:szCs w:val="24"/>
        </w:rPr>
        <w:t xml:space="preserve"> </w:t>
      </w:r>
      <w:r>
        <w:rPr>
          <w:rFonts w:cstheme="minorHAnsi"/>
          <w:sz w:val="24"/>
          <w:szCs w:val="24"/>
        </w:rPr>
        <w:t xml:space="preserve">and returns results from an internet search that all lead to his own website.  He is a composer and recordings </w:t>
      </w:r>
    </w:p>
    <w:p w14:paraId="6A16E560" w14:textId="2BE1993B" w:rsidR="00AB7856" w:rsidRPr="00600CE9" w:rsidRDefault="00AB7856">
      <w:pPr>
        <w:rPr>
          <w:rFonts w:cstheme="minorHAnsi"/>
          <w:sz w:val="24"/>
          <w:szCs w:val="24"/>
        </w:rPr>
      </w:pPr>
    </w:p>
    <w:p w14:paraId="28D4211A" w14:textId="0B82F1FF" w:rsidR="006F0D81" w:rsidRPr="00600CE9" w:rsidRDefault="003E46A9">
      <w:pPr>
        <w:rPr>
          <w:rFonts w:cstheme="minorHAnsi"/>
          <w:sz w:val="24"/>
          <w:szCs w:val="24"/>
        </w:rPr>
      </w:pPr>
      <w:r w:rsidRPr="00600CE9">
        <w:rPr>
          <w:rFonts w:cstheme="minorHAnsi"/>
          <w:color w:val="201F1E"/>
          <w:sz w:val="24"/>
          <w:szCs w:val="24"/>
        </w:rPr>
        <w:br/>
      </w:r>
    </w:p>
    <w:p w14:paraId="1E307D32" w14:textId="77777777" w:rsidR="006140D0" w:rsidRPr="00600CE9" w:rsidRDefault="006140D0">
      <w:pPr>
        <w:rPr>
          <w:rFonts w:cstheme="minorHAnsi"/>
          <w:sz w:val="24"/>
          <w:szCs w:val="24"/>
        </w:rPr>
      </w:pPr>
    </w:p>
    <w:p w14:paraId="17CE40B3" w14:textId="14EFEF95" w:rsidR="008219A6" w:rsidRPr="00600CE9" w:rsidRDefault="006140D0">
      <w:pPr>
        <w:rPr>
          <w:rFonts w:cstheme="minorHAnsi"/>
          <w:b/>
          <w:bCs/>
          <w:sz w:val="24"/>
          <w:szCs w:val="24"/>
        </w:rPr>
      </w:pPr>
      <w:r w:rsidRPr="00600CE9">
        <w:rPr>
          <w:rFonts w:cstheme="minorHAnsi"/>
          <w:b/>
          <w:bCs/>
          <w:sz w:val="24"/>
          <w:szCs w:val="24"/>
        </w:rPr>
        <w:t>Summary</w:t>
      </w:r>
    </w:p>
    <w:p w14:paraId="10277B48" w14:textId="77777777" w:rsidR="00600CE9" w:rsidRDefault="008219A6" w:rsidP="00600CE9">
      <w:pPr>
        <w:rPr>
          <w:rFonts w:cstheme="minorHAnsi"/>
          <w:sz w:val="24"/>
          <w:szCs w:val="24"/>
        </w:rPr>
      </w:pPr>
      <w:r w:rsidRPr="00600CE9">
        <w:rPr>
          <w:rFonts w:cstheme="minorHAnsi"/>
          <w:sz w:val="24"/>
          <w:szCs w:val="24"/>
        </w:rPr>
        <w:lastRenderedPageBreak/>
        <w:t xml:space="preserve"> </w:t>
      </w:r>
      <w:r w:rsidR="00600CE9" w:rsidRPr="00600CE9">
        <w:rPr>
          <w:rFonts w:cstheme="minorHAnsi"/>
          <w:sz w:val="24"/>
          <w:szCs w:val="24"/>
        </w:rPr>
        <w:t>Eleanor Long</w:t>
      </w:r>
      <w:r w:rsidR="00600CE9">
        <w:rPr>
          <w:rFonts w:cstheme="minorHAnsi"/>
          <w:sz w:val="24"/>
          <w:szCs w:val="24"/>
        </w:rPr>
        <w:t xml:space="preserve"> is </w:t>
      </w:r>
      <w:r w:rsidR="00600CE9" w:rsidRPr="00600CE9">
        <w:rPr>
          <w:rFonts w:cstheme="minorHAnsi"/>
          <w:sz w:val="24"/>
          <w:szCs w:val="24"/>
        </w:rPr>
        <w:t>an expert in the field of stories and songs</w:t>
      </w:r>
      <w:r w:rsidR="00600CE9">
        <w:rPr>
          <w:rFonts w:cstheme="minorHAnsi"/>
          <w:sz w:val="24"/>
          <w:szCs w:val="24"/>
        </w:rPr>
        <w:t xml:space="preserve">.  In writing this article she </w:t>
      </w:r>
      <w:r w:rsidR="00600CE9" w:rsidRPr="00600CE9">
        <w:rPr>
          <w:rFonts w:cstheme="minorHAnsi"/>
          <w:sz w:val="24"/>
          <w:szCs w:val="24"/>
        </w:rPr>
        <w:t>posits herself an outsider</w:t>
      </w:r>
      <w:r w:rsidR="00600CE9">
        <w:rPr>
          <w:rFonts w:cstheme="minorHAnsi"/>
          <w:sz w:val="24"/>
          <w:szCs w:val="24"/>
        </w:rPr>
        <w:t>,</w:t>
      </w:r>
      <w:r w:rsidR="00600CE9" w:rsidRPr="00600CE9">
        <w:rPr>
          <w:rFonts w:cstheme="minorHAnsi"/>
          <w:sz w:val="24"/>
          <w:szCs w:val="24"/>
        </w:rPr>
        <w:t xml:space="preserve"> a questioning observer in the field of star lore.  She quickly answers the question of her title</w:t>
      </w:r>
    </w:p>
    <w:p w14:paraId="76302358" w14:textId="599DA749" w:rsidR="00600CE9" w:rsidRPr="00600CE9" w:rsidRDefault="00600CE9" w:rsidP="00600CE9">
      <w:pPr>
        <w:ind w:left="1134" w:right="1134"/>
        <w:rPr>
          <w:rFonts w:cstheme="minorHAnsi"/>
          <w:sz w:val="28"/>
          <w:szCs w:val="28"/>
        </w:rPr>
      </w:pPr>
      <w:r w:rsidRPr="00600CE9">
        <w:rPr>
          <w:rFonts w:cstheme="minorHAnsi"/>
          <w:sz w:val="24"/>
          <w:szCs w:val="24"/>
        </w:rPr>
        <w:t xml:space="preserve"> </w:t>
      </w:r>
      <w:r w:rsidRPr="00600CE9">
        <w:rPr>
          <w:rFonts w:cstheme="minorHAnsi"/>
          <w:sz w:val="28"/>
          <w:szCs w:val="28"/>
        </w:rPr>
        <w:t>There is a traditional plausible, and well attested explanation…The “dog days” are so called because they are identified with the rise of the “dog star,” otherwise known as Canis major or Sirius, shortly after the summer solstice…the aberrations and tabus observed during “dog days” are attributable to the simple fact that the period following the ascendency of Sirius is usually the hottest time of the year.</w:t>
      </w:r>
      <w:r w:rsidRPr="00600CE9">
        <w:rPr>
          <w:rStyle w:val="FootnoteReference"/>
          <w:rFonts w:cstheme="minorHAnsi"/>
          <w:sz w:val="28"/>
          <w:szCs w:val="28"/>
        </w:rPr>
        <w:footnoteReference w:id="8"/>
      </w:r>
    </w:p>
    <w:p w14:paraId="0A090CA4" w14:textId="0BD0932F" w:rsidR="00600CE9" w:rsidRPr="00600CE9" w:rsidRDefault="00912996" w:rsidP="00600CE9">
      <w:pPr>
        <w:rPr>
          <w:rFonts w:cstheme="minorHAnsi"/>
          <w:sz w:val="24"/>
          <w:szCs w:val="24"/>
        </w:rPr>
      </w:pPr>
      <w:r>
        <w:rPr>
          <w:rFonts w:cstheme="minorHAnsi"/>
          <w:sz w:val="24"/>
          <w:szCs w:val="24"/>
        </w:rPr>
        <w:t xml:space="preserve">Now that she has established </w:t>
      </w:r>
      <w:r w:rsidR="00582E5F">
        <w:rPr>
          <w:rFonts w:cstheme="minorHAnsi"/>
          <w:sz w:val="24"/>
          <w:szCs w:val="24"/>
        </w:rPr>
        <w:t xml:space="preserve">exactly </w:t>
      </w:r>
      <w:r>
        <w:rPr>
          <w:rFonts w:cstheme="minorHAnsi"/>
          <w:sz w:val="24"/>
          <w:szCs w:val="24"/>
        </w:rPr>
        <w:t>the convention she is investigating</w:t>
      </w:r>
      <w:r w:rsidR="00582E5F">
        <w:rPr>
          <w:rFonts w:cstheme="minorHAnsi"/>
          <w:sz w:val="24"/>
          <w:szCs w:val="24"/>
        </w:rPr>
        <w:t>,</w:t>
      </w:r>
      <w:r>
        <w:rPr>
          <w:rFonts w:cstheme="minorHAnsi"/>
          <w:sz w:val="24"/>
          <w:szCs w:val="24"/>
        </w:rPr>
        <w:t xml:space="preserve"> </w:t>
      </w:r>
      <w:r w:rsidR="0099141E">
        <w:rPr>
          <w:rFonts w:cstheme="minorHAnsi"/>
          <w:sz w:val="24"/>
          <w:szCs w:val="24"/>
        </w:rPr>
        <w:t>Long</w:t>
      </w:r>
      <w:r>
        <w:rPr>
          <w:rFonts w:cstheme="minorHAnsi"/>
          <w:sz w:val="24"/>
          <w:szCs w:val="24"/>
        </w:rPr>
        <w:t xml:space="preserve"> </w:t>
      </w:r>
      <w:r w:rsidR="00600CE9" w:rsidRPr="00600CE9">
        <w:rPr>
          <w:rFonts w:cstheme="minorHAnsi"/>
          <w:sz w:val="24"/>
          <w:szCs w:val="24"/>
        </w:rPr>
        <w:t xml:space="preserve">cites the </w:t>
      </w:r>
      <w:r w:rsidR="00600CE9" w:rsidRPr="00600CE9">
        <w:rPr>
          <w:rFonts w:cstheme="minorHAnsi"/>
          <w:i/>
          <w:iCs/>
          <w:sz w:val="24"/>
          <w:szCs w:val="24"/>
        </w:rPr>
        <w:t>Oxford English Dictionary</w:t>
      </w:r>
      <w:r w:rsidR="00600CE9" w:rsidRPr="00600CE9">
        <w:rPr>
          <w:rFonts w:cstheme="minorHAnsi"/>
          <w:sz w:val="24"/>
          <w:szCs w:val="24"/>
        </w:rPr>
        <w:t xml:space="preserve"> </w:t>
      </w:r>
      <w:r w:rsidR="0099141E">
        <w:rPr>
          <w:rFonts w:cstheme="minorHAnsi"/>
          <w:sz w:val="24"/>
          <w:szCs w:val="24"/>
        </w:rPr>
        <w:t>revealing that ‘rise’</w:t>
      </w:r>
      <w:r w:rsidR="00582E5F">
        <w:rPr>
          <w:rFonts w:cstheme="minorHAnsi"/>
          <w:sz w:val="24"/>
          <w:szCs w:val="24"/>
        </w:rPr>
        <w:t xml:space="preserve"> and </w:t>
      </w:r>
      <w:r w:rsidR="0099141E">
        <w:rPr>
          <w:rFonts w:cstheme="minorHAnsi"/>
          <w:sz w:val="24"/>
          <w:szCs w:val="24"/>
        </w:rPr>
        <w:t xml:space="preserve">‘dog star’ </w:t>
      </w:r>
      <w:r w:rsidR="00667196">
        <w:rPr>
          <w:rFonts w:cstheme="minorHAnsi"/>
          <w:sz w:val="24"/>
          <w:szCs w:val="24"/>
        </w:rPr>
        <w:t xml:space="preserve">each have two potential meanings </w:t>
      </w:r>
      <w:r w:rsidR="0099141E">
        <w:rPr>
          <w:rFonts w:cstheme="minorHAnsi"/>
          <w:sz w:val="24"/>
          <w:szCs w:val="24"/>
        </w:rPr>
        <w:t xml:space="preserve">and </w:t>
      </w:r>
      <w:r w:rsidR="00667196">
        <w:rPr>
          <w:rFonts w:cstheme="minorHAnsi"/>
          <w:sz w:val="24"/>
          <w:szCs w:val="24"/>
        </w:rPr>
        <w:t xml:space="preserve">that the epoch </w:t>
      </w:r>
      <w:r w:rsidR="00582E5F">
        <w:rPr>
          <w:rFonts w:cstheme="minorHAnsi"/>
          <w:sz w:val="24"/>
          <w:szCs w:val="24"/>
        </w:rPr>
        <w:t xml:space="preserve">described </w:t>
      </w:r>
      <w:r w:rsidR="00667196">
        <w:rPr>
          <w:rFonts w:cstheme="minorHAnsi"/>
          <w:sz w:val="24"/>
          <w:szCs w:val="24"/>
        </w:rPr>
        <w:t>may be before or after</w:t>
      </w:r>
      <w:r w:rsidR="00582E5F">
        <w:rPr>
          <w:rFonts w:cstheme="minorHAnsi"/>
          <w:sz w:val="24"/>
          <w:szCs w:val="24"/>
        </w:rPr>
        <w:t>,</w:t>
      </w:r>
      <w:r w:rsidR="00667196">
        <w:rPr>
          <w:rFonts w:cstheme="minorHAnsi"/>
          <w:sz w:val="24"/>
          <w:szCs w:val="24"/>
        </w:rPr>
        <w:t xml:space="preserve"> or before and after the </w:t>
      </w:r>
      <w:r w:rsidR="00582E5F">
        <w:rPr>
          <w:rFonts w:cstheme="minorHAnsi"/>
          <w:sz w:val="24"/>
          <w:szCs w:val="24"/>
        </w:rPr>
        <w:t xml:space="preserve">occurrence.  She then </w:t>
      </w:r>
      <w:r w:rsidR="00600CE9" w:rsidRPr="0099141E">
        <w:rPr>
          <w:rFonts w:cstheme="minorHAnsi"/>
          <w:sz w:val="24"/>
          <w:szCs w:val="24"/>
        </w:rPr>
        <w:t>deftly demonstrates</w:t>
      </w:r>
      <w:r w:rsidR="00600CE9" w:rsidRPr="00600CE9">
        <w:rPr>
          <w:rFonts w:cstheme="minorHAnsi"/>
          <w:sz w:val="24"/>
          <w:szCs w:val="24"/>
        </w:rPr>
        <w:t xml:space="preserve"> the variety of ways in which the </w:t>
      </w:r>
      <w:proofErr w:type="gramStart"/>
      <w:r w:rsidR="00600CE9" w:rsidRPr="00600CE9">
        <w:rPr>
          <w:rFonts w:cstheme="minorHAnsi"/>
          <w:sz w:val="24"/>
          <w:szCs w:val="24"/>
        </w:rPr>
        <w:t>particular details</w:t>
      </w:r>
      <w:proofErr w:type="gramEnd"/>
      <w:r w:rsidR="00600CE9" w:rsidRPr="00600CE9">
        <w:rPr>
          <w:rFonts w:cstheme="minorHAnsi"/>
          <w:sz w:val="24"/>
          <w:szCs w:val="24"/>
        </w:rPr>
        <w:t xml:space="preserve"> of regional variation deviate from what appears at first to be a strikingly commonplace correspondence between a particular star and </w:t>
      </w:r>
      <w:r w:rsidR="00582E5F">
        <w:rPr>
          <w:rFonts w:cstheme="minorHAnsi"/>
          <w:sz w:val="24"/>
          <w:szCs w:val="24"/>
        </w:rPr>
        <w:t xml:space="preserve">various </w:t>
      </w:r>
      <w:r w:rsidR="00600CE9" w:rsidRPr="00600CE9">
        <w:rPr>
          <w:rFonts w:cstheme="minorHAnsi"/>
          <w:sz w:val="24"/>
          <w:szCs w:val="24"/>
        </w:rPr>
        <w:t xml:space="preserve">unfortunate circumstances.  She shows that the “Dog days” </w:t>
      </w:r>
    </w:p>
    <w:p w14:paraId="0A5129DB" w14:textId="77777777" w:rsidR="00677B2C" w:rsidRDefault="00C825D1">
      <w:pPr>
        <w:rPr>
          <w:rFonts w:cstheme="minorHAnsi"/>
          <w:sz w:val="24"/>
          <w:szCs w:val="24"/>
        </w:rPr>
      </w:pPr>
      <w:r w:rsidRPr="00600CE9">
        <w:rPr>
          <w:rFonts w:cstheme="minorHAnsi"/>
          <w:sz w:val="24"/>
          <w:szCs w:val="24"/>
        </w:rPr>
        <w:t>Eleanor Long’s ‘</w:t>
      </w:r>
      <w:proofErr w:type="spellStart"/>
      <w:r w:rsidRPr="00600CE9">
        <w:rPr>
          <w:rFonts w:cstheme="minorHAnsi"/>
          <w:sz w:val="24"/>
          <w:szCs w:val="24"/>
        </w:rPr>
        <w:t>Skeptical</w:t>
      </w:r>
      <w:proofErr w:type="spellEnd"/>
      <w:r w:rsidRPr="00600CE9">
        <w:rPr>
          <w:rFonts w:cstheme="minorHAnsi"/>
          <w:sz w:val="24"/>
          <w:szCs w:val="24"/>
        </w:rPr>
        <w:t>’ enquiry is very broad in the scope of the traditions it examines.</w:t>
      </w:r>
      <w:r w:rsidR="00C44A5B" w:rsidRPr="00600CE9">
        <w:rPr>
          <w:rFonts w:cstheme="minorHAnsi"/>
          <w:sz w:val="24"/>
          <w:szCs w:val="24"/>
        </w:rPr>
        <w:t xml:space="preserve">  </w:t>
      </w:r>
      <w:r w:rsidR="003E46A9" w:rsidRPr="00600CE9">
        <w:rPr>
          <w:rFonts w:cstheme="minorHAnsi"/>
          <w:sz w:val="24"/>
          <w:szCs w:val="24"/>
        </w:rPr>
        <w:t xml:space="preserve">It </w:t>
      </w:r>
      <w:r w:rsidR="00582E5F">
        <w:rPr>
          <w:rFonts w:cstheme="minorHAnsi"/>
          <w:sz w:val="24"/>
          <w:szCs w:val="24"/>
        </w:rPr>
        <w:t>begins with</w:t>
      </w:r>
      <w:r w:rsidR="003E46A9" w:rsidRPr="00600CE9">
        <w:rPr>
          <w:rFonts w:cstheme="minorHAnsi"/>
          <w:sz w:val="24"/>
          <w:szCs w:val="24"/>
        </w:rPr>
        <w:t xml:space="preserve"> the traditions </w:t>
      </w:r>
      <w:r w:rsidR="00DA4B6D" w:rsidRPr="00600CE9">
        <w:rPr>
          <w:rFonts w:cstheme="minorHAnsi"/>
          <w:sz w:val="24"/>
          <w:szCs w:val="24"/>
        </w:rPr>
        <w:t xml:space="preserve">recorded in Ohio, </w:t>
      </w:r>
      <w:proofErr w:type="gramStart"/>
      <w:r w:rsidR="00DA4B6D" w:rsidRPr="00600CE9">
        <w:rPr>
          <w:rFonts w:cstheme="minorHAnsi"/>
          <w:sz w:val="24"/>
          <w:szCs w:val="24"/>
        </w:rPr>
        <w:t>Kentucky</w:t>
      </w:r>
      <w:proofErr w:type="gramEnd"/>
      <w:r w:rsidR="00DA4B6D" w:rsidRPr="00600CE9">
        <w:rPr>
          <w:rFonts w:cstheme="minorHAnsi"/>
          <w:sz w:val="24"/>
          <w:szCs w:val="24"/>
        </w:rPr>
        <w:t xml:space="preserve"> and </w:t>
      </w:r>
      <w:r w:rsidR="00582E5F">
        <w:rPr>
          <w:rFonts w:cstheme="minorHAnsi"/>
          <w:sz w:val="24"/>
          <w:szCs w:val="24"/>
        </w:rPr>
        <w:t>North Carolina and w</w:t>
      </w:r>
      <w:r w:rsidR="00C44A5B" w:rsidRPr="00600CE9">
        <w:rPr>
          <w:rFonts w:cstheme="minorHAnsi"/>
          <w:sz w:val="24"/>
          <w:szCs w:val="24"/>
        </w:rPr>
        <w:t>ith flourish, the essay skips back in time an</w:t>
      </w:r>
      <w:r w:rsidR="00582E5F">
        <w:rPr>
          <w:rFonts w:cstheme="minorHAnsi"/>
          <w:sz w:val="24"/>
          <w:szCs w:val="24"/>
        </w:rPr>
        <w:t>d</w:t>
      </w:r>
      <w:r w:rsidR="00C44A5B" w:rsidRPr="00600CE9">
        <w:rPr>
          <w:rFonts w:cstheme="minorHAnsi"/>
          <w:sz w:val="24"/>
          <w:szCs w:val="24"/>
        </w:rPr>
        <w:t xml:space="preserve"> across continents to present sky</w:t>
      </w:r>
      <w:r w:rsidR="0099141E">
        <w:rPr>
          <w:rFonts w:cstheme="minorHAnsi"/>
          <w:sz w:val="24"/>
          <w:szCs w:val="24"/>
        </w:rPr>
        <w:t xml:space="preserve"> </w:t>
      </w:r>
      <w:r w:rsidR="00C44A5B" w:rsidRPr="00600CE9">
        <w:rPr>
          <w:rFonts w:cstheme="minorHAnsi"/>
          <w:sz w:val="24"/>
          <w:szCs w:val="24"/>
        </w:rPr>
        <w:t>lore traditions and their con</w:t>
      </w:r>
      <w:r w:rsidR="00DE3FDB" w:rsidRPr="00600CE9">
        <w:rPr>
          <w:rFonts w:cstheme="minorHAnsi"/>
          <w:sz w:val="24"/>
          <w:szCs w:val="24"/>
        </w:rPr>
        <w:t>n</w:t>
      </w:r>
      <w:r w:rsidR="00C44A5B" w:rsidRPr="00600CE9">
        <w:rPr>
          <w:rFonts w:cstheme="minorHAnsi"/>
          <w:sz w:val="24"/>
          <w:szCs w:val="24"/>
        </w:rPr>
        <w:t xml:space="preserve">ections to the visible objects in the night sky in the places where the traditions originate.  Her perhaps rather obvious conclusion is that </w:t>
      </w:r>
      <w:r w:rsidR="00DE3FDB" w:rsidRPr="00600CE9">
        <w:rPr>
          <w:rFonts w:cstheme="minorHAnsi"/>
          <w:sz w:val="24"/>
          <w:szCs w:val="24"/>
        </w:rPr>
        <w:t xml:space="preserve">certain easily identified stars or constellations have been named.  The names are not universal, but some are very widespread. </w:t>
      </w:r>
      <w:r w:rsidR="00582E5F">
        <w:rPr>
          <w:rFonts w:cstheme="minorHAnsi"/>
          <w:sz w:val="24"/>
          <w:szCs w:val="24"/>
        </w:rPr>
        <w:t xml:space="preserve"> In places w</w:t>
      </w:r>
      <w:r w:rsidR="00DE3FDB" w:rsidRPr="00600CE9">
        <w:rPr>
          <w:rFonts w:cstheme="minorHAnsi"/>
          <w:sz w:val="24"/>
          <w:szCs w:val="24"/>
        </w:rPr>
        <w:t>he</w:t>
      </w:r>
      <w:r w:rsidR="00582E5F">
        <w:rPr>
          <w:rFonts w:cstheme="minorHAnsi"/>
          <w:sz w:val="24"/>
          <w:szCs w:val="24"/>
        </w:rPr>
        <w:t>re</w:t>
      </w:r>
      <w:r w:rsidR="00DE3FDB" w:rsidRPr="00600CE9">
        <w:rPr>
          <w:rFonts w:cstheme="minorHAnsi"/>
          <w:sz w:val="24"/>
          <w:szCs w:val="24"/>
        </w:rPr>
        <w:t xml:space="preserve"> seasonal reappearance of these objects corresponds to significant local regular weather patterns </w:t>
      </w:r>
      <w:r w:rsidR="00582E5F">
        <w:rPr>
          <w:rFonts w:cstheme="minorHAnsi"/>
          <w:sz w:val="24"/>
          <w:szCs w:val="24"/>
        </w:rPr>
        <w:t>the event is</w:t>
      </w:r>
      <w:r w:rsidR="00DE3FDB" w:rsidRPr="00600CE9">
        <w:rPr>
          <w:rFonts w:cstheme="minorHAnsi"/>
          <w:sz w:val="24"/>
          <w:szCs w:val="24"/>
        </w:rPr>
        <w:t xml:space="preserve"> frequently incorporated into common usage as verbal shorthand for a specific set of environmental conditions in a particular area. </w:t>
      </w:r>
      <w:r w:rsidR="00582E5F">
        <w:rPr>
          <w:rFonts w:cstheme="minorHAnsi"/>
          <w:sz w:val="24"/>
          <w:szCs w:val="24"/>
        </w:rPr>
        <w:t xml:space="preserve"> She is also able to demonstrate that such star lore traditions may be transmitted to and sustained in places where the events cannot be seen, by contact with people from those places where they can.</w:t>
      </w:r>
      <w:r w:rsidR="007E0642">
        <w:rPr>
          <w:rStyle w:val="FootnoteReference"/>
          <w:rFonts w:cstheme="minorHAnsi"/>
          <w:sz w:val="24"/>
          <w:szCs w:val="24"/>
        </w:rPr>
        <w:footnoteReference w:id="9"/>
      </w:r>
      <w:r w:rsidR="007E0642">
        <w:rPr>
          <w:rFonts w:cstheme="minorHAnsi"/>
          <w:sz w:val="24"/>
          <w:szCs w:val="24"/>
        </w:rPr>
        <w:t xml:space="preserve"> It is Long’s assertion that </w:t>
      </w:r>
    </w:p>
    <w:p w14:paraId="604DEA33" w14:textId="60ACC7F4" w:rsidR="00582E5F" w:rsidRDefault="007E0642" w:rsidP="00327D2B">
      <w:pPr>
        <w:ind w:left="1134" w:right="1134"/>
        <w:rPr>
          <w:rFonts w:cstheme="minorHAnsi"/>
          <w:sz w:val="28"/>
          <w:szCs w:val="28"/>
        </w:rPr>
      </w:pPr>
      <w:r w:rsidRPr="00677B2C">
        <w:rPr>
          <w:rFonts w:cstheme="minorHAnsi"/>
          <w:sz w:val="28"/>
          <w:szCs w:val="28"/>
        </w:rPr>
        <w:t xml:space="preserve">the primary and crucial relationship in the complex of beliefs we know as “dog days” is not between a particular star and the weather, or even between dogs and the weather but </w:t>
      </w:r>
      <w:r w:rsidR="006234A0" w:rsidRPr="00677B2C">
        <w:rPr>
          <w:rFonts w:cstheme="minorHAnsi"/>
          <w:sz w:val="28"/>
          <w:szCs w:val="28"/>
        </w:rPr>
        <w:t>between</w:t>
      </w:r>
      <w:r w:rsidR="00677B2C" w:rsidRPr="00677B2C">
        <w:rPr>
          <w:rFonts w:cstheme="minorHAnsi"/>
          <w:sz w:val="28"/>
          <w:szCs w:val="28"/>
        </w:rPr>
        <w:t xml:space="preserve"> dogs and disease.</w:t>
      </w:r>
      <w:r w:rsidR="00677B2C">
        <w:rPr>
          <w:rStyle w:val="FootnoteReference"/>
          <w:rFonts w:cstheme="minorHAnsi"/>
          <w:sz w:val="28"/>
          <w:szCs w:val="28"/>
        </w:rPr>
        <w:footnoteReference w:id="10"/>
      </w:r>
    </w:p>
    <w:p w14:paraId="5F7FC464" w14:textId="2A1D8735" w:rsidR="00327D2B" w:rsidRDefault="00327D2B" w:rsidP="00327D2B">
      <w:pPr>
        <w:ind w:right="1134"/>
        <w:rPr>
          <w:rFonts w:cstheme="minorHAnsi"/>
          <w:sz w:val="24"/>
          <w:szCs w:val="24"/>
        </w:rPr>
      </w:pPr>
      <w:r>
        <w:rPr>
          <w:rFonts w:cstheme="minorHAnsi"/>
          <w:sz w:val="24"/>
          <w:szCs w:val="24"/>
        </w:rPr>
        <w:t xml:space="preserve">This correlation is true </w:t>
      </w:r>
      <w:proofErr w:type="gramStart"/>
      <w:r>
        <w:rPr>
          <w:rFonts w:cstheme="minorHAnsi"/>
          <w:sz w:val="24"/>
          <w:szCs w:val="24"/>
        </w:rPr>
        <w:t>whether or not</w:t>
      </w:r>
      <w:proofErr w:type="gramEnd"/>
      <w:r>
        <w:rPr>
          <w:rFonts w:cstheme="minorHAnsi"/>
          <w:sz w:val="24"/>
          <w:szCs w:val="24"/>
        </w:rPr>
        <w:t xml:space="preserve"> the dog star is visible, this is the relatable theme that can be recognised by people from different cultures.</w:t>
      </w:r>
    </w:p>
    <w:p w14:paraId="49D8BC8B" w14:textId="77777777" w:rsidR="00C7574B" w:rsidRPr="00327D2B" w:rsidRDefault="00C7574B" w:rsidP="00327D2B">
      <w:pPr>
        <w:ind w:right="1134"/>
        <w:rPr>
          <w:rFonts w:cstheme="minorHAnsi"/>
          <w:sz w:val="24"/>
          <w:szCs w:val="24"/>
        </w:rPr>
      </w:pPr>
    </w:p>
    <w:p w14:paraId="0C938AA5" w14:textId="326D58BC" w:rsidR="003A1B2C" w:rsidRDefault="008219A6">
      <w:pPr>
        <w:rPr>
          <w:rFonts w:cstheme="minorHAnsi"/>
          <w:sz w:val="24"/>
          <w:szCs w:val="24"/>
        </w:rPr>
      </w:pPr>
      <w:r w:rsidRPr="00600CE9">
        <w:rPr>
          <w:rFonts w:cstheme="minorHAnsi"/>
          <w:sz w:val="24"/>
          <w:szCs w:val="24"/>
        </w:rPr>
        <w:t>In contrast Raymond Head’s article is narrow in its focus.  His articl</w:t>
      </w:r>
      <w:r w:rsidR="00153788" w:rsidRPr="00600CE9">
        <w:rPr>
          <w:rFonts w:cstheme="minorHAnsi"/>
          <w:sz w:val="24"/>
          <w:szCs w:val="24"/>
        </w:rPr>
        <w:t>e is an i</w:t>
      </w:r>
      <w:r w:rsidRPr="00600CE9">
        <w:rPr>
          <w:rFonts w:cstheme="minorHAnsi"/>
          <w:sz w:val="24"/>
          <w:szCs w:val="24"/>
        </w:rPr>
        <w:t>nvestigation into a single work to discern the influence of astrology on one composer</w:t>
      </w:r>
      <w:r w:rsidR="004B10D2" w:rsidRPr="00600CE9">
        <w:rPr>
          <w:rFonts w:cstheme="minorHAnsi"/>
          <w:sz w:val="24"/>
          <w:szCs w:val="24"/>
        </w:rPr>
        <w:t xml:space="preserve"> and demonstrate </w:t>
      </w:r>
      <w:r w:rsidR="004B10D2">
        <w:rPr>
          <w:rFonts w:cstheme="minorHAnsi"/>
          <w:sz w:val="24"/>
          <w:szCs w:val="24"/>
        </w:rPr>
        <w:t>how</w:t>
      </w:r>
      <w:r w:rsidR="00881A94">
        <w:rPr>
          <w:rFonts w:cstheme="minorHAnsi"/>
          <w:sz w:val="24"/>
          <w:szCs w:val="24"/>
        </w:rPr>
        <w:t xml:space="preserve"> his exploration of his own natal chart is expressed through the medium of music. </w:t>
      </w:r>
      <w:r w:rsidR="00153788" w:rsidRPr="00600CE9">
        <w:rPr>
          <w:rFonts w:cstheme="minorHAnsi"/>
          <w:sz w:val="24"/>
          <w:szCs w:val="24"/>
        </w:rPr>
        <w:t>The article begins by givi</w:t>
      </w:r>
      <w:r w:rsidR="00881A94">
        <w:rPr>
          <w:rFonts w:cstheme="minorHAnsi"/>
          <w:sz w:val="24"/>
          <w:szCs w:val="24"/>
        </w:rPr>
        <w:t>n</w:t>
      </w:r>
      <w:r w:rsidR="00153788" w:rsidRPr="00600CE9">
        <w:rPr>
          <w:rFonts w:cstheme="minorHAnsi"/>
          <w:sz w:val="24"/>
          <w:szCs w:val="24"/>
        </w:rPr>
        <w:t xml:space="preserve">g a comprehensive survey of the </w:t>
      </w:r>
      <w:r w:rsidR="00374E36">
        <w:rPr>
          <w:rFonts w:cstheme="minorHAnsi"/>
          <w:sz w:val="24"/>
          <w:szCs w:val="24"/>
        </w:rPr>
        <w:t>T</w:t>
      </w:r>
      <w:r w:rsidR="00153788" w:rsidRPr="00600CE9">
        <w:rPr>
          <w:rFonts w:cstheme="minorHAnsi"/>
          <w:sz w:val="24"/>
          <w:szCs w:val="24"/>
        </w:rPr>
        <w:t xml:space="preserve">heosophy out of which he asserts that Holst’s interest in astrology grew.  </w:t>
      </w:r>
      <w:r w:rsidR="00BA466B" w:rsidRPr="00600CE9">
        <w:rPr>
          <w:rFonts w:cstheme="minorHAnsi"/>
          <w:sz w:val="24"/>
          <w:szCs w:val="24"/>
        </w:rPr>
        <w:t xml:space="preserve">He draws out the connections between Holst and his milieux of Modernist peers.  </w:t>
      </w:r>
    </w:p>
    <w:p w14:paraId="0BBE3DFB" w14:textId="374467DA" w:rsidR="008219A6" w:rsidRPr="00600CE9" w:rsidRDefault="00BA466B">
      <w:pPr>
        <w:rPr>
          <w:rFonts w:cstheme="minorHAnsi"/>
          <w:sz w:val="24"/>
          <w:szCs w:val="24"/>
        </w:rPr>
      </w:pPr>
      <w:r w:rsidRPr="00600CE9">
        <w:rPr>
          <w:rFonts w:cstheme="minorHAnsi"/>
          <w:sz w:val="24"/>
          <w:szCs w:val="24"/>
        </w:rPr>
        <w:t xml:space="preserve">Head is a member of this circle of twentieth century </w:t>
      </w:r>
      <w:r w:rsidR="006140D0" w:rsidRPr="00600CE9">
        <w:rPr>
          <w:rFonts w:cstheme="minorHAnsi"/>
          <w:sz w:val="24"/>
          <w:szCs w:val="24"/>
        </w:rPr>
        <w:t xml:space="preserve">modernist </w:t>
      </w:r>
      <w:r w:rsidRPr="00600CE9">
        <w:rPr>
          <w:rFonts w:cstheme="minorHAnsi"/>
          <w:sz w:val="24"/>
          <w:szCs w:val="24"/>
        </w:rPr>
        <w:t>composers</w:t>
      </w:r>
      <w:r w:rsidR="00374E36">
        <w:rPr>
          <w:rFonts w:cstheme="minorHAnsi"/>
          <w:sz w:val="24"/>
          <w:szCs w:val="24"/>
        </w:rPr>
        <w:t>, even if he is of a different generation</w:t>
      </w:r>
      <w:r w:rsidR="006140D0" w:rsidRPr="00600CE9">
        <w:rPr>
          <w:rFonts w:cstheme="minorHAnsi"/>
          <w:sz w:val="24"/>
          <w:szCs w:val="24"/>
        </w:rPr>
        <w:t>.  Thus</w:t>
      </w:r>
      <w:r w:rsidR="003E46A9" w:rsidRPr="00600CE9">
        <w:rPr>
          <w:rFonts w:cstheme="minorHAnsi"/>
          <w:sz w:val="24"/>
          <w:szCs w:val="24"/>
        </w:rPr>
        <w:t>,</w:t>
      </w:r>
      <w:r w:rsidR="006140D0" w:rsidRPr="00600CE9">
        <w:rPr>
          <w:rFonts w:cstheme="minorHAnsi"/>
          <w:sz w:val="24"/>
          <w:szCs w:val="24"/>
        </w:rPr>
        <w:t xml:space="preserve"> h</w:t>
      </w:r>
      <w:r w:rsidRPr="00600CE9">
        <w:rPr>
          <w:rFonts w:cstheme="minorHAnsi"/>
          <w:sz w:val="24"/>
          <w:szCs w:val="24"/>
        </w:rPr>
        <w:t>e confidently demonstrate</w:t>
      </w:r>
      <w:r w:rsidR="003E46A9" w:rsidRPr="00600CE9">
        <w:rPr>
          <w:rFonts w:cstheme="minorHAnsi"/>
          <w:sz w:val="24"/>
          <w:szCs w:val="24"/>
        </w:rPr>
        <w:t>s</w:t>
      </w:r>
      <w:r w:rsidRPr="00600CE9">
        <w:rPr>
          <w:rFonts w:cstheme="minorHAnsi"/>
          <w:sz w:val="24"/>
          <w:szCs w:val="24"/>
        </w:rPr>
        <w:t xml:space="preserve"> how the words of Alan Leo correspond to the titles of the pieces in the suite and the</w:t>
      </w:r>
      <w:r w:rsidR="006140D0" w:rsidRPr="00600CE9">
        <w:rPr>
          <w:rFonts w:cstheme="minorHAnsi"/>
          <w:sz w:val="24"/>
          <w:szCs w:val="24"/>
        </w:rPr>
        <w:t xml:space="preserve"> way that</w:t>
      </w:r>
      <w:r w:rsidRPr="00600CE9">
        <w:rPr>
          <w:rFonts w:cstheme="minorHAnsi"/>
          <w:sz w:val="24"/>
          <w:szCs w:val="24"/>
        </w:rPr>
        <w:t xml:space="preserve"> </w:t>
      </w:r>
      <w:r w:rsidR="002F0CA3">
        <w:rPr>
          <w:rFonts w:cstheme="minorHAnsi"/>
          <w:sz w:val="24"/>
          <w:szCs w:val="24"/>
        </w:rPr>
        <w:t xml:space="preserve">the </w:t>
      </w:r>
      <w:r w:rsidR="003E4A7E" w:rsidRPr="00600CE9">
        <w:rPr>
          <w:rFonts w:cstheme="minorHAnsi"/>
          <w:sz w:val="24"/>
          <w:szCs w:val="24"/>
        </w:rPr>
        <w:t xml:space="preserve">modernist </w:t>
      </w:r>
      <w:r w:rsidR="00C20EED">
        <w:rPr>
          <w:rFonts w:cstheme="minorHAnsi"/>
          <w:sz w:val="24"/>
          <w:szCs w:val="24"/>
        </w:rPr>
        <w:t>urge to dispense</w:t>
      </w:r>
      <w:r w:rsidR="003E4A7E" w:rsidRPr="00600CE9">
        <w:rPr>
          <w:rFonts w:cstheme="minorHAnsi"/>
          <w:sz w:val="24"/>
          <w:szCs w:val="24"/>
        </w:rPr>
        <w:t xml:space="preserve"> with the conventions of Western musical composition facilitate</w:t>
      </w:r>
      <w:r w:rsidR="00C20EED">
        <w:rPr>
          <w:rFonts w:cstheme="minorHAnsi"/>
          <w:sz w:val="24"/>
          <w:szCs w:val="24"/>
        </w:rPr>
        <w:t>s</w:t>
      </w:r>
      <w:r w:rsidR="003E4A7E" w:rsidRPr="00600CE9">
        <w:rPr>
          <w:rFonts w:cstheme="minorHAnsi"/>
          <w:sz w:val="24"/>
          <w:szCs w:val="24"/>
        </w:rPr>
        <w:t xml:space="preserve"> their expression in sound.</w:t>
      </w:r>
    </w:p>
    <w:p w14:paraId="66FCC1A0" w14:textId="77777777" w:rsidR="0080169B" w:rsidRDefault="006140D0" w:rsidP="0080169B">
      <w:pPr>
        <w:rPr>
          <w:rFonts w:cstheme="minorHAnsi"/>
          <w:sz w:val="24"/>
          <w:szCs w:val="24"/>
        </w:rPr>
      </w:pPr>
      <w:r w:rsidRPr="00600CE9">
        <w:rPr>
          <w:rFonts w:cstheme="minorHAnsi"/>
          <w:b/>
          <w:bCs/>
          <w:sz w:val="24"/>
          <w:szCs w:val="24"/>
        </w:rPr>
        <w:t>Analysis</w:t>
      </w:r>
      <w:r w:rsidR="0080169B" w:rsidRPr="0080169B">
        <w:rPr>
          <w:rFonts w:cstheme="minorHAnsi"/>
          <w:sz w:val="24"/>
          <w:szCs w:val="24"/>
        </w:rPr>
        <w:t xml:space="preserve"> </w:t>
      </w:r>
    </w:p>
    <w:p w14:paraId="3AEDFCAF" w14:textId="75745AE9" w:rsidR="0080169B" w:rsidRPr="00600CE9" w:rsidRDefault="0080169B" w:rsidP="0080169B">
      <w:pPr>
        <w:rPr>
          <w:rFonts w:cstheme="minorHAnsi"/>
          <w:sz w:val="24"/>
          <w:szCs w:val="24"/>
        </w:rPr>
      </w:pPr>
      <w:r w:rsidRPr="00600CE9">
        <w:rPr>
          <w:rFonts w:cstheme="minorHAnsi"/>
          <w:sz w:val="24"/>
          <w:szCs w:val="24"/>
        </w:rPr>
        <w:t>Both scholars demonstrate that there is no such thing as contemporary culture</w:t>
      </w:r>
      <w:r w:rsidR="005074E0">
        <w:rPr>
          <w:rFonts w:cstheme="minorHAnsi"/>
          <w:sz w:val="24"/>
          <w:szCs w:val="24"/>
        </w:rPr>
        <w:t xml:space="preserve"> as an independent entity entirely of a particular moment in a particular place</w:t>
      </w:r>
      <w:r w:rsidRPr="00600CE9">
        <w:rPr>
          <w:rFonts w:cstheme="minorHAnsi"/>
          <w:sz w:val="24"/>
          <w:szCs w:val="24"/>
        </w:rPr>
        <w:t>; everything is connected to everything else.</w:t>
      </w:r>
    </w:p>
    <w:p w14:paraId="5703A34F" w14:textId="4209A428" w:rsidR="0080169B" w:rsidRPr="00600CE9" w:rsidRDefault="0080169B" w:rsidP="0080169B">
      <w:pPr>
        <w:rPr>
          <w:rFonts w:cstheme="minorHAnsi"/>
          <w:sz w:val="24"/>
          <w:szCs w:val="24"/>
        </w:rPr>
      </w:pPr>
      <w:r w:rsidRPr="00600CE9">
        <w:rPr>
          <w:rFonts w:cstheme="minorHAnsi"/>
          <w:sz w:val="24"/>
          <w:szCs w:val="24"/>
        </w:rPr>
        <w:t>In his first paragraph Head states that he doesn’t believe that modernism has had much attention ‘in this country’.</w:t>
      </w:r>
      <w:r w:rsidRPr="00600CE9">
        <w:rPr>
          <w:rStyle w:val="FootnoteReference"/>
          <w:rFonts w:cstheme="minorHAnsi"/>
          <w:sz w:val="24"/>
          <w:szCs w:val="24"/>
        </w:rPr>
        <w:footnoteReference w:id="11"/>
      </w:r>
      <w:r w:rsidRPr="00600CE9">
        <w:rPr>
          <w:rFonts w:cstheme="minorHAnsi"/>
          <w:sz w:val="24"/>
          <w:szCs w:val="24"/>
        </w:rPr>
        <w:t xml:space="preserve">  Not surprising perhaps since the ideas behind modernism, the acknowledgement of the masses as a cultural force and the alien social and political developments it corresponded with in Russia and mainland Europe are antithetical, if not incomprehensible to readers resident within the shores of an ailing imperial power.  In Holst’s country the dominant themes in the work of prominent composers and artists emphasised cohesion, presented bucolic landscapes and art for the masses that mimicked the cultural proclivities and imagined social stability of the ruling and mercantile classes.  The Modernism discussed by Head is a product of nineteenth century philosophical pre-occupations.</w:t>
      </w:r>
      <w:r w:rsidRPr="00600CE9">
        <w:rPr>
          <w:rStyle w:val="FootnoteReference"/>
          <w:rFonts w:cstheme="minorHAnsi"/>
          <w:sz w:val="24"/>
          <w:szCs w:val="24"/>
        </w:rPr>
        <w:footnoteReference w:id="12"/>
      </w:r>
      <w:r w:rsidRPr="00600CE9">
        <w:rPr>
          <w:rFonts w:cstheme="minorHAnsi"/>
          <w:sz w:val="24"/>
          <w:szCs w:val="24"/>
        </w:rPr>
        <w:t xml:space="preserve">  Likewise, the academic study of Folklore and balladry which is Long’s area of expertise, is an area of scholarship that evolved out of nineteenth century antiquarianism under the same impetus </w:t>
      </w:r>
      <w:r w:rsidR="00374E36">
        <w:rPr>
          <w:rFonts w:cstheme="minorHAnsi"/>
          <w:sz w:val="24"/>
          <w:szCs w:val="24"/>
        </w:rPr>
        <w:t>of</w:t>
      </w:r>
      <w:r w:rsidRPr="00600CE9">
        <w:rPr>
          <w:rFonts w:cstheme="minorHAnsi"/>
          <w:sz w:val="24"/>
          <w:szCs w:val="24"/>
        </w:rPr>
        <w:t xml:space="preserve"> cultural democratisation.</w:t>
      </w:r>
    </w:p>
    <w:p w14:paraId="6E79C06A" w14:textId="419CF074" w:rsidR="006140D0" w:rsidRDefault="006140D0">
      <w:pPr>
        <w:rPr>
          <w:rFonts w:cstheme="minorHAnsi"/>
          <w:b/>
          <w:bCs/>
          <w:sz w:val="24"/>
          <w:szCs w:val="24"/>
        </w:rPr>
      </w:pPr>
    </w:p>
    <w:p w14:paraId="63A32567" w14:textId="007E07B2" w:rsidR="00C7574B" w:rsidRDefault="00746D6E" w:rsidP="00746D6E">
      <w:pPr>
        <w:rPr>
          <w:rFonts w:cstheme="minorHAnsi"/>
          <w:sz w:val="24"/>
          <w:szCs w:val="24"/>
        </w:rPr>
      </w:pPr>
      <w:r w:rsidRPr="00600CE9">
        <w:rPr>
          <w:rFonts w:cstheme="minorHAnsi"/>
          <w:sz w:val="24"/>
          <w:szCs w:val="24"/>
        </w:rPr>
        <w:t>Raymond Head is an insider, a musician, composer</w:t>
      </w:r>
      <w:r w:rsidR="00374E36">
        <w:rPr>
          <w:rFonts w:cstheme="minorHAnsi"/>
          <w:sz w:val="24"/>
          <w:szCs w:val="24"/>
        </w:rPr>
        <w:t>,</w:t>
      </w:r>
      <w:r w:rsidRPr="00600CE9">
        <w:rPr>
          <w:rFonts w:cstheme="minorHAnsi"/>
          <w:sz w:val="24"/>
          <w:szCs w:val="24"/>
        </w:rPr>
        <w:t xml:space="preserve"> and writer</w:t>
      </w:r>
      <w:r w:rsidR="00AB5658">
        <w:rPr>
          <w:rFonts w:cstheme="minorHAnsi"/>
          <w:sz w:val="24"/>
          <w:szCs w:val="24"/>
        </w:rPr>
        <w:t>.  His</w:t>
      </w:r>
      <w:r w:rsidRPr="00600CE9">
        <w:rPr>
          <w:rFonts w:cstheme="minorHAnsi"/>
          <w:sz w:val="24"/>
          <w:szCs w:val="24"/>
        </w:rPr>
        <w:t xml:space="preserve"> area of expertise is </w:t>
      </w:r>
      <w:proofErr w:type="gramStart"/>
      <w:r w:rsidRPr="00600CE9">
        <w:rPr>
          <w:rFonts w:cstheme="minorHAnsi"/>
          <w:sz w:val="24"/>
          <w:szCs w:val="24"/>
        </w:rPr>
        <w:t>Holst</w:t>
      </w:r>
      <w:proofErr w:type="gramEnd"/>
      <w:r w:rsidR="00AB5658">
        <w:rPr>
          <w:rFonts w:cstheme="minorHAnsi"/>
          <w:sz w:val="24"/>
          <w:szCs w:val="24"/>
        </w:rPr>
        <w:t xml:space="preserve"> and his article is a sympathetic delve into the life and work of a fellow composer.  </w:t>
      </w:r>
      <w:r w:rsidR="00980F31">
        <w:rPr>
          <w:rFonts w:cstheme="minorHAnsi"/>
          <w:sz w:val="24"/>
          <w:szCs w:val="24"/>
        </w:rPr>
        <w:t>As</w:t>
      </w:r>
      <w:r w:rsidR="00AB5658">
        <w:rPr>
          <w:rFonts w:cstheme="minorHAnsi"/>
          <w:sz w:val="24"/>
          <w:szCs w:val="24"/>
        </w:rPr>
        <w:t xml:space="preserve"> Long’s enquiry is structured by questions</w:t>
      </w:r>
      <w:r w:rsidR="00980F31">
        <w:rPr>
          <w:rFonts w:cstheme="minorHAnsi"/>
          <w:sz w:val="24"/>
          <w:szCs w:val="24"/>
        </w:rPr>
        <w:t xml:space="preserve">, so Head’s is led by assertions.  Long’s investigation places </w:t>
      </w:r>
      <w:r w:rsidR="00374E36">
        <w:rPr>
          <w:rFonts w:cstheme="minorHAnsi"/>
          <w:sz w:val="24"/>
          <w:szCs w:val="24"/>
        </w:rPr>
        <w:t xml:space="preserve">apparently </w:t>
      </w:r>
      <w:r w:rsidR="00980F31">
        <w:rPr>
          <w:rFonts w:cstheme="minorHAnsi"/>
          <w:sz w:val="24"/>
          <w:szCs w:val="24"/>
        </w:rPr>
        <w:t>universal claims under scrutiny</w:t>
      </w:r>
      <w:r w:rsidR="00374E36">
        <w:rPr>
          <w:rFonts w:cstheme="minorHAnsi"/>
          <w:sz w:val="24"/>
          <w:szCs w:val="24"/>
        </w:rPr>
        <w:t>.  Her enquiry is</w:t>
      </w:r>
      <w:r w:rsidR="00980F31">
        <w:rPr>
          <w:rFonts w:cstheme="minorHAnsi"/>
          <w:sz w:val="24"/>
          <w:szCs w:val="24"/>
        </w:rPr>
        <w:t xml:space="preserve"> impersonal, </w:t>
      </w:r>
      <w:r w:rsidR="00374E36">
        <w:rPr>
          <w:rFonts w:cstheme="minorHAnsi"/>
          <w:sz w:val="24"/>
          <w:szCs w:val="24"/>
        </w:rPr>
        <w:t>her sources are collections of Folklore and Mythology</w:t>
      </w:r>
      <w:r w:rsidR="00C7574B">
        <w:rPr>
          <w:rFonts w:cstheme="minorHAnsi"/>
          <w:sz w:val="24"/>
          <w:szCs w:val="24"/>
        </w:rPr>
        <w:t>,</w:t>
      </w:r>
      <w:r w:rsidR="00374E36">
        <w:rPr>
          <w:rFonts w:cstheme="minorHAnsi"/>
          <w:sz w:val="24"/>
          <w:szCs w:val="24"/>
        </w:rPr>
        <w:t xml:space="preserve"> </w:t>
      </w:r>
      <w:r w:rsidR="00C7574B">
        <w:rPr>
          <w:rFonts w:cstheme="minorHAnsi"/>
          <w:sz w:val="24"/>
          <w:szCs w:val="24"/>
        </w:rPr>
        <w:t xml:space="preserve">and she considers Greek, </w:t>
      </w:r>
      <w:proofErr w:type="gramStart"/>
      <w:r w:rsidR="00C7574B">
        <w:rPr>
          <w:rFonts w:cstheme="minorHAnsi"/>
          <w:sz w:val="24"/>
          <w:szCs w:val="24"/>
        </w:rPr>
        <w:t>Hindi</w:t>
      </w:r>
      <w:proofErr w:type="gramEnd"/>
      <w:r w:rsidR="00C7574B">
        <w:rPr>
          <w:rFonts w:cstheme="minorHAnsi"/>
          <w:sz w:val="24"/>
          <w:szCs w:val="24"/>
        </w:rPr>
        <w:t xml:space="preserve"> and Chinese traditions as she investigates examples of Star Lore connected with the ‘dog days’ documented in the twentieth century in various parts of </w:t>
      </w:r>
      <w:r w:rsidR="00374E36">
        <w:rPr>
          <w:rFonts w:cstheme="minorHAnsi"/>
          <w:sz w:val="24"/>
          <w:szCs w:val="24"/>
        </w:rPr>
        <w:t>the United States</w:t>
      </w:r>
      <w:r w:rsidR="00C7574B">
        <w:rPr>
          <w:rFonts w:cstheme="minorHAnsi"/>
          <w:sz w:val="24"/>
          <w:szCs w:val="24"/>
        </w:rPr>
        <w:t>.</w:t>
      </w:r>
      <w:r w:rsidR="00374E36">
        <w:rPr>
          <w:rFonts w:cstheme="minorHAnsi"/>
          <w:sz w:val="24"/>
          <w:szCs w:val="24"/>
        </w:rPr>
        <w:t xml:space="preserve"> </w:t>
      </w:r>
    </w:p>
    <w:p w14:paraId="62BBB94E" w14:textId="04DED17D" w:rsidR="00A52DE3" w:rsidRDefault="00980F31" w:rsidP="00746D6E">
      <w:pPr>
        <w:rPr>
          <w:rFonts w:cstheme="minorHAnsi"/>
          <w:sz w:val="24"/>
          <w:szCs w:val="24"/>
        </w:rPr>
      </w:pPr>
      <w:r>
        <w:rPr>
          <w:rFonts w:cstheme="minorHAnsi"/>
          <w:sz w:val="24"/>
          <w:szCs w:val="24"/>
        </w:rPr>
        <w:lastRenderedPageBreak/>
        <w:t>Head’s proposal is much more intimate.</w:t>
      </w:r>
      <w:r w:rsidR="00A52DE3">
        <w:rPr>
          <w:rFonts w:cstheme="minorHAnsi"/>
          <w:sz w:val="24"/>
          <w:szCs w:val="24"/>
        </w:rPr>
        <w:t xml:space="preserve">  His primary source is a suite of musical compositions</w:t>
      </w:r>
      <w:r w:rsidR="00A15D84">
        <w:rPr>
          <w:rFonts w:cstheme="minorHAnsi"/>
          <w:sz w:val="24"/>
          <w:szCs w:val="24"/>
        </w:rPr>
        <w:t>.</w:t>
      </w:r>
    </w:p>
    <w:p w14:paraId="08A7C3B3" w14:textId="42C98943" w:rsidR="00746D6E" w:rsidRPr="002F29EA" w:rsidRDefault="00A52DE3" w:rsidP="002F29EA">
      <w:pPr>
        <w:ind w:left="1134" w:right="1134"/>
        <w:rPr>
          <w:rFonts w:cstheme="minorHAnsi"/>
          <w:sz w:val="28"/>
          <w:szCs w:val="28"/>
        </w:rPr>
      </w:pPr>
      <w:r w:rsidRPr="002F29EA">
        <w:rPr>
          <w:rFonts w:cstheme="minorHAnsi"/>
          <w:sz w:val="28"/>
          <w:szCs w:val="28"/>
        </w:rPr>
        <w:t>Here I want to investigate the particular interest Holst had in astrology</w:t>
      </w:r>
      <w:r w:rsidR="00980F31" w:rsidRPr="002F29EA">
        <w:rPr>
          <w:rFonts w:cstheme="minorHAnsi"/>
          <w:sz w:val="28"/>
          <w:szCs w:val="28"/>
        </w:rPr>
        <w:t xml:space="preserve"> </w:t>
      </w:r>
      <w:r w:rsidRPr="002F29EA">
        <w:rPr>
          <w:rFonts w:cstheme="minorHAnsi"/>
          <w:sz w:val="28"/>
          <w:szCs w:val="28"/>
        </w:rPr>
        <w:t xml:space="preserve">and how it resulted in the striking modernism of </w:t>
      </w:r>
      <w:r w:rsidRPr="002F29EA">
        <w:rPr>
          <w:rFonts w:cstheme="minorHAnsi"/>
          <w:i/>
          <w:iCs/>
          <w:sz w:val="28"/>
          <w:szCs w:val="28"/>
        </w:rPr>
        <w:t>The Planets</w:t>
      </w:r>
      <w:r w:rsidR="002F29EA">
        <w:rPr>
          <w:rFonts w:cstheme="minorHAnsi"/>
          <w:i/>
          <w:iCs/>
          <w:sz w:val="28"/>
          <w:szCs w:val="28"/>
        </w:rPr>
        <w:t xml:space="preserve">. </w:t>
      </w:r>
      <w:r w:rsidR="002F29EA">
        <w:rPr>
          <w:rFonts w:cstheme="minorHAnsi"/>
          <w:sz w:val="28"/>
          <w:szCs w:val="28"/>
        </w:rPr>
        <w:t>p.16</w:t>
      </w:r>
    </w:p>
    <w:p w14:paraId="76922124" w14:textId="04558C7D" w:rsidR="006140D0" w:rsidRDefault="00A15D84">
      <w:pPr>
        <w:rPr>
          <w:rFonts w:cstheme="minorHAnsi"/>
          <w:sz w:val="24"/>
          <w:szCs w:val="24"/>
        </w:rPr>
      </w:pPr>
      <w:r>
        <w:rPr>
          <w:rFonts w:cstheme="minorHAnsi"/>
          <w:sz w:val="24"/>
          <w:szCs w:val="24"/>
        </w:rPr>
        <w:t>Head refers to a diverse selection of secondary sources including the personal recollections of Holst’s friends recorded in letters and interviews</w:t>
      </w:r>
      <w:r w:rsidR="00550207">
        <w:rPr>
          <w:rStyle w:val="FootnoteReference"/>
          <w:rFonts w:cstheme="minorHAnsi"/>
          <w:sz w:val="24"/>
          <w:szCs w:val="24"/>
        </w:rPr>
        <w:footnoteReference w:id="13"/>
      </w:r>
      <w:r w:rsidR="00327D2B">
        <w:rPr>
          <w:rFonts w:cstheme="minorHAnsi"/>
          <w:sz w:val="24"/>
          <w:szCs w:val="24"/>
        </w:rPr>
        <w:t>. but it is the</w:t>
      </w:r>
      <w:r w:rsidR="00C50FDD">
        <w:rPr>
          <w:rFonts w:cstheme="minorHAnsi"/>
          <w:sz w:val="24"/>
          <w:szCs w:val="24"/>
        </w:rPr>
        <w:t xml:space="preserve"> contents of </w:t>
      </w:r>
      <w:r w:rsidR="00327D2B">
        <w:rPr>
          <w:rFonts w:cstheme="minorHAnsi"/>
          <w:sz w:val="24"/>
          <w:szCs w:val="24"/>
        </w:rPr>
        <w:t xml:space="preserve">Holst’s </w:t>
      </w:r>
      <w:r w:rsidR="00C50FDD">
        <w:rPr>
          <w:rFonts w:cstheme="minorHAnsi"/>
          <w:sz w:val="24"/>
          <w:szCs w:val="24"/>
        </w:rPr>
        <w:t>library</w:t>
      </w:r>
      <w:r w:rsidR="00327D2B">
        <w:rPr>
          <w:rFonts w:cstheme="minorHAnsi"/>
          <w:sz w:val="24"/>
          <w:szCs w:val="24"/>
        </w:rPr>
        <w:t xml:space="preserve"> to which </w:t>
      </w:r>
      <w:r w:rsidR="00550207">
        <w:rPr>
          <w:rFonts w:cstheme="minorHAnsi"/>
          <w:sz w:val="24"/>
          <w:szCs w:val="24"/>
        </w:rPr>
        <w:t>Head</w:t>
      </w:r>
      <w:r w:rsidR="00550207">
        <w:rPr>
          <w:rStyle w:val="FootnoteReference"/>
          <w:rFonts w:cstheme="minorHAnsi"/>
          <w:sz w:val="24"/>
          <w:szCs w:val="24"/>
        </w:rPr>
        <w:footnoteReference w:id="14"/>
      </w:r>
      <w:r w:rsidR="00327D2B">
        <w:rPr>
          <w:rFonts w:cstheme="minorHAnsi"/>
          <w:sz w:val="24"/>
          <w:szCs w:val="24"/>
        </w:rPr>
        <w:t xml:space="preserve"> attributes the concepts expressed in </w:t>
      </w:r>
      <w:r w:rsidR="00327D2B" w:rsidRPr="00327D2B">
        <w:rPr>
          <w:rFonts w:cstheme="minorHAnsi"/>
          <w:i/>
          <w:iCs/>
          <w:sz w:val="24"/>
          <w:szCs w:val="24"/>
        </w:rPr>
        <w:t>The Planets</w:t>
      </w:r>
      <w:r w:rsidR="00C50FDD">
        <w:rPr>
          <w:rFonts w:cstheme="minorHAnsi"/>
          <w:sz w:val="24"/>
          <w:szCs w:val="24"/>
        </w:rPr>
        <w:t>.</w:t>
      </w:r>
    </w:p>
    <w:p w14:paraId="60FB4ABC" w14:textId="6288B680" w:rsidR="00550207" w:rsidRDefault="00550207" w:rsidP="00550207">
      <w:pPr>
        <w:ind w:left="1134" w:right="1134"/>
        <w:rPr>
          <w:rFonts w:cstheme="minorHAnsi"/>
          <w:i/>
          <w:iCs/>
          <w:sz w:val="28"/>
          <w:szCs w:val="28"/>
        </w:rPr>
      </w:pPr>
      <w:r>
        <w:rPr>
          <w:rFonts w:cstheme="minorHAnsi"/>
          <w:sz w:val="28"/>
          <w:szCs w:val="28"/>
        </w:rPr>
        <w:t xml:space="preserve">In 1912, the year Holst began looking at astrology ‘fairly closely’, Leo published </w:t>
      </w:r>
      <w:r>
        <w:rPr>
          <w:rFonts w:cstheme="minorHAnsi"/>
          <w:i/>
          <w:iCs/>
          <w:sz w:val="28"/>
          <w:szCs w:val="28"/>
        </w:rPr>
        <w:t xml:space="preserve">The Art of Synthesis, </w:t>
      </w:r>
      <w:r>
        <w:rPr>
          <w:rFonts w:cstheme="minorHAnsi"/>
          <w:sz w:val="28"/>
          <w:szCs w:val="28"/>
        </w:rPr>
        <w:t xml:space="preserve">an innovative astrological book which also includes an Astro-Theosophical Glossary’.  It is this book which, I think, inspired the composition of </w:t>
      </w:r>
      <w:r w:rsidRPr="00550207">
        <w:rPr>
          <w:rFonts w:cstheme="minorHAnsi"/>
          <w:i/>
          <w:iCs/>
          <w:sz w:val="28"/>
          <w:szCs w:val="28"/>
        </w:rPr>
        <w:t>The Planets</w:t>
      </w:r>
      <w:r>
        <w:rPr>
          <w:rFonts w:cstheme="minorHAnsi"/>
          <w:i/>
          <w:iCs/>
          <w:sz w:val="28"/>
          <w:szCs w:val="28"/>
        </w:rPr>
        <w:t>.</w:t>
      </w:r>
      <w:r>
        <w:rPr>
          <w:rStyle w:val="FootnoteReference"/>
          <w:rFonts w:cstheme="minorHAnsi"/>
          <w:i/>
          <w:iCs/>
          <w:sz w:val="28"/>
          <w:szCs w:val="28"/>
        </w:rPr>
        <w:footnoteReference w:id="15"/>
      </w:r>
    </w:p>
    <w:p w14:paraId="31CE48CF" w14:textId="77777777" w:rsidR="005074E0" w:rsidRPr="005074E0" w:rsidRDefault="005074E0" w:rsidP="005074E0">
      <w:pPr>
        <w:ind w:right="1134"/>
        <w:rPr>
          <w:rFonts w:cstheme="minorHAnsi"/>
          <w:sz w:val="28"/>
          <w:szCs w:val="28"/>
        </w:rPr>
      </w:pPr>
    </w:p>
    <w:p w14:paraId="19CA0CAE" w14:textId="4C3BB863" w:rsidR="002F0CA3" w:rsidRPr="00600CE9" w:rsidRDefault="002F0CA3">
      <w:pPr>
        <w:rPr>
          <w:rFonts w:cstheme="minorHAnsi"/>
          <w:b/>
          <w:bCs/>
          <w:sz w:val="24"/>
          <w:szCs w:val="24"/>
        </w:rPr>
      </w:pPr>
      <w:r>
        <w:rPr>
          <w:rFonts w:cstheme="minorHAnsi"/>
          <w:sz w:val="24"/>
          <w:szCs w:val="24"/>
        </w:rPr>
        <w:t xml:space="preserve">Eleanor Long’s broad experience as an educator and researcher in the fields of Literature, folktales, </w:t>
      </w:r>
      <w:proofErr w:type="gramStart"/>
      <w:r>
        <w:rPr>
          <w:rFonts w:cstheme="minorHAnsi"/>
          <w:sz w:val="24"/>
          <w:szCs w:val="24"/>
        </w:rPr>
        <w:t>songs</w:t>
      </w:r>
      <w:proofErr w:type="gramEnd"/>
      <w:r>
        <w:rPr>
          <w:rFonts w:cstheme="minorHAnsi"/>
          <w:sz w:val="24"/>
          <w:szCs w:val="24"/>
        </w:rPr>
        <w:t xml:space="preserve"> and mythology contrasts sharply with the narrow focus of Raymond Head’s publishing record.  </w:t>
      </w:r>
      <w:r w:rsidR="00C7574B">
        <w:rPr>
          <w:rFonts w:cstheme="minorHAnsi"/>
          <w:sz w:val="24"/>
          <w:szCs w:val="24"/>
        </w:rPr>
        <w:t xml:space="preserve">He is primarily a composer, and his published literary </w:t>
      </w:r>
      <w:r>
        <w:rPr>
          <w:rFonts w:cstheme="minorHAnsi"/>
          <w:sz w:val="24"/>
          <w:szCs w:val="24"/>
        </w:rPr>
        <w:t>on Holst and the music of the East</w:t>
      </w:r>
    </w:p>
    <w:p w14:paraId="73D22E94" w14:textId="6151DB0D" w:rsidR="00153788" w:rsidRPr="00600CE9" w:rsidRDefault="00153788">
      <w:pPr>
        <w:rPr>
          <w:rFonts w:cstheme="minorHAnsi"/>
          <w:sz w:val="24"/>
          <w:szCs w:val="24"/>
        </w:rPr>
      </w:pPr>
    </w:p>
    <w:p w14:paraId="1C4D6228" w14:textId="7505B328" w:rsidR="00153788" w:rsidRPr="00600CE9" w:rsidRDefault="00153788">
      <w:pPr>
        <w:rPr>
          <w:rFonts w:cstheme="minorHAnsi"/>
          <w:b/>
          <w:bCs/>
          <w:sz w:val="24"/>
          <w:szCs w:val="24"/>
        </w:rPr>
      </w:pPr>
      <w:r w:rsidRPr="00600CE9">
        <w:rPr>
          <w:rFonts w:cstheme="minorHAnsi"/>
          <w:b/>
          <w:bCs/>
          <w:sz w:val="24"/>
          <w:szCs w:val="24"/>
        </w:rPr>
        <w:t>Conclusion</w:t>
      </w:r>
    </w:p>
    <w:p w14:paraId="76B6EDD4" w14:textId="0D28FCDD" w:rsidR="00153788" w:rsidRDefault="00153788">
      <w:pPr>
        <w:rPr>
          <w:rFonts w:cstheme="minorHAnsi"/>
          <w:sz w:val="24"/>
          <w:szCs w:val="24"/>
        </w:rPr>
      </w:pPr>
      <w:r w:rsidRPr="00600CE9">
        <w:rPr>
          <w:rFonts w:cstheme="minorHAnsi"/>
          <w:sz w:val="24"/>
          <w:szCs w:val="24"/>
        </w:rPr>
        <w:t xml:space="preserve">One is broad and </w:t>
      </w:r>
      <w:proofErr w:type="gramStart"/>
      <w:r w:rsidRPr="00600CE9">
        <w:rPr>
          <w:rFonts w:cstheme="minorHAnsi"/>
          <w:sz w:val="24"/>
          <w:szCs w:val="24"/>
        </w:rPr>
        <w:t>wide</w:t>
      </w:r>
      <w:proofErr w:type="gramEnd"/>
      <w:r w:rsidRPr="00600CE9">
        <w:rPr>
          <w:rFonts w:cstheme="minorHAnsi"/>
          <w:sz w:val="24"/>
          <w:szCs w:val="24"/>
        </w:rPr>
        <w:t xml:space="preserve"> and one is deep and narrow.</w:t>
      </w:r>
    </w:p>
    <w:p w14:paraId="7879549E" w14:textId="7E4A3F82" w:rsidR="002341C9" w:rsidRDefault="002341C9">
      <w:pPr>
        <w:rPr>
          <w:rFonts w:cstheme="minorHAnsi"/>
          <w:sz w:val="24"/>
          <w:szCs w:val="24"/>
        </w:rPr>
      </w:pPr>
      <w:r>
        <w:rPr>
          <w:rFonts w:cstheme="minorHAnsi"/>
          <w:sz w:val="24"/>
          <w:szCs w:val="24"/>
        </w:rPr>
        <w:t xml:space="preserve">Both consider non-textual primary sources.  </w:t>
      </w:r>
    </w:p>
    <w:p w14:paraId="017361CE" w14:textId="4B38B018" w:rsidR="002341C9" w:rsidRDefault="002341C9">
      <w:pPr>
        <w:rPr>
          <w:rFonts w:cstheme="minorHAnsi"/>
          <w:sz w:val="24"/>
          <w:szCs w:val="24"/>
        </w:rPr>
      </w:pPr>
      <w:r>
        <w:rPr>
          <w:rFonts w:cstheme="minorHAnsi"/>
          <w:sz w:val="24"/>
          <w:szCs w:val="24"/>
        </w:rPr>
        <w:t>Head seeks to present origins</w:t>
      </w:r>
    </w:p>
    <w:p w14:paraId="06E61636" w14:textId="5AD59618" w:rsidR="002341C9" w:rsidRPr="00600CE9" w:rsidRDefault="002341C9">
      <w:pPr>
        <w:rPr>
          <w:rFonts w:cstheme="minorHAnsi"/>
          <w:sz w:val="24"/>
          <w:szCs w:val="24"/>
        </w:rPr>
      </w:pPr>
      <w:r>
        <w:rPr>
          <w:rFonts w:cstheme="minorHAnsi"/>
          <w:sz w:val="24"/>
          <w:szCs w:val="24"/>
        </w:rPr>
        <w:t xml:space="preserve">Long seeks to question origins – Her secondary sources </w:t>
      </w:r>
      <w:r w:rsidR="00C20EED">
        <w:rPr>
          <w:rFonts w:cstheme="minorHAnsi"/>
          <w:sz w:val="24"/>
          <w:szCs w:val="24"/>
        </w:rPr>
        <w:t>provide a geographically and temporally b</w:t>
      </w:r>
      <w:r>
        <w:rPr>
          <w:rFonts w:cstheme="minorHAnsi"/>
          <w:sz w:val="24"/>
          <w:szCs w:val="24"/>
        </w:rPr>
        <w:t xml:space="preserve">road </w:t>
      </w:r>
      <w:r w:rsidR="00C20EED">
        <w:rPr>
          <w:rFonts w:cstheme="minorHAnsi"/>
          <w:sz w:val="24"/>
          <w:szCs w:val="24"/>
        </w:rPr>
        <w:t>corpus of traditional star and weather lore.</w:t>
      </w:r>
      <w:r>
        <w:rPr>
          <w:rFonts w:cstheme="minorHAnsi"/>
          <w:sz w:val="24"/>
          <w:szCs w:val="24"/>
        </w:rPr>
        <w:t xml:space="preserve">, </w:t>
      </w:r>
    </w:p>
    <w:p w14:paraId="0591C334" w14:textId="4EEC0EFA" w:rsidR="00746D6E" w:rsidRDefault="00746D6E" w:rsidP="00746D6E">
      <w:pPr>
        <w:rPr>
          <w:rFonts w:cstheme="minorHAnsi"/>
          <w:sz w:val="24"/>
          <w:szCs w:val="24"/>
        </w:rPr>
      </w:pPr>
      <w:r w:rsidRPr="00600CE9">
        <w:rPr>
          <w:rFonts w:cstheme="minorHAnsi"/>
          <w:sz w:val="24"/>
          <w:szCs w:val="24"/>
        </w:rPr>
        <w:t xml:space="preserve">Both articles demonstrate the skill and depth of knowledge of their authors.  Either of them might be of interest to the general reader and of use to the scholar.  </w:t>
      </w:r>
    </w:p>
    <w:p w14:paraId="3B6243F4" w14:textId="0DCEEBB1" w:rsidR="008219A6" w:rsidRDefault="00327D2B">
      <w:pPr>
        <w:rPr>
          <w:rFonts w:cstheme="minorHAnsi"/>
          <w:sz w:val="24"/>
          <w:szCs w:val="24"/>
        </w:rPr>
      </w:pPr>
      <w:r>
        <w:rPr>
          <w:rFonts w:cstheme="minorHAnsi"/>
          <w:sz w:val="24"/>
          <w:szCs w:val="24"/>
        </w:rPr>
        <w:t xml:space="preserve">Both are representative of new cultural forms facilitated by philosophical developments of the eighteenth and nineteenth century. </w:t>
      </w:r>
    </w:p>
    <w:p w14:paraId="1BA0E8DC" w14:textId="77777777" w:rsidR="00057FD5" w:rsidRPr="00057FD5" w:rsidRDefault="00057FD5" w:rsidP="00057FD5">
      <w:pPr>
        <w:spacing w:after="0" w:line="240" w:lineRule="auto"/>
        <w:rPr>
          <w:sz w:val="24"/>
          <w:szCs w:val="24"/>
        </w:rPr>
      </w:pPr>
      <w:r w:rsidRPr="00057FD5">
        <w:rPr>
          <w:sz w:val="24"/>
          <w:szCs w:val="24"/>
        </w:rPr>
        <w:t xml:space="preserve">The context of publication and circulation of the 2 </w:t>
      </w:r>
      <w:proofErr w:type="spellStart"/>
      <w:r w:rsidRPr="00057FD5">
        <w:rPr>
          <w:sz w:val="24"/>
          <w:szCs w:val="24"/>
        </w:rPr>
        <w:t>jstor</w:t>
      </w:r>
      <w:proofErr w:type="spellEnd"/>
      <w:r w:rsidRPr="00057FD5">
        <w:rPr>
          <w:sz w:val="24"/>
          <w:szCs w:val="24"/>
        </w:rPr>
        <w:t xml:space="preserve"> articles</w:t>
      </w:r>
    </w:p>
    <w:p w14:paraId="0711F9C6" w14:textId="77777777" w:rsidR="00057FD5" w:rsidRPr="00057FD5" w:rsidRDefault="00057FD5" w:rsidP="00057FD5">
      <w:pPr>
        <w:spacing w:after="0" w:line="240" w:lineRule="auto"/>
        <w:rPr>
          <w:sz w:val="24"/>
          <w:szCs w:val="24"/>
        </w:rPr>
      </w:pPr>
    </w:p>
    <w:p w14:paraId="57A7CDBC" w14:textId="18AD7D5F" w:rsidR="00057FD5" w:rsidRPr="00057FD5" w:rsidRDefault="00057FD5" w:rsidP="00057FD5">
      <w:pPr>
        <w:spacing w:after="0" w:line="240" w:lineRule="auto"/>
        <w:rPr>
          <w:sz w:val="24"/>
          <w:szCs w:val="24"/>
        </w:rPr>
      </w:pPr>
      <w:r w:rsidRPr="00057FD5">
        <w:rPr>
          <w:sz w:val="24"/>
          <w:szCs w:val="24"/>
        </w:rPr>
        <w:lastRenderedPageBreak/>
        <w:t xml:space="preserve">The articles I selected for this exercise were written within ten years of each other towards the end of the twentieth century.  In one, a well-respected academic applies a </w:t>
      </w:r>
      <w:proofErr w:type="spellStart"/>
      <w:r w:rsidRPr="00057FD5">
        <w:rPr>
          <w:sz w:val="24"/>
          <w:szCs w:val="24"/>
        </w:rPr>
        <w:t>skeptics</w:t>
      </w:r>
      <w:proofErr w:type="spellEnd"/>
      <w:r w:rsidRPr="00057FD5">
        <w:rPr>
          <w:sz w:val="24"/>
          <w:szCs w:val="24"/>
        </w:rPr>
        <w:t xml:space="preserve"> lens to the global and ages-old cultural tradition</w:t>
      </w:r>
      <w:r w:rsidR="009E3CCF">
        <w:rPr>
          <w:sz w:val="24"/>
          <w:szCs w:val="24"/>
        </w:rPr>
        <w:t>s</w:t>
      </w:r>
      <w:r w:rsidRPr="00057FD5">
        <w:rPr>
          <w:sz w:val="24"/>
          <w:szCs w:val="24"/>
        </w:rPr>
        <w:t xml:space="preserve"> of star lore</w:t>
      </w:r>
      <w:r w:rsidR="009E3CCF">
        <w:rPr>
          <w:sz w:val="24"/>
          <w:szCs w:val="24"/>
        </w:rPr>
        <w:t xml:space="preserve"> associated with the seasonal appearance of bright objects in the night sky and the events they may signal</w:t>
      </w:r>
      <w:r w:rsidRPr="00057FD5">
        <w:rPr>
          <w:sz w:val="24"/>
          <w:szCs w:val="24"/>
        </w:rPr>
        <w:t xml:space="preserve">.  In the other article a musician and composer, examines an orchestral suite </w:t>
      </w:r>
      <w:r w:rsidRPr="00057FD5">
        <w:rPr>
          <w:i/>
          <w:iCs/>
          <w:sz w:val="24"/>
          <w:szCs w:val="24"/>
        </w:rPr>
        <w:t>The Planets,</w:t>
      </w:r>
      <w:r w:rsidRPr="00057FD5">
        <w:rPr>
          <w:sz w:val="24"/>
          <w:szCs w:val="24"/>
        </w:rPr>
        <w:t xml:space="preserve"> with the intent of demonstrating how the composers philosophical and religious interests are expressed in his music. </w:t>
      </w:r>
      <w:r w:rsidR="009E3CCF">
        <w:rPr>
          <w:sz w:val="24"/>
          <w:szCs w:val="24"/>
        </w:rPr>
        <w:t xml:space="preserve"> More specifically the birth chart of the composer and the astrology of Alan Leo.</w:t>
      </w:r>
    </w:p>
    <w:p w14:paraId="5B8C96F6" w14:textId="77777777" w:rsidR="00057FD5" w:rsidRPr="00057FD5" w:rsidRDefault="00057FD5" w:rsidP="00057FD5">
      <w:pPr>
        <w:spacing w:after="0" w:line="240" w:lineRule="auto"/>
        <w:rPr>
          <w:sz w:val="24"/>
          <w:szCs w:val="24"/>
        </w:rPr>
      </w:pPr>
    </w:p>
    <w:p w14:paraId="7695BF95" w14:textId="77777777" w:rsidR="00057FD5" w:rsidRPr="00057FD5" w:rsidRDefault="00057FD5"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p>
    <w:p w14:paraId="69E3AFC3" w14:textId="77777777" w:rsidR="00057FD5" w:rsidRPr="00057FD5" w:rsidRDefault="00057FD5"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p>
    <w:p w14:paraId="11F698AE" w14:textId="3C36294D" w:rsidR="004B10D2" w:rsidRDefault="00057FD5"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r w:rsidRPr="00057FD5">
        <w:rPr>
          <w:rFonts w:ascii="AppleSystemUIFont" w:eastAsiaTheme="minorEastAsia" w:hAnsi="AppleSystemUIFont" w:cs="AppleSystemUIFont"/>
          <w:sz w:val="26"/>
          <w:szCs w:val="26"/>
          <w:lang w:eastAsia="en-GB"/>
        </w:rPr>
        <w:t xml:space="preserve">Eleanor Long was a distinguished scholar who taught Medieval literature, comparative mythology and folklore at Universities in the United States and Canada.  Her area of expertise was folklore and balladry. </w:t>
      </w:r>
      <w:r w:rsidR="004F50A1">
        <w:rPr>
          <w:rFonts w:ascii="AppleSystemUIFont" w:eastAsiaTheme="minorEastAsia" w:hAnsi="AppleSystemUIFont" w:cs="AppleSystemUIFont"/>
          <w:sz w:val="26"/>
          <w:szCs w:val="26"/>
          <w:lang w:eastAsia="en-GB"/>
        </w:rPr>
        <w:t xml:space="preserve">She writes as an outsider, exposing an apparently ubiquitous set of beliefs to the questions of a sceptic and proposing that the </w:t>
      </w:r>
      <w:proofErr w:type="spellStart"/>
      <w:r w:rsidR="004F50A1">
        <w:rPr>
          <w:rFonts w:ascii="AppleSystemUIFont" w:eastAsiaTheme="minorEastAsia" w:hAnsi="AppleSystemUIFont" w:cs="AppleSystemUIFont"/>
          <w:sz w:val="26"/>
          <w:szCs w:val="26"/>
          <w:lang w:eastAsia="en-GB"/>
        </w:rPr>
        <w:t>kernal</w:t>
      </w:r>
      <w:proofErr w:type="spellEnd"/>
      <w:r w:rsidR="004F50A1">
        <w:rPr>
          <w:rFonts w:ascii="AppleSystemUIFont" w:eastAsiaTheme="minorEastAsia" w:hAnsi="AppleSystemUIFont" w:cs="AppleSystemUIFont"/>
          <w:sz w:val="26"/>
          <w:szCs w:val="26"/>
          <w:lang w:eastAsia="en-GB"/>
        </w:rPr>
        <w:t xml:space="preserve"> of truth they hold </w:t>
      </w:r>
    </w:p>
    <w:p w14:paraId="5328E2BE" w14:textId="77777777" w:rsidR="004B10D2" w:rsidRDefault="004B10D2" w:rsidP="00057FD5">
      <w:pPr>
        <w:autoSpaceDE w:val="0"/>
        <w:autoSpaceDN w:val="0"/>
        <w:adjustRightInd w:val="0"/>
        <w:spacing w:after="0" w:line="240" w:lineRule="auto"/>
        <w:rPr>
          <w:rFonts w:ascii="Segoe UI" w:hAnsi="Segoe UI" w:cs="Segoe UI"/>
          <w:color w:val="201F1E"/>
          <w:sz w:val="23"/>
          <w:szCs w:val="23"/>
          <w:shd w:val="clear" w:color="auto" w:fill="FFFFFF"/>
        </w:rPr>
      </w:pPr>
      <w:r>
        <w:rPr>
          <w:rFonts w:ascii="Segoe UI" w:hAnsi="Segoe UI" w:cs="Segoe UI"/>
          <w:color w:val="201F1E"/>
          <w:sz w:val="23"/>
          <w:szCs w:val="23"/>
          <w:shd w:val="clear" w:color="auto" w:fill="FFFFFF"/>
        </w:rPr>
        <w:t>Elena long scorns the baleful warnings of a meteorologically deterministic natural astrology. She delves into the motifs of the various star lore recorded in the central United States and documented in the work of American folklore scholars of the 20th century.  She exposes the ambiguities and discontinuities documented in almanacs and then explores the star lore recorded by folklorists from other countries and ancient mythological traditions from around the world.  Long's investigation yields interesting and unexpected conclusions,</w:t>
      </w:r>
    </w:p>
    <w:p w14:paraId="4B6EBDD0" w14:textId="7B1AEDFC" w:rsidR="004B10D2" w:rsidRDefault="004B10D2" w:rsidP="004B10D2">
      <w:pPr>
        <w:autoSpaceDE w:val="0"/>
        <w:autoSpaceDN w:val="0"/>
        <w:adjustRightInd w:val="0"/>
        <w:spacing w:after="0" w:line="240" w:lineRule="auto"/>
        <w:ind w:left="1134" w:right="1134"/>
        <w:rPr>
          <w:rFonts w:ascii="Segoe UI" w:hAnsi="Segoe UI" w:cs="Segoe UI"/>
          <w:color w:val="201F1E"/>
          <w:sz w:val="23"/>
          <w:szCs w:val="23"/>
          <w:shd w:val="clear" w:color="auto" w:fill="FFFFFF"/>
        </w:rPr>
      </w:pPr>
      <w:r>
        <w:rPr>
          <w:rFonts w:ascii="Segoe UI" w:hAnsi="Segoe UI" w:cs="Segoe UI"/>
          <w:color w:val="201F1E"/>
          <w:sz w:val="23"/>
          <w:szCs w:val="23"/>
        </w:rPr>
        <w:br/>
      </w:r>
      <w:r>
        <w:rPr>
          <w:rFonts w:ascii="Segoe UI" w:hAnsi="Segoe UI" w:cs="Segoe UI"/>
          <w:color w:val="201F1E"/>
          <w:sz w:val="23"/>
          <w:szCs w:val="23"/>
          <w:shd w:val="clear" w:color="auto" w:fill="FFFFFF"/>
        </w:rPr>
        <w:t xml:space="preserve">"At a very early point in human history an association was made between dogs and disease and the correlation of disease with extreme weather.  As a result of heat or flood the incidence of disease is increased </w:t>
      </w:r>
    </w:p>
    <w:p w14:paraId="04DB551B" w14:textId="7274A2A3" w:rsidR="004B10D2" w:rsidRDefault="004B10D2" w:rsidP="004B10D2">
      <w:pPr>
        <w:autoSpaceDE w:val="0"/>
        <w:autoSpaceDN w:val="0"/>
        <w:adjustRightInd w:val="0"/>
        <w:spacing w:after="0" w:line="240" w:lineRule="auto"/>
        <w:ind w:left="1134" w:right="1134"/>
        <w:rPr>
          <w:rFonts w:ascii="AppleSystemUIFont" w:eastAsiaTheme="minorEastAsia" w:hAnsi="AppleSystemUIFont" w:cs="AppleSystemUIFont"/>
          <w:sz w:val="26"/>
          <w:szCs w:val="26"/>
          <w:lang w:eastAsia="en-GB"/>
        </w:rPr>
      </w:pPr>
      <w:r>
        <w:rPr>
          <w:rFonts w:ascii="Segoe UI" w:hAnsi="Segoe UI" w:cs="Segoe UI"/>
          <w:color w:val="201F1E"/>
          <w:sz w:val="23"/>
          <w:szCs w:val="23"/>
          <w:shd w:val="clear" w:color="auto" w:fill="FFFFFF"/>
        </w:rPr>
        <w:t>"The healing power of Hecate is diminished until the dog star disappears again OR SOMETHING" </w:t>
      </w:r>
    </w:p>
    <w:p w14:paraId="5EDAB6C3" w14:textId="769A2126" w:rsidR="00057FD5" w:rsidRPr="00057FD5" w:rsidRDefault="004F50A1"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r>
        <w:rPr>
          <w:rFonts w:ascii="AppleSystemUIFont" w:eastAsiaTheme="minorEastAsia" w:hAnsi="AppleSystemUIFont" w:cs="AppleSystemUIFont"/>
          <w:sz w:val="26"/>
          <w:szCs w:val="26"/>
          <w:lang w:eastAsia="en-GB"/>
        </w:rPr>
        <w:t xml:space="preserve"> </w:t>
      </w:r>
    </w:p>
    <w:p w14:paraId="07A23866" w14:textId="77777777" w:rsidR="00057FD5" w:rsidRPr="00057FD5" w:rsidRDefault="00057FD5"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p>
    <w:p w14:paraId="4D7E63E2" w14:textId="43557E30" w:rsidR="00057FD5" w:rsidRPr="00057FD5" w:rsidRDefault="00057FD5"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r w:rsidRPr="00057FD5">
        <w:rPr>
          <w:rFonts w:ascii="AppleSystemUIFont" w:eastAsiaTheme="minorEastAsia" w:hAnsi="AppleSystemUIFont" w:cs="AppleSystemUIFont"/>
          <w:sz w:val="26"/>
          <w:szCs w:val="26"/>
          <w:lang w:eastAsia="en-GB"/>
        </w:rPr>
        <w:t xml:space="preserve">Raymond Head is a respected </w:t>
      </w:r>
      <w:r w:rsidR="004F50A1">
        <w:rPr>
          <w:rFonts w:ascii="AppleSystemUIFont" w:eastAsiaTheme="minorEastAsia" w:hAnsi="AppleSystemUIFont" w:cs="AppleSystemUIFont"/>
          <w:sz w:val="26"/>
          <w:szCs w:val="26"/>
          <w:lang w:eastAsia="en-GB"/>
        </w:rPr>
        <w:t>musician</w:t>
      </w:r>
      <w:r w:rsidRPr="00057FD5">
        <w:rPr>
          <w:rFonts w:ascii="AppleSystemUIFont" w:eastAsiaTheme="minorEastAsia" w:hAnsi="AppleSystemUIFont" w:cs="AppleSystemUIFont"/>
          <w:sz w:val="26"/>
          <w:szCs w:val="26"/>
          <w:lang w:eastAsia="en-GB"/>
        </w:rPr>
        <w:t xml:space="preserve"> and composer. He is a regular contributor to the Journal </w:t>
      </w:r>
      <w:r w:rsidRPr="00057FD5">
        <w:rPr>
          <w:rFonts w:ascii="AppleSystemUIFont" w:eastAsiaTheme="minorEastAsia" w:hAnsi="AppleSystemUIFont" w:cs="AppleSystemUIFont"/>
          <w:i/>
          <w:iCs/>
          <w:sz w:val="26"/>
          <w:szCs w:val="26"/>
          <w:lang w:eastAsia="en-GB"/>
        </w:rPr>
        <w:t>Tempo</w:t>
      </w:r>
      <w:r w:rsidRPr="00057FD5">
        <w:rPr>
          <w:rFonts w:ascii="AppleSystemUIFont" w:eastAsiaTheme="minorEastAsia" w:hAnsi="AppleSystemUIFont" w:cs="AppleSystemUIFont"/>
          <w:sz w:val="26"/>
          <w:szCs w:val="26"/>
          <w:lang w:eastAsia="en-GB"/>
        </w:rPr>
        <w:t xml:space="preserve"> and his area of expertise is Gustav Holst.  In a 2008 interview he described himself as a young man as “a Stockhausen groupie”.</w:t>
      </w:r>
      <w:r w:rsidRPr="00057FD5">
        <w:rPr>
          <w:rFonts w:ascii="AppleSystemUIFont" w:eastAsiaTheme="minorEastAsia" w:hAnsi="AppleSystemUIFont" w:cs="AppleSystemUIFont"/>
          <w:sz w:val="26"/>
          <w:szCs w:val="26"/>
          <w:vertAlign w:val="superscript"/>
          <w:lang w:eastAsia="en-GB"/>
        </w:rPr>
        <w:footnoteReference w:id="16"/>
      </w:r>
      <w:r w:rsidR="004F50A1">
        <w:rPr>
          <w:rFonts w:ascii="AppleSystemUIFont" w:eastAsiaTheme="minorEastAsia" w:hAnsi="AppleSystemUIFont" w:cs="AppleSystemUIFont"/>
          <w:sz w:val="26"/>
          <w:szCs w:val="26"/>
          <w:lang w:eastAsia="en-GB"/>
        </w:rPr>
        <w:t xml:space="preserve"> He writes on a topic with which he is professionally and personally intimately connected.</w:t>
      </w:r>
    </w:p>
    <w:p w14:paraId="04CAB5C3" w14:textId="77777777" w:rsidR="00057FD5" w:rsidRPr="00057FD5" w:rsidRDefault="00057FD5" w:rsidP="00057FD5">
      <w:pPr>
        <w:autoSpaceDE w:val="0"/>
        <w:autoSpaceDN w:val="0"/>
        <w:adjustRightInd w:val="0"/>
        <w:spacing w:after="0" w:line="240" w:lineRule="auto"/>
        <w:rPr>
          <w:rFonts w:ascii="AppleSystemUIFont" w:eastAsiaTheme="minorEastAsia" w:hAnsi="AppleSystemUIFont" w:cs="AppleSystemUIFont"/>
          <w:sz w:val="26"/>
          <w:szCs w:val="26"/>
          <w:lang w:eastAsia="en-GB"/>
        </w:rPr>
      </w:pPr>
    </w:p>
    <w:p w14:paraId="2DD77548" w14:textId="77777777" w:rsidR="00AE4986" w:rsidRDefault="00057FD5" w:rsidP="00AE4986">
      <w:pPr>
        <w:pStyle w:val="Title"/>
        <w:jc w:val="center"/>
      </w:pPr>
      <w:r w:rsidRPr="00057FD5">
        <w:rPr>
          <w:rFonts w:ascii="AppleSystemUIFont" w:eastAsiaTheme="minorEastAsia" w:hAnsi="AppleSystemUIFont" w:cs="AppleSystemUIFont"/>
          <w:sz w:val="26"/>
          <w:szCs w:val="26"/>
          <w:lang w:eastAsia="en-GB"/>
        </w:rPr>
        <w:t xml:space="preserve">The journals in which the articles were published were founded within a few years of each other and reflect the emergence of an appetite for new forms of cultural expression and investigation.  </w:t>
      </w:r>
      <w:r w:rsidR="00AE4986">
        <w:rPr>
          <w:rFonts w:ascii="AppleSystemUIFont" w:eastAsiaTheme="minorEastAsia" w:hAnsi="AppleSystemUIFont" w:cs="AppleSystemUIFont"/>
          <w:sz w:val="26"/>
          <w:szCs w:val="26"/>
          <w:lang w:eastAsia="en-GB"/>
        </w:rPr>
        <w:br w:type="page"/>
      </w:r>
      <w:r w:rsidR="00AE4986">
        <w:lastRenderedPageBreak/>
        <w:t>Bibliography</w:t>
      </w:r>
    </w:p>
    <w:p w14:paraId="3DBB236C" w14:textId="77777777" w:rsidR="00AE4986" w:rsidRDefault="00AE4986" w:rsidP="00AE4986"/>
    <w:p w14:paraId="4F4ABF06" w14:textId="77777777" w:rsidR="00AE4986" w:rsidRPr="00B92CFF" w:rsidRDefault="00AE4986" w:rsidP="00AE4986">
      <w:pPr>
        <w:ind w:left="720" w:hanging="720"/>
        <w:rPr>
          <w:rFonts w:cstheme="minorHAnsi"/>
        </w:rPr>
      </w:pPr>
      <w:bookmarkStart w:id="8" w:name="_Hlk86656162"/>
      <w:r w:rsidRPr="00A37DEA">
        <w:rPr>
          <w:rFonts w:cstheme="minorHAnsi"/>
        </w:rPr>
        <w:t>COHEN</w:t>
      </w:r>
      <w:r>
        <w:rPr>
          <w:rFonts w:cstheme="minorHAnsi"/>
        </w:rPr>
        <w:t>,</w:t>
      </w:r>
      <w:r w:rsidRPr="00A37DEA">
        <w:rPr>
          <w:rFonts w:cstheme="minorHAnsi"/>
        </w:rPr>
        <w:t xml:space="preserve"> Norm </w:t>
      </w:r>
      <w:r>
        <w:rPr>
          <w:rFonts w:cstheme="minorHAnsi"/>
        </w:rPr>
        <w:t>“</w:t>
      </w:r>
      <w:r w:rsidRPr="00A37DEA">
        <w:rPr>
          <w:rFonts w:cstheme="minorHAnsi"/>
        </w:rPr>
        <w:t>Eleanor R. Long-</w:t>
      </w:r>
      <w:proofErr w:type="spellStart"/>
      <w:r w:rsidRPr="00A37DEA">
        <w:rPr>
          <w:rFonts w:cstheme="minorHAnsi"/>
        </w:rPr>
        <w:t>Wilgus</w:t>
      </w:r>
      <w:proofErr w:type="spellEnd"/>
      <w:r w:rsidRPr="00A37DEA">
        <w:rPr>
          <w:rFonts w:cstheme="minorHAnsi"/>
        </w:rPr>
        <w:t xml:space="preserve"> (1923-2005)</w:t>
      </w:r>
      <w:r>
        <w:rPr>
          <w:rFonts w:cstheme="minorHAnsi"/>
        </w:rPr>
        <w:t>”</w:t>
      </w:r>
      <w:r w:rsidRPr="00A37DEA">
        <w:rPr>
          <w:rFonts w:cstheme="minorHAnsi"/>
        </w:rPr>
        <w:t xml:space="preserve"> </w:t>
      </w:r>
      <w:r w:rsidRPr="00A37DEA">
        <w:rPr>
          <w:rFonts w:cstheme="minorHAnsi"/>
          <w:i/>
          <w:iCs/>
        </w:rPr>
        <w:t>Journal of American Folklore</w:t>
      </w:r>
      <w:r w:rsidRPr="00A37DEA">
        <w:rPr>
          <w:rFonts w:cstheme="minorHAnsi"/>
        </w:rPr>
        <w:t xml:space="preserve">, Volume 119, Number 472, </w:t>
      </w:r>
      <w:r>
        <w:rPr>
          <w:rFonts w:cstheme="minorHAnsi"/>
        </w:rPr>
        <w:t>(</w:t>
      </w:r>
      <w:r w:rsidRPr="00A37DEA">
        <w:rPr>
          <w:rFonts w:cstheme="minorHAnsi"/>
        </w:rPr>
        <w:t>American Folklore Society</w:t>
      </w:r>
      <w:r>
        <w:rPr>
          <w:rFonts w:cstheme="minorHAnsi"/>
        </w:rPr>
        <w:t>:</w:t>
      </w:r>
      <w:r w:rsidRPr="00A37DEA">
        <w:rPr>
          <w:rFonts w:cstheme="minorHAnsi"/>
        </w:rPr>
        <w:t xml:space="preserve"> Spring 2006</w:t>
      </w:r>
      <w:r>
        <w:rPr>
          <w:rFonts w:cstheme="minorHAnsi"/>
        </w:rPr>
        <w:t>)</w:t>
      </w:r>
      <w:r w:rsidRPr="00A37DEA">
        <w:rPr>
          <w:rFonts w:cstheme="minorHAnsi"/>
        </w:rPr>
        <w:t>, pp. 236-237</w:t>
      </w:r>
      <w:r>
        <w:rPr>
          <w:rFonts w:cstheme="minorHAnsi"/>
        </w:rPr>
        <w:t>.</w:t>
      </w:r>
      <w:r>
        <w:rPr>
          <w:rFonts w:cstheme="minorHAnsi"/>
        </w:rPr>
        <w:tab/>
      </w:r>
      <w:r>
        <w:rPr>
          <w:rFonts w:cstheme="minorHAnsi"/>
        </w:rPr>
        <w:tab/>
      </w:r>
      <w:r>
        <w:rPr>
          <w:rFonts w:cstheme="minorHAnsi"/>
        </w:rPr>
        <w:tab/>
        <w:t>Available at:</w:t>
      </w:r>
      <w:r w:rsidRPr="00A37DEA">
        <w:rPr>
          <w:rFonts w:cstheme="minorHAnsi"/>
        </w:rPr>
        <w:t xml:space="preserve">  </w:t>
      </w:r>
      <w:r>
        <w:rPr>
          <w:rFonts w:cstheme="minorHAnsi"/>
        </w:rPr>
        <w:t>&lt;</w:t>
      </w:r>
      <w:r w:rsidRPr="00A37DEA">
        <w:rPr>
          <w:rFonts w:cstheme="minorHAnsi"/>
        </w:rPr>
        <w:t>https://doi.org/10.1353/jaf.2006.0018</w:t>
      </w:r>
      <w:r>
        <w:rPr>
          <w:rFonts w:cstheme="minorHAnsi"/>
        </w:rPr>
        <w:t xml:space="preserve">&gt; </w:t>
      </w:r>
      <w:bookmarkStart w:id="9" w:name="_Hlk86662291"/>
      <w:r>
        <w:rPr>
          <w:rFonts w:cstheme="minorHAnsi"/>
        </w:rPr>
        <w:tab/>
      </w:r>
      <w:r w:rsidRPr="00A37DEA">
        <w:rPr>
          <w:rFonts w:cstheme="minorHAnsi"/>
        </w:rPr>
        <w:t>[Access</w:t>
      </w:r>
      <w:r>
        <w:rPr>
          <w:rFonts w:cstheme="minorHAnsi"/>
        </w:rPr>
        <w:t>ed</w:t>
      </w:r>
      <w:r w:rsidRPr="00A37DEA">
        <w:rPr>
          <w:rFonts w:cstheme="minorHAnsi"/>
        </w:rPr>
        <w:t xml:space="preserve"> 19 Oct 2021</w:t>
      </w:r>
      <w:r>
        <w:rPr>
          <w:rFonts w:cstheme="minorHAnsi"/>
        </w:rPr>
        <w:t>]</w:t>
      </w:r>
    </w:p>
    <w:bookmarkEnd w:id="8"/>
    <w:bookmarkEnd w:id="9"/>
    <w:p w14:paraId="018F2C64" w14:textId="77777777" w:rsidR="00AE4986" w:rsidRPr="00B92CFF" w:rsidRDefault="00AE4986" w:rsidP="00AE4986">
      <w:pPr>
        <w:ind w:left="720" w:hanging="720"/>
        <w:rPr>
          <w:rFonts w:cstheme="minorHAnsi"/>
        </w:rPr>
      </w:pPr>
      <w:r w:rsidRPr="009F1EEF">
        <w:rPr>
          <w:rFonts w:cstheme="minorHAnsi"/>
        </w:rPr>
        <w:t>GREENE, Richard. </w:t>
      </w:r>
      <w:r w:rsidRPr="009F1EEF">
        <w:rPr>
          <w:rFonts w:cstheme="minorHAnsi"/>
          <w:i/>
          <w:iCs/>
        </w:rPr>
        <w:t>Holst, The Planets</w:t>
      </w:r>
      <w:r>
        <w:rPr>
          <w:rFonts w:cstheme="minorHAnsi"/>
          <w:i/>
          <w:iCs/>
        </w:rPr>
        <w:t>,</w:t>
      </w:r>
      <w:r w:rsidRPr="009F1EEF">
        <w:rPr>
          <w:rFonts w:cstheme="minorHAnsi"/>
        </w:rPr>
        <w:t> </w:t>
      </w:r>
      <w:r>
        <w:rPr>
          <w:rFonts w:cstheme="minorHAnsi"/>
        </w:rPr>
        <w:t>(</w:t>
      </w:r>
      <w:r w:rsidRPr="009F1EEF">
        <w:rPr>
          <w:rFonts w:cstheme="minorHAnsi"/>
        </w:rPr>
        <w:t>Cambridge: Cambridge University Press, 1995</w:t>
      </w:r>
      <w:r>
        <w:rPr>
          <w:rFonts w:cstheme="minorHAnsi"/>
        </w:rPr>
        <w:t>)</w:t>
      </w:r>
      <w:r w:rsidRPr="009F1EEF">
        <w:rPr>
          <w:rFonts w:cstheme="minorHAnsi"/>
        </w:rPr>
        <w:t xml:space="preserve">. </w:t>
      </w:r>
      <w:r>
        <w:rPr>
          <w:rFonts w:cstheme="minorHAnsi"/>
        </w:rPr>
        <w:t xml:space="preserve"> Available at: &lt;</w:t>
      </w:r>
      <w:r w:rsidRPr="009F1EEF">
        <w:rPr>
          <w:rFonts w:cstheme="minorHAnsi"/>
        </w:rPr>
        <w:t>https://hdl-handle-net.ezproxy.uwtsd.ac.uk/2027/heb.07609</w:t>
      </w:r>
      <w:r>
        <w:rPr>
          <w:rFonts w:cstheme="minorHAnsi"/>
        </w:rPr>
        <w:t>.</w:t>
      </w:r>
      <w:r w:rsidRPr="009F1EEF">
        <w:rPr>
          <w:rFonts w:cstheme="minorHAnsi"/>
        </w:rPr>
        <w:t xml:space="preserve"> EPUB.</w:t>
      </w:r>
      <w:r>
        <w:rPr>
          <w:rFonts w:cstheme="minorHAnsi"/>
        </w:rPr>
        <w:t>&gt;</w:t>
      </w:r>
      <w:r>
        <w:rPr>
          <w:rFonts w:cstheme="minorHAnsi"/>
        </w:rPr>
        <w:tab/>
        <w:t>[Accessed 20 Oct 2021]</w:t>
      </w:r>
    </w:p>
    <w:p w14:paraId="6CA69852" w14:textId="77777777" w:rsidR="00AE4986" w:rsidRPr="00B92CFF" w:rsidRDefault="00AE4986" w:rsidP="00AE4986">
      <w:pPr>
        <w:spacing w:after="0" w:line="240" w:lineRule="auto"/>
        <w:ind w:left="720" w:hanging="720"/>
        <w:rPr>
          <w:rFonts w:eastAsia="Times New Roman" w:cstheme="minorHAnsi"/>
          <w:lang w:eastAsia="en-GB"/>
        </w:rPr>
      </w:pPr>
      <w:r w:rsidRPr="00B92CFF">
        <w:rPr>
          <w:rFonts w:eastAsia="Times New Roman" w:cstheme="minorHAnsi"/>
          <w:lang w:eastAsia="en-GB"/>
        </w:rPr>
        <w:t xml:space="preserve">HEAD, Raymond “Holst - Astrology and Modernism in ‘The Planets.’” </w:t>
      </w:r>
      <w:r w:rsidRPr="00B92CFF">
        <w:rPr>
          <w:rFonts w:eastAsia="Times New Roman" w:cstheme="minorHAnsi"/>
          <w:i/>
          <w:iCs/>
          <w:lang w:eastAsia="en-GB"/>
        </w:rPr>
        <w:t>Tempo</w:t>
      </w:r>
      <w:r w:rsidRPr="00B92CFF">
        <w:rPr>
          <w:rFonts w:eastAsia="Times New Roman" w:cstheme="minorHAnsi"/>
          <w:lang w:eastAsia="en-GB"/>
        </w:rPr>
        <w:t xml:space="preserve">, no. 187, (Cambridge University Press, 1993), pp. 15–22. </w:t>
      </w:r>
      <w:r>
        <w:rPr>
          <w:rFonts w:eastAsia="Times New Roman" w:cstheme="minorHAnsi"/>
          <w:lang w:eastAsia="en-GB"/>
        </w:rPr>
        <w:t xml:space="preserve">  Available at:  &lt;</w:t>
      </w:r>
      <w:r w:rsidRPr="00B92CFF">
        <w:rPr>
          <w:rFonts w:eastAsia="Times New Roman" w:cstheme="minorHAnsi"/>
          <w:lang w:eastAsia="en-GB"/>
        </w:rPr>
        <w:t>http://www.jstor.org/stable/945181</w:t>
      </w:r>
      <w:r>
        <w:rPr>
          <w:rFonts w:eastAsia="Times New Roman" w:cstheme="minorHAnsi"/>
          <w:lang w:eastAsia="en-GB"/>
        </w:rPr>
        <w:t>&gt;</w:t>
      </w:r>
    </w:p>
    <w:p w14:paraId="4E2E7122" w14:textId="77777777" w:rsidR="00AE4986" w:rsidRPr="00B92CFF" w:rsidRDefault="00AE4986" w:rsidP="00AE4986">
      <w:pPr>
        <w:rPr>
          <w:rFonts w:cstheme="minorHAnsi"/>
        </w:rPr>
      </w:pPr>
    </w:p>
    <w:p w14:paraId="66B70795" w14:textId="77777777" w:rsidR="00AE4986" w:rsidRDefault="00AE4986" w:rsidP="00AE4986">
      <w:pPr>
        <w:ind w:left="720" w:hanging="720"/>
        <w:rPr>
          <w:rFonts w:cstheme="minorHAnsi"/>
        </w:rPr>
      </w:pPr>
      <w:r w:rsidRPr="00B92CFF">
        <w:rPr>
          <w:rFonts w:cstheme="minorHAnsi"/>
        </w:rPr>
        <w:t xml:space="preserve">LONG, Eleanor R. </w:t>
      </w:r>
      <w:r>
        <w:rPr>
          <w:rFonts w:cstheme="minorHAnsi"/>
        </w:rPr>
        <w:t xml:space="preserve">“How the Dog Got It’s Days:  A </w:t>
      </w:r>
      <w:proofErr w:type="spellStart"/>
      <w:r>
        <w:rPr>
          <w:rFonts w:cstheme="minorHAnsi"/>
        </w:rPr>
        <w:t>Skeptical</w:t>
      </w:r>
      <w:proofErr w:type="spellEnd"/>
      <w:r>
        <w:rPr>
          <w:rFonts w:cstheme="minorHAnsi"/>
        </w:rPr>
        <w:t xml:space="preserve"> Inquiry into Traditional Star and Weather Lore”, </w:t>
      </w:r>
      <w:r>
        <w:rPr>
          <w:rFonts w:cstheme="minorHAnsi"/>
          <w:i/>
          <w:iCs/>
        </w:rPr>
        <w:t xml:space="preserve">Western Folklore, </w:t>
      </w:r>
      <w:r>
        <w:rPr>
          <w:rFonts w:cstheme="minorHAnsi"/>
        </w:rPr>
        <w:t xml:space="preserve">Oct. 1984, Vol.43, No 4 (Western States Folklore Society: Oct. 1984), pp. 256-264.  Available at:  </w:t>
      </w:r>
      <w:r w:rsidRPr="00A37DEA">
        <w:rPr>
          <w:rFonts w:cstheme="minorHAnsi"/>
        </w:rPr>
        <w:t>&lt;</w:t>
      </w:r>
      <w:hyperlink r:id="rId8" w:history="1">
        <w:r w:rsidRPr="00A37DEA">
          <w:rPr>
            <w:rStyle w:val="Hyperlink"/>
            <w:rFonts w:cstheme="minorHAnsi"/>
            <w:color w:val="auto"/>
            <w:u w:val="none"/>
          </w:rPr>
          <w:t>https://www.jstor.org/stable/1500109</w:t>
        </w:r>
      </w:hyperlink>
      <w:r>
        <w:rPr>
          <w:rFonts w:cstheme="minorHAnsi"/>
        </w:rPr>
        <w:t>&gt;</w:t>
      </w:r>
      <w:r>
        <w:rPr>
          <w:rFonts w:cstheme="minorHAnsi"/>
        </w:rPr>
        <w:tab/>
      </w:r>
      <w:r>
        <w:rPr>
          <w:rFonts w:cstheme="minorHAnsi"/>
        </w:rPr>
        <w:tab/>
        <w:t xml:space="preserve"> </w:t>
      </w:r>
      <w:r w:rsidRPr="009F1EEF">
        <w:rPr>
          <w:rFonts w:cstheme="minorHAnsi"/>
        </w:rPr>
        <w:tab/>
        <w:t>[Accessed 19 Oct 2021]</w:t>
      </w:r>
    </w:p>
    <w:p w14:paraId="16AABDFE" w14:textId="77777777" w:rsidR="00AE4986" w:rsidRPr="00057FD5" w:rsidRDefault="00AE4986" w:rsidP="00AE4986">
      <w:pPr>
        <w:autoSpaceDE w:val="0"/>
        <w:autoSpaceDN w:val="0"/>
        <w:adjustRightInd w:val="0"/>
        <w:spacing w:after="0" w:line="240" w:lineRule="auto"/>
        <w:ind w:left="720" w:hanging="720"/>
        <w:rPr>
          <w:rFonts w:eastAsiaTheme="minorEastAsia" w:cstheme="minorHAnsi"/>
          <w:sz w:val="24"/>
          <w:szCs w:val="24"/>
          <w:lang w:eastAsia="en-GB"/>
        </w:rPr>
      </w:pPr>
      <w:r w:rsidRPr="00057FD5">
        <w:rPr>
          <w:rFonts w:eastAsiaTheme="minorEastAsia" w:cstheme="minorHAnsi"/>
          <w:sz w:val="24"/>
          <w:szCs w:val="24"/>
          <w:lang w:eastAsia="en-GB"/>
        </w:rPr>
        <w:t xml:space="preserve">SAINSBURY, Lionel “Oxford, Holywell Music Room: ‘The Isle is full of Music’ Raymond Head and Clement </w:t>
      </w:r>
      <w:proofErr w:type="spellStart"/>
      <w:r w:rsidRPr="00057FD5">
        <w:rPr>
          <w:rFonts w:eastAsiaTheme="minorEastAsia" w:cstheme="minorHAnsi"/>
          <w:sz w:val="24"/>
          <w:szCs w:val="24"/>
          <w:lang w:eastAsia="en-GB"/>
        </w:rPr>
        <w:t>Jewitt</w:t>
      </w:r>
      <w:proofErr w:type="spellEnd"/>
      <w:r w:rsidRPr="00057FD5">
        <w:rPr>
          <w:rFonts w:eastAsiaTheme="minorEastAsia" w:cstheme="minorHAnsi"/>
          <w:sz w:val="24"/>
          <w:szCs w:val="24"/>
          <w:lang w:eastAsia="en-GB"/>
        </w:rPr>
        <w:t xml:space="preserve">.” Tempo 62, no.246 (2008): pp.58-59. </w:t>
      </w:r>
      <w:r>
        <w:rPr>
          <w:rFonts w:eastAsiaTheme="minorEastAsia" w:cstheme="minorHAnsi"/>
          <w:sz w:val="24"/>
          <w:szCs w:val="24"/>
          <w:lang w:eastAsia="en-GB"/>
        </w:rPr>
        <w:tab/>
      </w:r>
      <w:r>
        <w:rPr>
          <w:rFonts w:eastAsiaTheme="minorEastAsia" w:cstheme="minorHAnsi"/>
          <w:sz w:val="24"/>
          <w:szCs w:val="24"/>
          <w:lang w:eastAsia="en-GB"/>
        </w:rPr>
        <w:tab/>
      </w:r>
      <w:r>
        <w:rPr>
          <w:rFonts w:eastAsiaTheme="minorEastAsia" w:cstheme="minorHAnsi"/>
          <w:sz w:val="24"/>
          <w:szCs w:val="24"/>
          <w:lang w:eastAsia="en-GB"/>
        </w:rPr>
        <w:tab/>
      </w:r>
      <w:r>
        <w:rPr>
          <w:rFonts w:eastAsiaTheme="minorEastAsia" w:cstheme="minorHAnsi"/>
          <w:sz w:val="24"/>
          <w:szCs w:val="24"/>
          <w:lang w:eastAsia="en-GB"/>
        </w:rPr>
        <w:tab/>
      </w:r>
      <w:r w:rsidRPr="00057FD5">
        <w:rPr>
          <w:rFonts w:eastAsiaTheme="minorEastAsia" w:cstheme="minorHAnsi"/>
          <w:sz w:val="24"/>
          <w:szCs w:val="24"/>
          <w:lang w:eastAsia="en-GB"/>
        </w:rPr>
        <w:t>Available at: &lt;</w:t>
      </w:r>
      <w:hyperlink r:id="rId9" w:history="1">
        <w:r w:rsidRPr="00057FD5">
          <w:rPr>
            <w:rFonts w:eastAsiaTheme="minorEastAsia" w:cstheme="minorHAnsi"/>
            <w:sz w:val="24"/>
            <w:szCs w:val="24"/>
            <w:lang w:eastAsia="en-GB"/>
          </w:rPr>
          <w:t>http://www.jstor.org/stable/40072859</w:t>
        </w:r>
      </w:hyperlink>
      <w:r w:rsidRPr="00057FD5">
        <w:rPr>
          <w:rFonts w:eastAsiaTheme="minorEastAsia" w:cstheme="minorHAnsi"/>
          <w:sz w:val="24"/>
          <w:szCs w:val="24"/>
          <w:lang w:eastAsia="en-GB"/>
        </w:rPr>
        <w:t>&gt; [Accessed 25/10/21]</w:t>
      </w:r>
    </w:p>
    <w:p w14:paraId="2F476B1A" w14:textId="77777777" w:rsidR="00AE4986" w:rsidRPr="00057FD5" w:rsidRDefault="00AE4986" w:rsidP="00AE4986">
      <w:pPr>
        <w:spacing w:after="0" w:line="240" w:lineRule="auto"/>
        <w:rPr>
          <w:rFonts w:cstheme="minorHAnsi"/>
          <w:sz w:val="24"/>
          <w:szCs w:val="24"/>
        </w:rPr>
      </w:pPr>
    </w:p>
    <w:p w14:paraId="61E49644" w14:textId="77777777" w:rsidR="00AE4986" w:rsidRPr="00057FD5" w:rsidRDefault="00AE4986" w:rsidP="00AE4986">
      <w:pPr>
        <w:spacing w:after="0" w:line="240" w:lineRule="auto"/>
        <w:ind w:left="720" w:hanging="720"/>
        <w:rPr>
          <w:rFonts w:eastAsia="Times New Roman" w:cstheme="minorHAnsi"/>
          <w:color w:val="000000"/>
          <w:sz w:val="24"/>
          <w:szCs w:val="24"/>
          <w:lang w:eastAsia="en-GB"/>
        </w:rPr>
      </w:pPr>
      <w:r w:rsidRPr="00057FD5">
        <w:rPr>
          <w:rFonts w:eastAsia="Times New Roman" w:cstheme="minorHAnsi"/>
          <w:color w:val="000000"/>
          <w:sz w:val="24"/>
          <w:szCs w:val="24"/>
          <w:lang w:eastAsia="en-GB"/>
        </w:rPr>
        <w:t>“A Short History of ‘Tempo’ (I): 1939-1946.” </w:t>
      </w:r>
      <w:r w:rsidRPr="00057FD5">
        <w:rPr>
          <w:rFonts w:eastAsia="Times New Roman" w:cstheme="minorHAnsi"/>
          <w:i/>
          <w:iCs/>
          <w:color w:val="000000"/>
          <w:sz w:val="24"/>
          <w:szCs w:val="24"/>
          <w:lang w:eastAsia="en-GB"/>
        </w:rPr>
        <w:t>Tempo</w:t>
      </w:r>
      <w:r w:rsidRPr="00057FD5">
        <w:rPr>
          <w:rFonts w:eastAsia="Times New Roman" w:cstheme="minorHAnsi"/>
          <w:color w:val="000000"/>
          <w:sz w:val="24"/>
          <w:szCs w:val="24"/>
          <w:lang w:eastAsia="en-GB"/>
        </w:rPr>
        <w:t>, no. 168 (1989): pp.2–3. Available at: &lt;http://www.jstor.org/stable/944850&gt;</w:t>
      </w:r>
      <w:r w:rsidRPr="00057FD5">
        <w:rPr>
          <w:rFonts w:eastAsia="Times New Roman" w:cstheme="minorHAnsi"/>
          <w:color w:val="000000"/>
          <w:sz w:val="24"/>
          <w:szCs w:val="24"/>
          <w:lang w:eastAsia="en-GB"/>
        </w:rPr>
        <w:tab/>
        <w:t>[Accessed 25/10/21]</w:t>
      </w:r>
    </w:p>
    <w:p w14:paraId="19659608" w14:textId="77777777" w:rsidR="00AE4986" w:rsidRPr="00057FD5" w:rsidRDefault="00AE4986" w:rsidP="00AE4986">
      <w:pPr>
        <w:spacing w:after="0" w:line="240" w:lineRule="auto"/>
        <w:rPr>
          <w:sz w:val="20"/>
          <w:szCs w:val="20"/>
        </w:rPr>
      </w:pPr>
    </w:p>
    <w:p w14:paraId="693976E3" w14:textId="77777777" w:rsidR="00AE4986" w:rsidRPr="00057FD5" w:rsidRDefault="00AE4986" w:rsidP="00AE4986">
      <w:pPr>
        <w:spacing w:after="0" w:line="240" w:lineRule="auto"/>
        <w:ind w:left="720" w:hanging="720"/>
        <w:rPr>
          <w:rFonts w:eastAsia="Times New Roman" w:cstheme="minorHAnsi"/>
          <w:color w:val="000000"/>
          <w:sz w:val="24"/>
          <w:szCs w:val="24"/>
          <w:lang w:eastAsia="en-GB"/>
        </w:rPr>
      </w:pPr>
      <w:r w:rsidRPr="00057FD5">
        <w:rPr>
          <w:rFonts w:eastAsia="Times New Roman" w:cstheme="minorHAnsi"/>
          <w:color w:val="000000"/>
          <w:sz w:val="24"/>
          <w:szCs w:val="24"/>
          <w:lang w:eastAsia="en-GB"/>
        </w:rPr>
        <w:t>THOMPSON, TOK, and JORDAN-SMITH. “Folklore, ‘Western Folklore’, and the Passage of Time: An Editorial Introduction.” </w:t>
      </w:r>
      <w:r w:rsidRPr="00057FD5">
        <w:rPr>
          <w:rFonts w:eastAsia="Times New Roman" w:cstheme="minorHAnsi"/>
          <w:i/>
          <w:iCs/>
          <w:color w:val="000000"/>
          <w:sz w:val="24"/>
          <w:szCs w:val="24"/>
          <w:lang w:eastAsia="en-GB"/>
        </w:rPr>
        <w:t>Western Folklore</w:t>
      </w:r>
      <w:r w:rsidRPr="00057FD5">
        <w:rPr>
          <w:rFonts w:eastAsia="Times New Roman" w:cstheme="minorHAnsi"/>
          <w:color w:val="000000"/>
          <w:sz w:val="24"/>
          <w:szCs w:val="24"/>
          <w:lang w:eastAsia="en-GB"/>
        </w:rPr>
        <w:t> 75, no. 2 (2016): 123–31. Available at: &lt;http://www.jstor.org/stable/44790909&gt;</w:t>
      </w:r>
      <w:r w:rsidRPr="00057FD5">
        <w:rPr>
          <w:rFonts w:eastAsia="Times New Roman" w:cstheme="minorHAnsi"/>
          <w:color w:val="000000"/>
          <w:sz w:val="24"/>
          <w:szCs w:val="24"/>
          <w:lang w:eastAsia="en-GB"/>
        </w:rPr>
        <w:tab/>
        <w:t>[Accessed 25/10/21]</w:t>
      </w:r>
    </w:p>
    <w:sectPr w:rsidR="00AE4986" w:rsidRPr="00057FD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7B01C" w14:textId="77777777" w:rsidR="00B22747" w:rsidRDefault="00B22747" w:rsidP="00BA466B">
      <w:pPr>
        <w:spacing w:after="0" w:line="240" w:lineRule="auto"/>
      </w:pPr>
      <w:r>
        <w:separator/>
      </w:r>
    </w:p>
  </w:endnote>
  <w:endnote w:type="continuationSeparator" w:id="0">
    <w:p w14:paraId="16841B5F" w14:textId="77777777" w:rsidR="00B22747" w:rsidRDefault="00B22747" w:rsidP="00BA4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ppleSystemUIFont">
    <w:altName w:val="Calibri"/>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708EF" w14:textId="77777777" w:rsidR="00B22747" w:rsidRDefault="00B22747" w:rsidP="00BA466B">
      <w:pPr>
        <w:spacing w:after="0" w:line="240" w:lineRule="auto"/>
      </w:pPr>
      <w:r>
        <w:separator/>
      </w:r>
    </w:p>
  </w:footnote>
  <w:footnote w:type="continuationSeparator" w:id="0">
    <w:p w14:paraId="24924E14" w14:textId="77777777" w:rsidR="00B22747" w:rsidRDefault="00B22747" w:rsidP="00BA466B">
      <w:pPr>
        <w:spacing w:after="0" w:line="240" w:lineRule="auto"/>
      </w:pPr>
      <w:r>
        <w:continuationSeparator/>
      </w:r>
    </w:p>
  </w:footnote>
  <w:footnote w:id="1">
    <w:p w14:paraId="0B1B78EC" w14:textId="77777777" w:rsidR="00E51E18" w:rsidRPr="005074E0" w:rsidRDefault="00E51E18" w:rsidP="00E51E18">
      <w:pPr>
        <w:pStyle w:val="FootnoteText"/>
        <w:ind w:left="720" w:hanging="720"/>
      </w:pPr>
      <w:r>
        <w:rPr>
          <w:rStyle w:val="FootnoteReference"/>
        </w:rPr>
        <w:footnoteRef/>
      </w:r>
      <w:r>
        <w:t xml:space="preserve"> </w:t>
      </w:r>
      <w:r w:rsidRPr="005074E0">
        <w:t xml:space="preserve">Raymond Head, ‘Holst – Astrology and Modernism in ‘The Planets’’, </w:t>
      </w:r>
      <w:r w:rsidRPr="005074E0">
        <w:rPr>
          <w:i/>
          <w:iCs/>
        </w:rPr>
        <w:t xml:space="preserve">Tempo, </w:t>
      </w:r>
      <w:r w:rsidRPr="005074E0">
        <w:t>New Series N</w:t>
      </w:r>
      <w:r w:rsidRPr="005074E0">
        <w:rPr>
          <w:rFonts w:cstheme="minorHAnsi"/>
        </w:rPr>
        <w:t>o.187 (Dec. 1993), pp. 15–22. Available at &lt;http://www.jstor.org/stable/945181&gt;</w:t>
      </w:r>
      <w:r w:rsidRPr="005074E0">
        <w:rPr>
          <w:rFonts w:cstheme="minorHAnsi"/>
        </w:rPr>
        <w:tab/>
        <w:t>[Accessed 12/10/21]</w:t>
      </w:r>
    </w:p>
  </w:footnote>
  <w:footnote w:id="2">
    <w:p w14:paraId="561D852E" w14:textId="77777777" w:rsidR="002341C9" w:rsidRPr="005074E0" w:rsidRDefault="002341C9" w:rsidP="002341C9">
      <w:pPr>
        <w:pStyle w:val="FootnoteText"/>
        <w:ind w:left="720" w:hanging="720"/>
      </w:pPr>
      <w:r w:rsidRPr="005074E0">
        <w:rPr>
          <w:rStyle w:val="FootnoteReference"/>
        </w:rPr>
        <w:footnoteRef/>
      </w:r>
      <w:r w:rsidRPr="005074E0">
        <w:t xml:space="preserve"> Eleanor R. Long, ‘How the Dog Got It’s Days: A </w:t>
      </w:r>
      <w:r w:rsidRPr="005074E0">
        <w:t xml:space="preserve">Skeptical Enquiry into Traditional Star and Weather Lore’, </w:t>
      </w:r>
      <w:r w:rsidRPr="005074E0">
        <w:rPr>
          <w:i/>
          <w:iCs/>
        </w:rPr>
        <w:t xml:space="preserve">Western Folklore, </w:t>
      </w:r>
      <w:r w:rsidRPr="005074E0">
        <w:t>Vol. 43, No.4 (Western States Folklore Society, Oct. 1984), pp.256-264.</w:t>
      </w:r>
      <w:r w:rsidRPr="005074E0">
        <w:tab/>
      </w:r>
      <w:r w:rsidRPr="005074E0">
        <w:tab/>
        <w:t>Available at &lt;https://www.jstor.org/stable/1500109&gt;</w:t>
      </w:r>
      <w:r w:rsidRPr="005074E0">
        <w:tab/>
        <w:t>[Accessed 12/10/21]</w:t>
      </w:r>
    </w:p>
  </w:footnote>
  <w:footnote w:id="3">
    <w:p w14:paraId="0C6EEFCB" w14:textId="5A5C4C96" w:rsidR="00767A45" w:rsidRDefault="00767A45" w:rsidP="00767A45">
      <w:pPr>
        <w:ind w:left="720" w:hanging="720"/>
      </w:pPr>
      <w:r>
        <w:rPr>
          <w:rStyle w:val="FootnoteReference"/>
        </w:rPr>
        <w:footnoteRef/>
      </w:r>
      <w:r>
        <w:t xml:space="preserve"> </w:t>
      </w:r>
      <w:r w:rsidRPr="00342E83">
        <w:rPr>
          <w:rFonts w:ascii="Times New Roman" w:eastAsia="Times New Roman" w:hAnsi="Times New Roman" w:cs="Times New Roman"/>
          <w:color w:val="000000"/>
          <w:sz w:val="20"/>
          <w:szCs w:val="20"/>
          <w:lang w:eastAsia="en-GB"/>
        </w:rPr>
        <w:t>Thompson, Tok, and Paul Jordan-Smith. “Folklore, ‘Western Folklore’, and the Passage of Time: An Editorial Introduction.” </w:t>
      </w:r>
      <w:r w:rsidRPr="00342E83">
        <w:rPr>
          <w:rFonts w:ascii="Times New Roman" w:eastAsia="Times New Roman" w:hAnsi="Times New Roman" w:cs="Times New Roman"/>
          <w:i/>
          <w:iCs/>
          <w:color w:val="000000"/>
          <w:sz w:val="20"/>
          <w:szCs w:val="20"/>
          <w:lang w:eastAsia="en-GB"/>
        </w:rPr>
        <w:t>Western Folklore</w:t>
      </w:r>
      <w:r w:rsidRPr="00342E83">
        <w:rPr>
          <w:rFonts w:ascii="Times New Roman" w:eastAsia="Times New Roman" w:hAnsi="Times New Roman" w:cs="Times New Roman"/>
          <w:color w:val="000000"/>
          <w:sz w:val="20"/>
          <w:szCs w:val="20"/>
          <w:lang w:eastAsia="en-GB"/>
        </w:rPr>
        <w:t> 75, no. 2 (2016): 123–31.</w:t>
      </w:r>
      <w:r>
        <w:rPr>
          <w:rFonts w:ascii="Times New Roman" w:eastAsia="Times New Roman" w:hAnsi="Times New Roman" w:cs="Times New Roman"/>
          <w:color w:val="000000"/>
          <w:sz w:val="20"/>
          <w:szCs w:val="20"/>
          <w:lang w:eastAsia="en-GB"/>
        </w:rPr>
        <w:tab/>
      </w:r>
      <w:r w:rsidRPr="00342E83">
        <w:rPr>
          <w:rFonts w:ascii="Times New Roman" w:eastAsia="Times New Roman" w:hAnsi="Times New Roman" w:cs="Times New Roman"/>
          <w:color w:val="000000"/>
          <w:sz w:val="20"/>
          <w:szCs w:val="20"/>
          <w:lang w:eastAsia="en-GB"/>
        </w:rPr>
        <w:t xml:space="preserve"> </w:t>
      </w:r>
      <w:r>
        <w:rPr>
          <w:rFonts w:ascii="Times New Roman" w:eastAsia="Times New Roman" w:hAnsi="Times New Roman" w:cs="Times New Roman"/>
          <w:color w:val="000000"/>
          <w:sz w:val="20"/>
          <w:szCs w:val="20"/>
          <w:lang w:eastAsia="en-GB"/>
        </w:rPr>
        <w:t>Available at: &lt;</w:t>
      </w:r>
      <w:r w:rsidRPr="00342E83">
        <w:rPr>
          <w:rFonts w:ascii="Times New Roman" w:eastAsia="Times New Roman" w:hAnsi="Times New Roman" w:cs="Times New Roman"/>
          <w:color w:val="000000"/>
          <w:sz w:val="20"/>
          <w:szCs w:val="20"/>
          <w:lang w:eastAsia="en-GB"/>
        </w:rPr>
        <w:t>http://www.jstor.org/stable/44790909</w:t>
      </w:r>
      <w:r>
        <w:rPr>
          <w:rFonts w:ascii="Times New Roman" w:eastAsia="Times New Roman" w:hAnsi="Times New Roman" w:cs="Times New Roman"/>
          <w:color w:val="000000"/>
          <w:sz w:val="20"/>
          <w:szCs w:val="20"/>
          <w:lang w:eastAsia="en-GB"/>
        </w:rPr>
        <w:t>&gt;</w:t>
      </w:r>
      <w:r>
        <w:rPr>
          <w:rFonts w:ascii="Times New Roman" w:eastAsia="Times New Roman" w:hAnsi="Times New Roman" w:cs="Times New Roman"/>
          <w:color w:val="000000"/>
          <w:sz w:val="20"/>
          <w:szCs w:val="20"/>
          <w:lang w:eastAsia="en-GB"/>
        </w:rPr>
        <w:tab/>
        <w:t>[Accessed 25/10/21]</w:t>
      </w:r>
    </w:p>
  </w:footnote>
  <w:footnote w:id="4">
    <w:p w14:paraId="01C6FFBA" w14:textId="6706B4B1" w:rsidR="00174653" w:rsidRPr="005074E0" w:rsidRDefault="00174653" w:rsidP="00767A45">
      <w:pPr>
        <w:pStyle w:val="FootnoteText"/>
        <w:ind w:left="720" w:hanging="720"/>
      </w:pPr>
      <w:r w:rsidRPr="005074E0">
        <w:rPr>
          <w:rStyle w:val="FootnoteReference"/>
        </w:rPr>
        <w:footnoteRef/>
      </w:r>
      <w:r w:rsidRPr="005074E0">
        <w:t xml:space="preserve"> </w:t>
      </w:r>
      <w:r w:rsidR="00767A45">
        <w:rPr>
          <w:rFonts w:ascii="Times New Roman" w:eastAsia="Times New Roman" w:hAnsi="Times New Roman" w:cs="Times New Roman"/>
          <w:color w:val="000000"/>
          <w:lang w:eastAsia="en-GB"/>
        </w:rPr>
        <w:t>Thompson, Tok, and Paul Jordan-Smith. “Folklore, ‘Western Folklore’, and the Passage of Time: An Editorial Introduction.” </w:t>
      </w:r>
      <w:r w:rsidR="00767A45">
        <w:rPr>
          <w:rFonts w:ascii="Times New Roman" w:eastAsia="Times New Roman" w:hAnsi="Times New Roman" w:cs="Times New Roman"/>
          <w:i/>
          <w:iCs/>
          <w:color w:val="000000"/>
          <w:lang w:eastAsia="en-GB"/>
        </w:rPr>
        <w:t>Western Folklore</w:t>
      </w:r>
      <w:r w:rsidR="00767A45">
        <w:rPr>
          <w:rFonts w:ascii="Times New Roman" w:eastAsia="Times New Roman" w:hAnsi="Times New Roman" w:cs="Times New Roman"/>
          <w:color w:val="000000"/>
          <w:lang w:eastAsia="en-GB"/>
        </w:rPr>
        <w:t xml:space="preserve"> 75, no. 2 (2016), </w:t>
      </w:r>
      <w:r w:rsidR="00767A45" w:rsidRPr="00767A45">
        <w:rPr>
          <w:rFonts w:ascii="Times New Roman" w:eastAsia="Times New Roman" w:hAnsi="Times New Roman" w:cs="Times New Roman"/>
          <w:color w:val="000000"/>
          <w:highlight w:val="yellow"/>
          <w:lang w:eastAsia="en-GB"/>
        </w:rPr>
        <w:t>p.??</w:t>
      </w:r>
    </w:p>
  </w:footnote>
  <w:footnote w:id="5">
    <w:p w14:paraId="25BBA545" w14:textId="440DE1AB" w:rsidR="00881A94" w:rsidRPr="00881A94" w:rsidRDefault="00BB5B1A" w:rsidP="00881A94">
      <w:pPr>
        <w:pStyle w:val="FootnoteText"/>
        <w:ind w:left="720" w:hanging="720"/>
      </w:pPr>
      <w:r w:rsidRPr="005074E0">
        <w:rPr>
          <w:rStyle w:val="FootnoteReference"/>
        </w:rPr>
        <w:footnoteRef/>
      </w:r>
      <w:r w:rsidRPr="005074E0">
        <w:t xml:space="preserve"> Chicago Folklore Prize in 1971.</w:t>
      </w:r>
      <w:r w:rsidR="00881A94">
        <w:t xml:space="preserve"> In </w:t>
      </w:r>
      <w:r w:rsidR="00881A94" w:rsidRPr="00881A94">
        <w:t>COHEN, Norm “Eleanor R. Long-</w:t>
      </w:r>
      <w:r w:rsidR="00881A94" w:rsidRPr="00881A94">
        <w:t xml:space="preserve">Wilgus (1923-2005)” </w:t>
      </w:r>
      <w:r w:rsidR="00881A94" w:rsidRPr="00881A94">
        <w:rPr>
          <w:i/>
          <w:iCs/>
        </w:rPr>
        <w:t>Journal of American Folklore</w:t>
      </w:r>
      <w:r w:rsidR="00881A94" w:rsidRPr="00881A94">
        <w:t>, Volume 119, Number 472, (American Folklore Society: Spring 2006), p.236.</w:t>
      </w:r>
      <w:r w:rsidR="00881A94" w:rsidRPr="00881A94">
        <w:tab/>
      </w:r>
      <w:r w:rsidR="00881A94" w:rsidRPr="00881A94">
        <w:tab/>
      </w:r>
      <w:r w:rsidR="00881A94" w:rsidRPr="00881A94">
        <w:tab/>
        <w:t xml:space="preserve">Available at:  &lt;https://doi.org/10.1353/jaf.2006.0018&gt; </w:t>
      </w:r>
      <w:r w:rsidR="00881A94" w:rsidRPr="00881A94">
        <w:tab/>
        <w:t>[ Accessed 19 Oct 2021]</w:t>
      </w:r>
    </w:p>
    <w:p w14:paraId="51C974AF" w14:textId="2ABFFEFE" w:rsidR="00BB5B1A" w:rsidRPr="005074E0" w:rsidRDefault="00BB5B1A" w:rsidP="00881A94">
      <w:pPr>
        <w:pStyle w:val="FootnoteText"/>
        <w:ind w:left="720" w:hanging="720"/>
      </w:pPr>
    </w:p>
  </w:footnote>
  <w:footnote w:id="6">
    <w:p w14:paraId="253F8C53" w14:textId="68ABF1E5" w:rsidR="00976A4D" w:rsidRDefault="00976A4D" w:rsidP="00767A45">
      <w:pPr>
        <w:ind w:left="720" w:hanging="720"/>
      </w:pPr>
      <w:r w:rsidRPr="005074E0">
        <w:rPr>
          <w:rStyle w:val="FootnoteReference"/>
          <w:sz w:val="20"/>
          <w:szCs w:val="20"/>
        </w:rPr>
        <w:footnoteRef/>
      </w:r>
      <w:r w:rsidRPr="005074E0">
        <w:rPr>
          <w:sz w:val="20"/>
          <w:szCs w:val="20"/>
        </w:rPr>
        <w:t xml:space="preserve"> </w:t>
      </w:r>
      <w:bookmarkStart w:id="6" w:name="_Hlk86700936"/>
      <w:r w:rsidR="00767A45">
        <w:t>“</w:t>
      </w:r>
      <w:r w:rsidR="00767A45" w:rsidRPr="00767A45">
        <w:rPr>
          <w:sz w:val="20"/>
          <w:szCs w:val="20"/>
        </w:rPr>
        <w:t>The Maid” and “The Hangman”: Myth and Tradition in a Popular Ballad (University of California Press, 1971),</w:t>
      </w:r>
      <w:r w:rsidR="00767A45">
        <w:t xml:space="preserve"> cited in </w:t>
      </w:r>
      <w:r w:rsidR="00BB5B1A" w:rsidRPr="005074E0">
        <w:rPr>
          <w:rFonts w:cstheme="minorHAnsi"/>
          <w:sz w:val="20"/>
          <w:szCs w:val="20"/>
        </w:rPr>
        <w:t>COHEN, Norm “Eleanor R. Long-</w:t>
      </w:r>
      <w:r w:rsidR="00BB5B1A" w:rsidRPr="005074E0">
        <w:rPr>
          <w:rFonts w:cstheme="minorHAnsi"/>
          <w:sz w:val="20"/>
          <w:szCs w:val="20"/>
        </w:rPr>
        <w:t xml:space="preserve">Wilgus (1923-2005)” </w:t>
      </w:r>
      <w:r w:rsidR="00BB5B1A" w:rsidRPr="005074E0">
        <w:rPr>
          <w:rFonts w:cstheme="minorHAnsi"/>
          <w:i/>
          <w:iCs/>
          <w:sz w:val="20"/>
          <w:szCs w:val="20"/>
        </w:rPr>
        <w:t>Journal of American Folklore</w:t>
      </w:r>
      <w:r w:rsidR="00BB5B1A" w:rsidRPr="005074E0">
        <w:rPr>
          <w:rFonts w:cstheme="minorHAnsi"/>
          <w:sz w:val="20"/>
          <w:szCs w:val="20"/>
        </w:rPr>
        <w:t>, Volume 119, Number 472, (American Folklore Society: Spring 2006), p.236.</w:t>
      </w:r>
      <w:r w:rsidR="00BB5B1A" w:rsidRPr="005074E0">
        <w:rPr>
          <w:rFonts w:cstheme="minorHAnsi"/>
          <w:sz w:val="20"/>
          <w:szCs w:val="20"/>
        </w:rPr>
        <w:tab/>
      </w:r>
      <w:r w:rsidR="008B5B17">
        <w:rPr>
          <w:rFonts w:cstheme="minorHAnsi"/>
          <w:sz w:val="20"/>
          <w:szCs w:val="20"/>
        </w:rPr>
        <w:tab/>
      </w:r>
      <w:r w:rsidR="008B5B17">
        <w:rPr>
          <w:rFonts w:cstheme="minorHAnsi"/>
          <w:sz w:val="20"/>
          <w:szCs w:val="20"/>
        </w:rPr>
        <w:tab/>
      </w:r>
      <w:r w:rsidR="00BB5B1A" w:rsidRPr="005074E0">
        <w:rPr>
          <w:rFonts w:cstheme="minorHAnsi"/>
          <w:sz w:val="20"/>
          <w:szCs w:val="20"/>
        </w:rPr>
        <w:tab/>
      </w:r>
      <w:r w:rsidR="00BB5B1A" w:rsidRPr="005074E0">
        <w:rPr>
          <w:rFonts w:cstheme="minorHAnsi"/>
          <w:sz w:val="20"/>
          <w:szCs w:val="20"/>
        </w:rPr>
        <w:tab/>
      </w:r>
      <w:r w:rsidR="00BB5B1A" w:rsidRPr="005074E0">
        <w:rPr>
          <w:rFonts w:cstheme="minorHAnsi"/>
          <w:sz w:val="20"/>
          <w:szCs w:val="20"/>
        </w:rPr>
        <w:tab/>
        <w:t>Available at:  &lt;https://doi.org/10.1353/jaf.2006.0018</w:t>
      </w:r>
      <w:r w:rsidR="00BB5B1A" w:rsidRPr="005074E0">
        <w:rPr>
          <w:rFonts w:cstheme="minorHAnsi"/>
          <w:sz w:val="20"/>
          <w:szCs w:val="20"/>
        </w:rPr>
        <w:t xml:space="preserve">&gt; </w:t>
      </w:r>
      <w:r w:rsidR="008B5B17">
        <w:rPr>
          <w:rFonts w:cstheme="minorHAnsi"/>
          <w:sz w:val="20"/>
          <w:szCs w:val="20"/>
        </w:rPr>
        <w:t xml:space="preserve"> </w:t>
      </w:r>
      <w:r w:rsidR="00BB5B1A" w:rsidRPr="005074E0">
        <w:rPr>
          <w:rFonts w:cstheme="minorHAnsi"/>
          <w:sz w:val="20"/>
          <w:szCs w:val="20"/>
        </w:rPr>
        <w:t>[ Accessed 19 Oct 2021]</w:t>
      </w:r>
      <w:bookmarkEnd w:id="6"/>
    </w:p>
  </w:footnote>
  <w:footnote w:id="7">
    <w:p w14:paraId="3ADDD3A3" w14:textId="77777777" w:rsidR="00881A94" w:rsidRPr="00F33B26" w:rsidRDefault="00881A94" w:rsidP="00881A94">
      <w:pPr>
        <w:ind w:left="720" w:hanging="720"/>
        <w:rPr>
          <w:rFonts w:ascii="Times New Roman" w:hAnsi="Times New Roman" w:cs="Times New Roman"/>
        </w:rPr>
      </w:pPr>
      <w:r>
        <w:rPr>
          <w:rStyle w:val="FootnoteReference"/>
        </w:rPr>
        <w:footnoteRef/>
      </w:r>
      <w:r>
        <w:t xml:space="preserve"> </w:t>
      </w:r>
      <w:r w:rsidRPr="00F33B26">
        <w:rPr>
          <w:rFonts w:ascii="Times New Roman" w:hAnsi="Times New Roman" w:cs="Times New Roman"/>
          <w:sz w:val="20"/>
          <w:szCs w:val="20"/>
        </w:rPr>
        <w:t>“A Short History of ‘Tempo’(IV</w:t>
      </w:r>
      <w:r w:rsidRPr="00F33B26">
        <w:rPr>
          <w:rFonts w:ascii="Times New Roman" w:eastAsia="Times New Roman" w:hAnsi="Times New Roman" w:cs="Times New Roman"/>
          <w:color w:val="000000"/>
          <w:sz w:val="20"/>
          <w:szCs w:val="20"/>
          <w:lang w:eastAsia="en-GB"/>
        </w:rPr>
        <w:t>): 1971-1989.” </w:t>
      </w:r>
      <w:r w:rsidRPr="00F33B26">
        <w:rPr>
          <w:rFonts w:ascii="Times New Roman" w:eastAsia="Times New Roman" w:hAnsi="Times New Roman" w:cs="Times New Roman"/>
          <w:i/>
          <w:iCs/>
          <w:color w:val="000000"/>
          <w:sz w:val="20"/>
          <w:szCs w:val="20"/>
          <w:lang w:eastAsia="en-GB"/>
        </w:rPr>
        <w:t>Tempo</w:t>
      </w:r>
      <w:r w:rsidRPr="00F33B26">
        <w:rPr>
          <w:rFonts w:ascii="Times New Roman" w:eastAsia="Times New Roman" w:hAnsi="Times New Roman" w:cs="Times New Roman"/>
          <w:color w:val="000000"/>
          <w:sz w:val="20"/>
          <w:szCs w:val="20"/>
          <w:lang w:eastAsia="en-GB"/>
        </w:rPr>
        <w:t xml:space="preserve">, no. 171 (1989), p.3. </w:t>
      </w:r>
      <w:r>
        <w:rPr>
          <w:rFonts w:ascii="Times New Roman" w:eastAsia="Times New Roman" w:hAnsi="Times New Roman" w:cs="Times New Roman"/>
          <w:color w:val="000000"/>
          <w:sz w:val="20"/>
          <w:szCs w:val="20"/>
          <w:lang w:eastAsia="en-GB"/>
        </w:rPr>
        <w:t>Available at: &lt;</w:t>
      </w:r>
      <w:r w:rsidRPr="00F33B26">
        <w:rPr>
          <w:rFonts w:ascii="Times New Roman" w:eastAsia="Times New Roman" w:hAnsi="Times New Roman" w:cs="Times New Roman"/>
          <w:color w:val="000000"/>
          <w:sz w:val="20"/>
          <w:szCs w:val="20"/>
          <w:lang w:eastAsia="en-GB"/>
        </w:rPr>
        <w:t>http://www.jstor.org/stable/945235</w:t>
      </w:r>
      <w:r>
        <w:rPr>
          <w:rFonts w:ascii="Times New Roman" w:eastAsia="Times New Roman" w:hAnsi="Times New Roman" w:cs="Times New Roman"/>
          <w:color w:val="000000"/>
          <w:sz w:val="20"/>
          <w:szCs w:val="20"/>
          <w:lang w:eastAsia="en-GB"/>
        </w:rPr>
        <w:t xml:space="preserve">&gt; </w:t>
      </w:r>
      <w:r>
        <w:rPr>
          <w:rFonts w:ascii="Times New Roman" w:eastAsia="Times New Roman" w:hAnsi="Times New Roman" w:cs="Times New Roman"/>
          <w:color w:val="000000"/>
          <w:sz w:val="20"/>
          <w:szCs w:val="20"/>
          <w:lang w:eastAsia="en-GB"/>
        </w:rPr>
        <w:tab/>
        <w:t>[Accessed 25/10/21]</w:t>
      </w:r>
    </w:p>
  </w:footnote>
  <w:footnote w:id="8">
    <w:p w14:paraId="047BB1DB" w14:textId="77777777" w:rsidR="00600CE9" w:rsidRDefault="00600CE9" w:rsidP="00600CE9">
      <w:pPr>
        <w:pStyle w:val="FootnoteText"/>
      </w:pPr>
      <w:r>
        <w:rPr>
          <w:rStyle w:val="FootnoteReference"/>
        </w:rPr>
        <w:footnoteRef/>
      </w:r>
      <w:r>
        <w:t xml:space="preserve"> Eleanor Long, ‘How the Dog got his Days’ p.257</w:t>
      </w:r>
    </w:p>
  </w:footnote>
  <w:footnote w:id="9">
    <w:p w14:paraId="701516A2" w14:textId="3612D646" w:rsidR="007E0642" w:rsidRDefault="007E0642">
      <w:pPr>
        <w:pStyle w:val="FootnoteText"/>
      </w:pPr>
      <w:r>
        <w:rPr>
          <w:rStyle w:val="FootnoteReference"/>
        </w:rPr>
        <w:footnoteRef/>
      </w:r>
      <w:r>
        <w:t xml:space="preserve"> </w:t>
      </w:r>
      <w:bookmarkStart w:id="7" w:name="_Hlk86437035"/>
      <w:r>
        <w:t>Eleanor Long, Western Folklore, Oct 1984</w:t>
      </w:r>
      <w:bookmarkEnd w:id="7"/>
      <w:r>
        <w:t>, p.262</w:t>
      </w:r>
    </w:p>
  </w:footnote>
  <w:footnote w:id="10">
    <w:p w14:paraId="196898F5" w14:textId="448412F2" w:rsidR="00677B2C" w:rsidRDefault="00677B2C">
      <w:pPr>
        <w:pStyle w:val="FootnoteText"/>
      </w:pPr>
      <w:r>
        <w:rPr>
          <w:rStyle w:val="FootnoteReference"/>
        </w:rPr>
        <w:footnoteRef/>
      </w:r>
      <w:r>
        <w:t xml:space="preserve"> Eleanor Long, Western Folklore, Oct 1984, pp.262-263.</w:t>
      </w:r>
    </w:p>
  </w:footnote>
  <w:footnote w:id="11">
    <w:p w14:paraId="3CC17B6A" w14:textId="77777777" w:rsidR="0080169B" w:rsidRDefault="0080169B" w:rsidP="0080169B">
      <w:pPr>
        <w:pStyle w:val="FootnoteText"/>
      </w:pPr>
      <w:r>
        <w:rPr>
          <w:rStyle w:val="FootnoteReference"/>
        </w:rPr>
        <w:footnoteRef/>
      </w:r>
      <w:r>
        <w:t xml:space="preserve"> RAYMOND HEAD – Article.</w:t>
      </w:r>
    </w:p>
  </w:footnote>
  <w:footnote w:id="12">
    <w:p w14:paraId="65A87336" w14:textId="77777777" w:rsidR="0080169B" w:rsidRDefault="0080169B" w:rsidP="0080169B">
      <w:pPr>
        <w:pStyle w:val="FootnoteText"/>
      </w:pPr>
      <w:r>
        <w:rPr>
          <w:rStyle w:val="FootnoteReference"/>
        </w:rPr>
        <w:footnoteRef/>
      </w:r>
      <w:r>
        <w:t xml:space="preserve"> TERRY EAGLETON on CULTURE</w:t>
      </w:r>
    </w:p>
  </w:footnote>
  <w:footnote w:id="13">
    <w:p w14:paraId="7624CEE4" w14:textId="6D5E663B" w:rsidR="00550207" w:rsidRDefault="00550207">
      <w:pPr>
        <w:pStyle w:val="FootnoteText"/>
      </w:pPr>
      <w:r>
        <w:rPr>
          <w:rStyle w:val="FootnoteReference"/>
        </w:rPr>
        <w:footnoteRef/>
      </w:r>
      <w:r>
        <w:t xml:space="preserve"> SHORT, BEX, IMOGEN HOLST – WHICH ONE/S? </w:t>
      </w:r>
    </w:p>
  </w:footnote>
  <w:footnote w:id="14">
    <w:p w14:paraId="0EEC2B41" w14:textId="39581CCC" w:rsidR="00550207" w:rsidRDefault="00550207">
      <w:pPr>
        <w:pStyle w:val="FootnoteText"/>
      </w:pPr>
      <w:r>
        <w:rPr>
          <w:rStyle w:val="FootnoteReference"/>
        </w:rPr>
        <w:footnoteRef/>
      </w:r>
      <w:r>
        <w:t xml:space="preserve"> </w:t>
      </w:r>
    </w:p>
  </w:footnote>
  <w:footnote w:id="15">
    <w:p w14:paraId="3974F82E" w14:textId="3AC995E8" w:rsidR="00550207" w:rsidRDefault="00550207">
      <w:pPr>
        <w:pStyle w:val="FootnoteText"/>
      </w:pPr>
      <w:r>
        <w:rPr>
          <w:rStyle w:val="FootnoteReference"/>
        </w:rPr>
        <w:footnoteRef/>
      </w:r>
      <w:r>
        <w:t xml:space="preserve"> </w:t>
      </w:r>
      <w:r w:rsidR="005074E0">
        <w:t>Raymond Head, ‘Holst- Astrology and Modernism’</w:t>
      </w:r>
    </w:p>
  </w:footnote>
  <w:footnote w:id="16">
    <w:p w14:paraId="3FC607E2" w14:textId="238AEA68" w:rsidR="00057FD5" w:rsidRDefault="00057FD5" w:rsidP="009E3CCF">
      <w:pPr>
        <w:ind w:left="720" w:hanging="720"/>
      </w:pPr>
      <w:r>
        <w:rPr>
          <w:rStyle w:val="FootnoteReference"/>
        </w:rPr>
        <w:footnoteRef/>
      </w:r>
      <w:r w:rsidRPr="00F33B26">
        <w:rPr>
          <w:rFonts w:ascii="Times New Roman" w:eastAsiaTheme="minorEastAsia" w:hAnsi="Times New Roman" w:cs="Times New Roman"/>
          <w:sz w:val="20"/>
          <w:szCs w:val="20"/>
          <w:lang w:eastAsia="en-GB"/>
        </w:rPr>
        <w:t xml:space="preserve">Lionel Sainsbury. “Oxford, Holywell Music Room: ‘The Isle is full of Music’ Raymond Head and Clement </w:t>
      </w:r>
      <w:r w:rsidRPr="00F33B26">
        <w:rPr>
          <w:rFonts w:ascii="Times New Roman" w:eastAsiaTheme="minorEastAsia" w:hAnsi="Times New Roman" w:cs="Times New Roman"/>
          <w:sz w:val="20"/>
          <w:szCs w:val="20"/>
          <w:lang w:eastAsia="en-GB"/>
        </w:rPr>
        <w:t>Jewitt.” Tempo 62, no.246 (2008): pp.58-59. Available at: &lt;</w:t>
      </w:r>
      <w:hyperlink r:id="rId1" w:history="1">
        <w:r w:rsidRPr="00F33B26">
          <w:rPr>
            <w:rStyle w:val="Hyperlink"/>
            <w:rFonts w:ascii="Times New Roman" w:eastAsiaTheme="minorEastAsia" w:hAnsi="Times New Roman" w:cs="Times New Roman"/>
            <w:sz w:val="20"/>
            <w:szCs w:val="20"/>
            <w:lang w:eastAsia="en-GB"/>
          </w:rPr>
          <w:t>http://www.jstor.org/stable/40072859</w:t>
        </w:r>
      </w:hyperlink>
      <w:r w:rsidRPr="00F33B26">
        <w:rPr>
          <w:rFonts w:ascii="Times New Roman" w:eastAsiaTheme="minorEastAsia" w:hAnsi="Times New Roman" w:cs="Times New Roman"/>
          <w:sz w:val="20"/>
          <w:szCs w:val="20"/>
          <w:lang w:eastAsia="en-GB"/>
        </w:rPr>
        <w:t xml:space="preserve">&gt; </w:t>
      </w:r>
      <w:r w:rsidRPr="00F33B26">
        <w:rPr>
          <w:rFonts w:ascii="Times New Roman" w:eastAsiaTheme="minorEastAsia" w:hAnsi="Times New Roman" w:cs="Times New Roman"/>
          <w:sz w:val="20"/>
          <w:szCs w:val="20"/>
          <w:lang w:eastAsia="en-GB"/>
        </w:rPr>
        <w:tab/>
      </w:r>
      <w:r w:rsidRPr="00F33B26">
        <w:rPr>
          <w:rFonts w:ascii="Times New Roman" w:eastAsia="Times New Roman" w:hAnsi="Times New Roman" w:cs="Times New Roman"/>
          <w:color w:val="000000"/>
          <w:sz w:val="20"/>
          <w:szCs w:val="20"/>
          <w:lang w:eastAsia="en-GB"/>
        </w:rPr>
        <w:t>[Accessed 25/10/21]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25BE2" w14:textId="2B5B8668" w:rsidR="005074E0" w:rsidRDefault="005074E0">
    <w:pPr>
      <w:pStyle w:val="Header"/>
    </w:pPr>
    <w:r>
      <w:t>Bridget Thomas</w:t>
    </w:r>
    <w:r>
      <w:ptab w:relativeTo="margin" w:alignment="center" w:leader="none"/>
    </w:r>
    <w:r>
      <w:t>2301429</w:t>
    </w:r>
    <w:r>
      <w:tab/>
    </w:r>
    <w:r>
      <w:ptab w:relativeTo="margin" w:alignment="right" w:leader="none"/>
    </w:r>
    <w:r>
      <w:fldChar w:fldCharType="begin"/>
    </w:r>
    <w:r>
      <w:instrText xml:space="preserve"> PAGE  \* Arabic  \* MERGEFORMAT </w:instrText>
    </w:r>
    <w:r>
      <w:fldChar w:fldCharType="separate"/>
    </w:r>
    <w:r>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2F20"/>
    <w:rsid w:val="00057FD5"/>
    <w:rsid w:val="000D549D"/>
    <w:rsid w:val="000F45DA"/>
    <w:rsid w:val="00153788"/>
    <w:rsid w:val="00174653"/>
    <w:rsid w:val="001906D4"/>
    <w:rsid w:val="00194F09"/>
    <w:rsid w:val="001E5EA9"/>
    <w:rsid w:val="002020FD"/>
    <w:rsid w:val="002341C9"/>
    <w:rsid w:val="00241183"/>
    <w:rsid w:val="0026688B"/>
    <w:rsid w:val="002F0CA3"/>
    <w:rsid w:val="002F29EA"/>
    <w:rsid w:val="00312F20"/>
    <w:rsid w:val="00327D2B"/>
    <w:rsid w:val="00374E36"/>
    <w:rsid w:val="003A1B2C"/>
    <w:rsid w:val="003E46A9"/>
    <w:rsid w:val="003E4A7E"/>
    <w:rsid w:val="004075C5"/>
    <w:rsid w:val="004B10D2"/>
    <w:rsid w:val="004D5B52"/>
    <w:rsid w:val="004F50A1"/>
    <w:rsid w:val="00504310"/>
    <w:rsid w:val="005074E0"/>
    <w:rsid w:val="0053084E"/>
    <w:rsid w:val="00535B80"/>
    <w:rsid w:val="00550207"/>
    <w:rsid w:val="00582E5F"/>
    <w:rsid w:val="00600CE9"/>
    <w:rsid w:val="006140D0"/>
    <w:rsid w:val="006234A0"/>
    <w:rsid w:val="00667196"/>
    <w:rsid w:val="00677B2C"/>
    <w:rsid w:val="006A09FE"/>
    <w:rsid w:val="006F0D81"/>
    <w:rsid w:val="00746D6E"/>
    <w:rsid w:val="00767A45"/>
    <w:rsid w:val="007E0642"/>
    <w:rsid w:val="007F13BE"/>
    <w:rsid w:val="0080169B"/>
    <w:rsid w:val="008219A6"/>
    <w:rsid w:val="00881A94"/>
    <w:rsid w:val="008B5B17"/>
    <w:rsid w:val="008F35B1"/>
    <w:rsid w:val="00912996"/>
    <w:rsid w:val="00976A4D"/>
    <w:rsid w:val="00980F31"/>
    <w:rsid w:val="0099141E"/>
    <w:rsid w:val="009E3CCF"/>
    <w:rsid w:val="00A15D84"/>
    <w:rsid w:val="00A52DE3"/>
    <w:rsid w:val="00A6305B"/>
    <w:rsid w:val="00AB5658"/>
    <w:rsid w:val="00AB7856"/>
    <w:rsid w:val="00AE4986"/>
    <w:rsid w:val="00B22747"/>
    <w:rsid w:val="00BA466B"/>
    <w:rsid w:val="00BB5B1A"/>
    <w:rsid w:val="00C20EED"/>
    <w:rsid w:val="00C44A5B"/>
    <w:rsid w:val="00C50FDD"/>
    <w:rsid w:val="00C66F12"/>
    <w:rsid w:val="00C7574B"/>
    <w:rsid w:val="00C825D1"/>
    <w:rsid w:val="00D64A91"/>
    <w:rsid w:val="00D860CB"/>
    <w:rsid w:val="00DA4B6D"/>
    <w:rsid w:val="00DE3FDB"/>
    <w:rsid w:val="00E519BD"/>
    <w:rsid w:val="00E51E18"/>
    <w:rsid w:val="00E82C75"/>
    <w:rsid w:val="00F52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C4C6FB"/>
  <w15:docId w15:val="{20BD20EE-2A5E-4898-B2D4-CE8012989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A94"/>
  </w:style>
  <w:style w:type="paragraph" w:styleId="Heading3">
    <w:name w:val="heading 3"/>
    <w:basedOn w:val="Normal"/>
    <w:link w:val="Heading3Char"/>
    <w:semiHidden/>
    <w:unhideWhenUsed/>
    <w:qFormat/>
    <w:rsid w:val="00AE4986"/>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46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466B"/>
    <w:rPr>
      <w:sz w:val="20"/>
      <w:szCs w:val="20"/>
    </w:rPr>
  </w:style>
  <w:style w:type="character" w:styleId="FootnoteReference">
    <w:name w:val="footnote reference"/>
    <w:basedOn w:val="DefaultParagraphFont"/>
    <w:uiPriority w:val="99"/>
    <w:semiHidden/>
    <w:unhideWhenUsed/>
    <w:rsid w:val="00BA466B"/>
    <w:rPr>
      <w:vertAlign w:val="superscript"/>
    </w:rPr>
  </w:style>
  <w:style w:type="paragraph" w:styleId="Header">
    <w:name w:val="header"/>
    <w:basedOn w:val="Normal"/>
    <w:link w:val="HeaderChar"/>
    <w:uiPriority w:val="99"/>
    <w:unhideWhenUsed/>
    <w:rsid w:val="00507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4E0"/>
  </w:style>
  <w:style w:type="paragraph" w:styleId="Footer">
    <w:name w:val="footer"/>
    <w:basedOn w:val="Normal"/>
    <w:link w:val="FooterChar"/>
    <w:uiPriority w:val="99"/>
    <w:unhideWhenUsed/>
    <w:rsid w:val="00507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4E0"/>
  </w:style>
  <w:style w:type="character" w:styleId="Hyperlink">
    <w:name w:val="Hyperlink"/>
    <w:basedOn w:val="DefaultParagraphFont"/>
    <w:uiPriority w:val="99"/>
    <w:unhideWhenUsed/>
    <w:rsid w:val="00057FD5"/>
    <w:rPr>
      <w:color w:val="0563C1" w:themeColor="hyperlink"/>
      <w:u w:val="single"/>
    </w:rPr>
  </w:style>
  <w:style w:type="paragraph" w:styleId="Title">
    <w:name w:val="Title"/>
    <w:basedOn w:val="Normal"/>
    <w:next w:val="Normal"/>
    <w:link w:val="TitleChar"/>
    <w:uiPriority w:val="10"/>
    <w:qFormat/>
    <w:rsid w:val="00AE49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986"/>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semiHidden/>
    <w:rsid w:val="00AE4986"/>
    <w:rPr>
      <w:rFonts w:ascii="Tahoma" w:eastAsia="Times New Roman" w:hAnsi="Tahoma" w:cs="Tahoma"/>
      <w:b/>
      <w:bCs/>
      <w:sz w:val="20"/>
      <w:szCs w:val="20"/>
      <w:lang w:eastAsia="zh-CN"/>
    </w:rPr>
  </w:style>
  <w:style w:type="paragraph" w:styleId="NormalWeb">
    <w:name w:val="Normal (Web)"/>
    <w:basedOn w:val="Normal"/>
    <w:semiHidden/>
    <w:unhideWhenUsed/>
    <w:rsid w:val="00AE4986"/>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453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50010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jstor.org/stable/40072859"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stable/40072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96482-F511-469F-9CE4-DC16E85F1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2378</Words>
  <Characters>13560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Anthea Thomas (2301429)</dc:creator>
  <cp:keywords/>
  <dc:description/>
  <cp:lastModifiedBy>Bridget Anthea</cp:lastModifiedBy>
  <cp:revision>2</cp:revision>
  <dcterms:created xsi:type="dcterms:W3CDTF">2021-11-02T09:38:00Z</dcterms:created>
  <dcterms:modified xsi:type="dcterms:W3CDTF">2021-11-02T09:38:00Z</dcterms:modified>
</cp:coreProperties>
</file>