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pPr>
    </w:p>
    <w:p>
      <w:pPr>
        <w:jc w:val="both"/>
      </w:pPr>
    </w:p>
    <w:p>
      <w:pPr>
        <w:pStyle w:val="5"/>
        <w:jc w:val="center"/>
        <w:rPr>
          <w:rStyle w:val="14"/>
          <w:u w:val="single"/>
        </w:rPr>
      </w:pPr>
      <w:r>
        <w:rPr>
          <w:rStyle w:val="14"/>
          <w:u w:val="single"/>
        </w:rPr>
        <w:t>DIGITAL SKILLS AND RESEARCH METHODS</w:t>
      </w:r>
    </w:p>
    <w:p>
      <w:pPr>
        <w:jc w:val="both"/>
      </w:pPr>
    </w:p>
    <w:p>
      <w:pPr>
        <w:jc w:val="both"/>
      </w:pPr>
    </w:p>
    <w:p>
      <w:pPr>
        <w:jc w:val="both"/>
      </w:pPr>
    </w:p>
    <w:p>
      <w:pPr>
        <w:jc w:val="center"/>
        <w:rPr>
          <w:sz w:val="28"/>
          <w:szCs w:val="28"/>
        </w:rPr>
      </w:pPr>
      <w:r>
        <w:rPr>
          <w:b/>
          <w:bCs/>
          <w:sz w:val="28"/>
          <w:szCs w:val="28"/>
        </w:rPr>
        <w:t>Assignment title:</w:t>
      </w:r>
      <w:r>
        <w:rPr>
          <w:sz w:val="28"/>
          <w:szCs w:val="28"/>
        </w:rPr>
        <w:t xml:space="preserve"> A Report On The Impact Of Virtual Learning Environment - Moodle On Students Learning Experience.</w:t>
      </w:r>
    </w:p>
    <w:p>
      <w:pPr>
        <w:jc w:val="center"/>
        <w:rPr>
          <w:sz w:val="28"/>
          <w:szCs w:val="28"/>
        </w:rPr>
      </w:pPr>
    </w:p>
    <w:p>
      <w:pPr>
        <w:jc w:val="center"/>
        <w:rPr>
          <w:sz w:val="28"/>
          <w:szCs w:val="28"/>
        </w:rPr>
      </w:pPr>
      <w:r>
        <w:rPr>
          <w:b/>
          <w:bCs/>
          <w:sz w:val="28"/>
          <w:szCs w:val="28"/>
        </w:rPr>
        <w:t xml:space="preserve">Course code: </w:t>
      </w:r>
      <w:r>
        <w:rPr>
          <w:sz w:val="28"/>
          <w:szCs w:val="28"/>
        </w:rPr>
        <w:t>BMSW4003</w:t>
      </w:r>
    </w:p>
    <w:p>
      <w:pPr>
        <w:jc w:val="center"/>
        <w:rPr>
          <w:sz w:val="28"/>
          <w:szCs w:val="28"/>
        </w:rPr>
      </w:pPr>
    </w:p>
    <w:p>
      <w:pPr>
        <w:jc w:val="center"/>
        <w:rPr>
          <w:sz w:val="28"/>
          <w:szCs w:val="28"/>
        </w:rPr>
      </w:pPr>
      <w:r>
        <w:rPr>
          <w:b/>
          <w:bCs/>
          <w:sz w:val="28"/>
          <w:szCs w:val="28"/>
        </w:rPr>
        <w:t xml:space="preserve">Lecturer: </w:t>
      </w:r>
      <w:r>
        <w:rPr>
          <w:sz w:val="28"/>
          <w:szCs w:val="28"/>
        </w:rPr>
        <w:t>Joy Botu</w:t>
      </w:r>
    </w:p>
    <w:p>
      <w:pPr>
        <w:jc w:val="center"/>
        <w:rPr>
          <w:b/>
          <w:bCs/>
          <w:sz w:val="28"/>
          <w:szCs w:val="28"/>
        </w:rPr>
      </w:pPr>
    </w:p>
    <w:p>
      <w:pPr>
        <w:jc w:val="center"/>
        <w:rPr>
          <w:sz w:val="28"/>
          <w:szCs w:val="28"/>
        </w:rPr>
      </w:pPr>
      <w:r>
        <w:rPr>
          <w:b/>
          <w:bCs/>
          <w:sz w:val="28"/>
          <w:szCs w:val="28"/>
        </w:rPr>
        <w:t xml:space="preserve">Student Name: </w:t>
      </w:r>
      <w:r>
        <w:rPr>
          <w:sz w:val="28"/>
          <w:szCs w:val="28"/>
        </w:rPr>
        <w:t>Omolara Lawal-Akintola</w:t>
      </w:r>
    </w:p>
    <w:p>
      <w:pPr>
        <w:jc w:val="center"/>
        <w:rPr>
          <w:sz w:val="28"/>
          <w:szCs w:val="28"/>
        </w:rPr>
      </w:pPr>
    </w:p>
    <w:p>
      <w:pPr>
        <w:jc w:val="center"/>
        <w:rPr>
          <w:sz w:val="28"/>
          <w:szCs w:val="28"/>
        </w:rPr>
      </w:pPr>
      <w:r>
        <w:rPr>
          <w:b/>
          <w:bCs/>
          <w:sz w:val="28"/>
          <w:szCs w:val="28"/>
        </w:rPr>
        <w:t xml:space="preserve">Student Number: </w:t>
      </w:r>
      <w:r>
        <w:rPr>
          <w:sz w:val="28"/>
          <w:szCs w:val="28"/>
        </w:rPr>
        <w:t>1906883</w:t>
      </w:r>
    </w:p>
    <w:p>
      <w:pPr>
        <w:jc w:val="center"/>
        <w:rPr>
          <w:b/>
          <w:bCs/>
          <w:sz w:val="28"/>
          <w:szCs w:val="28"/>
        </w:rPr>
      </w:pPr>
    </w:p>
    <w:p>
      <w:pPr>
        <w:jc w:val="both"/>
      </w:pPr>
    </w:p>
    <w:p>
      <w:r>
        <w:br w:type="page"/>
      </w:r>
    </w:p>
    <w:sdt>
      <w:sdtPr>
        <w:id w:val="766588761"/>
      </w:sdtPr>
      <w:sdtEndPr>
        <w:rPr>
          <w:rFonts w:asciiTheme="minorHAnsi" w:hAnsiTheme="minorHAnsi" w:eastAsiaTheme="minorHAnsi" w:cstheme="minorBidi"/>
          <w:b/>
          <w:bCs/>
          <w:color w:val="auto"/>
          <w:sz w:val="22"/>
          <w:szCs w:val="22"/>
          <w:lang w:val="en-GB"/>
        </w:rPr>
      </w:sdtEndPr>
      <w:sdtContent>
        <w:p>
          <w:pPr>
            <w:pStyle w:val="16"/>
            <w:jc w:val="center"/>
            <w:rPr>
              <w:rStyle w:val="7"/>
              <w:color w:val="auto"/>
              <w:sz w:val="40"/>
              <w:szCs w:val="40"/>
            </w:rPr>
          </w:pPr>
          <w:r>
            <w:rPr>
              <w:rStyle w:val="7"/>
              <w:color w:val="auto"/>
              <w:sz w:val="40"/>
              <w:szCs w:val="40"/>
            </w:rPr>
            <w:t>TABLE OF CONTENTS</w:t>
          </w:r>
        </w:p>
        <w:p>
          <w:pPr>
            <w:jc w:val="center"/>
          </w:pPr>
        </w:p>
      </w:sdtContent>
    </w:sdt>
    <w:p>
      <w:pPr>
        <w:spacing w:line="720" w:lineRule="auto"/>
        <w:jc w:val="both"/>
      </w:pPr>
      <w:r>
        <w:t>INTRODUCTION ……………………………………………………………………………………………….…………3</w:t>
      </w:r>
    </w:p>
    <w:p>
      <w:pPr>
        <w:spacing w:line="720" w:lineRule="auto"/>
        <w:jc w:val="both"/>
      </w:pPr>
      <w:r>
        <w:t>BACKGROUND INFORMATION ……………………………………………………………………………………..4</w:t>
      </w:r>
    </w:p>
    <w:p>
      <w:pPr>
        <w:spacing w:line="720" w:lineRule="auto"/>
        <w:jc w:val="both"/>
      </w:pPr>
      <w:r>
        <w:t>AIM AND OBJECTIVES ……………………………………………………………………………………….………….5</w:t>
      </w:r>
    </w:p>
    <w:p>
      <w:pPr>
        <w:spacing w:line="720" w:lineRule="auto"/>
        <w:jc w:val="both"/>
      </w:pPr>
      <w:r>
        <w:t>METHODS…………………………………………………………………………………………………………….……….6</w:t>
      </w:r>
    </w:p>
    <w:p>
      <w:pPr>
        <w:spacing w:line="720" w:lineRule="auto"/>
        <w:jc w:val="both"/>
      </w:pPr>
      <w:r>
        <w:t>RESULTS ………………………………………………………………………………………………………….…….………7</w:t>
      </w:r>
    </w:p>
    <w:p>
      <w:pPr>
        <w:spacing w:line="720" w:lineRule="auto"/>
        <w:jc w:val="both"/>
      </w:pPr>
      <w:r>
        <w:t>DISCUSSION ……………………………………………………………………………………………………………..…..11</w:t>
      </w:r>
    </w:p>
    <w:p>
      <w:pPr>
        <w:spacing w:line="720" w:lineRule="auto"/>
        <w:jc w:val="both"/>
      </w:pPr>
      <w:r>
        <w:t>CONCLUSION …………………………………………………………………………………………………………………13</w:t>
      </w:r>
    </w:p>
    <w:p>
      <w:pPr>
        <w:spacing w:line="720" w:lineRule="auto"/>
        <w:jc w:val="both"/>
      </w:pPr>
      <w:r>
        <w:t>REFERENCES ………………………………………………………………………………………………………………..14</w:t>
      </w:r>
    </w:p>
    <w:p>
      <w:pPr>
        <w:spacing w:line="720" w:lineRule="auto"/>
        <w:jc w:val="both"/>
      </w:pPr>
      <w:r>
        <w:t>APPENDIX ……………………………………………………………………………………………………………………….15</w:t>
      </w:r>
    </w:p>
    <w:p>
      <w:pPr>
        <w:rPr>
          <w:rFonts w:eastAsiaTheme="minorEastAsia"/>
          <w:color w:val="4472C4" w:themeColor="accent1"/>
          <w:lang w:val="en-US"/>
          <w14:textFill>
            <w14:solidFill>
              <w14:schemeClr w14:val="accent1"/>
            </w14:solidFill>
          </w14:textFill>
        </w:rPr>
      </w:pPr>
      <w:r>
        <w:rPr>
          <w:color w:val="4472C4" w:themeColor="accent1"/>
          <w14:textFill>
            <w14:solidFill>
              <w14:schemeClr w14:val="accent1"/>
            </w14:solidFill>
          </w14:textFill>
        </w:rPr>
        <w:br w:type="page"/>
      </w:r>
    </w:p>
    <w:p>
      <w:pPr>
        <w:jc w:val="both"/>
      </w:pPr>
    </w:p>
    <w:p>
      <w:pPr>
        <w:jc w:val="both"/>
        <w:rPr>
          <w:b/>
          <w:bCs/>
          <w:sz w:val="28"/>
          <w:szCs w:val="28"/>
        </w:rPr>
      </w:pPr>
      <w:r>
        <w:rPr>
          <w:b/>
          <w:bCs/>
          <w:sz w:val="28"/>
          <w:szCs w:val="28"/>
        </w:rPr>
        <w:t>1.0     INTRODUCTION</w:t>
      </w:r>
    </w:p>
    <w:p>
      <w:pPr>
        <w:jc w:val="both"/>
        <w:rPr>
          <w:sz w:val="28"/>
          <w:szCs w:val="28"/>
        </w:rPr>
      </w:pPr>
      <w:r>
        <w:rPr>
          <w:sz w:val="28"/>
          <w:szCs w:val="28"/>
        </w:rPr>
        <w:t xml:space="preserve">With the recent situation in the world today – COVID-19, schools and institutions at all levels have resulted to impacting knowledge via the Virtual Learning Environment (VLE). According to Barker and Gossman (2013).  Virtual Learning Environment (VLE) is utilized to convey educational materials as well as enhance the easy flow of communication. </w:t>
      </w:r>
    </w:p>
    <w:p>
      <w:pPr>
        <w:jc w:val="both"/>
        <w:rPr>
          <w:sz w:val="28"/>
          <w:szCs w:val="28"/>
        </w:rPr>
      </w:pPr>
      <w:r>
        <w:rPr>
          <w:sz w:val="28"/>
          <w:szCs w:val="28"/>
        </w:rPr>
        <w:t>This report is venturing into knowing the effect of VLE – Moodle on students learning experience.  Moodle (Modular Object – Oriented Dynamic Learning Environment) is a popular platform within the Virtual Learning Environment, it was introduced by Martin Dougiamas in 2001, who wrote a paper on “Improving the Effectiveness of Online Learning” since then to March2020, they have 190 million registered users and over 145,000 sites(Moodle, 2020).  The University of Wales Trinity Saint David – London Campus will be used as a case study and will be where the sample will be drawn, that access the university Moodle platform.  This report is to identify whether the Moodle platform in the UWTSD is positively, negatively, highly or lowly impacts students learning experience and supports previously academic knowledge on this theme.  If the effect of Moodle platform on student’s learning is highly effective or positive, then students would be independently motivated to improve their academic and workplace skills.  Thus, how does VLE – Moodle effect students learning experience in the University of Wales Trinity Saint David (UWTSD)?  The learning experience of students today is impacted by the dynamic digital age, especially with the advent of COVID-19, Virtual Learning Environments – Moodle has positively affected academic instruction as well as learning experiences (Barker and Gossman, 2013).</w:t>
      </w:r>
    </w:p>
    <w:p>
      <w:pPr>
        <w:jc w:val="both"/>
        <w:rPr>
          <w:sz w:val="28"/>
          <w:szCs w:val="28"/>
        </w:rPr>
      </w:pPr>
    </w:p>
    <w:p>
      <w:pPr>
        <w:rPr>
          <w:sz w:val="28"/>
          <w:szCs w:val="28"/>
        </w:rPr>
      </w:pPr>
      <w:r>
        <w:rPr>
          <w:sz w:val="28"/>
          <w:szCs w:val="28"/>
        </w:rPr>
        <w:br w:type="page"/>
      </w:r>
    </w:p>
    <w:p>
      <w:pPr>
        <w:jc w:val="both"/>
        <w:rPr>
          <w:sz w:val="28"/>
          <w:szCs w:val="28"/>
        </w:rPr>
      </w:pPr>
      <w:r>
        <w:rPr>
          <w:sz w:val="28"/>
          <w:szCs w:val="28"/>
        </w:rPr>
        <w:t>2.0  BACKGROUND INFORMATION</w:t>
      </w:r>
    </w:p>
    <w:p>
      <w:pPr>
        <w:jc w:val="both"/>
        <w:rPr>
          <w:sz w:val="28"/>
          <w:szCs w:val="28"/>
        </w:rPr>
      </w:pPr>
      <w:r>
        <w:rPr>
          <w:sz w:val="28"/>
          <w:szCs w:val="28"/>
        </w:rPr>
        <w:t>This report highlights the influence that Virtual Learning Environments (VLE) - Moodle might have on students learning experience. VLE has been defined as a set of integral parts where learners and instructors engage in “online” communication, diverse in nature, of which “online” learning is included (Barker and Gossman, 2013). An example of an online platform is Moodle - (Modular Object-Oriented Dynamic Learning Environment).  Moodle is a learning platform aimed at providing educators, administrators and learners with a unique, powerful, safe and unified system to establish learning environments that are personal (Moodle, 2020).  This is used by several higher Institutions now a days.  According to Demian and Morrice (2012) there are three types of VLEs, there are those that have too much content, which  discourages, students from attending lectures, those that have too little, which cause VLE to be grossly worthless.  While there are those that have sufficient information which enables students to support their work in lectures and acquire a comprehensive understanding of the subject.</w:t>
      </w:r>
    </w:p>
    <w:p>
      <w:pPr>
        <w:jc w:val="both"/>
        <w:rPr>
          <w:rFonts w:eastAsiaTheme="minorEastAsia"/>
          <w:sz w:val="28"/>
          <w:szCs w:val="28"/>
        </w:rPr>
      </w:pPr>
      <w:r>
        <w:rPr>
          <w:sz w:val="28"/>
          <w:szCs w:val="28"/>
        </w:rPr>
        <w:t>Data-based researches have implied that the use of VLE, such as Moodle improves learning and teaching, which in turn leads to enhanced fulfilment, acquiring of knowledge as well as an accomplishment of a vast and more differing student body (Barker and Gossman, 2013 p.31).  The latter school of thought indicates a positive impact on students learning experience. Barker and Gossman (2013), further support this view by indicating that VLE gives students the chance to determine the location, time and rate at which they learn, which in turn enables students to take control of their learning, be more independent and increase their drive to learn.</w:t>
      </w:r>
    </w:p>
    <w:p>
      <w:pPr>
        <w:jc w:val="both"/>
        <w:rPr>
          <w:sz w:val="28"/>
          <w:szCs w:val="28"/>
        </w:rPr>
      </w:pPr>
      <w:r>
        <w:rPr>
          <w:sz w:val="28"/>
          <w:szCs w:val="28"/>
        </w:rPr>
        <w:t>According to Bettinger et al. (2017 p 2867) findings in their research Virtual Classroom: How online college courses affect student’s success, engaging in VLE or online modules rather than the traditional classroom setting reduces student’s success and progress in college.  From their study they noted that students that engaged in online modules had lower average grades C (2.4), while students that attended face-to-face classroom lectures had average grades of B (2.8). They also found out that students engaging in online modules had a reduced overall GPA.  Furthermore, they specified that grades were not a prefect standard measurement to students actual learning.  But it was also presumed that what a student learnt in one class affects their performance in a future class.  It could be inferred from Bettinger et al. (2017) findings that online learning had a negative impact on students learning experience. The negative impact could be due to the fact that the resources on the VLE did not take into consideration the student’s needs such as the varied files as well as the subject matter, that is the content.  Thus, any VLE that does not recognise student’s needs is pointless, as it will not impact on student’s learning experience (Demian and Morrice 2012).</w:t>
      </w:r>
    </w:p>
    <w:p>
      <w:pPr>
        <w:jc w:val="both"/>
        <w:rPr>
          <w:sz w:val="28"/>
          <w:szCs w:val="28"/>
        </w:rPr>
      </w:pPr>
    </w:p>
    <w:p>
      <w:pPr>
        <w:jc w:val="both"/>
        <w:rPr>
          <w:sz w:val="28"/>
          <w:szCs w:val="28"/>
        </w:rPr>
      </w:pPr>
      <w:r>
        <w:rPr>
          <w:sz w:val="28"/>
          <w:szCs w:val="28"/>
        </w:rPr>
        <w:t xml:space="preserve">3.0.  AIM </w:t>
      </w:r>
    </w:p>
    <w:p>
      <w:pPr>
        <w:jc w:val="both"/>
        <w:rPr>
          <w:sz w:val="28"/>
          <w:szCs w:val="28"/>
        </w:rPr>
      </w:pPr>
      <w:r>
        <w:rPr>
          <w:sz w:val="28"/>
          <w:szCs w:val="28"/>
        </w:rPr>
        <w:t>The aim of this report is to investigate how Virtual Learning Environments or online learning – Moodle, influences student’s learning experience?  That is identify the impact that online learning has on students learning experience.</w:t>
      </w:r>
    </w:p>
    <w:p>
      <w:pPr>
        <w:jc w:val="both"/>
        <w:rPr>
          <w:sz w:val="28"/>
          <w:szCs w:val="28"/>
        </w:rPr>
      </w:pPr>
      <w:r>
        <w:rPr>
          <w:sz w:val="28"/>
          <w:szCs w:val="28"/>
        </w:rPr>
        <w:t>3.1. OBJECTIVES</w:t>
      </w:r>
    </w:p>
    <w:p>
      <w:pPr>
        <w:pStyle w:val="10"/>
        <w:numPr>
          <w:ilvl w:val="1"/>
          <w:numId w:val="1"/>
        </w:numPr>
        <w:jc w:val="both"/>
        <w:rPr>
          <w:rFonts w:eastAsiaTheme="minorEastAsia"/>
          <w:sz w:val="28"/>
          <w:szCs w:val="28"/>
        </w:rPr>
      </w:pPr>
      <w:r>
        <w:rPr>
          <w:sz w:val="28"/>
          <w:szCs w:val="28"/>
        </w:rPr>
        <w:t>To gather and analyse quantitative data on how and why students access Moodle.</w:t>
      </w:r>
    </w:p>
    <w:p>
      <w:pPr>
        <w:pStyle w:val="10"/>
        <w:numPr>
          <w:ilvl w:val="1"/>
          <w:numId w:val="1"/>
        </w:numPr>
        <w:jc w:val="both"/>
        <w:rPr>
          <w:sz w:val="28"/>
          <w:szCs w:val="28"/>
        </w:rPr>
      </w:pPr>
      <w:r>
        <w:rPr>
          <w:sz w:val="28"/>
          <w:szCs w:val="28"/>
        </w:rPr>
        <w:t>Determine whether students were able to access the required resources, that met their immediate academic needs</w:t>
      </w:r>
    </w:p>
    <w:p>
      <w:pPr>
        <w:pStyle w:val="10"/>
        <w:numPr>
          <w:ilvl w:val="1"/>
          <w:numId w:val="1"/>
        </w:numPr>
        <w:jc w:val="both"/>
        <w:rPr>
          <w:sz w:val="28"/>
          <w:szCs w:val="28"/>
        </w:rPr>
      </w:pPr>
      <w:r>
        <w:rPr>
          <w:sz w:val="28"/>
          <w:szCs w:val="28"/>
        </w:rPr>
        <w:t>Determine whether students are motivated to access Moodle, that is the difficulty level to access.</w:t>
      </w:r>
    </w:p>
    <w:p>
      <w:pPr>
        <w:pStyle w:val="10"/>
        <w:numPr>
          <w:ilvl w:val="1"/>
          <w:numId w:val="1"/>
        </w:numPr>
        <w:jc w:val="both"/>
        <w:rPr>
          <w:sz w:val="28"/>
          <w:szCs w:val="28"/>
        </w:rPr>
      </w:pPr>
      <w:r>
        <w:rPr>
          <w:sz w:val="28"/>
          <w:szCs w:val="28"/>
        </w:rPr>
        <w:t>Evaluate the effect of accessing Moodle on students learning experience.</w:t>
      </w:r>
    </w:p>
    <w:p>
      <w:pPr>
        <w:pStyle w:val="10"/>
        <w:numPr>
          <w:ilvl w:val="1"/>
          <w:numId w:val="1"/>
        </w:numPr>
        <w:jc w:val="both"/>
        <w:rPr>
          <w:sz w:val="28"/>
          <w:szCs w:val="28"/>
        </w:rPr>
      </w:pPr>
      <w:r>
        <w:rPr>
          <w:sz w:val="28"/>
          <w:szCs w:val="28"/>
        </w:rPr>
        <w:t>Provide suggestions for improvement to the institution’s Moodle that will satisfy student’s needs.</w:t>
      </w:r>
    </w:p>
    <w:p>
      <w:pPr>
        <w:rPr>
          <w:sz w:val="28"/>
          <w:szCs w:val="28"/>
        </w:rPr>
      </w:pPr>
      <w:r>
        <w:rPr>
          <w:sz w:val="28"/>
          <w:szCs w:val="28"/>
        </w:rPr>
        <w:br w:type="page"/>
      </w:r>
    </w:p>
    <w:p>
      <w:pPr>
        <w:rPr>
          <w:sz w:val="28"/>
          <w:szCs w:val="28"/>
        </w:rPr>
      </w:pPr>
    </w:p>
    <w:p>
      <w:pPr>
        <w:rPr>
          <w:sz w:val="28"/>
          <w:szCs w:val="28"/>
        </w:rPr>
      </w:pPr>
      <w:r>
        <w:rPr>
          <w:sz w:val="28"/>
          <w:szCs w:val="28"/>
        </w:rPr>
        <w:t xml:space="preserve"> 4.0. METHOD</w:t>
      </w:r>
    </w:p>
    <w:p>
      <w:pPr>
        <w:jc w:val="both"/>
        <w:rPr>
          <w:sz w:val="28"/>
          <w:szCs w:val="28"/>
        </w:rPr>
      </w:pPr>
      <w:r>
        <w:rPr>
          <w:sz w:val="28"/>
          <w:szCs w:val="28"/>
        </w:rPr>
        <w:t xml:space="preserve">This report used the quantitative method of research to investigate impact of VLE – Moodle on students learning experiences drawing a sample from the University of Wales Trinity Saint David.  Quantitative Research method is highlighting unbiased measurements and mathematical examination of raw data collected via polls, questionnaires and surveys or using past raw numerical data, which is analysed by a computer (Babbie, 2010), (Muijs, 2010).  Both Primary and Secondary data was used to carry out the report.   </w:t>
      </w:r>
    </w:p>
    <w:p>
      <w:pPr>
        <w:jc w:val="both"/>
        <w:rPr>
          <w:sz w:val="28"/>
          <w:szCs w:val="28"/>
        </w:rPr>
      </w:pPr>
      <w:r>
        <w:rPr>
          <w:sz w:val="28"/>
          <w:szCs w:val="28"/>
        </w:rPr>
        <w:t>A questionnaire of 10 close ended questions of multiple-choice format was drawn up and registered on the Survey Monkey online.  It was administered to 30 participants who are students of Certificate of Higher Education, Skills for the Workplace (Health and Social Care) Group 3. Eight of the questions had 20 respondents to analysis, one of the questions had 23 respondents, while one question had 27 responses. There was a limitation to the collection and selection of the data due to the COVID-19 lockdown which started in the last week of March 2020 and was still in operation as at the time of submission of this paper.</w:t>
      </w:r>
    </w:p>
    <w:p>
      <w:pPr>
        <w:jc w:val="both"/>
        <w:rPr>
          <w:sz w:val="28"/>
          <w:szCs w:val="28"/>
        </w:rPr>
      </w:pPr>
    </w:p>
    <w:p>
      <w:pPr>
        <w:rPr>
          <w:sz w:val="28"/>
          <w:szCs w:val="28"/>
        </w:rPr>
      </w:pPr>
      <w:r>
        <w:rPr>
          <w:sz w:val="28"/>
          <w:szCs w:val="28"/>
        </w:rPr>
        <w:br w:type="page"/>
      </w:r>
    </w:p>
    <w:p>
      <w:pPr>
        <w:jc w:val="both"/>
        <w:rPr>
          <w:sz w:val="28"/>
          <w:szCs w:val="28"/>
        </w:rPr>
      </w:pPr>
      <w:r>
        <w:rPr>
          <w:sz w:val="28"/>
          <w:szCs w:val="28"/>
        </w:rPr>
        <w:t>5.0. RESULTS</w:t>
      </w:r>
    </w:p>
    <w:p>
      <w:pPr>
        <w:jc w:val="both"/>
        <w:rPr>
          <w:sz w:val="28"/>
          <w:szCs w:val="28"/>
        </w:rPr>
      </w:pPr>
      <w:r>
        <w:rPr>
          <w:sz w:val="28"/>
          <w:szCs w:val="28"/>
        </w:rPr>
        <w:t>5.1 what is you age range?</w:t>
      </w:r>
    </w:p>
    <w:p>
      <w:pPr>
        <w:jc w:val="both"/>
      </w:pPr>
      <w:r>
        <w:drawing>
          <wp:inline distT="0" distB="0" distL="114300" distR="114300">
            <wp:extent cx="5248275" cy="2023745"/>
            <wp:effectExtent l="0" t="0" r="0" b="0"/>
            <wp:docPr id="1533226545" name="Picture 1533226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26545" name="Picture 1533226545"/>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248275" cy="2024029"/>
                    </a:xfrm>
                    <a:prstGeom prst="rect">
                      <a:avLst/>
                    </a:prstGeom>
                  </pic:spPr>
                </pic:pic>
              </a:graphicData>
            </a:graphic>
          </wp:inline>
        </w:drawing>
      </w:r>
    </w:p>
    <w:p>
      <w:pPr>
        <w:jc w:val="both"/>
        <w:rPr>
          <w:sz w:val="28"/>
          <w:szCs w:val="28"/>
        </w:rPr>
      </w:pPr>
      <w:r>
        <w:rPr>
          <w:sz w:val="28"/>
          <w:szCs w:val="28"/>
        </w:rPr>
        <w:t>The above chart is to determine the age range of the sample of the chosen.</w:t>
      </w:r>
    </w:p>
    <w:p>
      <w:pPr>
        <w:jc w:val="both"/>
        <w:rPr>
          <w:sz w:val="28"/>
          <w:szCs w:val="28"/>
        </w:rPr>
      </w:pPr>
    </w:p>
    <w:p>
      <w:pPr>
        <w:jc w:val="both"/>
        <w:rPr>
          <w:sz w:val="28"/>
          <w:szCs w:val="28"/>
        </w:rPr>
      </w:pPr>
      <w:r>
        <w:rPr>
          <w:sz w:val="28"/>
          <w:szCs w:val="28"/>
        </w:rPr>
        <w:t xml:space="preserve">  5.2 What is your gender?</w:t>
      </w:r>
    </w:p>
    <w:p>
      <w:pPr>
        <w:jc w:val="center"/>
      </w:pPr>
      <w:r>
        <w:drawing>
          <wp:inline distT="0" distB="0" distL="114300" distR="114300">
            <wp:extent cx="4713605" cy="2035175"/>
            <wp:effectExtent l="0" t="0" r="0" b="0"/>
            <wp:docPr id="2082697163" name="Picture 2082697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697163" name="Picture 2082697163"/>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713739" cy="2035736"/>
                    </a:xfrm>
                    <a:prstGeom prst="rect">
                      <a:avLst/>
                    </a:prstGeom>
                  </pic:spPr>
                </pic:pic>
              </a:graphicData>
            </a:graphic>
          </wp:inline>
        </w:drawing>
      </w:r>
    </w:p>
    <w:p>
      <w:pPr>
        <w:rPr>
          <w:sz w:val="28"/>
        </w:rPr>
      </w:pPr>
      <w:r>
        <w:t xml:space="preserve">               </w:t>
      </w:r>
      <w:r>
        <w:rPr>
          <w:sz w:val="28"/>
        </w:rPr>
        <w:t>The above chart reflects the gender proportion of the sample used.</w:t>
      </w:r>
    </w:p>
    <w:p>
      <w:pPr>
        <w:rPr>
          <w:sz w:val="28"/>
        </w:rPr>
      </w:pPr>
    </w:p>
    <w:p>
      <w:pPr>
        <w:rPr>
          <w:sz w:val="28"/>
        </w:rPr>
      </w:pPr>
    </w:p>
    <w:p>
      <w:pPr>
        <w:rPr>
          <w:sz w:val="28"/>
        </w:rPr>
      </w:pPr>
    </w:p>
    <w:p>
      <w:pPr>
        <w:rPr>
          <w:sz w:val="28"/>
        </w:rPr>
      </w:pPr>
    </w:p>
    <w:p>
      <w:pPr>
        <w:rPr>
          <w:sz w:val="28"/>
        </w:rPr>
      </w:pPr>
    </w:p>
    <w:p>
      <w:pPr>
        <w:rPr>
          <w:sz w:val="28"/>
        </w:rPr>
      </w:pPr>
    </w:p>
    <w:p>
      <w:pPr>
        <w:rPr>
          <w:sz w:val="28"/>
        </w:rPr>
      </w:pPr>
    </w:p>
    <w:p>
      <w:r>
        <w:rPr>
          <w:sz w:val="28"/>
        </w:rPr>
        <w:t>5.3 Do you access Moodle</w:t>
      </w:r>
    </w:p>
    <w:p>
      <w:pPr>
        <w:jc w:val="center"/>
        <w:rPr>
          <w:sz w:val="28"/>
          <w:szCs w:val="28"/>
        </w:rPr>
      </w:pPr>
      <w:r>
        <w:drawing>
          <wp:inline distT="0" distB="0" distL="0" distR="0">
            <wp:extent cx="4572000" cy="17145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rPr>
          <w:sz w:val="28"/>
          <w:szCs w:val="28"/>
        </w:rPr>
      </w:pPr>
      <w:r>
        <w:rPr>
          <w:sz w:val="28"/>
          <w:szCs w:val="28"/>
        </w:rPr>
        <w:t xml:space="preserve">   The above chart indicates the proportion of the sample the accesses Moodle.</w:t>
      </w:r>
    </w:p>
    <w:p>
      <w:pPr>
        <w:rPr>
          <w:sz w:val="28"/>
          <w:szCs w:val="28"/>
        </w:rPr>
      </w:pPr>
    </w:p>
    <w:p>
      <w:pPr>
        <w:rPr>
          <w:sz w:val="28"/>
          <w:szCs w:val="28"/>
        </w:rPr>
      </w:pPr>
      <w:r>
        <w:rPr>
          <w:sz w:val="28"/>
          <w:szCs w:val="28"/>
        </w:rPr>
        <w:t xml:space="preserve">5.4.  How often do you access Moodle?  </w:t>
      </w:r>
    </w:p>
    <w:p>
      <w:pPr>
        <w:jc w:val="center"/>
        <w:rPr>
          <w:sz w:val="28"/>
          <w:szCs w:val="28"/>
        </w:rPr>
      </w:pPr>
      <w:r>
        <w:drawing>
          <wp:inline distT="0" distB="0" distL="0" distR="0">
            <wp:extent cx="5267325" cy="1928495"/>
            <wp:effectExtent l="0" t="0" r="9525" b="146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rPr>
          <w:sz w:val="28"/>
          <w:szCs w:val="28"/>
        </w:rPr>
      </w:pPr>
      <w:r>
        <w:rPr>
          <w:sz w:val="28"/>
          <w:szCs w:val="28"/>
        </w:rPr>
        <w:t>The above chart shows the frequency rate of accessibility of the sample.</w:t>
      </w:r>
    </w:p>
    <w:p>
      <w:pPr>
        <w:rPr>
          <w:sz w:val="28"/>
          <w:szCs w:val="28"/>
        </w:rPr>
      </w:pPr>
    </w:p>
    <w:p>
      <w:pPr>
        <w:rPr>
          <w:sz w:val="28"/>
          <w:szCs w:val="28"/>
        </w:rPr>
      </w:pPr>
      <w:r>
        <w:rPr>
          <w:sz w:val="28"/>
          <w:szCs w:val="28"/>
        </w:rPr>
        <w:t>5.5 Why do you access Moodle?</w:t>
      </w:r>
    </w:p>
    <w:p>
      <w:pPr>
        <w:jc w:val="center"/>
        <w:rPr>
          <w:sz w:val="28"/>
          <w:szCs w:val="28"/>
        </w:rPr>
      </w:pPr>
      <w:r>
        <w:drawing>
          <wp:inline distT="0" distB="0" distL="0" distR="0">
            <wp:extent cx="5476875" cy="22479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rPr>
          <w:sz w:val="28"/>
          <w:szCs w:val="28"/>
        </w:rPr>
      </w:pPr>
      <w:r>
        <w:rPr>
          <w:sz w:val="28"/>
          <w:szCs w:val="28"/>
        </w:rPr>
        <w:t>The above chart reflects why the respondents refer to Moodle</w:t>
      </w:r>
    </w:p>
    <w:p>
      <w:pPr>
        <w:rPr>
          <w:sz w:val="28"/>
          <w:szCs w:val="28"/>
        </w:rPr>
      </w:pPr>
      <w:r>
        <w:rPr>
          <w:sz w:val="28"/>
          <w:szCs w:val="28"/>
        </w:rPr>
        <w:t>5.6.  Does Moodle give you the expected information?</w:t>
      </w:r>
    </w:p>
    <w:p>
      <w:pPr>
        <w:jc w:val="center"/>
        <w:rPr>
          <w:sz w:val="28"/>
          <w:szCs w:val="28"/>
        </w:rPr>
      </w:pPr>
      <w:r>
        <w:drawing>
          <wp:inline distT="0" distB="0" distL="0" distR="0">
            <wp:extent cx="4557395" cy="1442720"/>
            <wp:effectExtent l="0" t="0" r="14605" b="50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rPr>
          <w:sz w:val="28"/>
          <w:szCs w:val="28"/>
        </w:rPr>
      </w:pPr>
      <w:r>
        <w:rPr>
          <w:sz w:val="28"/>
          <w:szCs w:val="28"/>
        </w:rPr>
        <w:t>The above chart determines whether students are able to access the required information.</w:t>
      </w:r>
    </w:p>
    <w:p>
      <w:pPr>
        <w:rPr>
          <w:sz w:val="28"/>
          <w:szCs w:val="28"/>
        </w:rPr>
      </w:pPr>
    </w:p>
    <w:p>
      <w:pPr>
        <w:rPr>
          <w:sz w:val="28"/>
          <w:szCs w:val="28"/>
        </w:rPr>
      </w:pPr>
      <w:r>
        <w:rPr>
          <w:sz w:val="28"/>
          <w:szCs w:val="28"/>
        </w:rPr>
        <w:t xml:space="preserve">5.7.  Has Moodle aided your learning Experience? </w:t>
      </w:r>
    </w:p>
    <w:p>
      <w:pPr>
        <w:jc w:val="center"/>
        <w:rPr>
          <w:sz w:val="28"/>
          <w:szCs w:val="28"/>
        </w:rPr>
      </w:pPr>
      <w:r>
        <w:drawing>
          <wp:inline distT="0" distB="0" distL="0" distR="0">
            <wp:extent cx="5381625" cy="187642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rPr>
          <w:sz w:val="28"/>
          <w:szCs w:val="28"/>
        </w:rPr>
      </w:pPr>
      <w:r>
        <w:rPr>
          <w:sz w:val="28"/>
          <w:szCs w:val="28"/>
        </w:rPr>
        <w:t xml:space="preserve">        The above chart is to determine whether any learning takes place.</w:t>
      </w:r>
    </w:p>
    <w:p>
      <w:pPr>
        <w:rPr>
          <w:sz w:val="28"/>
          <w:szCs w:val="28"/>
        </w:rPr>
      </w:pPr>
    </w:p>
    <w:p>
      <w:pPr>
        <w:rPr>
          <w:sz w:val="28"/>
          <w:szCs w:val="28"/>
        </w:rPr>
      </w:pPr>
      <w:r>
        <w:rPr>
          <w:sz w:val="28"/>
          <w:szCs w:val="28"/>
        </w:rPr>
        <w:t xml:space="preserve">5.8.  What information do you expect from Moodle? </w:t>
      </w:r>
    </w:p>
    <w:p>
      <w:pPr>
        <w:jc w:val="center"/>
        <w:rPr>
          <w:sz w:val="28"/>
          <w:szCs w:val="28"/>
        </w:rPr>
      </w:pPr>
      <w:r>
        <w:drawing>
          <wp:inline distT="0" distB="0" distL="0" distR="0">
            <wp:extent cx="4572000" cy="20193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rPr>
          <w:sz w:val="28"/>
          <w:szCs w:val="28"/>
        </w:rPr>
      </w:pPr>
      <w:r>
        <w:rPr>
          <w:sz w:val="28"/>
          <w:szCs w:val="28"/>
        </w:rPr>
        <w:t>The above chart is to determine whether the sample was able to access the required information.</w:t>
      </w:r>
    </w:p>
    <w:p>
      <w:pPr>
        <w:rPr>
          <w:sz w:val="28"/>
          <w:szCs w:val="28"/>
        </w:rPr>
      </w:pPr>
      <w:r>
        <w:rPr>
          <w:sz w:val="28"/>
          <w:szCs w:val="28"/>
        </w:rPr>
        <w:t>5.9.  Has Moodle been helpful academically?</w:t>
      </w:r>
    </w:p>
    <w:p>
      <w:pPr>
        <w:jc w:val="center"/>
        <w:rPr>
          <w:sz w:val="28"/>
          <w:szCs w:val="28"/>
        </w:rPr>
      </w:pPr>
      <w:r>
        <w:drawing>
          <wp:inline distT="0" distB="0" distL="0" distR="0">
            <wp:extent cx="4191000" cy="199072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rPr>
          <w:sz w:val="28"/>
          <w:szCs w:val="28"/>
        </w:rPr>
      </w:pPr>
      <w:r>
        <w:rPr>
          <w:sz w:val="28"/>
          <w:szCs w:val="28"/>
        </w:rPr>
        <w:t>The above chart shows whether accessing Moodle has aided any portion of the sample in their academics.</w:t>
      </w:r>
    </w:p>
    <w:p>
      <w:pPr>
        <w:rPr>
          <w:sz w:val="28"/>
          <w:szCs w:val="28"/>
        </w:rPr>
      </w:pPr>
    </w:p>
    <w:p>
      <w:pPr>
        <w:jc w:val="both"/>
        <w:rPr>
          <w:sz w:val="28"/>
          <w:szCs w:val="28"/>
        </w:rPr>
      </w:pPr>
      <w:r>
        <w:rPr>
          <w:sz w:val="28"/>
          <w:szCs w:val="28"/>
        </w:rPr>
        <w:t>5.10. Has Moodle added any value to your learning experience?</w:t>
      </w:r>
    </w:p>
    <w:p>
      <w:pPr>
        <w:jc w:val="both"/>
      </w:pPr>
      <w:r>
        <w:drawing>
          <wp:inline distT="0" distB="0" distL="114300" distR="114300">
            <wp:extent cx="5743575" cy="2095500"/>
            <wp:effectExtent l="0" t="0" r="0" b="0"/>
            <wp:docPr id="1452975376" name="Picture 1452975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75376" name="Picture 1452975376"/>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43575" cy="2095500"/>
                    </a:xfrm>
                    <a:prstGeom prst="rect">
                      <a:avLst/>
                    </a:prstGeom>
                  </pic:spPr>
                </pic:pic>
              </a:graphicData>
            </a:graphic>
          </wp:inline>
        </w:drawing>
      </w:r>
    </w:p>
    <w:p>
      <w:pPr>
        <w:jc w:val="both"/>
        <w:rPr>
          <w:sz w:val="28"/>
          <w:szCs w:val="28"/>
        </w:rPr>
      </w:pPr>
      <w:r>
        <w:rPr>
          <w:sz w:val="28"/>
          <w:szCs w:val="28"/>
        </w:rPr>
        <w:t>The above chart shows whether accessing Moodle improves the learning experience of any portion of the sample.</w:t>
      </w:r>
    </w:p>
    <w:p>
      <w:pPr>
        <w:jc w:val="both"/>
      </w:pPr>
    </w:p>
    <w:p>
      <w:r>
        <w:br w:type="page"/>
      </w:r>
    </w:p>
    <w:p>
      <w:pPr>
        <w:jc w:val="both"/>
        <w:rPr>
          <w:sz w:val="28"/>
          <w:szCs w:val="28"/>
        </w:rPr>
      </w:pPr>
      <w:r>
        <w:rPr>
          <w:sz w:val="28"/>
          <w:szCs w:val="28"/>
        </w:rPr>
        <w:t>6.0.  DISCUSSION</w:t>
      </w:r>
    </w:p>
    <w:p>
      <w:pPr>
        <w:jc w:val="both"/>
        <w:rPr>
          <w:sz w:val="28"/>
          <w:szCs w:val="28"/>
        </w:rPr>
      </w:pPr>
      <w:r>
        <w:rPr>
          <w:sz w:val="28"/>
          <w:szCs w:val="28"/>
        </w:rPr>
        <w:t>This report is to determine the impact of Virtual Learning Environments - Moodle on student’s learning experience.</w:t>
      </w:r>
    </w:p>
    <w:p>
      <w:pPr>
        <w:jc w:val="both"/>
        <w:rPr>
          <w:sz w:val="28"/>
          <w:szCs w:val="28"/>
        </w:rPr>
      </w:pPr>
      <w:r>
        <w:rPr>
          <w:sz w:val="28"/>
          <w:szCs w:val="28"/>
        </w:rPr>
        <w:t>Most of the samples of the population 90% were female while only 10% were male.  100% of the sample of the populace accessed Moodle, it is assumed that the frequency at which respondents accessed the Moodle will determine the effect that the VLE – Moodle had on respondents.  It was observed that 40% of the respondents accessed Moodle daily, 20% accessed it only during lectures, while 35% accessed it weekly, and only one (5%) respondent accessed it monthly.  Given a total of 95% of the sample having a high frequency accessing Moodle. It could be inferred that the high frequency to access the Moodle indicated a reasonable level of satisfaction with the content of the Moodle, thus indicating a positive impact on student’s learning.</w:t>
      </w:r>
    </w:p>
    <w:p>
      <w:pPr>
        <w:jc w:val="both"/>
        <w:rPr>
          <w:sz w:val="28"/>
          <w:szCs w:val="28"/>
        </w:rPr>
      </w:pPr>
      <w:r>
        <w:rPr>
          <w:sz w:val="28"/>
          <w:szCs w:val="28"/>
        </w:rPr>
        <w:t>Respondents had specific reasons why they access Moodle, 45% was for guidance, 30% was to solve academic problems, 30% was also for additional resources, while the remaining 10% was for all the reasons specified. It can be inferred from these results that the content of the Moodle is catering for the student's needs, thus students must have experienced some change in their level of knowledge which we can assume that the contents on the Moodle establishes a positive impact on the students learning.  As Demian and Morrice (2012) specified that where a VLE does not cater for the needs of the student’s in terms of the resources and content, is considered worthless.  Furthermore, 85% of the respondents indicated that Moodle provided the required information to improve their overall knowledge and educational challenges.  While 15% of the sample of the populace indicated that the Moodle does not provide the expected information required.  The latter result buttresses what Demian and Morrice (2012) reported that, what students encountered in the classroom is determined by how competently course material are delivered to suit individual learning techniques.  The same idea applies to VLE – Moodle platform which requires a diversity of resources to sufficiently provide for all learning techniques.</w:t>
      </w:r>
    </w:p>
    <w:p>
      <w:pPr>
        <w:jc w:val="both"/>
        <w:rPr>
          <w:sz w:val="28"/>
          <w:szCs w:val="28"/>
        </w:rPr>
      </w:pPr>
      <w:r>
        <w:rPr>
          <w:sz w:val="28"/>
          <w:szCs w:val="28"/>
        </w:rPr>
        <w:t>From the results of the survey respondents indicated the type of support they required.  Academic Guidance had the highest frequency of 15 respondents being 75% of the sample, Library Resources had a frequency of 5 which is 25%, Digital Guidance as well as all of the support presented in the question had frequency of 2 which is 10% of the sample.</w:t>
      </w:r>
    </w:p>
    <w:p>
      <w:pPr>
        <w:jc w:val="both"/>
        <w:rPr>
          <w:sz w:val="28"/>
          <w:szCs w:val="28"/>
        </w:rPr>
      </w:pPr>
      <w:r>
        <w:rPr>
          <w:sz w:val="28"/>
          <w:szCs w:val="28"/>
        </w:rPr>
        <w:t>100% of the respondents inferred that accessing the Moodle platform, being a VLE is useful towards improving academic excellence.  While 90% of the participants revealed that the use of Moodle has added value to their learning experience, 5% responded in the affirmative and one(1) respondent did not respond at all.  Consequently, it can be deduced from the result of 90% of the sample indicated that Moodle enhanced their learning experience, this indicates that Moodle has had a high and positive impact on students learning experience.</w:t>
      </w:r>
    </w:p>
    <w:p>
      <w:pPr>
        <w:jc w:val="both"/>
        <w:rPr>
          <w:sz w:val="28"/>
          <w:szCs w:val="28"/>
        </w:rPr>
      </w:pPr>
      <w:r>
        <w:rPr>
          <w:sz w:val="28"/>
          <w:szCs w:val="28"/>
        </w:rPr>
        <w:t>This study has limitations due to the time available, the small sample size, the sample selection was also limited to a particular group of students, although the statistical analysis was geared towards students having a positive impact, the report did not allow for in-depth findings.</w:t>
      </w:r>
    </w:p>
    <w:p>
      <w:pPr>
        <w:jc w:val="both"/>
        <w:rPr>
          <w:sz w:val="28"/>
          <w:szCs w:val="28"/>
        </w:rPr>
      </w:pPr>
      <w:r>
        <w:rPr>
          <w:sz w:val="28"/>
          <w:szCs w:val="28"/>
        </w:rPr>
        <w:t>Further work can be  explored by using both teacher</w:t>
      </w:r>
      <w:r>
        <w:rPr>
          <w:rFonts w:hint="default"/>
          <w:sz w:val="28"/>
          <w:szCs w:val="28"/>
        </w:rPr>
        <w:t>’s experience as well as students, to reveal how VLE - Moodle use might be more effective in motivating, engaging and increasing positive impact on learning.</w:t>
      </w:r>
      <w:bookmarkStart w:id="1" w:name="_GoBack"/>
      <w:bookmarkEnd w:id="1"/>
    </w:p>
    <w:p>
      <w:pPr>
        <w:rPr>
          <w:sz w:val="28"/>
          <w:szCs w:val="28"/>
        </w:rPr>
      </w:pPr>
      <w:r>
        <w:rPr>
          <w:sz w:val="28"/>
          <w:szCs w:val="28"/>
        </w:rPr>
        <w:br w:type="page"/>
      </w:r>
    </w:p>
    <w:p>
      <w:pPr>
        <w:jc w:val="both"/>
        <w:rPr>
          <w:sz w:val="28"/>
          <w:szCs w:val="28"/>
        </w:rPr>
      </w:pPr>
      <w:r>
        <w:rPr>
          <w:sz w:val="28"/>
          <w:szCs w:val="28"/>
        </w:rPr>
        <w:t>7.0. CONCLUSION</w:t>
      </w:r>
    </w:p>
    <w:p>
      <w:pPr>
        <w:jc w:val="both"/>
        <w:rPr>
          <w:sz w:val="28"/>
          <w:szCs w:val="28"/>
        </w:rPr>
      </w:pPr>
      <w:r>
        <w:rPr>
          <w:sz w:val="28"/>
          <w:szCs w:val="28"/>
        </w:rPr>
        <w:t>Virtual Learning Environments with a focus on Moodle have become the order of the day in schools and higher institutions, especially with the advent of COVID-19, has generally impacted positively on academic instruction as well as on student’s learning experiences.  Moodle as a VLE rarely has a negative effect on students learning experiences given that the contents meet the required needs of the student body.  It rather prompts a positive impact that enhances students independent learning as well as satisfactory learning experiences.</w:t>
      </w: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rPr>
          <w:sz w:val="28"/>
          <w:szCs w:val="28"/>
        </w:rPr>
      </w:pPr>
      <w:r>
        <w:rPr>
          <w:sz w:val="28"/>
          <w:szCs w:val="28"/>
        </w:rPr>
        <w:br w:type="page"/>
      </w:r>
    </w:p>
    <w:p>
      <w:pPr>
        <w:jc w:val="both"/>
        <w:rPr>
          <w:sz w:val="28"/>
          <w:szCs w:val="28"/>
        </w:rPr>
      </w:pPr>
      <w:r>
        <w:rPr>
          <w:sz w:val="28"/>
          <w:szCs w:val="28"/>
        </w:rPr>
        <w:t>REFERENCES</w:t>
      </w:r>
    </w:p>
    <w:p>
      <w:pPr>
        <w:pStyle w:val="10"/>
        <w:numPr>
          <w:ilvl w:val="0"/>
          <w:numId w:val="2"/>
        </w:numPr>
        <w:jc w:val="both"/>
        <w:rPr>
          <w:rFonts w:eastAsiaTheme="minorEastAsia"/>
          <w:sz w:val="28"/>
          <w:szCs w:val="28"/>
        </w:rPr>
      </w:pPr>
      <w:r>
        <w:rPr>
          <w:sz w:val="28"/>
          <w:szCs w:val="28"/>
        </w:rPr>
        <w:t xml:space="preserve">Babbie, Earl R; (2010). </w:t>
      </w:r>
      <w:r>
        <w:rPr>
          <w:i/>
          <w:iCs/>
          <w:sz w:val="28"/>
          <w:szCs w:val="28"/>
        </w:rPr>
        <w:t>The Practice of Social Research, 2</w:t>
      </w:r>
      <w:r>
        <w:rPr>
          <w:i/>
          <w:iCs/>
          <w:sz w:val="28"/>
          <w:szCs w:val="28"/>
          <w:vertAlign w:val="superscript"/>
        </w:rPr>
        <w:t>nd</w:t>
      </w:r>
      <w:r>
        <w:rPr>
          <w:i/>
          <w:iCs/>
          <w:sz w:val="28"/>
          <w:szCs w:val="28"/>
        </w:rPr>
        <w:t xml:space="preserve"> </w:t>
      </w:r>
      <w:r>
        <w:rPr>
          <w:sz w:val="28"/>
          <w:szCs w:val="28"/>
        </w:rPr>
        <w:t>Edition. Belmont, CA: Wadsworth Cengage.</w:t>
      </w:r>
    </w:p>
    <w:p>
      <w:pPr>
        <w:pStyle w:val="10"/>
        <w:numPr>
          <w:ilvl w:val="0"/>
          <w:numId w:val="2"/>
        </w:numPr>
        <w:jc w:val="both"/>
        <w:rPr>
          <w:sz w:val="28"/>
          <w:szCs w:val="28"/>
        </w:rPr>
      </w:pPr>
      <w:r>
        <w:rPr>
          <w:sz w:val="28"/>
          <w:szCs w:val="28"/>
        </w:rPr>
        <w:t>Barker, Jenny and Gossman Peter (2013) ‘The Learning Impact of a Virtual Learning Environment: Students’ Views.</w:t>
      </w:r>
      <w:r>
        <w:rPr>
          <w:i/>
          <w:iCs/>
          <w:sz w:val="28"/>
          <w:szCs w:val="28"/>
        </w:rPr>
        <w:t xml:space="preserve"> Teacher Education Advancement Network Journal (TEAN), 5(2) pp. 19 –38.</w:t>
      </w:r>
    </w:p>
    <w:p>
      <w:pPr>
        <w:pStyle w:val="10"/>
        <w:numPr>
          <w:ilvl w:val="0"/>
          <w:numId w:val="2"/>
        </w:numPr>
        <w:jc w:val="both"/>
        <w:rPr>
          <w:sz w:val="28"/>
          <w:szCs w:val="28"/>
        </w:rPr>
      </w:pPr>
      <w:r>
        <w:rPr>
          <w:sz w:val="28"/>
          <w:szCs w:val="28"/>
        </w:rPr>
        <w:t>Bettinger, Eric P et al. (2017) ‘Virtual Classrooms: How Online College Courses affect Student Success’.</w:t>
      </w:r>
      <w:r>
        <w:rPr>
          <w:i/>
          <w:iCs/>
          <w:sz w:val="28"/>
          <w:szCs w:val="28"/>
        </w:rPr>
        <w:t xml:space="preserve"> The American Economic.  Vol.107 No.9 pp.2855 - =2815.</w:t>
      </w:r>
    </w:p>
    <w:p>
      <w:pPr>
        <w:pStyle w:val="10"/>
        <w:numPr>
          <w:ilvl w:val="0"/>
          <w:numId w:val="2"/>
        </w:numPr>
        <w:jc w:val="both"/>
        <w:rPr>
          <w:sz w:val="28"/>
          <w:szCs w:val="28"/>
        </w:rPr>
      </w:pPr>
      <w:r>
        <w:rPr>
          <w:sz w:val="28"/>
          <w:szCs w:val="28"/>
        </w:rPr>
        <w:t xml:space="preserve">Demian, Peter and Morrice, James; (2012) ‘The Use of Virtual Learning Environments and their Impact on Academic Performance.’ </w:t>
      </w:r>
      <w:r>
        <w:rPr>
          <w:i/>
          <w:iCs/>
          <w:sz w:val="28"/>
          <w:szCs w:val="28"/>
        </w:rPr>
        <w:t>Engineering Education. 7(1) pp11 – 19</w:t>
      </w:r>
    </w:p>
    <w:p>
      <w:pPr>
        <w:pStyle w:val="10"/>
        <w:numPr>
          <w:ilvl w:val="0"/>
          <w:numId w:val="2"/>
        </w:numPr>
        <w:jc w:val="both"/>
        <w:rPr>
          <w:sz w:val="28"/>
          <w:szCs w:val="28"/>
        </w:rPr>
      </w:pPr>
      <w:r>
        <w:rPr>
          <w:sz w:val="28"/>
          <w:szCs w:val="28"/>
        </w:rPr>
        <w:t xml:space="preserve">Muijs, Daniel (2010) </w:t>
      </w:r>
      <w:r>
        <w:rPr>
          <w:i/>
          <w:iCs/>
          <w:sz w:val="28"/>
          <w:szCs w:val="28"/>
        </w:rPr>
        <w:t xml:space="preserve">Doing Quantitative Research in Education with SPSS. </w:t>
      </w:r>
      <w:r>
        <w:rPr>
          <w:sz w:val="28"/>
          <w:szCs w:val="28"/>
        </w:rPr>
        <w:t>2</w:t>
      </w:r>
      <w:r>
        <w:rPr>
          <w:sz w:val="28"/>
          <w:szCs w:val="28"/>
          <w:vertAlign w:val="superscript"/>
        </w:rPr>
        <w:t>nd</w:t>
      </w:r>
      <w:r>
        <w:rPr>
          <w:sz w:val="28"/>
          <w:szCs w:val="28"/>
        </w:rPr>
        <w:t xml:space="preserve"> Edition. London: SAGE Publications.</w:t>
      </w:r>
      <w:r>
        <w:rPr>
          <w:i/>
          <w:iCs/>
          <w:sz w:val="28"/>
          <w:szCs w:val="28"/>
        </w:rPr>
        <w:t xml:space="preserve"> </w:t>
      </w:r>
    </w:p>
    <w:p>
      <w:pPr>
        <w:pStyle w:val="10"/>
        <w:numPr>
          <w:ilvl w:val="0"/>
          <w:numId w:val="2"/>
        </w:numPr>
        <w:jc w:val="both"/>
        <w:rPr>
          <w:sz w:val="28"/>
          <w:szCs w:val="28"/>
        </w:rPr>
      </w:pPr>
      <w:r>
        <w:rPr>
          <w:sz w:val="28"/>
          <w:szCs w:val="28"/>
        </w:rPr>
        <w:t>Moodle, (2020) Moodle.  Available: http://moodle.org</w:t>
      </w:r>
    </w:p>
    <w:p>
      <w:pPr>
        <w:jc w:val="both"/>
        <w:rPr>
          <w:sz w:val="28"/>
          <w:szCs w:val="28"/>
        </w:rPr>
      </w:pPr>
    </w:p>
    <w:p>
      <w:pPr>
        <w:jc w:val="both"/>
        <w:rPr>
          <w:sz w:val="28"/>
          <w:szCs w:val="28"/>
        </w:rPr>
      </w:pPr>
    </w:p>
    <w:p>
      <w:pPr>
        <w:ind w:left="5760"/>
        <w:jc w:val="both"/>
        <w:rPr>
          <w:sz w:val="28"/>
          <w:szCs w:val="28"/>
        </w:rPr>
      </w:pPr>
    </w:p>
    <w:p>
      <w:pPr>
        <w:jc w:val="both"/>
        <w:rPr>
          <w:sz w:val="28"/>
          <w:szCs w:val="28"/>
        </w:rPr>
      </w:pPr>
    </w:p>
    <w:p>
      <w:pPr>
        <w:ind w:left="360"/>
        <w:jc w:val="both"/>
        <w:rPr>
          <w:sz w:val="28"/>
          <w:szCs w:val="28"/>
        </w:rPr>
      </w:pPr>
    </w:p>
    <w:p>
      <w:pPr>
        <w:ind w:left="360"/>
        <w:jc w:val="both"/>
        <w:rPr>
          <w:sz w:val="28"/>
          <w:szCs w:val="28"/>
        </w:rPr>
      </w:pPr>
    </w:p>
    <w:p>
      <w:pPr>
        <w:ind w:left="360"/>
        <w:jc w:val="both"/>
        <w:rPr>
          <w:sz w:val="28"/>
          <w:szCs w:val="28"/>
        </w:rPr>
      </w:pPr>
    </w:p>
    <w:p>
      <w:pPr>
        <w:jc w:val="both"/>
        <w:rPr>
          <w:sz w:val="28"/>
          <w:szCs w:val="28"/>
        </w:rPr>
      </w:pPr>
    </w:p>
    <w:p>
      <w:pPr>
        <w:ind w:left="360"/>
        <w:jc w:val="both"/>
        <w:rPr>
          <w:sz w:val="28"/>
          <w:szCs w:val="28"/>
        </w:rPr>
      </w:pPr>
    </w:p>
    <w:p>
      <w:pPr>
        <w:jc w:val="both"/>
        <w:rPr>
          <w:sz w:val="28"/>
          <w:szCs w:val="28"/>
        </w:rPr>
      </w:pPr>
    </w:p>
    <w:p>
      <w:pPr>
        <w:jc w:val="both"/>
        <w:rPr>
          <w:sz w:val="28"/>
          <w:szCs w:val="28"/>
        </w:rPr>
      </w:pPr>
    </w:p>
    <w:p>
      <w:pPr>
        <w:rPr>
          <w:sz w:val="28"/>
          <w:szCs w:val="28"/>
        </w:rPr>
      </w:pPr>
      <w:r>
        <w:rPr>
          <w:sz w:val="28"/>
          <w:szCs w:val="28"/>
        </w:rPr>
        <w:br w:type="page"/>
      </w:r>
    </w:p>
    <w:p>
      <w:pPr>
        <w:jc w:val="center"/>
        <w:rPr>
          <w:sz w:val="28"/>
          <w:szCs w:val="28"/>
        </w:rPr>
      </w:pPr>
      <w:r>
        <w:rPr>
          <w:rFonts w:ascii="Calibri" w:hAnsi="Calibri" w:eastAsia="Calibri" w:cs="Calibri"/>
          <w:sz w:val="28"/>
          <w:szCs w:val="28"/>
        </w:rPr>
        <w:t>APPENDIX</w:t>
      </w:r>
    </w:p>
    <w:p>
      <w:pPr>
        <w:ind w:left="720"/>
        <w:jc w:val="center"/>
        <w:rPr>
          <w:rFonts w:ascii="Calibri" w:hAnsi="Calibri" w:eastAsia="Calibri" w:cs="Calibri"/>
          <w:sz w:val="28"/>
          <w:szCs w:val="28"/>
        </w:rPr>
      </w:pPr>
    </w:p>
    <w:p>
      <w:pPr>
        <w:rPr>
          <w:rFonts w:ascii="Calibri" w:hAnsi="Calibri" w:eastAsia="Calibri" w:cs="Calibri"/>
          <w:b/>
          <w:bCs/>
          <w:sz w:val="28"/>
          <w:szCs w:val="28"/>
        </w:rPr>
      </w:pPr>
      <w:r>
        <w:rPr>
          <w:rFonts w:ascii="Calibri" w:hAnsi="Calibri" w:eastAsia="Calibri" w:cs="Calibri"/>
          <w:b/>
          <w:bCs/>
          <w:sz w:val="28"/>
          <w:szCs w:val="28"/>
        </w:rPr>
        <w:t>SAMPLE OF QUESTIONNAIRE</w:t>
      </w:r>
    </w:p>
    <w:p>
      <w:pPr>
        <w:jc w:val="both"/>
        <w:rPr>
          <w:rFonts w:ascii="Calibri" w:hAnsi="Calibri" w:eastAsia="Calibri" w:cs="Calibri"/>
          <w:sz w:val="28"/>
          <w:szCs w:val="28"/>
        </w:rPr>
      </w:pPr>
      <w:r>
        <w:rPr>
          <w:rFonts w:ascii="Calibri" w:hAnsi="Calibri" w:eastAsia="Calibri" w:cs="Calibri"/>
          <w:sz w:val="28"/>
          <w:szCs w:val="28"/>
        </w:rPr>
        <w:t>Dear Respondent,</w:t>
      </w:r>
    </w:p>
    <w:p>
      <w:pPr>
        <w:jc w:val="both"/>
        <w:rPr>
          <w:rFonts w:ascii="Calibri" w:hAnsi="Calibri" w:eastAsia="Calibri" w:cs="Calibri"/>
          <w:sz w:val="28"/>
          <w:szCs w:val="28"/>
        </w:rPr>
      </w:pPr>
      <w:r>
        <w:rPr>
          <w:rFonts w:ascii="Calibri" w:hAnsi="Calibri" w:eastAsia="Calibri" w:cs="Calibri"/>
          <w:sz w:val="28"/>
          <w:szCs w:val="28"/>
        </w:rPr>
        <w:t>I am conducting a survey on the “Impact of Virtual Learning Environment- Moodle, on Student’s Learning Experience”. Your Response will help me complete the research appropriately. The completion of the questionnaire will only take a few minutes. I ensure you that all data collected shall be kept confidential.</w:t>
      </w:r>
    </w:p>
    <w:p>
      <w:pPr>
        <w:pStyle w:val="10"/>
        <w:numPr>
          <w:ilvl w:val="0"/>
          <w:numId w:val="3"/>
        </w:numPr>
        <w:jc w:val="both"/>
        <w:rPr>
          <w:rFonts w:eastAsiaTheme="minorEastAsia"/>
          <w:sz w:val="28"/>
          <w:szCs w:val="28"/>
        </w:rPr>
      </w:pPr>
      <w:r>
        <w:rPr>
          <w:rFonts w:ascii="Calibri" w:hAnsi="Calibri" w:eastAsia="Calibri" w:cs="Calibri"/>
          <w:sz w:val="28"/>
          <w:szCs w:val="28"/>
        </w:rPr>
        <w:t>What is your Age range?</w:t>
      </w:r>
    </w:p>
    <w:p>
      <w:pPr>
        <w:pStyle w:val="10"/>
        <w:numPr>
          <w:ilvl w:val="1"/>
          <w:numId w:val="4"/>
        </w:numPr>
        <w:jc w:val="both"/>
        <w:rPr>
          <w:rFonts w:eastAsiaTheme="minorEastAsia"/>
          <w:sz w:val="28"/>
          <w:szCs w:val="28"/>
        </w:rPr>
      </w:pPr>
      <w:r>
        <w:rPr>
          <w:rFonts w:ascii="Calibri" w:hAnsi="Calibri" w:eastAsia="Calibri" w:cs="Calibri"/>
          <w:sz w:val="28"/>
          <w:szCs w:val="28"/>
        </w:rPr>
        <w:t>20-25</w:t>
      </w:r>
    </w:p>
    <w:p>
      <w:pPr>
        <w:pStyle w:val="10"/>
        <w:numPr>
          <w:ilvl w:val="1"/>
          <w:numId w:val="4"/>
        </w:numPr>
        <w:jc w:val="both"/>
        <w:rPr>
          <w:rFonts w:eastAsiaTheme="minorEastAsia"/>
          <w:sz w:val="28"/>
          <w:szCs w:val="28"/>
        </w:rPr>
      </w:pPr>
      <w:r>
        <w:rPr>
          <w:rFonts w:ascii="Calibri" w:hAnsi="Calibri" w:eastAsia="Calibri" w:cs="Calibri"/>
          <w:sz w:val="28"/>
          <w:szCs w:val="28"/>
        </w:rPr>
        <w:t>26-30</w:t>
      </w:r>
    </w:p>
    <w:p>
      <w:pPr>
        <w:pStyle w:val="10"/>
        <w:numPr>
          <w:ilvl w:val="1"/>
          <w:numId w:val="4"/>
        </w:numPr>
        <w:jc w:val="both"/>
        <w:rPr>
          <w:rFonts w:eastAsiaTheme="minorEastAsia"/>
          <w:sz w:val="28"/>
          <w:szCs w:val="28"/>
        </w:rPr>
      </w:pPr>
      <w:r>
        <w:rPr>
          <w:rFonts w:ascii="Calibri" w:hAnsi="Calibri" w:eastAsia="Calibri" w:cs="Calibri"/>
          <w:sz w:val="28"/>
          <w:szCs w:val="28"/>
        </w:rPr>
        <w:t>31-35</w:t>
      </w:r>
    </w:p>
    <w:p>
      <w:pPr>
        <w:pStyle w:val="10"/>
        <w:numPr>
          <w:ilvl w:val="1"/>
          <w:numId w:val="4"/>
        </w:numPr>
        <w:jc w:val="both"/>
        <w:rPr>
          <w:rFonts w:eastAsiaTheme="minorEastAsia"/>
          <w:sz w:val="28"/>
          <w:szCs w:val="28"/>
        </w:rPr>
      </w:pPr>
      <w:r>
        <w:rPr>
          <w:rFonts w:ascii="Calibri" w:hAnsi="Calibri" w:eastAsia="Calibri" w:cs="Calibri"/>
          <w:sz w:val="28"/>
          <w:szCs w:val="28"/>
        </w:rPr>
        <w:t>36-40</w:t>
      </w:r>
    </w:p>
    <w:p>
      <w:pPr>
        <w:pStyle w:val="10"/>
        <w:numPr>
          <w:ilvl w:val="1"/>
          <w:numId w:val="4"/>
        </w:numPr>
        <w:jc w:val="both"/>
        <w:rPr>
          <w:rFonts w:eastAsiaTheme="minorEastAsia"/>
          <w:sz w:val="28"/>
          <w:szCs w:val="28"/>
        </w:rPr>
      </w:pPr>
      <w:r>
        <w:rPr>
          <w:rFonts w:ascii="Calibri" w:hAnsi="Calibri" w:eastAsia="Calibri" w:cs="Calibri"/>
          <w:sz w:val="28"/>
          <w:szCs w:val="28"/>
        </w:rPr>
        <w:t>Over 40</w:t>
      </w:r>
    </w:p>
    <w:p>
      <w:pPr>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What is your Gender?</w:t>
      </w:r>
    </w:p>
    <w:p>
      <w:pPr>
        <w:pStyle w:val="10"/>
        <w:numPr>
          <w:ilvl w:val="1"/>
          <w:numId w:val="5"/>
        </w:numPr>
        <w:jc w:val="both"/>
        <w:rPr>
          <w:rFonts w:eastAsiaTheme="minorEastAsia"/>
          <w:sz w:val="28"/>
          <w:szCs w:val="28"/>
        </w:rPr>
      </w:pPr>
      <w:r>
        <w:rPr>
          <w:rFonts w:ascii="Calibri" w:hAnsi="Calibri" w:eastAsia="Calibri" w:cs="Calibri"/>
          <w:sz w:val="28"/>
          <w:szCs w:val="28"/>
        </w:rPr>
        <w:t xml:space="preserve">Male </w:t>
      </w:r>
    </w:p>
    <w:p>
      <w:pPr>
        <w:pStyle w:val="10"/>
        <w:numPr>
          <w:ilvl w:val="1"/>
          <w:numId w:val="5"/>
        </w:numPr>
        <w:jc w:val="both"/>
        <w:rPr>
          <w:rFonts w:eastAsiaTheme="minorEastAsia"/>
          <w:sz w:val="28"/>
          <w:szCs w:val="28"/>
        </w:rPr>
      </w:pPr>
      <w:r>
        <w:rPr>
          <w:rFonts w:ascii="Calibri" w:hAnsi="Calibri" w:eastAsia="Calibri" w:cs="Calibri"/>
          <w:sz w:val="28"/>
          <w:szCs w:val="28"/>
        </w:rPr>
        <w:t>Female</w:t>
      </w:r>
    </w:p>
    <w:p>
      <w:pPr>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Do you access Moodle?</w:t>
      </w:r>
    </w:p>
    <w:p>
      <w:pPr>
        <w:pStyle w:val="10"/>
        <w:numPr>
          <w:ilvl w:val="1"/>
          <w:numId w:val="6"/>
        </w:numPr>
        <w:jc w:val="both"/>
        <w:rPr>
          <w:rFonts w:eastAsiaTheme="minorEastAsia"/>
          <w:sz w:val="28"/>
          <w:szCs w:val="28"/>
        </w:rPr>
      </w:pPr>
      <w:r>
        <w:rPr>
          <w:rFonts w:ascii="Calibri" w:hAnsi="Calibri" w:eastAsia="Calibri" w:cs="Calibri"/>
          <w:sz w:val="28"/>
          <w:szCs w:val="28"/>
        </w:rPr>
        <w:t>Yes</w:t>
      </w:r>
    </w:p>
    <w:p>
      <w:pPr>
        <w:pStyle w:val="10"/>
        <w:numPr>
          <w:ilvl w:val="1"/>
          <w:numId w:val="6"/>
        </w:numPr>
        <w:jc w:val="both"/>
        <w:rPr>
          <w:rFonts w:eastAsiaTheme="minorEastAsia"/>
          <w:sz w:val="28"/>
          <w:szCs w:val="28"/>
        </w:rPr>
      </w:pPr>
      <w:r>
        <w:rPr>
          <w:rFonts w:ascii="Calibri" w:hAnsi="Calibri" w:eastAsia="Calibri" w:cs="Calibri"/>
          <w:sz w:val="28"/>
          <w:szCs w:val="28"/>
        </w:rPr>
        <w:t>No</w:t>
      </w:r>
    </w:p>
    <w:p>
      <w:pPr>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How often do you access Moodle?</w:t>
      </w:r>
    </w:p>
    <w:p>
      <w:pPr>
        <w:pStyle w:val="10"/>
        <w:numPr>
          <w:ilvl w:val="1"/>
          <w:numId w:val="7"/>
        </w:numPr>
        <w:jc w:val="both"/>
        <w:rPr>
          <w:rFonts w:eastAsiaTheme="minorEastAsia"/>
          <w:sz w:val="28"/>
          <w:szCs w:val="28"/>
        </w:rPr>
      </w:pPr>
      <w:r>
        <w:rPr>
          <w:rFonts w:ascii="Calibri" w:hAnsi="Calibri" w:eastAsia="Calibri" w:cs="Calibri"/>
          <w:sz w:val="28"/>
          <w:szCs w:val="28"/>
        </w:rPr>
        <w:t>Daily</w:t>
      </w:r>
    </w:p>
    <w:p>
      <w:pPr>
        <w:pStyle w:val="10"/>
        <w:numPr>
          <w:ilvl w:val="1"/>
          <w:numId w:val="7"/>
        </w:numPr>
        <w:jc w:val="both"/>
        <w:rPr>
          <w:rFonts w:eastAsiaTheme="minorEastAsia"/>
          <w:sz w:val="28"/>
          <w:szCs w:val="28"/>
        </w:rPr>
      </w:pPr>
      <w:r>
        <w:rPr>
          <w:rFonts w:ascii="Calibri" w:hAnsi="Calibri" w:eastAsia="Calibri" w:cs="Calibri"/>
          <w:sz w:val="28"/>
          <w:szCs w:val="28"/>
        </w:rPr>
        <w:t>Only during lectures</w:t>
      </w:r>
    </w:p>
    <w:p>
      <w:pPr>
        <w:pStyle w:val="10"/>
        <w:numPr>
          <w:ilvl w:val="1"/>
          <w:numId w:val="7"/>
        </w:numPr>
        <w:jc w:val="both"/>
        <w:rPr>
          <w:rFonts w:eastAsiaTheme="minorEastAsia"/>
          <w:sz w:val="28"/>
          <w:szCs w:val="28"/>
        </w:rPr>
      </w:pPr>
      <w:r>
        <w:rPr>
          <w:rFonts w:ascii="Calibri" w:hAnsi="Calibri" w:eastAsia="Calibri" w:cs="Calibri"/>
          <w:sz w:val="28"/>
          <w:szCs w:val="28"/>
        </w:rPr>
        <w:t>Weekly</w:t>
      </w:r>
    </w:p>
    <w:p>
      <w:pPr>
        <w:pStyle w:val="10"/>
        <w:numPr>
          <w:ilvl w:val="1"/>
          <w:numId w:val="7"/>
        </w:numPr>
        <w:jc w:val="both"/>
        <w:rPr>
          <w:rFonts w:eastAsiaTheme="minorEastAsia"/>
          <w:sz w:val="28"/>
          <w:szCs w:val="28"/>
        </w:rPr>
      </w:pPr>
      <w:r>
        <w:rPr>
          <w:rFonts w:ascii="Calibri" w:hAnsi="Calibri" w:eastAsia="Calibri" w:cs="Calibri"/>
          <w:sz w:val="28"/>
          <w:szCs w:val="28"/>
        </w:rPr>
        <w:t>Monthly</w:t>
      </w:r>
    </w:p>
    <w:p>
      <w:pPr>
        <w:pStyle w:val="10"/>
        <w:numPr>
          <w:ilvl w:val="1"/>
          <w:numId w:val="7"/>
        </w:numPr>
        <w:jc w:val="both"/>
        <w:rPr>
          <w:rFonts w:eastAsiaTheme="minorEastAsia"/>
          <w:sz w:val="28"/>
          <w:szCs w:val="28"/>
        </w:rPr>
      </w:pPr>
      <w:r>
        <w:rPr>
          <w:rFonts w:ascii="Calibri" w:hAnsi="Calibri" w:eastAsia="Calibri" w:cs="Calibri"/>
          <w:sz w:val="28"/>
          <w:szCs w:val="28"/>
        </w:rPr>
        <w:t>Not at all</w:t>
      </w:r>
    </w:p>
    <w:p>
      <w:pPr>
        <w:ind w:left="720"/>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Why do you access Moodle?</w:t>
      </w:r>
    </w:p>
    <w:p>
      <w:pPr>
        <w:pStyle w:val="10"/>
        <w:numPr>
          <w:ilvl w:val="1"/>
          <w:numId w:val="8"/>
        </w:numPr>
        <w:jc w:val="both"/>
        <w:rPr>
          <w:rFonts w:eastAsiaTheme="minorEastAsia"/>
          <w:sz w:val="28"/>
          <w:szCs w:val="28"/>
        </w:rPr>
      </w:pPr>
      <w:r>
        <w:rPr>
          <w:rFonts w:ascii="Calibri" w:hAnsi="Calibri" w:eastAsia="Calibri" w:cs="Calibri"/>
          <w:sz w:val="28"/>
          <w:szCs w:val="28"/>
        </w:rPr>
        <w:t>For Guidance</w:t>
      </w:r>
    </w:p>
    <w:p>
      <w:pPr>
        <w:pStyle w:val="10"/>
        <w:numPr>
          <w:ilvl w:val="1"/>
          <w:numId w:val="8"/>
        </w:numPr>
        <w:jc w:val="both"/>
        <w:rPr>
          <w:rFonts w:eastAsiaTheme="minorEastAsia"/>
          <w:sz w:val="28"/>
          <w:szCs w:val="28"/>
        </w:rPr>
      </w:pPr>
      <w:r>
        <w:rPr>
          <w:rFonts w:ascii="Calibri" w:hAnsi="Calibri" w:eastAsia="Calibri" w:cs="Calibri"/>
          <w:sz w:val="28"/>
          <w:szCs w:val="28"/>
        </w:rPr>
        <w:t>To solve Academic problems</w:t>
      </w:r>
    </w:p>
    <w:p>
      <w:pPr>
        <w:pStyle w:val="10"/>
        <w:numPr>
          <w:ilvl w:val="1"/>
          <w:numId w:val="8"/>
        </w:numPr>
        <w:jc w:val="both"/>
        <w:rPr>
          <w:rFonts w:eastAsiaTheme="minorEastAsia"/>
          <w:sz w:val="28"/>
          <w:szCs w:val="28"/>
        </w:rPr>
      </w:pPr>
      <w:r>
        <w:rPr>
          <w:rFonts w:ascii="Calibri" w:hAnsi="Calibri" w:eastAsia="Calibri" w:cs="Calibri"/>
          <w:sz w:val="28"/>
          <w:szCs w:val="28"/>
        </w:rPr>
        <w:t>Additional Resources</w:t>
      </w:r>
    </w:p>
    <w:p>
      <w:pPr>
        <w:pStyle w:val="10"/>
        <w:numPr>
          <w:ilvl w:val="1"/>
          <w:numId w:val="8"/>
        </w:numPr>
        <w:jc w:val="both"/>
        <w:rPr>
          <w:rFonts w:eastAsiaTheme="minorEastAsia"/>
          <w:sz w:val="28"/>
          <w:szCs w:val="28"/>
        </w:rPr>
      </w:pPr>
      <w:r>
        <w:rPr>
          <w:rFonts w:ascii="Calibri" w:hAnsi="Calibri" w:eastAsia="Calibri" w:cs="Calibri"/>
          <w:sz w:val="28"/>
          <w:szCs w:val="28"/>
        </w:rPr>
        <w:t>Other (Please Specify)</w:t>
      </w:r>
    </w:p>
    <w:p>
      <w:pPr>
        <w:ind w:left="720"/>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Does Moodle give you the expected Information?</w:t>
      </w:r>
    </w:p>
    <w:p>
      <w:pPr>
        <w:pStyle w:val="10"/>
        <w:numPr>
          <w:ilvl w:val="1"/>
          <w:numId w:val="9"/>
        </w:numPr>
        <w:jc w:val="both"/>
        <w:rPr>
          <w:rFonts w:eastAsiaTheme="minorEastAsia"/>
          <w:sz w:val="28"/>
          <w:szCs w:val="28"/>
        </w:rPr>
      </w:pPr>
      <w:r>
        <w:rPr>
          <w:rFonts w:ascii="Calibri" w:hAnsi="Calibri" w:eastAsia="Calibri" w:cs="Calibri"/>
          <w:sz w:val="28"/>
          <w:szCs w:val="28"/>
        </w:rPr>
        <w:t xml:space="preserve">Yes </w:t>
      </w:r>
    </w:p>
    <w:p>
      <w:pPr>
        <w:pStyle w:val="10"/>
        <w:numPr>
          <w:ilvl w:val="1"/>
          <w:numId w:val="9"/>
        </w:numPr>
        <w:jc w:val="both"/>
        <w:rPr>
          <w:rFonts w:eastAsiaTheme="minorEastAsia"/>
          <w:sz w:val="28"/>
          <w:szCs w:val="28"/>
        </w:rPr>
      </w:pPr>
      <w:r>
        <w:rPr>
          <w:rFonts w:ascii="Calibri" w:hAnsi="Calibri" w:eastAsia="Calibri" w:cs="Calibri"/>
          <w:sz w:val="28"/>
          <w:szCs w:val="28"/>
        </w:rPr>
        <w:t>No</w:t>
      </w:r>
    </w:p>
    <w:p>
      <w:pPr>
        <w:ind w:left="1080"/>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Has Moodle aided your learning experience?</w:t>
      </w:r>
    </w:p>
    <w:p>
      <w:pPr>
        <w:pStyle w:val="10"/>
        <w:numPr>
          <w:ilvl w:val="1"/>
          <w:numId w:val="10"/>
        </w:numPr>
        <w:jc w:val="both"/>
        <w:rPr>
          <w:rFonts w:eastAsiaTheme="minorEastAsia"/>
          <w:sz w:val="28"/>
          <w:szCs w:val="28"/>
        </w:rPr>
      </w:pPr>
      <w:r>
        <w:rPr>
          <w:rFonts w:ascii="Calibri" w:hAnsi="Calibri" w:eastAsia="Calibri" w:cs="Calibri"/>
          <w:sz w:val="28"/>
          <w:szCs w:val="28"/>
        </w:rPr>
        <w:t>Yes</w:t>
      </w:r>
    </w:p>
    <w:p>
      <w:pPr>
        <w:pStyle w:val="10"/>
        <w:numPr>
          <w:ilvl w:val="1"/>
          <w:numId w:val="10"/>
        </w:numPr>
        <w:jc w:val="both"/>
        <w:rPr>
          <w:rFonts w:eastAsiaTheme="minorEastAsia"/>
          <w:sz w:val="28"/>
          <w:szCs w:val="28"/>
        </w:rPr>
      </w:pPr>
      <w:r>
        <w:rPr>
          <w:rFonts w:ascii="Calibri" w:hAnsi="Calibri" w:eastAsia="Calibri" w:cs="Calibri"/>
          <w:sz w:val="28"/>
          <w:szCs w:val="28"/>
        </w:rPr>
        <w:t>No</w:t>
      </w:r>
    </w:p>
    <w:p>
      <w:pPr>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What Information do you expect from Moodle?</w:t>
      </w:r>
    </w:p>
    <w:p>
      <w:pPr>
        <w:pStyle w:val="10"/>
        <w:numPr>
          <w:ilvl w:val="1"/>
          <w:numId w:val="11"/>
        </w:numPr>
        <w:jc w:val="both"/>
        <w:rPr>
          <w:rFonts w:eastAsiaTheme="minorEastAsia"/>
          <w:sz w:val="28"/>
          <w:szCs w:val="28"/>
        </w:rPr>
      </w:pPr>
      <w:r>
        <w:rPr>
          <w:rFonts w:ascii="Calibri" w:hAnsi="Calibri" w:eastAsia="Calibri" w:cs="Calibri"/>
          <w:sz w:val="28"/>
          <w:szCs w:val="28"/>
        </w:rPr>
        <w:t>Academic Guidance</w:t>
      </w:r>
    </w:p>
    <w:p>
      <w:pPr>
        <w:pStyle w:val="10"/>
        <w:numPr>
          <w:ilvl w:val="1"/>
          <w:numId w:val="11"/>
        </w:numPr>
        <w:jc w:val="both"/>
        <w:rPr>
          <w:rFonts w:eastAsiaTheme="minorEastAsia"/>
          <w:sz w:val="28"/>
          <w:szCs w:val="28"/>
        </w:rPr>
      </w:pPr>
      <w:r>
        <w:rPr>
          <w:rFonts w:ascii="Calibri" w:hAnsi="Calibri" w:eastAsia="Calibri" w:cs="Calibri"/>
          <w:sz w:val="28"/>
          <w:szCs w:val="28"/>
        </w:rPr>
        <w:t>Personal   Guidance</w:t>
      </w:r>
    </w:p>
    <w:p>
      <w:pPr>
        <w:pStyle w:val="10"/>
        <w:numPr>
          <w:ilvl w:val="1"/>
          <w:numId w:val="11"/>
        </w:numPr>
        <w:jc w:val="both"/>
        <w:rPr>
          <w:rFonts w:eastAsiaTheme="minorEastAsia"/>
          <w:sz w:val="28"/>
          <w:szCs w:val="28"/>
        </w:rPr>
      </w:pPr>
      <w:r>
        <w:rPr>
          <w:rFonts w:ascii="Calibri" w:hAnsi="Calibri" w:eastAsia="Calibri" w:cs="Calibri"/>
          <w:sz w:val="28"/>
          <w:szCs w:val="28"/>
        </w:rPr>
        <w:t>Digital       Guidance</w:t>
      </w:r>
    </w:p>
    <w:p>
      <w:pPr>
        <w:pStyle w:val="10"/>
        <w:numPr>
          <w:ilvl w:val="1"/>
          <w:numId w:val="11"/>
        </w:numPr>
        <w:jc w:val="both"/>
        <w:rPr>
          <w:rFonts w:eastAsiaTheme="minorEastAsia"/>
          <w:sz w:val="28"/>
          <w:szCs w:val="28"/>
        </w:rPr>
      </w:pPr>
      <w:r>
        <w:rPr>
          <w:rFonts w:ascii="Calibri" w:hAnsi="Calibri" w:eastAsia="Calibri" w:cs="Calibri"/>
          <w:sz w:val="28"/>
          <w:szCs w:val="28"/>
        </w:rPr>
        <w:t>Library Resources</w:t>
      </w:r>
    </w:p>
    <w:p>
      <w:pPr>
        <w:pStyle w:val="10"/>
        <w:numPr>
          <w:ilvl w:val="1"/>
          <w:numId w:val="11"/>
        </w:numPr>
        <w:jc w:val="both"/>
        <w:rPr>
          <w:rFonts w:eastAsiaTheme="minorEastAsia"/>
          <w:sz w:val="28"/>
          <w:szCs w:val="28"/>
        </w:rPr>
      </w:pPr>
      <w:r>
        <w:rPr>
          <w:rFonts w:ascii="Calibri" w:hAnsi="Calibri" w:eastAsia="Calibri" w:cs="Calibri"/>
          <w:sz w:val="28"/>
          <w:szCs w:val="28"/>
        </w:rPr>
        <w:t>Others (Please specify)</w:t>
      </w:r>
    </w:p>
    <w:p>
      <w:pPr>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Has Moodle been helpful to you Academically?</w:t>
      </w:r>
    </w:p>
    <w:p>
      <w:pPr>
        <w:pStyle w:val="10"/>
        <w:numPr>
          <w:ilvl w:val="1"/>
          <w:numId w:val="12"/>
        </w:numPr>
        <w:jc w:val="both"/>
        <w:rPr>
          <w:rFonts w:eastAsiaTheme="minorEastAsia"/>
          <w:sz w:val="28"/>
          <w:szCs w:val="28"/>
        </w:rPr>
      </w:pPr>
      <w:r>
        <w:rPr>
          <w:rFonts w:ascii="Calibri" w:hAnsi="Calibri" w:eastAsia="Calibri" w:cs="Calibri"/>
          <w:sz w:val="28"/>
          <w:szCs w:val="28"/>
        </w:rPr>
        <w:t xml:space="preserve">Yes </w:t>
      </w:r>
    </w:p>
    <w:p>
      <w:pPr>
        <w:pStyle w:val="10"/>
        <w:numPr>
          <w:ilvl w:val="1"/>
          <w:numId w:val="12"/>
        </w:numPr>
        <w:jc w:val="both"/>
        <w:rPr>
          <w:rFonts w:eastAsiaTheme="minorEastAsia"/>
          <w:sz w:val="28"/>
          <w:szCs w:val="28"/>
        </w:rPr>
      </w:pPr>
      <w:r>
        <w:rPr>
          <w:rFonts w:ascii="Calibri" w:hAnsi="Calibri" w:eastAsia="Calibri" w:cs="Calibri"/>
          <w:sz w:val="28"/>
          <w:szCs w:val="28"/>
        </w:rPr>
        <w:t>No</w:t>
      </w:r>
    </w:p>
    <w:p>
      <w:pPr>
        <w:jc w:val="both"/>
        <w:rPr>
          <w:rFonts w:ascii="Calibri" w:hAnsi="Calibri" w:eastAsia="Calibri" w:cs="Calibri"/>
          <w:sz w:val="28"/>
          <w:szCs w:val="28"/>
        </w:rPr>
      </w:pPr>
    </w:p>
    <w:p>
      <w:pPr>
        <w:pStyle w:val="10"/>
        <w:numPr>
          <w:ilvl w:val="0"/>
          <w:numId w:val="3"/>
        </w:numPr>
        <w:jc w:val="both"/>
        <w:rPr>
          <w:rFonts w:eastAsiaTheme="minorEastAsia"/>
          <w:sz w:val="28"/>
          <w:szCs w:val="28"/>
        </w:rPr>
      </w:pPr>
      <w:r>
        <w:rPr>
          <w:rFonts w:ascii="Calibri" w:hAnsi="Calibri" w:eastAsia="Calibri" w:cs="Calibri"/>
          <w:sz w:val="28"/>
          <w:szCs w:val="28"/>
        </w:rPr>
        <w:t xml:space="preserve"> Has Moodle added any value to your learning Experience?</w:t>
      </w:r>
    </w:p>
    <w:p>
      <w:pPr>
        <w:pStyle w:val="10"/>
        <w:numPr>
          <w:ilvl w:val="1"/>
          <w:numId w:val="13"/>
        </w:numPr>
        <w:jc w:val="both"/>
        <w:rPr>
          <w:rFonts w:eastAsiaTheme="minorEastAsia"/>
          <w:sz w:val="28"/>
          <w:szCs w:val="28"/>
        </w:rPr>
      </w:pPr>
      <w:r>
        <w:rPr>
          <w:rFonts w:ascii="Calibri" w:hAnsi="Calibri" w:eastAsia="Calibri" w:cs="Calibri"/>
          <w:sz w:val="28"/>
          <w:szCs w:val="28"/>
        </w:rPr>
        <w:t>Yes</w:t>
      </w:r>
    </w:p>
    <w:p>
      <w:pPr>
        <w:pStyle w:val="10"/>
        <w:numPr>
          <w:ilvl w:val="1"/>
          <w:numId w:val="13"/>
        </w:numPr>
        <w:jc w:val="both"/>
        <w:rPr>
          <w:rFonts w:eastAsiaTheme="minorEastAsia"/>
          <w:sz w:val="28"/>
          <w:szCs w:val="28"/>
        </w:rPr>
      </w:pPr>
      <w:r>
        <w:rPr>
          <w:rFonts w:ascii="Calibri" w:hAnsi="Calibri" w:eastAsia="Calibri" w:cs="Calibri"/>
          <w:sz w:val="28"/>
          <w:szCs w:val="28"/>
        </w:rPr>
        <w:t>No</w:t>
      </w:r>
    </w:p>
    <w:p>
      <w:pPr>
        <w:pStyle w:val="10"/>
        <w:numPr>
          <w:ilvl w:val="1"/>
          <w:numId w:val="13"/>
        </w:numPr>
        <w:jc w:val="both"/>
        <w:rPr>
          <w:rFonts w:eastAsiaTheme="minorEastAsia"/>
          <w:sz w:val="28"/>
          <w:szCs w:val="28"/>
        </w:rPr>
      </w:pPr>
      <w:r>
        <w:rPr>
          <w:rFonts w:ascii="Calibri" w:hAnsi="Calibri" w:eastAsia="Calibri" w:cs="Calibri"/>
          <w:sz w:val="28"/>
          <w:szCs w:val="28"/>
        </w:rPr>
        <w:t>Other (Please Specify)</w:t>
      </w:r>
    </w:p>
    <w:p>
      <w:pPr>
        <w:ind w:left="720"/>
        <w:jc w:val="both"/>
        <w:rPr>
          <w:sz w:val="28"/>
          <w:szCs w:val="28"/>
        </w:rPr>
      </w:pPr>
    </w:p>
    <w:p>
      <w:pPr>
        <w:ind w:left="720"/>
        <w:jc w:val="both"/>
        <w:rPr>
          <w:sz w:val="28"/>
          <w:szCs w:val="28"/>
        </w:rPr>
      </w:pPr>
    </w:p>
    <w:p>
      <w:pPr>
        <w:ind w:left="720"/>
        <w:jc w:val="both"/>
        <w:rPr>
          <w:sz w:val="28"/>
          <w:szCs w:val="28"/>
        </w:rPr>
      </w:pPr>
    </w:p>
    <w:p>
      <w:pPr>
        <w:jc w:val="center"/>
        <w:rPr>
          <w:rFonts w:ascii="Calibri" w:hAnsi="Calibri" w:eastAsia="Calibri" w:cs="Calibri"/>
          <w:sz w:val="28"/>
          <w:szCs w:val="28"/>
        </w:rPr>
      </w:pPr>
      <w:r>
        <w:rPr>
          <w:rFonts w:ascii="Calibri" w:hAnsi="Calibri" w:eastAsia="Calibri" w:cs="Calibri"/>
          <w:sz w:val="28"/>
          <w:szCs w:val="28"/>
        </w:rPr>
        <w:t>TABLE OF ANALYSIS</w:t>
      </w:r>
    </w:p>
    <w:p>
      <w:pPr>
        <w:jc w:val="center"/>
        <w:rPr>
          <w:rFonts w:ascii="Calibri" w:hAnsi="Calibri" w:eastAsia="Calibri" w:cs="Calibri"/>
          <w:sz w:val="28"/>
          <w:szCs w:val="28"/>
        </w:rPr>
      </w:pPr>
    </w:p>
    <w:tbl>
      <w:tblPr>
        <w:tblStyle w:val="9"/>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540"/>
        <w:gridCol w:w="3973"/>
        <w:gridCol w:w="2256"/>
        <w:gridCol w:w="2256"/>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NO</w:t>
            </w:r>
          </w:p>
        </w:tc>
        <w:tc>
          <w:tcPr>
            <w:tcW w:w="3973" w:type="dxa"/>
          </w:tcPr>
          <w:p>
            <w:pPr>
              <w:spacing w:after="0" w:line="240" w:lineRule="auto"/>
              <w:rPr>
                <w:rFonts w:ascii="Calibri" w:hAnsi="Calibri" w:eastAsia="Calibri" w:cs="Calibri"/>
              </w:rPr>
            </w:pPr>
            <w:r>
              <w:rPr>
                <w:rFonts w:ascii="Calibri" w:hAnsi="Calibri" w:eastAsia="Calibri" w:cs="Calibri"/>
              </w:rPr>
              <w:t xml:space="preserve">        QUESTION</w:t>
            </w:r>
          </w:p>
        </w:tc>
        <w:tc>
          <w:tcPr>
            <w:tcW w:w="2256" w:type="dxa"/>
          </w:tcPr>
          <w:p>
            <w:pPr>
              <w:spacing w:after="0" w:line="240" w:lineRule="auto"/>
              <w:rPr>
                <w:rFonts w:ascii="Calibri" w:hAnsi="Calibri" w:eastAsia="Calibri" w:cs="Calibri"/>
              </w:rPr>
            </w:pPr>
            <w:r>
              <w:rPr>
                <w:rFonts w:ascii="Calibri" w:hAnsi="Calibri" w:eastAsia="Calibri" w:cs="Calibri"/>
              </w:rPr>
              <w:t>RESPONSE/FREQUENCY</w:t>
            </w:r>
          </w:p>
        </w:tc>
        <w:tc>
          <w:tcPr>
            <w:tcW w:w="2256" w:type="dxa"/>
          </w:tcPr>
          <w:p>
            <w:pPr>
              <w:spacing w:after="0" w:line="240" w:lineRule="auto"/>
              <w:rPr>
                <w:rFonts w:ascii="Calibri" w:hAnsi="Calibri" w:eastAsia="Calibri" w:cs="Calibri"/>
              </w:rPr>
            </w:pPr>
            <w:r>
              <w:rPr>
                <w:rFonts w:ascii="Calibri" w:hAnsi="Calibri" w:eastAsia="Calibri" w:cs="Calibri"/>
              </w:rPr>
              <w:t xml:space="preserve">   PERCENTAGE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1 .</w:t>
            </w:r>
          </w:p>
        </w:tc>
        <w:tc>
          <w:tcPr>
            <w:tcW w:w="3973" w:type="dxa"/>
          </w:tcPr>
          <w:p>
            <w:pPr>
              <w:spacing w:after="0" w:line="240" w:lineRule="auto"/>
              <w:rPr>
                <w:rFonts w:ascii="Calibri" w:hAnsi="Calibri" w:eastAsia="Calibri" w:cs="Calibri"/>
              </w:rPr>
            </w:pPr>
            <w:r>
              <w:rPr>
                <w:rFonts w:ascii="Calibri" w:hAnsi="Calibri" w:eastAsia="Calibri" w:cs="Calibri"/>
              </w:rPr>
              <w:t>What is your Age Range?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20 - 25</w:t>
            </w:r>
          </w:p>
        </w:tc>
        <w:tc>
          <w:tcPr>
            <w:tcW w:w="2256" w:type="dxa"/>
          </w:tcPr>
          <w:p>
            <w:pPr>
              <w:spacing w:after="0" w:line="240" w:lineRule="auto"/>
              <w:rPr>
                <w:rFonts w:ascii="Calibri" w:hAnsi="Calibri" w:eastAsia="Calibri" w:cs="Calibri"/>
              </w:rPr>
            </w:pPr>
            <w:r>
              <w:rPr>
                <w:rFonts w:ascii="Calibri" w:hAnsi="Calibri" w:eastAsia="Calibri" w:cs="Calibri"/>
              </w:rPr>
              <w:t>2</w:t>
            </w:r>
          </w:p>
        </w:tc>
        <w:tc>
          <w:tcPr>
            <w:tcW w:w="2256" w:type="dxa"/>
          </w:tcPr>
          <w:p>
            <w:pPr>
              <w:spacing w:after="0" w:line="240" w:lineRule="auto"/>
              <w:rPr>
                <w:rFonts w:ascii="Calibri" w:hAnsi="Calibri" w:eastAsia="Calibri" w:cs="Calibri"/>
              </w:rPr>
            </w:pPr>
            <w:r>
              <w:rPr>
                <w:rFonts w:ascii="Calibri" w:hAnsi="Calibri" w:eastAsia="Calibri" w:cs="Calibri"/>
              </w:rPr>
              <w:t>10%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26 - 30</w:t>
            </w:r>
          </w:p>
        </w:tc>
        <w:tc>
          <w:tcPr>
            <w:tcW w:w="2256" w:type="dxa"/>
          </w:tcPr>
          <w:p>
            <w:pPr>
              <w:spacing w:after="0" w:line="240" w:lineRule="auto"/>
              <w:rPr>
                <w:rFonts w:ascii="Calibri" w:hAnsi="Calibri" w:eastAsia="Calibri" w:cs="Calibri"/>
              </w:rPr>
            </w:pPr>
            <w:r>
              <w:rPr>
                <w:rFonts w:ascii="Calibri" w:hAnsi="Calibri" w:eastAsia="Calibri" w:cs="Calibri"/>
              </w:rPr>
              <w:t>3</w:t>
            </w:r>
          </w:p>
        </w:tc>
        <w:tc>
          <w:tcPr>
            <w:tcW w:w="2256" w:type="dxa"/>
          </w:tcPr>
          <w:p>
            <w:pPr>
              <w:spacing w:after="0" w:line="240" w:lineRule="auto"/>
              <w:rPr>
                <w:rFonts w:ascii="Calibri" w:hAnsi="Calibri" w:eastAsia="Calibri" w:cs="Calibri"/>
              </w:rPr>
            </w:pPr>
            <w:r>
              <w:rPr>
                <w:rFonts w:ascii="Calibri" w:hAnsi="Calibri" w:eastAsia="Calibri" w:cs="Calibri"/>
              </w:rPr>
              <w:t>15%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31 – 35</w:t>
            </w:r>
          </w:p>
        </w:tc>
        <w:tc>
          <w:tcPr>
            <w:tcW w:w="2256" w:type="dxa"/>
          </w:tcPr>
          <w:p>
            <w:pPr>
              <w:spacing w:after="0" w:line="240" w:lineRule="auto"/>
              <w:rPr>
                <w:rFonts w:ascii="Calibri" w:hAnsi="Calibri" w:eastAsia="Calibri" w:cs="Calibri"/>
              </w:rPr>
            </w:pPr>
            <w:r>
              <w:rPr>
                <w:rFonts w:ascii="Calibri" w:hAnsi="Calibri" w:eastAsia="Calibri" w:cs="Calibri"/>
              </w:rPr>
              <w:t>4</w:t>
            </w:r>
          </w:p>
        </w:tc>
        <w:tc>
          <w:tcPr>
            <w:tcW w:w="2256" w:type="dxa"/>
          </w:tcPr>
          <w:p>
            <w:pPr>
              <w:spacing w:after="0" w:line="240" w:lineRule="auto"/>
              <w:rPr>
                <w:rFonts w:ascii="Calibri" w:hAnsi="Calibri" w:eastAsia="Calibri" w:cs="Calibri"/>
              </w:rPr>
            </w:pPr>
            <w:r>
              <w:rPr>
                <w:rFonts w:ascii="Calibri" w:hAnsi="Calibri" w:eastAsia="Calibri" w:cs="Calibri"/>
              </w:rPr>
              <w:t>20%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36 - 40</w:t>
            </w:r>
          </w:p>
        </w:tc>
        <w:tc>
          <w:tcPr>
            <w:tcW w:w="2256" w:type="dxa"/>
          </w:tcPr>
          <w:p>
            <w:pPr>
              <w:spacing w:after="0" w:line="240" w:lineRule="auto"/>
              <w:rPr>
                <w:rFonts w:ascii="Calibri" w:hAnsi="Calibri" w:eastAsia="Calibri" w:cs="Calibri"/>
              </w:rPr>
            </w:pPr>
            <w:r>
              <w:rPr>
                <w:rFonts w:ascii="Calibri" w:hAnsi="Calibri" w:eastAsia="Calibri" w:cs="Calibri"/>
              </w:rPr>
              <w:t>4</w:t>
            </w:r>
          </w:p>
        </w:tc>
        <w:tc>
          <w:tcPr>
            <w:tcW w:w="2256" w:type="dxa"/>
          </w:tcPr>
          <w:p>
            <w:pPr>
              <w:spacing w:after="0" w:line="240" w:lineRule="auto"/>
              <w:rPr>
                <w:rFonts w:ascii="Calibri" w:hAnsi="Calibri" w:eastAsia="Calibri" w:cs="Calibri"/>
              </w:rPr>
            </w:pPr>
            <w:r>
              <w:rPr>
                <w:rFonts w:ascii="Calibri" w:hAnsi="Calibri" w:eastAsia="Calibri" w:cs="Calibri"/>
              </w:rPr>
              <w:t>20%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Over 40</w:t>
            </w:r>
          </w:p>
        </w:tc>
        <w:tc>
          <w:tcPr>
            <w:tcW w:w="2256" w:type="dxa"/>
          </w:tcPr>
          <w:p>
            <w:pPr>
              <w:spacing w:after="0" w:line="240" w:lineRule="auto"/>
              <w:rPr>
                <w:rFonts w:ascii="Calibri" w:hAnsi="Calibri" w:eastAsia="Calibri" w:cs="Calibri"/>
              </w:rPr>
            </w:pPr>
            <w:r>
              <w:rPr>
                <w:rFonts w:ascii="Calibri" w:hAnsi="Calibri" w:eastAsia="Calibri" w:cs="Calibri"/>
              </w:rPr>
              <w:t>7</w:t>
            </w:r>
          </w:p>
        </w:tc>
        <w:tc>
          <w:tcPr>
            <w:tcW w:w="2256" w:type="dxa"/>
          </w:tcPr>
          <w:p>
            <w:pPr>
              <w:spacing w:after="0" w:line="240" w:lineRule="auto"/>
              <w:rPr>
                <w:rFonts w:ascii="Calibri" w:hAnsi="Calibri" w:eastAsia="Calibri" w:cs="Calibri"/>
              </w:rPr>
            </w:pPr>
            <w:r>
              <w:rPr>
                <w:rFonts w:ascii="Calibri" w:hAnsi="Calibri" w:eastAsia="Calibri" w:cs="Calibri"/>
              </w:rPr>
              <w:t>35%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2.</w:t>
            </w:r>
          </w:p>
        </w:tc>
        <w:tc>
          <w:tcPr>
            <w:tcW w:w="3973" w:type="dxa"/>
          </w:tcPr>
          <w:p>
            <w:pPr>
              <w:spacing w:after="0" w:line="240" w:lineRule="auto"/>
              <w:rPr>
                <w:rFonts w:ascii="Calibri" w:hAnsi="Calibri" w:eastAsia="Calibri" w:cs="Calibri"/>
              </w:rPr>
            </w:pPr>
            <w:r>
              <w:rPr>
                <w:rFonts w:ascii="Calibri" w:hAnsi="Calibri" w:eastAsia="Calibri" w:cs="Calibri"/>
              </w:rPr>
              <w:t>What is your Gender?</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Male</w:t>
            </w:r>
          </w:p>
        </w:tc>
        <w:tc>
          <w:tcPr>
            <w:tcW w:w="2256" w:type="dxa"/>
          </w:tcPr>
          <w:p>
            <w:pPr>
              <w:spacing w:after="0" w:line="240" w:lineRule="auto"/>
              <w:rPr>
                <w:rFonts w:ascii="Calibri" w:hAnsi="Calibri" w:eastAsia="Calibri" w:cs="Calibri"/>
              </w:rPr>
            </w:pPr>
            <w:r>
              <w:rPr>
                <w:rFonts w:ascii="Calibri" w:hAnsi="Calibri" w:eastAsia="Calibri" w:cs="Calibri"/>
              </w:rPr>
              <w:t>2</w:t>
            </w:r>
          </w:p>
        </w:tc>
        <w:tc>
          <w:tcPr>
            <w:tcW w:w="2256" w:type="dxa"/>
          </w:tcPr>
          <w:p>
            <w:pPr>
              <w:spacing w:after="0" w:line="240" w:lineRule="auto"/>
              <w:rPr>
                <w:rFonts w:ascii="Calibri" w:hAnsi="Calibri" w:eastAsia="Calibri" w:cs="Calibri"/>
              </w:rPr>
            </w:pPr>
            <w:r>
              <w:rPr>
                <w:rFonts w:ascii="Calibri" w:hAnsi="Calibri" w:eastAsia="Calibri" w:cs="Calibri"/>
              </w:rPr>
              <w:t>10%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Female</w:t>
            </w:r>
          </w:p>
        </w:tc>
        <w:tc>
          <w:tcPr>
            <w:tcW w:w="2256" w:type="dxa"/>
          </w:tcPr>
          <w:p>
            <w:pPr>
              <w:spacing w:after="0" w:line="240" w:lineRule="auto"/>
              <w:rPr>
                <w:rFonts w:ascii="Calibri" w:hAnsi="Calibri" w:eastAsia="Calibri" w:cs="Calibri"/>
              </w:rPr>
            </w:pPr>
            <w:r>
              <w:rPr>
                <w:rFonts w:ascii="Calibri" w:hAnsi="Calibri" w:eastAsia="Calibri" w:cs="Calibri"/>
              </w:rPr>
              <w:t>18</w:t>
            </w:r>
          </w:p>
        </w:tc>
        <w:tc>
          <w:tcPr>
            <w:tcW w:w="2256" w:type="dxa"/>
          </w:tcPr>
          <w:p>
            <w:pPr>
              <w:spacing w:after="0" w:line="240" w:lineRule="auto"/>
              <w:rPr>
                <w:rFonts w:ascii="Calibri" w:hAnsi="Calibri" w:eastAsia="Calibri" w:cs="Calibri"/>
              </w:rPr>
            </w:pPr>
            <w:r>
              <w:rPr>
                <w:rFonts w:ascii="Calibri" w:hAnsi="Calibri" w:eastAsia="Calibri" w:cs="Calibri"/>
              </w:rPr>
              <w:t>90%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3.</w:t>
            </w:r>
          </w:p>
        </w:tc>
        <w:tc>
          <w:tcPr>
            <w:tcW w:w="3973" w:type="dxa"/>
          </w:tcPr>
          <w:p>
            <w:pPr>
              <w:spacing w:after="0" w:line="240" w:lineRule="auto"/>
              <w:rPr>
                <w:rFonts w:ascii="Calibri" w:hAnsi="Calibri" w:eastAsia="Calibri" w:cs="Calibri"/>
              </w:rPr>
            </w:pPr>
            <w:r>
              <w:rPr>
                <w:rFonts w:ascii="Calibri" w:hAnsi="Calibri" w:eastAsia="Calibri" w:cs="Calibri"/>
              </w:rPr>
              <w:t>Do you access Moodle?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Yes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100%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No</w:t>
            </w:r>
          </w:p>
        </w:tc>
        <w:tc>
          <w:tcPr>
            <w:tcW w:w="2256" w:type="dxa"/>
          </w:tcPr>
          <w:p>
            <w:pPr>
              <w:spacing w:after="0" w:line="240" w:lineRule="auto"/>
              <w:rPr>
                <w:rFonts w:ascii="Calibri" w:hAnsi="Calibri" w:eastAsia="Calibri" w:cs="Calibri"/>
              </w:rPr>
            </w:pPr>
            <w:r>
              <w:rPr>
                <w:rFonts w:ascii="Calibri" w:hAnsi="Calibri" w:eastAsia="Calibri" w:cs="Calibri"/>
              </w:rPr>
              <w:t xml:space="preserve"> -</w:t>
            </w: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4.</w:t>
            </w:r>
          </w:p>
        </w:tc>
        <w:tc>
          <w:tcPr>
            <w:tcW w:w="3973" w:type="dxa"/>
          </w:tcPr>
          <w:p>
            <w:pPr>
              <w:spacing w:after="0" w:line="240" w:lineRule="auto"/>
              <w:rPr>
                <w:rFonts w:ascii="Calibri" w:hAnsi="Calibri" w:eastAsia="Calibri" w:cs="Calibri"/>
              </w:rPr>
            </w:pPr>
            <w:r>
              <w:rPr>
                <w:rFonts w:ascii="Calibri" w:hAnsi="Calibri" w:eastAsia="Calibri" w:cs="Calibri"/>
              </w:rPr>
              <w:t>How often do you access Moodle?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Daily</w:t>
            </w:r>
          </w:p>
        </w:tc>
        <w:tc>
          <w:tcPr>
            <w:tcW w:w="2256" w:type="dxa"/>
          </w:tcPr>
          <w:p>
            <w:pPr>
              <w:spacing w:after="0" w:line="240" w:lineRule="auto"/>
              <w:rPr>
                <w:rFonts w:ascii="Calibri" w:hAnsi="Calibri" w:eastAsia="Calibri" w:cs="Calibri"/>
              </w:rPr>
            </w:pPr>
            <w:r>
              <w:rPr>
                <w:rFonts w:ascii="Calibri" w:hAnsi="Calibri" w:eastAsia="Calibri" w:cs="Calibri"/>
              </w:rPr>
              <w:t>8</w:t>
            </w:r>
          </w:p>
        </w:tc>
        <w:tc>
          <w:tcPr>
            <w:tcW w:w="2256" w:type="dxa"/>
          </w:tcPr>
          <w:p>
            <w:pPr>
              <w:spacing w:after="0" w:line="240" w:lineRule="auto"/>
              <w:rPr>
                <w:rFonts w:ascii="Calibri" w:hAnsi="Calibri" w:eastAsia="Calibri" w:cs="Calibri"/>
              </w:rPr>
            </w:pPr>
            <w:r>
              <w:rPr>
                <w:rFonts w:ascii="Calibri" w:hAnsi="Calibri" w:eastAsia="Calibri" w:cs="Calibri"/>
              </w:rPr>
              <w:t>40%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Only during lectures</w:t>
            </w:r>
          </w:p>
        </w:tc>
        <w:tc>
          <w:tcPr>
            <w:tcW w:w="2256" w:type="dxa"/>
          </w:tcPr>
          <w:p>
            <w:pPr>
              <w:spacing w:after="0" w:line="240" w:lineRule="auto"/>
              <w:rPr>
                <w:rFonts w:ascii="Calibri" w:hAnsi="Calibri" w:eastAsia="Calibri" w:cs="Calibri"/>
              </w:rPr>
            </w:pPr>
            <w:r>
              <w:rPr>
                <w:rFonts w:ascii="Calibri" w:hAnsi="Calibri" w:eastAsia="Calibri" w:cs="Calibri"/>
              </w:rPr>
              <w:t>4</w:t>
            </w:r>
          </w:p>
        </w:tc>
        <w:tc>
          <w:tcPr>
            <w:tcW w:w="2256" w:type="dxa"/>
          </w:tcPr>
          <w:p>
            <w:pPr>
              <w:spacing w:after="0" w:line="240" w:lineRule="auto"/>
              <w:rPr>
                <w:rFonts w:ascii="Calibri" w:hAnsi="Calibri" w:eastAsia="Calibri" w:cs="Calibri"/>
              </w:rPr>
            </w:pPr>
            <w:r>
              <w:rPr>
                <w:rFonts w:ascii="Calibri" w:hAnsi="Calibri" w:eastAsia="Calibri" w:cs="Calibri"/>
              </w:rPr>
              <w:t>20%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Weekly</w:t>
            </w:r>
          </w:p>
        </w:tc>
        <w:tc>
          <w:tcPr>
            <w:tcW w:w="2256" w:type="dxa"/>
          </w:tcPr>
          <w:p>
            <w:pPr>
              <w:spacing w:after="0" w:line="240" w:lineRule="auto"/>
              <w:rPr>
                <w:rFonts w:ascii="Calibri" w:hAnsi="Calibri" w:eastAsia="Calibri" w:cs="Calibri"/>
              </w:rPr>
            </w:pPr>
            <w:r>
              <w:rPr>
                <w:rFonts w:ascii="Calibri" w:hAnsi="Calibri" w:eastAsia="Calibri" w:cs="Calibri"/>
              </w:rPr>
              <w:t>7</w:t>
            </w:r>
          </w:p>
        </w:tc>
        <w:tc>
          <w:tcPr>
            <w:tcW w:w="2256" w:type="dxa"/>
          </w:tcPr>
          <w:p>
            <w:pPr>
              <w:spacing w:after="0" w:line="240" w:lineRule="auto"/>
              <w:rPr>
                <w:rFonts w:ascii="Calibri" w:hAnsi="Calibri" w:eastAsia="Calibri" w:cs="Calibri"/>
              </w:rPr>
            </w:pPr>
            <w:r>
              <w:rPr>
                <w:rFonts w:ascii="Calibri" w:hAnsi="Calibri" w:eastAsia="Calibri" w:cs="Calibri"/>
              </w:rPr>
              <w:t>35%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Monthly</w:t>
            </w:r>
          </w:p>
        </w:tc>
        <w:tc>
          <w:tcPr>
            <w:tcW w:w="2256" w:type="dxa"/>
          </w:tcPr>
          <w:p>
            <w:pPr>
              <w:spacing w:after="0" w:line="240" w:lineRule="auto"/>
              <w:rPr>
                <w:rFonts w:ascii="Calibri" w:hAnsi="Calibri" w:eastAsia="Calibri" w:cs="Calibri"/>
              </w:rPr>
            </w:pPr>
            <w:r>
              <w:rPr>
                <w:rFonts w:ascii="Calibri" w:hAnsi="Calibri" w:eastAsia="Calibri" w:cs="Calibri"/>
              </w:rPr>
              <w:t>1</w:t>
            </w:r>
          </w:p>
        </w:tc>
        <w:tc>
          <w:tcPr>
            <w:tcW w:w="2256" w:type="dxa"/>
          </w:tcPr>
          <w:p>
            <w:pPr>
              <w:spacing w:after="0" w:line="240" w:lineRule="auto"/>
              <w:rPr>
                <w:rFonts w:ascii="Calibri" w:hAnsi="Calibri" w:eastAsia="Calibri" w:cs="Calibri"/>
              </w:rPr>
            </w:pPr>
            <w:r>
              <w:rPr>
                <w:rFonts w:ascii="Calibri" w:hAnsi="Calibri" w:eastAsia="Calibri" w:cs="Calibri"/>
              </w:rPr>
              <w:t>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Not at all</w:t>
            </w:r>
          </w:p>
        </w:tc>
        <w:tc>
          <w:tcPr>
            <w:tcW w:w="2256" w:type="dxa"/>
          </w:tcPr>
          <w:p>
            <w:pPr>
              <w:spacing w:after="0" w:line="240" w:lineRule="auto"/>
              <w:rPr>
                <w:rFonts w:ascii="Calibri" w:hAnsi="Calibri" w:eastAsia="Calibri" w:cs="Calibri"/>
              </w:rPr>
            </w:pPr>
            <w:r>
              <w:rPr>
                <w:rFonts w:ascii="Calibri" w:hAnsi="Calibri" w:eastAsia="Calibri" w:cs="Calibri"/>
              </w:rPr>
              <w:t xml:space="preserve"> -</w:t>
            </w: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 xml:space="preserve"> 100%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5.</w:t>
            </w:r>
          </w:p>
        </w:tc>
        <w:tc>
          <w:tcPr>
            <w:tcW w:w="3973" w:type="dxa"/>
          </w:tcPr>
          <w:p>
            <w:pPr>
              <w:spacing w:after="0" w:line="240" w:lineRule="auto"/>
              <w:rPr>
                <w:rFonts w:ascii="Calibri" w:hAnsi="Calibri" w:eastAsia="Calibri" w:cs="Calibri"/>
              </w:rPr>
            </w:pPr>
            <w:r>
              <w:rPr>
                <w:rFonts w:ascii="Calibri" w:hAnsi="Calibri" w:eastAsia="Calibri" w:cs="Calibri"/>
              </w:rPr>
              <w:t>Why do you access Moodle?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For Guidance</w:t>
            </w:r>
          </w:p>
        </w:tc>
        <w:tc>
          <w:tcPr>
            <w:tcW w:w="2256" w:type="dxa"/>
          </w:tcPr>
          <w:p>
            <w:pPr>
              <w:spacing w:after="0" w:line="240" w:lineRule="auto"/>
              <w:rPr>
                <w:rFonts w:ascii="Calibri" w:hAnsi="Calibri" w:eastAsia="Calibri" w:cs="Calibri"/>
              </w:rPr>
            </w:pPr>
            <w:r>
              <w:rPr>
                <w:rFonts w:ascii="Calibri" w:hAnsi="Calibri" w:eastAsia="Calibri" w:cs="Calibri"/>
              </w:rPr>
              <w:t>9</w:t>
            </w:r>
          </w:p>
        </w:tc>
        <w:tc>
          <w:tcPr>
            <w:tcW w:w="2256" w:type="dxa"/>
          </w:tcPr>
          <w:p>
            <w:pPr>
              <w:spacing w:after="0" w:line="240" w:lineRule="auto"/>
              <w:rPr>
                <w:rFonts w:ascii="Calibri" w:hAnsi="Calibri" w:eastAsia="Calibri" w:cs="Calibri"/>
              </w:rPr>
            </w:pPr>
            <w:r>
              <w:rPr>
                <w:rFonts w:ascii="Calibri" w:hAnsi="Calibri" w:eastAsia="Calibri" w:cs="Calibri"/>
              </w:rPr>
              <w:t>45%.                     39.1%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 solve Academic problems</w:t>
            </w:r>
          </w:p>
        </w:tc>
        <w:tc>
          <w:tcPr>
            <w:tcW w:w="2256" w:type="dxa"/>
          </w:tcPr>
          <w:p>
            <w:pPr>
              <w:spacing w:after="0" w:line="240" w:lineRule="auto"/>
              <w:rPr>
                <w:rFonts w:ascii="Calibri" w:hAnsi="Calibri" w:eastAsia="Calibri" w:cs="Calibri"/>
              </w:rPr>
            </w:pPr>
            <w:r>
              <w:rPr>
                <w:rFonts w:ascii="Calibri" w:hAnsi="Calibri" w:eastAsia="Calibri" w:cs="Calibri"/>
              </w:rPr>
              <w:t>6</w:t>
            </w:r>
          </w:p>
        </w:tc>
        <w:tc>
          <w:tcPr>
            <w:tcW w:w="2256" w:type="dxa"/>
          </w:tcPr>
          <w:p>
            <w:pPr>
              <w:spacing w:after="0" w:line="240" w:lineRule="auto"/>
              <w:rPr>
                <w:rFonts w:ascii="Calibri" w:hAnsi="Calibri" w:eastAsia="Calibri" w:cs="Calibri"/>
              </w:rPr>
            </w:pPr>
            <w:r>
              <w:rPr>
                <w:rFonts w:ascii="Calibri" w:hAnsi="Calibri" w:eastAsia="Calibri" w:cs="Calibri"/>
              </w:rPr>
              <w:t>30%.                     26.1%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Additional resources</w:t>
            </w:r>
          </w:p>
        </w:tc>
        <w:tc>
          <w:tcPr>
            <w:tcW w:w="2256" w:type="dxa"/>
          </w:tcPr>
          <w:p>
            <w:pPr>
              <w:spacing w:after="0" w:line="240" w:lineRule="auto"/>
              <w:rPr>
                <w:rFonts w:ascii="Calibri" w:hAnsi="Calibri" w:eastAsia="Calibri" w:cs="Calibri"/>
              </w:rPr>
            </w:pPr>
            <w:r>
              <w:rPr>
                <w:rFonts w:ascii="Calibri" w:hAnsi="Calibri" w:eastAsia="Calibri" w:cs="Calibri"/>
              </w:rPr>
              <w:t>6</w:t>
            </w:r>
          </w:p>
        </w:tc>
        <w:tc>
          <w:tcPr>
            <w:tcW w:w="2256" w:type="dxa"/>
          </w:tcPr>
          <w:p>
            <w:pPr>
              <w:spacing w:after="0" w:line="240" w:lineRule="auto"/>
              <w:rPr>
                <w:rFonts w:ascii="Calibri" w:hAnsi="Calibri" w:eastAsia="Calibri" w:cs="Calibri"/>
              </w:rPr>
            </w:pPr>
            <w:r>
              <w:rPr>
                <w:rFonts w:ascii="Calibri" w:hAnsi="Calibri" w:eastAsia="Calibri" w:cs="Calibri"/>
              </w:rPr>
              <w:t>30%.                     26.1%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Others (Please specify)</w:t>
            </w:r>
          </w:p>
        </w:tc>
        <w:tc>
          <w:tcPr>
            <w:tcW w:w="2256" w:type="dxa"/>
          </w:tcPr>
          <w:p>
            <w:pPr>
              <w:spacing w:after="0" w:line="240" w:lineRule="auto"/>
              <w:rPr>
                <w:rFonts w:ascii="Calibri" w:hAnsi="Calibri" w:eastAsia="Calibri" w:cs="Calibri"/>
              </w:rPr>
            </w:pPr>
            <w:r>
              <w:rPr>
                <w:rFonts w:ascii="Calibri" w:hAnsi="Calibri" w:eastAsia="Calibri" w:cs="Calibri"/>
              </w:rPr>
              <w:t>2 (All the above)</w:t>
            </w:r>
          </w:p>
        </w:tc>
        <w:tc>
          <w:tcPr>
            <w:tcW w:w="2256" w:type="dxa"/>
          </w:tcPr>
          <w:p>
            <w:pPr>
              <w:spacing w:after="0" w:line="240" w:lineRule="auto"/>
              <w:rPr>
                <w:rFonts w:ascii="Calibri" w:hAnsi="Calibri" w:eastAsia="Calibri" w:cs="Calibri"/>
              </w:rPr>
            </w:pPr>
            <w:r>
              <w:rPr>
                <w:rFonts w:ascii="Calibri" w:hAnsi="Calibri" w:eastAsia="Calibri" w:cs="Calibri"/>
              </w:rPr>
              <w:t xml:space="preserve">10%.                      8.7%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23</w:t>
            </w:r>
          </w:p>
        </w:tc>
        <w:tc>
          <w:tcPr>
            <w:tcW w:w="2256" w:type="dxa"/>
          </w:tcPr>
          <w:p>
            <w:pPr>
              <w:spacing w:after="0" w:line="240" w:lineRule="auto"/>
              <w:rPr>
                <w:rFonts w:ascii="Calibri" w:hAnsi="Calibri" w:eastAsia="Calibri" w:cs="Calibri"/>
              </w:rPr>
            </w:pPr>
            <w:r>
              <w:rPr>
                <w:rFonts w:ascii="Calibri" w:hAnsi="Calibri" w:eastAsia="Calibri" w:cs="Calibri"/>
              </w:rPr>
              <w:t xml:space="preserve">115%                     100%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6.</w:t>
            </w:r>
          </w:p>
        </w:tc>
        <w:tc>
          <w:tcPr>
            <w:tcW w:w="3973" w:type="dxa"/>
          </w:tcPr>
          <w:p>
            <w:pPr>
              <w:spacing w:after="0" w:line="240" w:lineRule="auto"/>
              <w:rPr>
                <w:rFonts w:ascii="Calibri" w:hAnsi="Calibri" w:eastAsia="Calibri" w:cs="Calibri"/>
              </w:rPr>
            </w:pPr>
            <w:r>
              <w:rPr>
                <w:rFonts w:ascii="Calibri" w:hAnsi="Calibri" w:eastAsia="Calibri" w:cs="Calibri"/>
              </w:rPr>
              <w:t>Does Moodle give you the expected information?</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Yes</w:t>
            </w:r>
          </w:p>
        </w:tc>
        <w:tc>
          <w:tcPr>
            <w:tcW w:w="2256" w:type="dxa"/>
          </w:tcPr>
          <w:p>
            <w:pPr>
              <w:spacing w:after="0" w:line="240" w:lineRule="auto"/>
              <w:rPr>
                <w:rFonts w:ascii="Calibri" w:hAnsi="Calibri" w:eastAsia="Calibri" w:cs="Calibri"/>
              </w:rPr>
            </w:pPr>
            <w:r>
              <w:rPr>
                <w:rFonts w:ascii="Calibri" w:hAnsi="Calibri" w:eastAsia="Calibri" w:cs="Calibri"/>
              </w:rPr>
              <w:t>17</w:t>
            </w:r>
          </w:p>
        </w:tc>
        <w:tc>
          <w:tcPr>
            <w:tcW w:w="2256" w:type="dxa"/>
          </w:tcPr>
          <w:p>
            <w:pPr>
              <w:spacing w:after="0" w:line="240" w:lineRule="auto"/>
              <w:rPr>
                <w:rFonts w:ascii="Calibri" w:hAnsi="Calibri" w:eastAsia="Calibri" w:cs="Calibri"/>
              </w:rPr>
            </w:pPr>
            <w:r>
              <w:rPr>
                <w:rFonts w:ascii="Calibri" w:hAnsi="Calibri" w:eastAsia="Calibri" w:cs="Calibri"/>
              </w:rPr>
              <w:t>85%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No</w:t>
            </w:r>
          </w:p>
        </w:tc>
        <w:tc>
          <w:tcPr>
            <w:tcW w:w="2256" w:type="dxa"/>
          </w:tcPr>
          <w:p>
            <w:pPr>
              <w:spacing w:after="0" w:line="240" w:lineRule="auto"/>
              <w:rPr>
                <w:rFonts w:ascii="Calibri" w:hAnsi="Calibri" w:eastAsia="Calibri" w:cs="Calibri"/>
              </w:rPr>
            </w:pPr>
            <w:r>
              <w:rPr>
                <w:rFonts w:ascii="Calibri" w:hAnsi="Calibri" w:eastAsia="Calibri" w:cs="Calibri"/>
              </w:rPr>
              <w:t>3</w:t>
            </w:r>
          </w:p>
        </w:tc>
        <w:tc>
          <w:tcPr>
            <w:tcW w:w="2256" w:type="dxa"/>
          </w:tcPr>
          <w:p>
            <w:pPr>
              <w:spacing w:after="0" w:line="240" w:lineRule="auto"/>
              <w:rPr>
                <w:rFonts w:ascii="Calibri" w:hAnsi="Calibri" w:eastAsia="Calibri" w:cs="Calibri"/>
              </w:rPr>
            </w:pPr>
            <w:r>
              <w:rPr>
                <w:rFonts w:ascii="Calibri" w:hAnsi="Calibri" w:eastAsia="Calibri" w:cs="Calibri"/>
              </w:rPr>
              <w:t>15%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 xml:space="preserve">100%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7.</w:t>
            </w:r>
          </w:p>
        </w:tc>
        <w:tc>
          <w:tcPr>
            <w:tcW w:w="3973" w:type="dxa"/>
          </w:tcPr>
          <w:p>
            <w:pPr>
              <w:spacing w:after="0" w:line="240" w:lineRule="auto"/>
              <w:rPr>
                <w:rFonts w:ascii="Calibri" w:hAnsi="Calibri" w:eastAsia="Calibri" w:cs="Calibri"/>
              </w:rPr>
            </w:pPr>
            <w:r>
              <w:rPr>
                <w:rFonts w:ascii="Calibri" w:hAnsi="Calibri" w:eastAsia="Calibri" w:cs="Calibri"/>
              </w:rPr>
              <w:t>Has Moodle aided your learning Experience?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Yes</w:t>
            </w:r>
          </w:p>
        </w:tc>
        <w:tc>
          <w:tcPr>
            <w:tcW w:w="2256" w:type="dxa"/>
          </w:tcPr>
          <w:p>
            <w:pPr>
              <w:spacing w:after="0" w:line="240" w:lineRule="auto"/>
              <w:rPr>
                <w:rFonts w:ascii="Calibri" w:hAnsi="Calibri" w:eastAsia="Calibri" w:cs="Calibri"/>
              </w:rPr>
            </w:pPr>
            <w:r>
              <w:rPr>
                <w:rFonts w:ascii="Calibri" w:hAnsi="Calibri" w:eastAsia="Calibri" w:cs="Calibri"/>
              </w:rPr>
              <w:t>19</w:t>
            </w:r>
          </w:p>
        </w:tc>
        <w:tc>
          <w:tcPr>
            <w:tcW w:w="2256" w:type="dxa"/>
          </w:tcPr>
          <w:p>
            <w:pPr>
              <w:spacing w:after="0" w:line="240" w:lineRule="auto"/>
              <w:rPr>
                <w:rFonts w:ascii="Calibri" w:hAnsi="Calibri" w:eastAsia="Calibri" w:cs="Calibri"/>
              </w:rPr>
            </w:pPr>
            <w:r>
              <w:rPr>
                <w:rFonts w:ascii="Calibri" w:hAnsi="Calibri" w:eastAsia="Calibri" w:cs="Calibri"/>
              </w:rPr>
              <w:t>95%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No</w:t>
            </w:r>
          </w:p>
        </w:tc>
        <w:tc>
          <w:tcPr>
            <w:tcW w:w="2256" w:type="dxa"/>
          </w:tcPr>
          <w:p>
            <w:pPr>
              <w:spacing w:after="0" w:line="240" w:lineRule="auto"/>
              <w:rPr>
                <w:rFonts w:ascii="Calibri" w:hAnsi="Calibri" w:eastAsia="Calibri" w:cs="Calibri"/>
              </w:rPr>
            </w:pPr>
            <w:r>
              <w:rPr>
                <w:rFonts w:ascii="Calibri" w:hAnsi="Calibri" w:eastAsia="Calibri" w:cs="Calibri"/>
              </w:rPr>
              <w:t>1</w:t>
            </w:r>
          </w:p>
        </w:tc>
        <w:tc>
          <w:tcPr>
            <w:tcW w:w="2256" w:type="dxa"/>
          </w:tcPr>
          <w:p>
            <w:pPr>
              <w:spacing w:after="0" w:line="240" w:lineRule="auto"/>
              <w:rPr>
                <w:rFonts w:ascii="Calibri" w:hAnsi="Calibri" w:eastAsia="Calibri" w:cs="Calibri"/>
              </w:rPr>
            </w:pPr>
            <w:r>
              <w:rPr>
                <w:rFonts w:ascii="Calibri" w:hAnsi="Calibri" w:eastAsia="Calibri" w:cs="Calibri"/>
              </w:rPr>
              <w:t>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100%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8.</w:t>
            </w:r>
          </w:p>
        </w:tc>
        <w:tc>
          <w:tcPr>
            <w:tcW w:w="3973" w:type="dxa"/>
          </w:tcPr>
          <w:p>
            <w:pPr>
              <w:spacing w:after="0" w:line="240" w:lineRule="auto"/>
              <w:rPr>
                <w:rFonts w:ascii="Calibri" w:hAnsi="Calibri" w:eastAsia="Calibri" w:cs="Calibri"/>
              </w:rPr>
            </w:pPr>
            <w:r>
              <w:rPr>
                <w:rFonts w:ascii="Calibri" w:hAnsi="Calibri" w:eastAsia="Calibri" w:cs="Calibri"/>
              </w:rPr>
              <w:t>What information do you expect from Moodle?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Academic Guidance</w:t>
            </w:r>
          </w:p>
        </w:tc>
        <w:tc>
          <w:tcPr>
            <w:tcW w:w="2256" w:type="dxa"/>
          </w:tcPr>
          <w:p>
            <w:pPr>
              <w:spacing w:after="0" w:line="240" w:lineRule="auto"/>
              <w:rPr>
                <w:rFonts w:ascii="Calibri" w:hAnsi="Calibri" w:eastAsia="Calibri" w:cs="Calibri"/>
              </w:rPr>
            </w:pPr>
            <w:r>
              <w:rPr>
                <w:rFonts w:ascii="Calibri" w:hAnsi="Calibri" w:eastAsia="Calibri" w:cs="Calibri"/>
              </w:rPr>
              <w:t>15</w:t>
            </w:r>
          </w:p>
        </w:tc>
        <w:tc>
          <w:tcPr>
            <w:tcW w:w="2256" w:type="dxa"/>
          </w:tcPr>
          <w:p>
            <w:pPr>
              <w:spacing w:after="0" w:line="240" w:lineRule="auto"/>
              <w:rPr>
                <w:rFonts w:ascii="Calibri" w:hAnsi="Calibri" w:eastAsia="Calibri" w:cs="Calibri"/>
              </w:rPr>
            </w:pPr>
            <w:r>
              <w:rPr>
                <w:rFonts w:ascii="Calibri" w:hAnsi="Calibri" w:eastAsia="Calibri" w:cs="Calibri"/>
              </w:rPr>
              <w:t>75%                    55.5%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Personal Guidance</w:t>
            </w:r>
          </w:p>
        </w:tc>
        <w:tc>
          <w:tcPr>
            <w:tcW w:w="2256" w:type="dxa"/>
          </w:tcPr>
          <w:p>
            <w:pPr>
              <w:spacing w:after="0" w:line="240" w:lineRule="auto"/>
              <w:rPr>
                <w:rFonts w:ascii="Calibri" w:hAnsi="Calibri" w:eastAsia="Calibri" w:cs="Calibri"/>
              </w:rPr>
            </w:pPr>
            <w:r>
              <w:rPr>
                <w:rFonts w:ascii="Calibri" w:hAnsi="Calibri" w:eastAsia="Calibri" w:cs="Calibri"/>
              </w:rPr>
              <w:t>3</w:t>
            </w:r>
          </w:p>
        </w:tc>
        <w:tc>
          <w:tcPr>
            <w:tcW w:w="2256" w:type="dxa"/>
          </w:tcPr>
          <w:p>
            <w:pPr>
              <w:spacing w:after="0" w:line="240" w:lineRule="auto"/>
              <w:rPr>
                <w:rFonts w:ascii="Calibri" w:hAnsi="Calibri" w:eastAsia="Calibri" w:cs="Calibri"/>
              </w:rPr>
            </w:pPr>
            <w:r>
              <w:rPr>
                <w:rFonts w:ascii="Calibri" w:hAnsi="Calibri" w:eastAsia="Calibri" w:cs="Calibri"/>
              </w:rPr>
              <w:t>15%                     11.1%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Digital Guidance</w:t>
            </w:r>
          </w:p>
        </w:tc>
        <w:tc>
          <w:tcPr>
            <w:tcW w:w="2256" w:type="dxa"/>
          </w:tcPr>
          <w:p>
            <w:pPr>
              <w:spacing w:after="0" w:line="240" w:lineRule="auto"/>
              <w:rPr>
                <w:rFonts w:ascii="Calibri" w:hAnsi="Calibri" w:eastAsia="Calibri" w:cs="Calibri"/>
              </w:rPr>
            </w:pPr>
            <w:r>
              <w:rPr>
                <w:rFonts w:ascii="Calibri" w:hAnsi="Calibri" w:eastAsia="Calibri" w:cs="Calibri"/>
              </w:rPr>
              <w:t>2</w:t>
            </w:r>
          </w:p>
        </w:tc>
        <w:tc>
          <w:tcPr>
            <w:tcW w:w="2256" w:type="dxa"/>
          </w:tcPr>
          <w:p>
            <w:pPr>
              <w:spacing w:after="0" w:line="240" w:lineRule="auto"/>
              <w:rPr>
                <w:rFonts w:ascii="Calibri" w:hAnsi="Calibri" w:eastAsia="Calibri" w:cs="Calibri"/>
              </w:rPr>
            </w:pPr>
            <w:r>
              <w:rPr>
                <w:rFonts w:ascii="Calibri" w:hAnsi="Calibri" w:eastAsia="Calibri" w:cs="Calibri"/>
              </w:rPr>
              <w:t xml:space="preserve">10%.                     7.4%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Library Resources</w:t>
            </w:r>
          </w:p>
        </w:tc>
        <w:tc>
          <w:tcPr>
            <w:tcW w:w="2256" w:type="dxa"/>
          </w:tcPr>
          <w:p>
            <w:pPr>
              <w:spacing w:after="0" w:line="240" w:lineRule="auto"/>
              <w:rPr>
                <w:rFonts w:ascii="Calibri" w:hAnsi="Calibri" w:eastAsia="Calibri" w:cs="Calibri"/>
              </w:rPr>
            </w:pPr>
            <w:r>
              <w:rPr>
                <w:rFonts w:ascii="Calibri" w:hAnsi="Calibri" w:eastAsia="Calibri" w:cs="Calibri"/>
              </w:rPr>
              <w:t>5</w:t>
            </w:r>
          </w:p>
        </w:tc>
        <w:tc>
          <w:tcPr>
            <w:tcW w:w="2256" w:type="dxa"/>
          </w:tcPr>
          <w:p>
            <w:pPr>
              <w:spacing w:after="0" w:line="240" w:lineRule="auto"/>
              <w:rPr>
                <w:rFonts w:ascii="Calibri" w:hAnsi="Calibri" w:eastAsia="Calibri" w:cs="Calibri"/>
              </w:rPr>
            </w:pPr>
            <w:r>
              <w:rPr>
                <w:rFonts w:ascii="Calibri" w:hAnsi="Calibri" w:eastAsia="Calibri" w:cs="Calibri"/>
              </w:rPr>
              <w:t>25%.                      18%</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Others (Please specify)</w:t>
            </w:r>
          </w:p>
        </w:tc>
        <w:tc>
          <w:tcPr>
            <w:tcW w:w="2256" w:type="dxa"/>
          </w:tcPr>
          <w:p>
            <w:pPr>
              <w:spacing w:after="0" w:line="240" w:lineRule="auto"/>
              <w:rPr>
                <w:rFonts w:ascii="Calibri" w:hAnsi="Calibri" w:eastAsia="Calibri" w:cs="Calibri"/>
              </w:rPr>
            </w:pPr>
            <w:r>
              <w:rPr>
                <w:rFonts w:ascii="Calibri" w:hAnsi="Calibri" w:eastAsia="Calibri" w:cs="Calibri"/>
              </w:rPr>
              <w:t>2</w:t>
            </w:r>
          </w:p>
        </w:tc>
        <w:tc>
          <w:tcPr>
            <w:tcW w:w="2256" w:type="dxa"/>
          </w:tcPr>
          <w:p>
            <w:pPr>
              <w:spacing w:after="0" w:line="240" w:lineRule="auto"/>
              <w:rPr>
                <w:rFonts w:ascii="Calibri" w:hAnsi="Calibri" w:eastAsia="Calibri" w:cs="Calibri"/>
              </w:rPr>
            </w:pPr>
            <w:r>
              <w:rPr>
                <w:rFonts w:ascii="Calibri" w:hAnsi="Calibri" w:eastAsia="Calibri" w:cs="Calibri"/>
              </w:rPr>
              <w:t>10%.                      7.4%</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27</w:t>
            </w:r>
          </w:p>
        </w:tc>
        <w:tc>
          <w:tcPr>
            <w:tcW w:w="2256" w:type="dxa"/>
          </w:tcPr>
          <w:p>
            <w:pPr>
              <w:spacing w:after="0" w:line="240" w:lineRule="auto"/>
              <w:rPr>
                <w:rFonts w:ascii="Calibri" w:hAnsi="Calibri" w:eastAsia="Calibri" w:cs="Calibri"/>
              </w:rPr>
            </w:pPr>
            <w:r>
              <w:rPr>
                <w:rFonts w:ascii="Calibri" w:hAnsi="Calibri" w:eastAsia="Calibri" w:cs="Calibri"/>
              </w:rPr>
              <w:t>135%.                   100%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9.</w:t>
            </w:r>
          </w:p>
        </w:tc>
        <w:tc>
          <w:tcPr>
            <w:tcW w:w="3973" w:type="dxa"/>
          </w:tcPr>
          <w:p>
            <w:pPr>
              <w:spacing w:after="0" w:line="240" w:lineRule="auto"/>
              <w:rPr>
                <w:rFonts w:ascii="Calibri" w:hAnsi="Calibri" w:eastAsia="Calibri" w:cs="Calibri"/>
              </w:rPr>
            </w:pPr>
            <w:r>
              <w:rPr>
                <w:rFonts w:ascii="Calibri" w:hAnsi="Calibri" w:eastAsia="Calibri" w:cs="Calibri"/>
              </w:rPr>
              <w:t>Has Moodle been helpful to you Academically?</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Yes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100%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No</w:t>
            </w:r>
          </w:p>
        </w:tc>
        <w:tc>
          <w:tcPr>
            <w:tcW w:w="2256" w:type="dxa"/>
          </w:tcPr>
          <w:p>
            <w:pPr>
              <w:spacing w:after="0" w:line="240" w:lineRule="auto"/>
              <w:rPr>
                <w:rFonts w:ascii="Calibri" w:hAnsi="Calibri" w:eastAsia="Calibri" w:cs="Calibri"/>
              </w:rPr>
            </w:pPr>
            <w:r>
              <w:rPr>
                <w:rFonts w:ascii="Calibri" w:hAnsi="Calibri" w:eastAsia="Calibri" w:cs="Calibri"/>
              </w:rPr>
              <w:t xml:space="preserve"> -</w:t>
            </w: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100%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r>
              <w:rPr>
                <w:rFonts w:ascii="Calibri" w:hAnsi="Calibri" w:eastAsia="Calibri" w:cs="Calibri"/>
              </w:rPr>
              <w:t>10.</w:t>
            </w:r>
          </w:p>
        </w:tc>
        <w:tc>
          <w:tcPr>
            <w:tcW w:w="3973" w:type="dxa"/>
          </w:tcPr>
          <w:p>
            <w:pPr>
              <w:spacing w:after="0" w:line="240" w:lineRule="auto"/>
              <w:rPr>
                <w:rFonts w:ascii="Calibri" w:hAnsi="Calibri" w:eastAsia="Calibri" w:cs="Calibri"/>
              </w:rPr>
            </w:pPr>
            <w:r>
              <w:rPr>
                <w:rFonts w:ascii="Calibri" w:hAnsi="Calibri" w:eastAsia="Calibri" w:cs="Calibri"/>
              </w:rPr>
              <w:t>Has Moodle added any value to your learning experience?</w:t>
            </w:r>
          </w:p>
        </w:tc>
        <w:tc>
          <w:tcPr>
            <w:tcW w:w="2256" w:type="dxa"/>
          </w:tcPr>
          <w:p>
            <w:pPr>
              <w:spacing w:after="0" w:line="240" w:lineRule="auto"/>
              <w:rPr>
                <w:rFonts w:ascii="Calibri" w:hAnsi="Calibri" w:eastAsia="Calibri" w:cs="Calibri"/>
              </w:rPr>
            </w:pPr>
          </w:p>
        </w:tc>
        <w:tc>
          <w:tcPr>
            <w:tcW w:w="2256" w:type="dxa"/>
          </w:tcPr>
          <w:p>
            <w:pPr>
              <w:spacing w:after="0" w:line="240" w:lineRule="auto"/>
              <w:rPr>
                <w:rFonts w:ascii="Calibri" w:hAnsi="Calibri" w:eastAsia="Calibri" w:cs="Calibri"/>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Yes</w:t>
            </w:r>
          </w:p>
        </w:tc>
        <w:tc>
          <w:tcPr>
            <w:tcW w:w="2256" w:type="dxa"/>
          </w:tcPr>
          <w:p>
            <w:pPr>
              <w:spacing w:after="0" w:line="240" w:lineRule="auto"/>
              <w:rPr>
                <w:rFonts w:ascii="Calibri" w:hAnsi="Calibri" w:eastAsia="Calibri" w:cs="Calibri"/>
              </w:rPr>
            </w:pPr>
            <w:r>
              <w:rPr>
                <w:rFonts w:ascii="Calibri" w:hAnsi="Calibri" w:eastAsia="Calibri" w:cs="Calibri"/>
              </w:rPr>
              <w:t>18</w:t>
            </w:r>
          </w:p>
        </w:tc>
        <w:tc>
          <w:tcPr>
            <w:tcW w:w="2256" w:type="dxa"/>
          </w:tcPr>
          <w:p>
            <w:pPr>
              <w:spacing w:after="0" w:line="240" w:lineRule="auto"/>
              <w:rPr>
                <w:rFonts w:ascii="Calibri" w:hAnsi="Calibri" w:eastAsia="Calibri" w:cs="Calibri"/>
              </w:rPr>
            </w:pPr>
            <w:r>
              <w:rPr>
                <w:rFonts w:ascii="Calibri" w:hAnsi="Calibri" w:eastAsia="Calibri" w:cs="Calibri"/>
              </w:rPr>
              <w:t>90%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No</w:t>
            </w:r>
          </w:p>
        </w:tc>
        <w:tc>
          <w:tcPr>
            <w:tcW w:w="2256" w:type="dxa"/>
          </w:tcPr>
          <w:p>
            <w:pPr>
              <w:spacing w:after="0" w:line="240" w:lineRule="auto"/>
              <w:rPr>
                <w:rFonts w:ascii="Calibri" w:hAnsi="Calibri" w:eastAsia="Calibri" w:cs="Calibri"/>
              </w:rPr>
            </w:pPr>
            <w:r>
              <w:rPr>
                <w:rFonts w:ascii="Calibri" w:hAnsi="Calibri" w:eastAsia="Calibri" w:cs="Calibri"/>
              </w:rPr>
              <w:t>1</w:t>
            </w:r>
          </w:p>
        </w:tc>
        <w:tc>
          <w:tcPr>
            <w:tcW w:w="2256" w:type="dxa"/>
          </w:tcPr>
          <w:p>
            <w:pPr>
              <w:spacing w:after="0" w:line="240" w:lineRule="auto"/>
              <w:rPr>
                <w:rFonts w:ascii="Calibri" w:hAnsi="Calibri" w:eastAsia="Calibri" w:cs="Calibri"/>
              </w:rPr>
            </w:pPr>
            <w:r>
              <w:rPr>
                <w:rFonts w:ascii="Calibri" w:hAnsi="Calibri" w:eastAsia="Calibri" w:cs="Calibri"/>
              </w:rPr>
              <w:t>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Other</w:t>
            </w:r>
          </w:p>
        </w:tc>
        <w:tc>
          <w:tcPr>
            <w:tcW w:w="2256" w:type="dxa"/>
          </w:tcPr>
          <w:p>
            <w:pPr>
              <w:spacing w:after="0" w:line="240" w:lineRule="auto"/>
              <w:rPr>
                <w:rFonts w:ascii="Calibri" w:hAnsi="Calibri" w:eastAsia="Calibri" w:cs="Calibri"/>
              </w:rPr>
            </w:pPr>
            <w:r>
              <w:rPr>
                <w:rFonts w:ascii="Calibri" w:hAnsi="Calibri" w:eastAsia="Calibri" w:cs="Calibri"/>
              </w:rPr>
              <w:t>1</w:t>
            </w:r>
          </w:p>
        </w:tc>
        <w:tc>
          <w:tcPr>
            <w:tcW w:w="2256" w:type="dxa"/>
          </w:tcPr>
          <w:p>
            <w:pPr>
              <w:spacing w:after="0" w:line="240" w:lineRule="auto"/>
              <w:rPr>
                <w:rFonts w:ascii="Calibri" w:hAnsi="Calibri" w:eastAsia="Calibri" w:cs="Calibri"/>
              </w:rPr>
            </w:pPr>
            <w:r>
              <w:rPr>
                <w:rFonts w:ascii="Calibri" w:hAnsi="Calibri" w:eastAsia="Calibri" w:cs="Calibri"/>
              </w:rPr>
              <w:t>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540" w:type="dxa"/>
          </w:tcPr>
          <w:p>
            <w:pPr>
              <w:spacing w:after="0" w:line="240" w:lineRule="auto"/>
              <w:rPr>
                <w:rFonts w:ascii="Calibri" w:hAnsi="Calibri" w:eastAsia="Calibri" w:cs="Calibri"/>
              </w:rPr>
            </w:pPr>
          </w:p>
        </w:tc>
        <w:tc>
          <w:tcPr>
            <w:tcW w:w="3973" w:type="dxa"/>
          </w:tcPr>
          <w:p>
            <w:pPr>
              <w:spacing w:after="0" w:line="240" w:lineRule="auto"/>
              <w:rPr>
                <w:rFonts w:ascii="Calibri" w:hAnsi="Calibri" w:eastAsia="Calibri" w:cs="Calibri"/>
              </w:rPr>
            </w:pPr>
            <w:r>
              <w:rPr>
                <w:rFonts w:ascii="Calibri" w:hAnsi="Calibri" w:eastAsia="Calibri" w:cs="Calibri"/>
              </w:rPr>
              <w:t>TOTAL RESPONSES</w:t>
            </w:r>
          </w:p>
        </w:tc>
        <w:tc>
          <w:tcPr>
            <w:tcW w:w="2256" w:type="dxa"/>
          </w:tcPr>
          <w:p>
            <w:pPr>
              <w:spacing w:after="0" w:line="240" w:lineRule="auto"/>
              <w:rPr>
                <w:rFonts w:ascii="Calibri" w:hAnsi="Calibri" w:eastAsia="Calibri" w:cs="Calibri"/>
              </w:rPr>
            </w:pPr>
            <w:r>
              <w:rPr>
                <w:rFonts w:ascii="Calibri" w:hAnsi="Calibri" w:eastAsia="Calibri" w:cs="Calibri"/>
              </w:rPr>
              <w:t>20</w:t>
            </w:r>
          </w:p>
        </w:tc>
        <w:tc>
          <w:tcPr>
            <w:tcW w:w="2256" w:type="dxa"/>
          </w:tcPr>
          <w:p>
            <w:pPr>
              <w:spacing w:after="0" w:line="240" w:lineRule="auto"/>
              <w:rPr>
                <w:rFonts w:ascii="Calibri" w:hAnsi="Calibri" w:eastAsia="Calibri" w:cs="Calibri"/>
              </w:rPr>
            </w:pPr>
            <w:r>
              <w:rPr>
                <w:rFonts w:ascii="Calibri" w:hAnsi="Calibri" w:eastAsia="Calibri" w:cs="Calibri"/>
              </w:rPr>
              <w:t>100%</w:t>
            </w:r>
          </w:p>
        </w:tc>
      </w:tr>
    </w:tbl>
    <w:p/>
    <w:p>
      <w:pPr>
        <w:jc w:val="center"/>
        <w:rPr>
          <w:rFonts w:ascii="Calibri" w:hAnsi="Calibri" w:eastAsia="Calibri" w:cs="Calibri"/>
          <w:sz w:val="28"/>
          <w:szCs w:val="28"/>
        </w:rPr>
      </w:pPr>
    </w:p>
    <w:p>
      <w:pPr>
        <w:ind w:left="720"/>
        <w:jc w:val="both"/>
        <w:rPr>
          <w:sz w:val="28"/>
          <w:szCs w:val="28"/>
        </w:rPr>
      </w:pPr>
      <w:bookmarkStart w:id="0" w:name="_MON_1650654757"/>
      <w:bookmarkEnd w:id="0"/>
      <w:r>
        <w:rPr>
          <w:sz w:val="28"/>
          <w:szCs w:val="28"/>
        </w:rPr>
        <w:object>
          <v:shape id="_x0000_i1025" o:spt="75" type="#_x0000_t75" style="height:501.75pt;width:378pt;" o:ole="t" filled="f" o:preferrelative="t" stroked="f" coordsize="21600,21600">
            <v:path/>
            <v:fill on="f" focussize="0,0"/>
            <v:stroke on="f" joinstyle="miter"/>
            <v:imagedata r:id="rId16" o:title="oleimage"/>
            <o:lock v:ext="edit" aspectratio="t"/>
            <w10:wrap type="none"/>
            <w10:anchorlock/>
          </v:shape>
          <o:OLEObject Type="Embed" ProgID="Excel.Sheet.12" ShapeID="_x0000_i1025" DrawAspect="Content" ObjectID="_1468075725" r:id="rId15">
            <o:LockedField>false</o:LockedField>
          </o:OLEObject>
        </w:object>
      </w:r>
    </w:p>
    <w:p>
      <w:pPr>
        <w:ind w:left="720"/>
        <w:jc w:val="both"/>
        <w:rPr>
          <w:sz w:val="28"/>
          <w:szCs w:val="28"/>
        </w:rPr>
      </w:pPr>
    </w:p>
    <w:p>
      <w:pPr>
        <w:ind w:left="720"/>
        <w:jc w:val="both"/>
        <w:rPr>
          <w:sz w:val="28"/>
          <w:szCs w:val="28"/>
        </w:rPr>
      </w:pPr>
    </w:p>
    <w:p>
      <w:pPr>
        <w:ind w:left="720"/>
        <w:jc w:val="both"/>
        <w:rPr>
          <w:sz w:val="28"/>
          <w:szCs w:val="28"/>
        </w:rPr>
      </w:pPr>
    </w:p>
    <w:p>
      <w:pPr>
        <w:ind w:left="720"/>
        <w:jc w:val="both"/>
        <w:rPr>
          <w:sz w:val="28"/>
          <w:szCs w:val="28"/>
        </w:rPr>
      </w:pPr>
    </w:p>
    <w:p>
      <w:pPr>
        <w:ind w:left="720"/>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rPr>
          <w:sz w:val="28"/>
          <w:szCs w:val="28"/>
        </w:rPr>
      </w:pPr>
    </w:p>
    <w:p>
      <w:pPr>
        <w:jc w:val="both"/>
      </w:pPr>
    </w:p>
    <w:p>
      <w:pPr>
        <w:jc w:val="both"/>
      </w:pPr>
    </w:p>
    <w:p>
      <w:pPr>
        <w:jc w:val="both"/>
      </w:pPr>
    </w:p>
    <w:p>
      <w:pPr>
        <w:jc w:val="both"/>
        <w:rPr>
          <w:sz w:val="28"/>
          <w:szCs w:val="28"/>
        </w:rPr>
      </w:pPr>
    </w:p>
    <w:p>
      <w:pPr>
        <w:jc w:val="both"/>
      </w:pPr>
    </w:p>
    <w:sectPr>
      <w:footerReference r:id="rId3" w:type="default"/>
      <w:pgSz w:w="11906" w:h="16838"/>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Songti SC"/>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eiti SC"/>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86"/>
    <w:family w:val="swiss"/>
    <w:pitch w:val="default"/>
    <w:sig w:usb0="00000000" w:usb1="00000000" w:usb2="00000001" w:usb3="00000000" w:csb0="0000019F" w:csb1="00000000"/>
  </w:font>
  <w:font w:name="Songti SC">
    <w:panose1 w:val="02010800040101010101"/>
    <w:charset w:val="86"/>
    <w:family w:val="auto"/>
    <w:pitch w:val="default"/>
    <w:sig w:usb0="00000001" w:usb1="080F0000" w:usb2="00000000" w:usb3="00000000" w:csb0="00040000" w:csb1="00000000"/>
  </w:font>
  <w:font w:name="Heiti SC">
    <w:panose1 w:val="02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SimSun">
    <w:altName w:val="Songti SC"/>
    <w:panose1 w:val="00000000000000000000"/>
    <w:charset w:val="86"/>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FF" w:csb1="00000000"/>
  </w:font>
  <w:font w:name="Calibri">
    <w:altName w:val="Helvetica Neue"/>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795370"/>
    </w:sdtPr>
    <w:sdtContent>
      <w:p>
        <w:pPr>
          <w:pStyle w:val="3"/>
          <w:jc w:val="right"/>
        </w:pPr>
        <w:r>
          <w:fldChar w:fldCharType="begin"/>
        </w:r>
        <w:r>
          <w:instrText xml:space="preserve"> PAGE   \* MERGEFORMAT </w:instrText>
        </w:r>
        <w:r>
          <w:fldChar w:fldCharType="separate"/>
        </w:r>
        <w:r>
          <w:t>2</w:t>
        </w:r>
        <w:r>
          <w:fldChar w:fldCharType="end"/>
        </w: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B73449"/>
    <w:multiLevelType w:val="multilevel"/>
    <w:tmpl w:val="5EB73449"/>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
    <w:nsid w:val="5EB73454"/>
    <w:multiLevelType w:val="multilevel"/>
    <w:tmpl w:val="5EB73454"/>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5EB7345F"/>
    <w:multiLevelType w:val="multilevel"/>
    <w:tmpl w:val="5EB7345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5EB7346A"/>
    <w:multiLevelType w:val="multilevel"/>
    <w:tmpl w:val="5EB7346A"/>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5EB73475"/>
    <w:multiLevelType w:val="multilevel"/>
    <w:tmpl w:val="5EB73475"/>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
    <w:nsid w:val="5EB73480"/>
    <w:multiLevelType w:val="multilevel"/>
    <w:tmpl w:val="5EB73480"/>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6">
    <w:nsid w:val="5EB7348B"/>
    <w:multiLevelType w:val="multilevel"/>
    <w:tmpl w:val="5EB7348B"/>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7">
    <w:nsid w:val="5EB73496"/>
    <w:multiLevelType w:val="multilevel"/>
    <w:tmpl w:val="5EB73496"/>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8">
    <w:nsid w:val="5EB734A1"/>
    <w:multiLevelType w:val="multilevel"/>
    <w:tmpl w:val="5EB734A1"/>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9">
    <w:nsid w:val="5EB734AC"/>
    <w:multiLevelType w:val="multilevel"/>
    <w:tmpl w:val="5EB734AC"/>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0">
    <w:nsid w:val="5EB734B7"/>
    <w:multiLevelType w:val="multilevel"/>
    <w:tmpl w:val="5EB734B7"/>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1">
    <w:nsid w:val="5EB734C2"/>
    <w:multiLevelType w:val="multilevel"/>
    <w:tmpl w:val="5EB734C2"/>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2">
    <w:nsid w:val="5EB734CD"/>
    <w:multiLevelType w:val="multilevel"/>
    <w:tmpl w:val="5EB734CD"/>
    <w:lvl w:ilvl="0" w:tentative="0">
      <w:start w:val="1"/>
      <w:numFmt w:val="bullet"/>
      <w:lvlText w:val=""/>
      <w:lvlJc w:val="left"/>
      <w:pPr>
        <w:ind w:left="720" w:hanging="360"/>
      </w:pPr>
      <w:rPr>
        <w:rFonts w:hint="default" w:ascii="Symbol" w:hAnsi="Symbol"/>
      </w:rPr>
    </w:lvl>
    <w:lvl w:ilvl="1" w:tentative="0">
      <w:start w:val="1"/>
      <w:numFmt w:val="bullet"/>
      <w:lvlText w:val=""/>
      <w:lvlJc w:val="left"/>
      <w:pPr>
        <w:ind w:left="1440" w:hanging="360"/>
      </w:pPr>
      <w:rPr>
        <w:rFonts w:hint="default" w:ascii="Symbol" w:hAnsi="Symbo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2D6486"/>
    <w:rsid w:val="000762A2"/>
    <w:rsid w:val="0025D0BE"/>
    <w:rsid w:val="00277A55"/>
    <w:rsid w:val="00296ADA"/>
    <w:rsid w:val="003A0636"/>
    <w:rsid w:val="003B41DC"/>
    <w:rsid w:val="004141CD"/>
    <w:rsid w:val="00553781"/>
    <w:rsid w:val="00653B5A"/>
    <w:rsid w:val="006D4DFA"/>
    <w:rsid w:val="00706C5B"/>
    <w:rsid w:val="0089D335"/>
    <w:rsid w:val="008C7611"/>
    <w:rsid w:val="0093667E"/>
    <w:rsid w:val="00A72483"/>
    <w:rsid w:val="00AF28A4"/>
    <w:rsid w:val="00B13B45"/>
    <w:rsid w:val="00B75148"/>
    <w:rsid w:val="00BD4E0C"/>
    <w:rsid w:val="00C6437D"/>
    <w:rsid w:val="00D813AE"/>
    <w:rsid w:val="00DD3CB1"/>
    <w:rsid w:val="00E30758"/>
    <w:rsid w:val="00F04890"/>
    <w:rsid w:val="00F46DC6"/>
    <w:rsid w:val="010F68A9"/>
    <w:rsid w:val="01145BBE"/>
    <w:rsid w:val="011D04C2"/>
    <w:rsid w:val="0125665C"/>
    <w:rsid w:val="0152AF88"/>
    <w:rsid w:val="0155C118"/>
    <w:rsid w:val="01B3D514"/>
    <w:rsid w:val="01CD5780"/>
    <w:rsid w:val="01DC5943"/>
    <w:rsid w:val="01F39293"/>
    <w:rsid w:val="01F7FF2F"/>
    <w:rsid w:val="01FFB5AE"/>
    <w:rsid w:val="01FFCD52"/>
    <w:rsid w:val="02099AD3"/>
    <w:rsid w:val="0220381B"/>
    <w:rsid w:val="022B1136"/>
    <w:rsid w:val="024238C4"/>
    <w:rsid w:val="0245F7AD"/>
    <w:rsid w:val="02652D47"/>
    <w:rsid w:val="02BDAA1C"/>
    <w:rsid w:val="0331DE1C"/>
    <w:rsid w:val="033D41E6"/>
    <w:rsid w:val="0348C215"/>
    <w:rsid w:val="0358BE65"/>
    <w:rsid w:val="035AF78F"/>
    <w:rsid w:val="03775791"/>
    <w:rsid w:val="039AB6CC"/>
    <w:rsid w:val="039D96EF"/>
    <w:rsid w:val="039F5908"/>
    <w:rsid w:val="03B0A485"/>
    <w:rsid w:val="03B30467"/>
    <w:rsid w:val="03B71E30"/>
    <w:rsid w:val="03DFCC66"/>
    <w:rsid w:val="04078F0C"/>
    <w:rsid w:val="040FACB6"/>
    <w:rsid w:val="0436B286"/>
    <w:rsid w:val="045FD1A9"/>
    <w:rsid w:val="0473931B"/>
    <w:rsid w:val="048535DE"/>
    <w:rsid w:val="049C624B"/>
    <w:rsid w:val="051254CE"/>
    <w:rsid w:val="054B8FBF"/>
    <w:rsid w:val="054C84C3"/>
    <w:rsid w:val="05B213C6"/>
    <w:rsid w:val="05B68DDF"/>
    <w:rsid w:val="05ED2F5C"/>
    <w:rsid w:val="05EF1FA3"/>
    <w:rsid w:val="06001438"/>
    <w:rsid w:val="063FFB7F"/>
    <w:rsid w:val="0647A14C"/>
    <w:rsid w:val="0663A311"/>
    <w:rsid w:val="0665AF40"/>
    <w:rsid w:val="066F48F0"/>
    <w:rsid w:val="068D80C3"/>
    <w:rsid w:val="06BD6FF9"/>
    <w:rsid w:val="06C6DD47"/>
    <w:rsid w:val="06E1F400"/>
    <w:rsid w:val="06FB84FE"/>
    <w:rsid w:val="073637B7"/>
    <w:rsid w:val="078E0941"/>
    <w:rsid w:val="07924990"/>
    <w:rsid w:val="07D23F22"/>
    <w:rsid w:val="07D81820"/>
    <w:rsid w:val="07E2505E"/>
    <w:rsid w:val="0839F7DC"/>
    <w:rsid w:val="083E6551"/>
    <w:rsid w:val="083FDE94"/>
    <w:rsid w:val="08453E36"/>
    <w:rsid w:val="085D3E38"/>
    <w:rsid w:val="086BAC5D"/>
    <w:rsid w:val="0876FC70"/>
    <w:rsid w:val="089995F7"/>
    <w:rsid w:val="08AEEDE6"/>
    <w:rsid w:val="08EC994B"/>
    <w:rsid w:val="08F653DE"/>
    <w:rsid w:val="0942E341"/>
    <w:rsid w:val="095B7AA2"/>
    <w:rsid w:val="096775E8"/>
    <w:rsid w:val="097CB668"/>
    <w:rsid w:val="09AFBC16"/>
    <w:rsid w:val="09B87ABE"/>
    <w:rsid w:val="09F130DF"/>
    <w:rsid w:val="0A0D975A"/>
    <w:rsid w:val="0A22CE39"/>
    <w:rsid w:val="0A277AD2"/>
    <w:rsid w:val="0A501A96"/>
    <w:rsid w:val="0A630957"/>
    <w:rsid w:val="0A880909"/>
    <w:rsid w:val="0A88D7AE"/>
    <w:rsid w:val="0AA3843C"/>
    <w:rsid w:val="0ABA4EA4"/>
    <w:rsid w:val="0ADA37BF"/>
    <w:rsid w:val="0AF9B9F5"/>
    <w:rsid w:val="0B09C06D"/>
    <w:rsid w:val="0B10FE35"/>
    <w:rsid w:val="0B1F52B4"/>
    <w:rsid w:val="0B236D28"/>
    <w:rsid w:val="0B2E2EB5"/>
    <w:rsid w:val="0B7AE0F3"/>
    <w:rsid w:val="0B8C76A2"/>
    <w:rsid w:val="0BC9DF35"/>
    <w:rsid w:val="0BD12B58"/>
    <w:rsid w:val="0BD92889"/>
    <w:rsid w:val="0C276C72"/>
    <w:rsid w:val="0C294866"/>
    <w:rsid w:val="0C479AC7"/>
    <w:rsid w:val="0C939A92"/>
    <w:rsid w:val="0CCE3D07"/>
    <w:rsid w:val="0CFF0E44"/>
    <w:rsid w:val="0D3F531C"/>
    <w:rsid w:val="0D688F2C"/>
    <w:rsid w:val="0D72C40C"/>
    <w:rsid w:val="0D876920"/>
    <w:rsid w:val="0D88B548"/>
    <w:rsid w:val="0DD10679"/>
    <w:rsid w:val="0DE757B4"/>
    <w:rsid w:val="0DF04708"/>
    <w:rsid w:val="0E064254"/>
    <w:rsid w:val="0E3BB00A"/>
    <w:rsid w:val="0E625CC5"/>
    <w:rsid w:val="0E8A9001"/>
    <w:rsid w:val="0EB6E653"/>
    <w:rsid w:val="0EC831FD"/>
    <w:rsid w:val="0ED5E14C"/>
    <w:rsid w:val="0EF06015"/>
    <w:rsid w:val="0F356063"/>
    <w:rsid w:val="0F385862"/>
    <w:rsid w:val="0F3AB6D9"/>
    <w:rsid w:val="0F4C7DEE"/>
    <w:rsid w:val="0F523E08"/>
    <w:rsid w:val="0F5740FB"/>
    <w:rsid w:val="0F59D8EF"/>
    <w:rsid w:val="0F6EC098"/>
    <w:rsid w:val="0F87C36D"/>
    <w:rsid w:val="0FAC63C9"/>
    <w:rsid w:val="0FB1D9E3"/>
    <w:rsid w:val="0FB9A73A"/>
    <w:rsid w:val="0FE78B79"/>
    <w:rsid w:val="0FF0AFEB"/>
    <w:rsid w:val="100C8E2B"/>
    <w:rsid w:val="1014BB46"/>
    <w:rsid w:val="10185EF4"/>
    <w:rsid w:val="101AFD75"/>
    <w:rsid w:val="1041AE17"/>
    <w:rsid w:val="10599778"/>
    <w:rsid w:val="1063565A"/>
    <w:rsid w:val="1069B6AB"/>
    <w:rsid w:val="106B4C3A"/>
    <w:rsid w:val="107EAE93"/>
    <w:rsid w:val="10B00E79"/>
    <w:rsid w:val="10B63822"/>
    <w:rsid w:val="10D94D6A"/>
    <w:rsid w:val="10FB842E"/>
    <w:rsid w:val="111FE7DB"/>
    <w:rsid w:val="113F16AB"/>
    <w:rsid w:val="113FCB25"/>
    <w:rsid w:val="114FB7D5"/>
    <w:rsid w:val="11744C9B"/>
    <w:rsid w:val="11797D76"/>
    <w:rsid w:val="11857689"/>
    <w:rsid w:val="118A1F99"/>
    <w:rsid w:val="118D5F50"/>
    <w:rsid w:val="11A3C9F6"/>
    <w:rsid w:val="11B65EA8"/>
    <w:rsid w:val="11C1C08F"/>
    <w:rsid w:val="11EDACA3"/>
    <w:rsid w:val="11F3434D"/>
    <w:rsid w:val="11FC4F64"/>
    <w:rsid w:val="1205C584"/>
    <w:rsid w:val="121951B2"/>
    <w:rsid w:val="121C79EE"/>
    <w:rsid w:val="121E9D5B"/>
    <w:rsid w:val="12485E0D"/>
    <w:rsid w:val="125D996C"/>
    <w:rsid w:val="12771204"/>
    <w:rsid w:val="1277B88A"/>
    <w:rsid w:val="1278B7A3"/>
    <w:rsid w:val="129C9994"/>
    <w:rsid w:val="12AB929A"/>
    <w:rsid w:val="13209325"/>
    <w:rsid w:val="1323D88E"/>
    <w:rsid w:val="132CA15A"/>
    <w:rsid w:val="132D6486"/>
    <w:rsid w:val="13564BA5"/>
    <w:rsid w:val="135E9E0B"/>
    <w:rsid w:val="1361946A"/>
    <w:rsid w:val="136F4018"/>
    <w:rsid w:val="1380DB31"/>
    <w:rsid w:val="13A97929"/>
    <w:rsid w:val="13BF1EB2"/>
    <w:rsid w:val="13E04AE5"/>
    <w:rsid w:val="13F55AB3"/>
    <w:rsid w:val="140D7039"/>
    <w:rsid w:val="1418743C"/>
    <w:rsid w:val="143BFE36"/>
    <w:rsid w:val="1458CFB5"/>
    <w:rsid w:val="146E2A26"/>
    <w:rsid w:val="14C91CE7"/>
    <w:rsid w:val="14DDDE48"/>
    <w:rsid w:val="14E6B2F0"/>
    <w:rsid w:val="151F8B31"/>
    <w:rsid w:val="1528F28F"/>
    <w:rsid w:val="153FEF8A"/>
    <w:rsid w:val="1573AB3D"/>
    <w:rsid w:val="15881392"/>
    <w:rsid w:val="1600D794"/>
    <w:rsid w:val="160CE085"/>
    <w:rsid w:val="16416335"/>
    <w:rsid w:val="1641C81F"/>
    <w:rsid w:val="164420D9"/>
    <w:rsid w:val="164B387D"/>
    <w:rsid w:val="16584D93"/>
    <w:rsid w:val="167200A7"/>
    <w:rsid w:val="1677D859"/>
    <w:rsid w:val="168623FE"/>
    <w:rsid w:val="169E5D96"/>
    <w:rsid w:val="16B4F3D3"/>
    <w:rsid w:val="16BDDA91"/>
    <w:rsid w:val="16C1A376"/>
    <w:rsid w:val="16D04376"/>
    <w:rsid w:val="16D099D5"/>
    <w:rsid w:val="16F90A4E"/>
    <w:rsid w:val="170B2B32"/>
    <w:rsid w:val="1717DE9B"/>
    <w:rsid w:val="1721C7F3"/>
    <w:rsid w:val="17558C5E"/>
    <w:rsid w:val="17B78D9E"/>
    <w:rsid w:val="17B96C21"/>
    <w:rsid w:val="17CBEF44"/>
    <w:rsid w:val="17D2AA9B"/>
    <w:rsid w:val="17D6E26C"/>
    <w:rsid w:val="17D871FA"/>
    <w:rsid w:val="1810A642"/>
    <w:rsid w:val="18137602"/>
    <w:rsid w:val="183C1F81"/>
    <w:rsid w:val="184A3D6E"/>
    <w:rsid w:val="185764ED"/>
    <w:rsid w:val="18712AAD"/>
    <w:rsid w:val="18A4F861"/>
    <w:rsid w:val="18AC956B"/>
    <w:rsid w:val="18B7D1E2"/>
    <w:rsid w:val="18C1054F"/>
    <w:rsid w:val="18EDD454"/>
    <w:rsid w:val="1910BAAC"/>
    <w:rsid w:val="192525B7"/>
    <w:rsid w:val="19254B4D"/>
    <w:rsid w:val="198538C2"/>
    <w:rsid w:val="19955F1D"/>
    <w:rsid w:val="199F162B"/>
    <w:rsid w:val="19B00388"/>
    <w:rsid w:val="19B1DCAD"/>
    <w:rsid w:val="19DE7962"/>
    <w:rsid w:val="19DFEFC2"/>
    <w:rsid w:val="19E9659D"/>
    <w:rsid w:val="1A3A6B88"/>
    <w:rsid w:val="1A5CB46F"/>
    <w:rsid w:val="1A7B255F"/>
    <w:rsid w:val="1A7DBC8B"/>
    <w:rsid w:val="1A85B84F"/>
    <w:rsid w:val="1A975100"/>
    <w:rsid w:val="1A985949"/>
    <w:rsid w:val="1AA29E89"/>
    <w:rsid w:val="1AE41FDE"/>
    <w:rsid w:val="1AE918D0"/>
    <w:rsid w:val="1AEE8572"/>
    <w:rsid w:val="1B14F277"/>
    <w:rsid w:val="1B48379A"/>
    <w:rsid w:val="1B8A1CE4"/>
    <w:rsid w:val="1B98F862"/>
    <w:rsid w:val="1BB37ADC"/>
    <w:rsid w:val="1BD17709"/>
    <w:rsid w:val="1BE2744D"/>
    <w:rsid w:val="1C10A294"/>
    <w:rsid w:val="1C4D3ADE"/>
    <w:rsid w:val="1C6FC31F"/>
    <w:rsid w:val="1C727602"/>
    <w:rsid w:val="1C816CD4"/>
    <w:rsid w:val="1C8F4070"/>
    <w:rsid w:val="1CA10854"/>
    <w:rsid w:val="1CCA6E84"/>
    <w:rsid w:val="1CDCA30B"/>
    <w:rsid w:val="1CDE50A5"/>
    <w:rsid w:val="1D10099E"/>
    <w:rsid w:val="1D1292F2"/>
    <w:rsid w:val="1D146462"/>
    <w:rsid w:val="1D31F0B9"/>
    <w:rsid w:val="1D525A21"/>
    <w:rsid w:val="1D60CEF3"/>
    <w:rsid w:val="1D7274AE"/>
    <w:rsid w:val="1DAA0414"/>
    <w:rsid w:val="1DC08E75"/>
    <w:rsid w:val="1DD60835"/>
    <w:rsid w:val="1DF266F9"/>
    <w:rsid w:val="1E29D47E"/>
    <w:rsid w:val="1E4CE906"/>
    <w:rsid w:val="1E5ABA85"/>
    <w:rsid w:val="1E6871A1"/>
    <w:rsid w:val="1E77807D"/>
    <w:rsid w:val="1E7BF029"/>
    <w:rsid w:val="1E98E846"/>
    <w:rsid w:val="1E9A1469"/>
    <w:rsid w:val="1EC867B8"/>
    <w:rsid w:val="1EE5A9F1"/>
    <w:rsid w:val="1F26C2F3"/>
    <w:rsid w:val="1F438F0F"/>
    <w:rsid w:val="1F5DC03B"/>
    <w:rsid w:val="1F62817B"/>
    <w:rsid w:val="1FA5B21B"/>
    <w:rsid w:val="1FB48748"/>
    <w:rsid w:val="1FB8F2C5"/>
    <w:rsid w:val="1FE0579E"/>
    <w:rsid w:val="1FE3AB6F"/>
    <w:rsid w:val="1FF9BBF9"/>
    <w:rsid w:val="2031B8B7"/>
    <w:rsid w:val="206951D3"/>
    <w:rsid w:val="206B9A42"/>
    <w:rsid w:val="206E853D"/>
    <w:rsid w:val="207D4C3B"/>
    <w:rsid w:val="20B4607A"/>
    <w:rsid w:val="20B5DA3A"/>
    <w:rsid w:val="20B60E83"/>
    <w:rsid w:val="20CC730C"/>
    <w:rsid w:val="20EEED93"/>
    <w:rsid w:val="210573B1"/>
    <w:rsid w:val="21070004"/>
    <w:rsid w:val="210B5EE4"/>
    <w:rsid w:val="218F7C8A"/>
    <w:rsid w:val="21A507E6"/>
    <w:rsid w:val="21BDB3C3"/>
    <w:rsid w:val="21E93201"/>
    <w:rsid w:val="21EC4C23"/>
    <w:rsid w:val="21F4EC89"/>
    <w:rsid w:val="221F32B7"/>
    <w:rsid w:val="22261097"/>
    <w:rsid w:val="22615DC4"/>
    <w:rsid w:val="229C94FE"/>
    <w:rsid w:val="22A79D7B"/>
    <w:rsid w:val="22A990BA"/>
    <w:rsid w:val="22ADBEFB"/>
    <w:rsid w:val="22D07F37"/>
    <w:rsid w:val="22D9861F"/>
    <w:rsid w:val="22DBAFDF"/>
    <w:rsid w:val="22EA8297"/>
    <w:rsid w:val="22FEAA9D"/>
    <w:rsid w:val="230E7E3F"/>
    <w:rsid w:val="231D29C1"/>
    <w:rsid w:val="2327FDB3"/>
    <w:rsid w:val="234910DC"/>
    <w:rsid w:val="235A90A6"/>
    <w:rsid w:val="236E237C"/>
    <w:rsid w:val="23C20B5F"/>
    <w:rsid w:val="23C7EEC2"/>
    <w:rsid w:val="23DBB185"/>
    <w:rsid w:val="23FAE7EE"/>
    <w:rsid w:val="24282A4A"/>
    <w:rsid w:val="24364755"/>
    <w:rsid w:val="2438E29C"/>
    <w:rsid w:val="244F0671"/>
    <w:rsid w:val="248C283E"/>
    <w:rsid w:val="24BFE93F"/>
    <w:rsid w:val="24CDCDC4"/>
    <w:rsid w:val="24D657D2"/>
    <w:rsid w:val="24FB2A97"/>
    <w:rsid w:val="25206246"/>
    <w:rsid w:val="2547C710"/>
    <w:rsid w:val="25912AF1"/>
    <w:rsid w:val="2605FAD1"/>
    <w:rsid w:val="26154AB2"/>
    <w:rsid w:val="26472241"/>
    <w:rsid w:val="265613BB"/>
    <w:rsid w:val="26900616"/>
    <w:rsid w:val="26A8F878"/>
    <w:rsid w:val="26D6FA26"/>
    <w:rsid w:val="26F495E4"/>
    <w:rsid w:val="26F70623"/>
    <w:rsid w:val="27085F66"/>
    <w:rsid w:val="270FB8B0"/>
    <w:rsid w:val="2713F8C9"/>
    <w:rsid w:val="2778429F"/>
    <w:rsid w:val="277CB021"/>
    <w:rsid w:val="277FEFD8"/>
    <w:rsid w:val="27898A79"/>
    <w:rsid w:val="27956629"/>
    <w:rsid w:val="27A40E80"/>
    <w:rsid w:val="27B452E7"/>
    <w:rsid w:val="27DFB1B3"/>
    <w:rsid w:val="27EB90EB"/>
    <w:rsid w:val="27F8FC36"/>
    <w:rsid w:val="2810A76A"/>
    <w:rsid w:val="2825E8FE"/>
    <w:rsid w:val="28318A8D"/>
    <w:rsid w:val="2847E0E0"/>
    <w:rsid w:val="284A805C"/>
    <w:rsid w:val="287B3DBD"/>
    <w:rsid w:val="2899D636"/>
    <w:rsid w:val="289A4790"/>
    <w:rsid w:val="28A011FE"/>
    <w:rsid w:val="28DC68E3"/>
    <w:rsid w:val="28E3A801"/>
    <w:rsid w:val="28E8A92E"/>
    <w:rsid w:val="28ED02E0"/>
    <w:rsid w:val="290513F4"/>
    <w:rsid w:val="2947A6A1"/>
    <w:rsid w:val="297B7553"/>
    <w:rsid w:val="299DE28F"/>
    <w:rsid w:val="29A0571B"/>
    <w:rsid w:val="29D71DBB"/>
    <w:rsid w:val="29DCB8D1"/>
    <w:rsid w:val="29DD0866"/>
    <w:rsid w:val="2A32C783"/>
    <w:rsid w:val="2A4302B5"/>
    <w:rsid w:val="2A5BA751"/>
    <w:rsid w:val="2A7A3F8C"/>
    <w:rsid w:val="2A912866"/>
    <w:rsid w:val="2A9203BC"/>
    <w:rsid w:val="2AA037DA"/>
    <w:rsid w:val="2AB22630"/>
    <w:rsid w:val="2AD28B57"/>
    <w:rsid w:val="2AE7A7F2"/>
    <w:rsid w:val="2AF9E29B"/>
    <w:rsid w:val="2B203977"/>
    <w:rsid w:val="2B245523"/>
    <w:rsid w:val="2B2D577B"/>
    <w:rsid w:val="2B2FFE56"/>
    <w:rsid w:val="2B30B03C"/>
    <w:rsid w:val="2BAFF80E"/>
    <w:rsid w:val="2BC37E04"/>
    <w:rsid w:val="2BC6DAA4"/>
    <w:rsid w:val="2BCB00D8"/>
    <w:rsid w:val="2BCEC160"/>
    <w:rsid w:val="2C300286"/>
    <w:rsid w:val="2C426141"/>
    <w:rsid w:val="2C4B6F71"/>
    <w:rsid w:val="2C5410F9"/>
    <w:rsid w:val="2C61890D"/>
    <w:rsid w:val="2C624FD3"/>
    <w:rsid w:val="2C666A8A"/>
    <w:rsid w:val="2C769A34"/>
    <w:rsid w:val="2CAA9131"/>
    <w:rsid w:val="2CB26195"/>
    <w:rsid w:val="2CBA76C3"/>
    <w:rsid w:val="2CC5A900"/>
    <w:rsid w:val="2CCC8734"/>
    <w:rsid w:val="2CD10D70"/>
    <w:rsid w:val="2CDCE031"/>
    <w:rsid w:val="2D0B1E98"/>
    <w:rsid w:val="2D1934FD"/>
    <w:rsid w:val="2D3AA2B4"/>
    <w:rsid w:val="2D3BAEC9"/>
    <w:rsid w:val="2D638E18"/>
    <w:rsid w:val="2D70852B"/>
    <w:rsid w:val="2D75DB79"/>
    <w:rsid w:val="2D8C4C2C"/>
    <w:rsid w:val="2D9B943D"/>
    <w:rsid w:val="2DBBBDA1"/>
    <w:rsid w:val="2DC6EA26"/>
    <w:rsid w:val="2E1DBFEA"/>
    <w:rsid w:val="2E357B4B"/>
    <w:rsid w:val="2E385C11"/>
    <w:rsid w:val="2E38650C"/>
    <w:rsid w:val="2E434307"/>
    <w:rsid w:val="2E44BCC7"/>
    <w:rsid w:val="2E77A6DE"/>
    <w:rsid w:val="2E928CDE"/>
    <w:rsid w:val="2E92D9F4"/>
    <w:rsid w:val="2EC1FBA5"/>
    <w:rsid w:val="2ECB50D1"/>
    <w:rsid w:val="2ED5CE74"/>
    <w:rsid w:val="2F25D775"/>
    <w:rsid w:val="2F3D9ADB"/>
    <w:rsid w:val="2F4214CA"/>
    <w:rsid w:val="2F8D8B16"/>
    <w:rsid w:val="2F90665C"/>
    <w:rsid w:val="2F9B8901"/>
    <w:rsid w:val="2FB25B9F"/>
    <w:rsid w:val="2FC21A2B"/>
    <w:rsid w:val="2FC7FDAC"/>
    <w:rsid w:val="2FD339DC"/>
    <w:rsid w:val="2FF1F855"/>
    <w:rsid w:val="2FFF85E4"/>
    <w:rsid w:val="3006C599"/>
    <w:rsid w:val="30466E88"/>
    <w:rsid w:val="305051B4"/>
    <w:rsid w:val="307A9610"/>
    <w:rsid w:val="309B63ED"/>
    <w:rsid w:val="30AE0326"/>
    <w:rsid w:val="30B25631"/>
    <w:rsid w:val="30FEC7E1"/>
    <w:rsid w:val="313D81CA"/>
    <w:rsid w:val="3152D37E"/>
    <w:rsid w:val="31B6BE58"/>
    <w:rsid w:val="31BD8D5A"/>
    <w:rsid w:val="31BF4072"/>
    <w:rsid w:val="31C21141"/>
    <w:rsid w:val="31D08571"/>
    <w:rsid w:val="31F2A761"/>
    <w:rsid w:val="31FA637C"/>
    <w:rsid w:val="32016F6E"/>
    <w:rsid w:val="321D22E2"/>
    <w:rsid w:val="3221520E"/>
    <w:rsid w:val="324B8E03"/>
    <w:rsid w:val="325DEA78"/>
    <w:rsid w:val="328DDB90"/>
    <w:rsid w:val="328EB1F1"/>
    <w:rsid w:val="32AC3254"/>
    <w:rsid w:val="32ACEC91"/>
    <w:rsid w:val="32B7B8EF"/>
    <w:rsid w:val="32CC209F"/>
    <w:rsid w:val="32F25268"/>
    <w:rsid w:val="32F6A7E7"/>
    <w:rsid w:val="33082635"/>
    <w:rsid w:val="332A03AB"/>
    <w:rsid w:val="332B8FFA"/>
    <w:rsid w:val="333E7E89"/>
    <w:rsid w:val="337F4F9E"/>
    <w:rsid w:val="33916A1D"/>
    <w:rsid w:val="33CF95AA"/>
    <w:rsid w:val="33E1738C"/>
    <w:rsid w:val="34029785"/>
    <w:rsid w:val="343734B7"/>
    <w:rsid w:val="346971AC"/>
    <w:rsid w:val="3482B4F0"/>
    <w:rsid w:val="34A44BA3"/>
    <w:rsid w:val="34B26ADF"/>
    <w:rsid w:val="34DE4F43"/>
    <w:rsid w:val="35122FD6"/>
    <w:rsid w:val="351272D6"/>
    <w:rsid w:val="354B5F60"/>
    <w:rsid w:val="35545929"/>
    <w:rsid w:val="355B2A53"/>
    <w:rsid w:val="35618063"/>
    <w:rsid w:val="356D7576"/>
    <w:rsid w:val="3571362B"/>
    <w:rsid w:val="357A8262"/>
    <w:rsid w:val="357EA72B"/>
    <w:rsid w:val="35A0A6AC"/>
    <w:rsid w:val="35B4B70B"/>
    <w:rsid w:val="35BC6D74"/>
    <w:rsid w:val="35BD3194"/>
    <w:rsid w:val="35CE418E"/>
    <w:rsid w:val="35D78E52"/>
    <w:rsid w:val="3606B261"/>
    <w:rsid w:val="363D0E47"/>
    <w:rsid w:val="363E08B5"/>
    <w:rsid w:val="365AAD37"/>
    <w:rsid w:val="3665725E"/>
    <w:rsid w:val="3666E331"/>
    <w:rsid w:val="36B0AEE6"/>
    <w:rsid w:val="36BA4576"/>
    <w:rsid w:val="36BC8243"/>
    <w:rsid w:val="36D4D273"/>
    <w:rsid w:val="36E4A92C"/>
    <w:rsid w:val="37128B81"/>
    <w:rsid w:val="375F3B50"/>
    <w:rsid w:val="3788D610"/>
    <w:rsid w:val="37A3014A"/>
    <w:rsid w:val="37BA3071"/>
    <w:rsid w:val="37CDE0B6"/>
    <w:rsid w:val="37E20178"/>
    <w:rsid w:val="37E40880"/>
    <w:rsid w:val="3810997E"/>
    <w:rsid w:val="381789A7"/>
    <w:rsid w:val="381A925A"/>
    <w:rsid w:val="38425F44"/>
    <w:rsid w:val="3848BAF2"/>
    <w:rsid w:val="384E8048"/>
    <w:rsid w:val="385C16D7"/>
    <w:rsid w:val="3868A683"/>
    <w:rsid w:val="38781397"/>
    <w:rsid w:val="38BCA91D"/>
    <w:rsid w:val="38BF11EE"/>
    <w:rsid w:val="38C10D1F"/>
    <w:rsid w:val="38CA7F30"/>
    <w:rsid w:val="38D1A955"/>
    <w:rsid w:val="38F92B9D"/>
    <w:rsid w:val="38FEAAC1"/>
    <w:rsid w:val="3903B24C"/>
    <w:rsid w:val="39483261"/>
    <w:rsid w:val="394E0D2A"/>
    <w:rsid w:val="397C5DF6"/>
    <w:rsid w:val="39A96331"/>
    <w:rsid w:val="39D69E8C"/>
    <w:rsid w:val="39DDF236"/>
    <w:rsid w:val="39E1B691"/>
    <w:rsid w:val="39F7E361"/>
    <w:rsid w:val="3A1E08CE"/>
    <w:rsid w:val="3A40E76F"/>
    <w:rsid w:val="3ABB2632"/>
    <w:rsid w:val="3AC43737"/>
    <w:rsid w:val="3AEB596D"/>
    <w:rsid w:val="3B000574"/>
    <w:rsid w:val="3B4CADA1"/>
    <w:rsid w:val="3B4CF625"/>
    <w:rsid w:val="3B53A7AF"/>
    <w:rsid w:val="3B590781"/>
    <w:rsid w:val="3B5D315F"/>
    <w:rsid w:val="3B661EF2"/>
    <w:rsid w:val="3B918704"/>
    <w:rsid w:val="3BACDFE6"/>
    <w:rsid w:val="3BB7D290"/>
    <w:rsid w:val="3BB9D5A2"/>
    <w:rsid w:val="3BCF7E00"/>
    <w:rsid w:val="3BDAF591"/>
    <w:rsid w:val="3BEAC194"/>
    <w:rsid w:val="3BF8C910"/>
    <w:rsid w:val="3C189DDC"/>
    <w:rsid w:val="3C1A8255"/>
    <w:rsid w:val="3C34CD2D"/>
    <w:rsid w:val="3C3F2408"/>
    <w:rsid w:val="3C440C40"/>
    <w:rsid w:val="3C5CE060"/>
    <w:rsid w:val="3C6CA519"/>
    <w:rsid w:val="3C90971E"/>
    <w:rsid w:val="3CCCB060"/>
    <w:rsid w:val="3CDAF829"/>
    <w:rsid w:val="3CE7213D"/>
    <w:rsid w:val="3D43B5CB"/>
    <w:rsid w:val="3D4A8EE4"/>
    <w:rsid w:val="3D6C8942"/>
    <w:rsid w:val="3D741DAF"/>
    <w:rsid w:val="3D7FB2EF"/>
    <w:rsid w:val="3D928859"/>
    <w:rsid w:val="3DE229AF"/>
    <w:rsid w:val="3DEEF55B"/>
    <w:rsid w:val="3DFA7C19"/>
    <w:rsid w:val="3E0F312C"/>
    <w:rsid w:val="3E42F7DC"/>
    <w:rsid w:val="3E67B33D"/>
    <w:rsid w:val="3E71EE81"/>
    <w:rsid w:val="3E74F880"/>
    <w:rsid w:val="3E806B5C"/>
    <w:rsid w:val="3E8F2A38"/>
    <w:rsid w:val="3E98C918"/>
    <w:rsid w:val="3EA5B43B"/>
    <w:rsid w:val="3EA8B738"/>
    <w:rsid w:val="3EC3060A"/>
    <w:rsid w:val="3EE09A91"/>
    <w:rsid w:val="3EE84E56"/>
    <w:rsid w:val="3F25F8CD"/>
    <w:rsid w:val="3F30CF18"/>
    <w:rsid w:val="3F31E84D"/>
    <w:rsid w:val="3F3433DC"/>
    <w:rsid w:val="3F58B012"/>
    <w:rsid w:val="3F8510F3"/>
    <w:rsid w:val="3FCD96CC"/>
    <w:rsid w:val="3FEE1E4A"/>
    <w:rsid w:val="402AEBCB"/>
    <w:rsid w:val="402D7117"/>
    <w:rsid w:val="4098870D"/>
    <w:rsid w:val="40DFB90D"/>
    <w:rsid w:val="40ED1870"/>
    <w:rsid w:val="41394130"/>
    <w:rsid w:val="414A2559"/>
    <w:rsid w:val="4158391E"/>
    <w:rsid w:val="4163E28E"/>
    <w:rsid w:val="4165441F"/>
    <w:rsid w:val="4168DA78"/>
    <w:rsid w:val="417F2E2E"/>
    <w:rsid w:val="4195BD56"/>
    <w:rsid w:val="419839A3"/>
    <w:rsid w:val="419A0AE1"/>
    <w:rsid w:val="41B05673"/>
    <w:rsid w:val="41F5DE29"/>
    <w:rsid w:val="41FE8563"/>
    <w:rsid w:val="420514A3"/>
    <w:rsid w:val="4269C18C"/>
    <w:rsid w:val="42947A25"/>
    <w:rsid w:val="42951A68"/>
    <w:rsid w:val="42AF8602"/>
    <w:rsid w:val="42D79DC8"/>
    <w:rsid w:val="42E97D2F"/>
    <w:rsid w:val="42FCA162"/>
    <w:rsid w:val="431FF29C"/>
    <w:rsid w:val="43910FB4"/>
    <w:rsid w:val="43C1B709"/>
    <w:rsid w:val="43C9DA23"/>
    <w:rsid w:val="44053F8F"/>
    <w:rsid w:val="442C26C8"/>
    <w:rsid w:val="445EDA5A"/>
    <w:rsid w:val="447743F9"/>
    <w:rsid w:val="4479B572"/>
    <w:rsid w:val="44BF885E"/>
    <w:rsid w:val="44C1BA44"/>
    <w:rsid w:val="44C1F276"/>
    <w:rsid w:val="44CAB7F4"/>
    <w:rsid w:val="44DBCE06"/>
    <w:rsid w:val="451B0114"/>
    <w:rsid w:val="455B3D68"/>
    <w:rsid w:val="458496BE"/>
    <w:rsid w:val="459A3108"/>
    <w:rsid w:val="45A1E39E"/>
    <w:rsid w:val="45C13DB1"/>
    <w:rsid w:val="45C63E19"/>
    <w:rsid w:val="45D4D0A7"/>
    <w:rsid w:val="45FF98A5"/>
    <w:rsid w:val="4605A1CE"/>
    <w:rsid w:val="46127706"/>
    <w:rsid w:val="461D4060"/>
    <w:rsid w:val="462E3E6D"/>
    <w:rsid w:val="46303EFE"/>
    <w:rsid w:val="46441111"/>
    <w:rsid w:val="464F9341"/>
    <w:rsid w:val="465F4D29"/>
    <w:rsid w:val="46D64A49"/>
    <w:rsid w:val="46DA70D2"/>
    <w:rsid w:val="46E340B4"/>
    <w:rsid w:val="46F4624F"/>
    <w:rsid w:val="46F53558"/>
    <w:rsid w:val="46F722BB"/>
    <w:rsid w:val="4752566D"/>
    <w:rsid w:val="4754CFCB"/>
    <w:rsid w:val="475945E3"/>
    <w:rsid w:val="47C5DBBB"/>
    <w:rsid w:val="47F0C4DC"/>
    <w:rsid w:val="47F9FA32"/>
    <w:rsid w:val="480D3C87"/>
    <w:rsid w:val="48104A39"/>
    <w:rsid w:val="481DB7F6"/>
    <w:rsid w:val="483F9D2F"/>
    <w:rsid w:val="485B4E65"/>
    <w:rsid w:val="48A0B4F8"/>
    <w:rsid w:val="48BB46D3"/>
    <w:rsid w:val="48C4A849"/>
    <w:rsid w:val="48CAE1D5"/>
    <w:rsid w:val="48DECAF9"/>
    <w:rsid w:val="490AE419"/>
    <w:rsid w:val="492E759D"/>
    <w:rsid w:val="4933528D"/>
    <w:rsid w:val="49366D21"/>
    <w:rsid w:val="4950FA8B"/>
    <w:rsid w:val="49D26249"/>
    <w:rsid w:val="4A1FDAB0"/>
    <w:rsid w:val="4A2994BD"/>
    <w:rsid w:val="4A6CBBDC"/>
    <w:rsid w:val="4A6D64D2"/>
    <w:rsid w:val="4A7246F7"/>
    <w:rsid w:val="4A92998F"/>
    <w:rsid w:val="4AB28B2E"/>
    <w:rsid w:val="4AE3D372"/>
    <w:rsid w:val="4B07E88D"/>
    <w:rsid w:val="4B20D2DF"/>
    <w:rsid w:val="4B2A70F9"/>
    <w:rsid w:val="4B38EC25"/>
    <w:rsid w:val="4B705BCD"/>
    <w:rsid w:val="4B7209D9"/>
    <w:rsid w:val="4B7AA0B3"/>
    <w:rsid w:val="4B80314C"/>
    <w:rsid w:val="4B9CE8EB"/>
    <w:rsid w:val="4BAD9EEF"/>
    <w:rsid w:val="4BDB8B17"/>
    <w:rsid w:val="4BEB2E3C"/>
    <w:rsid w:val="4C1073E8"/>
    <w:rsid w:val="4C126D4E"/>
    <w:rsid w:val="4C2986F7"/>
    <w:rsid w:val="4C34A99F"/>
    <w:rsid w:val="4C512D18"/>
    <w:rsid w:val="4C559932"/>
    <w:rsid w:val="4C66618A"/>
    <w:rsid w:val="4C771FA3"/>
    <w:rsid w:val="4C8B88BC"/>
    <w:rsid w:val="4C979970"/>
    <w:rsid w:val="4CA65514"/>
    <w:rsid w:val="4CE61002"/>
    <w:rsid w:val="4D0857CA"/>
    <w:rsid w:val="4D207FEB"/>
    <w:rsid w:val="4D2F0D1A"/>
    <w:rsid w:val="4DA2AA14"/>
    <w:rsid w:val="4DA2F3D1"/>
    <w:rsid w:val="4DA50498"/>
    <w:rsid w:val="4DBE569C"/>
    <w:rsid w:val="4DCA711A"/>
    <w:rsid w:val="4DE2D1BA"/>
    <w:rsid w:val="4E1EF88E"/>
    <w:rsid w:val="4E270C34"/>
    <w:rsid w:val="4E3A38D5"/>
    <w:rsid w:val="4E58A96A"/>
    <w:rsid w:val="4E5FFD81"/>
    <w:rsid w:val="4E613572"/>
    <w:rsid w:val="4E6ACB9D"/>
    <w:rsid w:val="4E826F34"/>
    <w:rsid w:val="4EAB368F"/>
    <w:rsid w:val="4EBFE1BD"/>
    <w:rsid w:val="4EF3F0C9"/>
    <w:rsid w:val="4F0F1BD0"/>
    <w:rsid w:val="4F24D0B2"/>
    <w:rsid w:val="4F372B25"/>
    <w:rsid w:val="4F4E396A"/>
    <w:rsid w:val="4F7D057D"/>
    <w:rsid w:val="4F9F4A32"/>
    <w:rsid w:val="4FB9EC4B"/>
    <w:rsid w:val="50124C8D"/>
    <w:rsid w:val="50227E7E"/>
    <w:rsid w:val="5029C09B"/>
    <w:rsid w:val="503928B9"/>
    <w:rsid w:val="505433B2"/>
    <w:rsid w:val="50565FF8"/>
    <w:rsid w:val="50627BA4"/>
    <w:rsid w:val="507245F0"/>
    <w:rsid w:val="5075F522"/>
    <w:rsid w:val="50B7FE8A"/>
    <w:rsid w:val="50BB2669"/>
    <w:rsid w:val="50BEE39A"/>
    <w:rsid w:val="50CD57F7"/>
    <w:rsid w:val="50ED1D02"/>
    <w:rsid w:val="513F13C7"/>
    <w:rsid w:val="5144875A"/>
    <w:rsid w:val="5145175C"/>
    <w:rsid w:val="51495983"/>
    <w:rsid w:val="515530F1"/>
    <w:rsid w:val="515541A7"/>
    <w:rsid w:val="516A6EF4"/>
    <w:rsid w:val="51794CF7"/>
    <w:rsid w:val="5196AE9D"/>
    <w:rsid w:val="51B16A64"/>
    <w:rsid w:val="51B70AC1"/>
    <w:rsid w:val="51E3F084"/>
    <w:rsid w:val="51E952FC"/>
    <w:rsid w:val="520B457B"/>
    <w:rsid w:val="5214E5E6"/>
    <w:rsid w:val="52257D02"/>
    <w:rsid w:val="52724B95"/>
    <w:rsid w:val="52C23667"/>
    <w:rsid w:val="52C2ED10"/>
    <w:rsid w:val="52DC6BDF"/>
    <w:rsid w:val="53248DED"/>
    <w:rsid w:val="532A43F0"/>
    <w:rsid w:val="5372BA5C"/>
    <w:rsid w:val="538B1BD6"/>
    <w:rsid w:val="5392F03B"/>
    <w:rsid w:val="53A5776D"/>
    <w:rsid w:val="53AA3884"/>
    <w:rsid w:val="53DDB44F"/>
    <w:rsid w:val="53E0BE3F"/>
    <w:rsid w:val="53F41FFA"/>
    <w:rsid w:val="53F9123A"/>
    <w:rsid w:val="5426CCF9"/>
    <w:rsid w:val="542B7960"/>
    <w:rsid w:val="543DBA4E"/>
    <w:rsid w:val="54566D6A"/>
    <w:rsid w:val="546ED855"/>
    <w:rsid w:val="54ABAA8C"/>
    <w:rsid w:val="54BA0F80"/>
    <w:rsid w:val="54BB0C43"/>
    <w:rsid w:val="54C8E7D6"/>
    <w:rsid w:val="54DE2C6A"/>
    <w:rsid w:val="54F3803A"/>
    <w:rsid w:val="550BF247"/>
    <w:rsid w:val="55155755"/>
    <w:rsid w:val="556D5793"/>
    <w:rsid w:val="55866529"/>
    <w:rsid w:val="5586A63F"/>
    <w:rsid w:val="55A985FC"/>
    <w:rsid w:val="55D6D95A"/>
    <w:rsid w:val="55E4CE58"/>
    <w:rsid w:val="55F668E8"/>
    <w:rsid w:val="55FBC5DE"/>
    <w:rsid w:val="5602F9A5"/>
    <w:rsid w:val="563417DF"/>
    <w:rsid w:val="5653B75F"/>
    <w:rsid w:val="566783DD"/>
    <w:rsid w:val="5669CD1B"/>
    <w:rsid w:val="569B507E"/>
    <w:rsid w:val="56DC187D"/>
    <w:rsid w:val="57444E41"/>
    <w:rsid w:val="575BF38E"/>
    <w:rsid w:val="577C0E9F"/>
    <w:rsid w:val="578C15E0"/>
    <w:rsid w:val="57A66FE2"/>
    <w:rsid w:val="57A83DA7"/>
    <w:rsid w:val="57BF4AFC"/>
    <w:rsid w:val="57C9F8A6"/>
    <w:rsid w:val="57CEAD30"/>
    <w:rsid w:val="57E5FBB4"/>
    <w:rsid w:val="5829F62B"/>
    <w:rsid w:val="5892CC77"/>
    <w:rsid w:val="5896D826"/>
    <w:rsid w:val="589975DE"/>
    <w:rsid w:val="589BA6FB"/>
    <w:rsid w:val="589DAA2D"/>
    <w:rsid w:val="58C8262B"/>
    <w:rsid w:val="58DF3BE6"/>
    <w:rsid w:val="58F22A64"/>
    <w:rsid w:val="591409EC"/>
    <w:rsid w:val="59CF7503"/>
    <w:rsid w:val="59EFCB0B"/>
    <w:rsid w:val="5A07043E"/>
    <w:rsid w:val="5A0CB2B8"/>
    <w:rsid w:val="5A28F08D"/>
    <w:rsid w:val="5A514A1C"/>
    <w:rsid w:val="5A7E45AD"/>
    <w:rsid w:val="5AA74E7D"/>
    <w:rsid w:val="5ABA0EDF"/>
    <w:rsid w:val="5ABEF3A3"/>
    <w:rsid w:val="5AD7353E"/>
    <w:rsid w:val="5ADB35CA"/>
    <w:rsid w:val="5ADFD0DD"/>
    <w:rsid w:val="5AE31B58"/>
    <w:rsid w:val="5B1026C3"/>
    <w:rsid w:val="5B197853"/>
    <w:rsid w:val="5B3A1501"/>
    <w:rsid w:val="5B442AD9"/>
    <w:rsid w:val="5B452F08"/>
    <w:rsid w:val="5B6D5059"/>
    <w:rsid w:val="5B844E7D"/>
    <w:rsid w:val="5B90B7C9"/>
    <w:rsid w:val="5BC4C7E1"/>
    <w:rsid w:val="5BCC66CF"/>
    <w:rsid w:val="5BF5DFB4"/>
    <w:rsid w:val="5C006DCC"/>
    <w:rsid w:val="5C189A90"/>
    <w:rsid w:val="5C267993"/>
    <w:rsid w:val="5C4BAB8D"/>
    <w:rsid w:val="5C55C05C"/>
    <w:rsid w:val="5C6D10CC"/>
    <w:rsid w:val="5CBA6B11"/>
    <w:rsid w:val="5CE5627D"/>
    <w:rsid w:val="5CE562A7"/>
    <w:rsid w:val="5D0A7778"/>
    <w:rsid w:val="5D13F204"/>
    <w:rsid w:val="5D30D07D"/>
    <w:rsid w:val="5D3D1079"/>
    <w:rsid w:val="5DC85994"/>
    <w:rsid w:val="5DEBD27C"/>
    <w:rsid w:val="5DFFB643"/>
    <w:rsid w:val="5E025A9F"/>
    <w:rsid w:val="5E0D31C3"/>
    <w:rsid w:val="5E1BE282"/>
    <w:rsid w:val="5E26E19C"/>
    <w:rsid w:val="5E59A51C"/>
    <w:rsid w:val="5E69E741"/>
    <w:rsid w:val="5E83AEE0"/>
    <w:rsid w:val="5E95D550"/>
    <w:rsid w:val="5E9A9B2C"/>
    <w:rsid w:val="5EE27F61"/>
    <w:rsid w:val="5EEBDE50"/>
    <w:rsid w:val="5EEF2723"/>
    <w:rsid w:val="5EF1ADF0"/>
    <w:rsid w:val="5F69AA11"/>
    <w:rsid w:val="5F70AD32"/>
    <w:rsid w:val="5FA5DEBF"/>
    <w:rsid w:val="5FADE49C"/>
    <w:rsid w:val="5FB20357"/>
    <w:rsid w:val="5FB63CE8"/>
    <w:rsid w:val="5FB9552F"/>
    <w:rsid w:val="5FC6CAA2"/>
    <w:rsid w:val="5FFCEB9B"/>
    <w:rsid w:val="60484393"/>
    <w:rsid w:val="60519C8B"/>
    <w:rsid w:val="607C022E"/>
    <w:rsid w:val="608B6F16"/>
    <w:rsid w:val="60C3DDA0"/>
    <w:rsid w:val="610E8A24"/>
    <w:rsid w:val="611C74D4"/>
    <w:rsid w:val="6138031F"/>
    <w:rsid w:val="613C9768"/>
    <w:rsid w:val="61AD688D"/>
    <w:rsid w:val="61B215A7"/>
    <w:rsid w:val="61BA14C6"/>
    <w:rsid w:val="61F28AC3"/>
    <w:rsid w:val="6203A57C"/>
    <w:rsid w:val="620A64C2"/>
    <w:rsid w:val="6214DCA0"/>
    <w:rsid w:val="62206996"/>
    <w:rsid w:val="625EECD6"/>
    <w:rsid w:val="628CFE19"/>
    <w:rsid w:val="62F34881"/>
    <w:rsid w:val="630B0B2F"/>
    <w:rsid w:val="631A700A"/>
    <w:rsid w:val="6336A561"/>
    <w:rsid w:val="634D0179"/>
    <w:rsid w:val="6354C520"/>
    <w:rsid w:val="637A355F"/>
    <w:rsid w:val="63C1FC67"/>
    <w:rsid w:val="63D1C0DD"/>
    <w:rsid w:val="63E44C87"/>
    <w:rsid w:val="64047465"/>
    <w:rsid w:val="6409AA0E"/>
    <w:rsid w:val="64228836"/>
    <w:rsid w:val="64388554"/>
    <w:rsid w:val="647657BE"/>
    <w:rsid w:val="64784A48"/>
    <w:rsid w:val="647BBEDA"/>
    <w:rsid w:val="64917BC5"/>
    <w:rsid w:val="64FC68FC"/>
    <w:rsid w:val="6505878E"/>
    <w:rsid w:val="650A5742"/>
    <w:rsid w:val="652D9FB3"/>
    <w:rsid w:val="6588B971"/>
    <w:rsid w:val="658EF8D5"/>
    <w:rsid w:val="65B6CD31"/>
    <w:rsid w:val="65CEF307"/>
    <w:rsid w:val="65DD7F53"/>
    <w:rsid w:val="65EB2765"/>
    <w:rsid w:val="65F13378"/>
    <w:rsid w:val="661C2CB6"/>
    <w:rsid w:val="666019C4"/>
    <w:rsid w:val="66666417"/>
    <w:rsid w:val="66784F05"/>
    <w:rsid w:val="669E86AD"/>
    <w:rsid w:val="66B8D20B"/>
    <w:rsid w:val="66D6EE48"/>
    <w:rsid w:val="66F9D41E"/>
    <w:rsid w:val="67089105"/>
    <w:rsid w:val="67197E6C"/>
    <w:rsid w:val="672A762B"/>
    <w:rsid w:val="674BEA75"/>
    <w:rsid w:val="67718F90"/>
    <w:rsid w:val="67906DEF"/>
    <w:rsid w:val="67D31FBA"/>
    <w:rsid w:val="67FC29E6"/>
    <w:rsid w:val="680D6518"/>
    <w:rsid w:val="6810688D"/>
    <w:rsid w:val="682561A5"/>
    <w:rsid w:val="68393C74"/>
    <w:rsid w:val="68429895"/>
    <w:rsid w:val="6873126C"/>
    <w:rsid w:val="68872D4F"/>
    <w:rsid w:val="68C0D187"/>
    <w:rsid w:val="68D390A0"/>
    <w:rsid w:val="68D41E1B"/>
    <w:rsid w:val="68DACE41"/>
    <w:rsid w:val="68F866C3"/>
    <w:rsid w:val="69300506"/>
    <w:rsid w:val="6967E6B0"/>
    <w:rsid w:val="696BD56C"/>
    <w:rsid w:val="69743275"/>
    <w:rsid w:val="699CA8F9"/>
    <w:rsid w:val="69A80CAF"/>
    <w:rsid w:val="69E24307"/>
    <w:rsid w:val="69E63D3E"/>
    <w:rsid w:val="69FACD55"/>
    <w:rsid w:val="6A238C39"/>
    <w:rsid w:val="6A2C7B4A"/>
    <w:rsid w:val="6A356ED4"/>
    <w:rsid w:val="6A53FA2D"/>
    <w:rsid w:val="6A7E0046"/>
    <w:rsid w:val="6A86ABA7"/>
    <w:rsid w:val="6A94240F"/>
    <w:rsid w:val="6AA8BEB5"/>
    <w:rsid w:val="6AE26B81"/>
    <w:rsid w:val="6AF43AD7"/>
    <w:rsid w:val="6B2BE3A3"/>
    <w:rsid w:val="6B395E2E"/>
    <w:rsid w:val="6B42F6C0"/>
    <w:rsid w:val="6B476B6A"/>
    <w:rsid w:val="6B5BB5FD"/>
    <w:rsid w:val="6B792F82"/>
    <w:rsid w:val="6B92CF92"/>
    <w:rsid w:val="6B97C063"/>
    <w:rsid w:val="6BAECB89"/>
    <w:rsid w:val="6BBADE05"/>
    <w:rsid w:val="6BC67F4D"/>
    <w:rsid w:val="6BDD56F2"/>
    <w:rsid w:val="6C467E09"/>
    <w:rsid w:val="6C5149D7"/>
    <w:rsid w:val="6C572984"/>
    <w:rsid w:val="6C696207"/>
    <w:rsid w:val="6CCE7FD3"/>
    <w:rsid w:val="6CDBE1D5"/>
    <w:rsid w:val="6CFFCA57"/>
    <w:rsid w:val="6D14315B"/>
    <w:rsid w:val="6D2A9931"/>
    <w:rsid w:val="6D53723A"/>
    <w:rsid w:val="6D63BA73"/>
    <w:rsid w:val="6D721584"/>
    <w:rsid w:val="6D81C692"/>
    <w:rsid w:val="6DB0A506"/>
    <w:rsid w:val="6DCE92EE"/>
    <w:rsid w:val="6DE5DD6A"/>
    <w:rsid w:val="6E2CADD7"/>
    <w:rsid w:val="6EAA41BC"/>
    <w:rsid w:val="6EAA824F"/>
    <w:rsid w:val="6EB75493"/>
    <w:rsid w:val="6EBA878E"/>
    <w:rsid w:val="6EC228D8"/>
    <w:rsid w:val="6EE53B5E"/>
    <w:rsid w:val="6EEBF5CA"/>
    <w:rsid w:val="6EFA2AF1"/>
    <w:rsid w:val="6F439E70"/>
    <w:rsid w:val="6F44EEFE"/>
    <w:rsid w:val="6F5AC8DB"/>
    <w:rsid w:val="6F62AF44"/>
    <w:rsid w:val="6F661796"/>
    <w:rsid w:val="6F781966"/>
    <w:rsid w:val="6F92D59F"/>
    <w:rsid w:val="6F96D723"/>
    <w:rsid w:val="6FC0902C"/>
    <w:rsid w:val="6FE0B728"/>
    <w:rsid w:val="6FF77E0A"/>
    <w:rsid w:val="7024AC9E"/>
    <w:rsid w:val="705CC7D7"/>
    <w:rsid w:val="706C923B"/>
    <w:rsid w:val="706F118E"/>
    <w:rsid w:val="7090BD88"/>
    <w:rsid w:val="7092300A"/>
    <w:rsid w:val="70A7C994"/>
    <w:rsid w:val="70DB46C8"/>
    <w:rsid w:val="70DED29D"/>
    <w:rsid w:val="70EF22C4"/>
    <w:rsid w:val="71013BC5"/>
    <w:rsid w:val="71034899"/>
    <w:rsid w:val="7115B9EA"/>
    <w:rsid w:val="715A1B80"/>
    <w:rsid w:val="7168FCAF"/>
    <w:rsid w:val="718F1C0D"/>
    <w:rsid w:val="7198DACE"/>
    <w:rsid w:val="71BB6284"/>
    <w:rsid w:val="71BEAAE7"/>
    <w:rsid w:val="71CA626A"/>
    <w:rsid w:val="726C7FBE"/>
    <w:rsid w:val="72717A4A"/>
    <w:rsid w:val="72733102"/>
    <w:rsid w:val="72C8F126"/>
    <w:rsid w:val="72D16631"/>
    <w:rsid w:val="7304798C"/>
    <w:rsid w:val="7329EE56"/>
    <w:rsid w:val="732D3EAF"/>
    <w:rsid w:val="7352633C"/>
    <w:rsid w:val="735900E0"/>
    <w:rsid w:val="73B5CAAE"/>
    <w:rsid w:val="73C07C61"/>
    <w:rsid w:val="73C49625"/>
    <w:rsid w:val="73D5B1CE"/>
    <w:rsid w:val="73F16BCA"/>
    <w:rsid w:val="74031570"/>
    <w:rsid w:val="74395E03"/>
    <w:rsid w:val="744A7CAB"/>
    <w:rsid w:val="745BA208"/>
    <w:rsid w:val="745D0D7C"/>
    <w:rsid w:val="74755BB9"/>
    <w:rsid w:val="7518406E"/>
    <w:rsid w:val="752AF12B"/>
    <w:rsid w:val="752E4F2D"/>
    <w:rsid w:val="756EB6EC"/>
    <w:rsid w:val="7570CC45"/>
    <w:rsid w:val="75786C1D"/>
    <w:rsid w:val="75849588"/>
    <w:rsid w:val="75B26A78"/>
    <w:rsid w:val="75C1AAEF"/>
    <w:rsid w:val="762EB382"/>
    <w:rsid w:val="765F1543"/>
    <w:rsid w:val="76650D4F"/>
    <w:rsid w:val="76FDF335"/>
    <w:rsid w:val="771AC469"/>
    <w:rsid w:val="776CD2CC"/>
    <w:rsid w:val="7770898C"/>
    <w:rsid w:val="77762D2B"/>
    <w:rsid w:val="77A39B01"/>
    <w:rsid w:val="77AEB443"/>
    <w:rsid w:val="77DF3ECF"/>
    <w:rsid w:val="77FAD338"/>
    <w:rsid w:val="780547E1"/>
    <w:rsid w:val="7828E253"/>
    <w:rsid w:val="782FA5A1"/>
    <w:rsid w:val="7834F212"/>
    <w:rsid w:val="783A7746"/>
    <w:rsid w:val="78E515F0"/>
    <w:rsid w:val="78FDC206"/>
    <w:rsid w:val="7914AFC8"/>
    <w:rsid w:val="791A04D2"/>
    <w:rsid w:val="7922302A"/>
    <w:rsid w:val="792BADAF"/>
    <w:rsid w:val="79371433"/>
    <w:rsid w:val="793E9DD6"/>
    <w:rsid w:val="795B6BB0"/>
    <w:rsid w:val="795DCC94"/>
    <w:rsid w:val="799F49B1"/>
    <w:rsid w:val="79C354A1"/>
    <w:rsid w:val="79D43043"/>
    <w:rsid w:val="7A1D4B88"/>
    <w:rsid w:val="7A41D68F"/>
    <w:rsid w:val="7A8B9CBC"/>
    <w:rsid w:val="7AC18B50"/>
    <w:rsid w:val="7ACE1768"/>
    <w:rsid w:val="7AD752A7"/>
    <w:rsid w:val="7AE5DEB5"/>
    <w:rsid w:val="7B032CA8"/>
    <w:rsid w:val="7B07C921"/>
    <w:rsid w:val="7B2DA4EA"/>
    <w:rsid w:val="7B383EA3"/>
    <w:rsid w:val="7B3900E7"/>
    <w:rsid w:val="7B6DA62E"/>
    <w:rsid w:val="7B85ED37"/>
    <w:rsid w:val="7B9DE149"/>
    <w:rsid w:val="7BB8CEC6"/>
    <w:rsid w:val="7BC009A5"/>
    <w:rsid w:val="7BCC313B"/>
    <w:rsid w:val="7BF47B18"/>
    <w:rsid w:val="7C69215B"/>
    <w:rsid w:val="7C78DB49"/>
    <w:rsid w:val="7C94CFCD"/>
    <w:rsid w:val="7C94FD58"/>
    <w:rsid w:val="7CB4CE4E"/>
    <w:rsid w:val="7CD38744"/>
    <w:rsid w:val="7CF6BD12"/>
    <w:rsid w:val="7CFB8EE0"/>
    <w:rsid w:val="7D1A0AF3"/>
    <w:rsid w:val="7D7A5561"/>
    <w:rsid w:val="7D8B2842"/>
    <w:rsid w:val="7DB65E81"/>
    <w:rsid w:val="7DC254D7"/>
    <w:rsid w:val="7DDACE29"/>
    <w:rsid w:val="7DE0FBCF"/>
    <w:rsid w:val="7DE1259E"/>
    <w:rsid w:val="7DEE5D3B"/>
    <w:rsid w:val="7E0807F2"/>
    <w:rsid w:val="7E1B322B"/>
    <w:rsid w:val="7E1D4757"/>
    <w:rsid w:val="7E38255A"/>
    <w:rsid w:val="7E55C4D9"/>
    <w:rsid w:val="7E5E7AFA"/>
    <w:rsid w:val="7E76CA27"/>
    <w:rsid w:val="7EAE2792"/>
    <w:rsid w:val="7EDB46CA"/>
    <w:rsid w:val="7F371EE7"/>
    <w:rsid w:val="7F605047"/>
    <w:rsid w:val="7F760C4B"/>
    <w:rsid w:val="7FAA6F35"/>
    <w:rsid w:val="7FB32331"/>
    <w:rsid w:val="7FBB6FF7"/>
    <w:rsid w:val="7FBC2AEC"/>
    <w:rsid w:val="7FEE34D9"/>
    <w:rsid w:val="BBFE8EDA"/>
    <w:rsid w:val="EDE2D685"/>
    <w:rsid w:val="F2FA0424"/>
    <w:rsid w:val="F7FBDC79"/>
    <w:rsid w:val="FE55DE9B"/>
    <w:rsid w:val="FFFBFF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6">
    <w:name w:val="Default Paragraph Font"/>
    <w:unhideWhenUsed/>
    <w:uiPriority w:val="1"/>
  </w:style>
  <w:style w:type="table" w:default="1" w:styleId="8">
    <w:name w:val="Normal Table"/>
    <w:unhideWhenUsed/>
    <w:uiPriority w:val="99"/>
    <w:tblPr>
      <w:tblCellMar>
        <w:top w:w="0" w:type="dxa"/>
        <w:left w:w="108" w:type="dxa"/>
        <w:bottom w:w="0" w:type="dxa"/>
        <w:right w:w="108" w:type="dxa"/>
      </w:tblCellMar>
    </w:tblPr>
  </w:style>
  <w:style w:type="paragraph" w:styleId="3">
    <w:name w:val="footer"/>
    <w:basedOn w:val="1"/>
    <w:link w:val="18"/>
    <w:unhideWhenUsed/>
    <w:qFormat/>
    <w:uiPriority w:val="99"/>
    <w:pPr>
      <w:tabs>
        <w:tab w:val="center" w:pos="4680"/>
        <w:tab w:val="right" w:pos="9360"/>
      </w:tabs>
      <w:spacing w:after="0" w:line="240" w:lineRule="auto"/>
    </w:pPr>
  </w:style>
  <w:style w:type="paragraph" w:styleId="4">
    <w:name w:val="header"/>
    <w:basedOn w:val="1"/>
    <w:link w:val="17"/>
    <w:unhideWhenUsed/>
    <w:qFormat/>
    <w:uiPriority w:val="99"/>
    <w:pPr>
      <w:tabs>
        <w:tab w:val="center" w:pos="4680"/>
        <w:tab w:val="right" w:pos="9360"/>
      </w:tabs>
      <w:spacing w:after="0" w:line="240" w:lineRule="auto"/>
    </w:pPr>
  </w:style>
  <w:style w:type="paragraph" w:styleId="5">
    <w:name w:val="Title"/>
    <w:basedOn w:val="1"/>
    <w:next w:val="1"/>
    <w:link w:val="13"/>
    <w:qFormat/>
    <w:uiPriority w:val="10"/>
    <w:pPr>
      <w:spacing w:after="0" w:line="240" w:lineRule="auto"/>
      <w:contextualSpacing/>
    </w:pPr>
    <w:rPr>
      <w:rFonts w:asciiTheme="majorHAnsi" w:hAnsiTheme="majorHAnsi" w:eastAsiaTheme="majorEastAsia" w:cstheme="majorBidi"/>
      <w:spacing w:val="-10"/>
      <w:kern w:val="28"/>
      <w:sz w:val="56"/>
      <w:szCs w:val="56"/>
    </w:rPr>
  </w:style>
  <w:style w:type="character" w:styleId="7">
    <w:name w:val="Strong"/>
    <w:basedOn w:val="6"/>
    <w:qFormat/>
    <w:uiPriority w:val="22"/>
    <w:rPr>
      <w:b/>
      <w:bCs/>
    </w:rPr>
  </w:style>
  <w:style w:type="table" w:styleId="9">
    <w:name w:val="Table Grid"/>
    <w:basedOn w:val="8"/>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customStyle="1" w:styleId="10">
    <w:name w:val="List Paragraph1"/>
    <w:basedOn w:val="1"/>
    <w:qFormat/>
    <w:uiPriority w:val="34"/>
    <w:pPr>
      <w:ind w:left="720"/>
      <w:contextualSpacing/>
    </w:pPr>
  </w:style>
  <w:style w:type="paragraph" w:customStyle="1"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6"/>
    <w:link w:val="11"/>
    <w:qFormat/>
    <w:uiPriority w:val="1"/>
    <w:rPr>
      <w:rFonts w:eastAsiaTheme="minorEastAsia"/>
      <w:sz w:val="22"/>
      <w:szCs w:val="22"/>
    </w:rPr>
  </w:style>
  <w:style w:type="character" w:customStyle="1" w:styleId="13">
    <w:name w:val="Title Char"/>
    <w:basedOn w:val="6"/>
    <w:link w:val="5"/>
    <w:qFormat/>
    <w:uiPriority w:val="10"/>
    <w:rPr>
      <w:rFonts w:asciiTheme="majorHAnsi" w:hAnsiTheme="majorHAnsi" w:eastAsiaTheme="majorEastAsia" w:cstheme="majorBidi"/>
      <w:spacing w:val="-10"/>
      <w:kern w:val="28"/>
      <w:sz w:val="56"/>
      <w:szCs w:val="56"/>
      <w:lang w:val="en-GB"/>
    </w:rPr>
  </w:style>
  <w:style w:type="character" w:customStyle="1" w:styleId="14">
    <w:name w:val="Book Title"/>
    <w:basedOn w:val="6"/>
    <w:qFormat/>
    <w:uiPriority w:val="33"/>
    <w:rPr>
      <w:b/>
      <w:bCs/>
      <w:i/>
      <w:iCs/>
      <w:spacing w:val="5"/>
    </w:rPr>
  </w:style>
  <w:style w:type="character" w:customStyle="1" w:styleId="15">
    <w:name w:val="Heading 1 Char"/>
    <w:basedOn w:val="6"/>
    <w:link w:val="2"/>
    <w:qFormat/>
    <w:uiPriority w:val="9"/>
    <w:rPr>
      <w:rFonts w:asciiTheme="majorHAnsi" w:hAnsiTheme="majorHAnsi" w:eastAsiaTheme="majorEastAsia" w:cstheme="majorBidi"/>
      <w:color w:val="2F5597" w:themeColor="accent1" w:themeShade="BF"/>
      <w:sz w:val="32"/>
      <w:szCs w:val="32"/>
      <w:lang w:val="en-GB"/>
    </w:rPr>
  </w:style>
  <w:style w:type="paragraph" w:customStyle="1" w:styleId="16">
    <w:name w:val="TOC Heading"/>
    <w:basedOn w:val="2"/>
    <w:next w:val="1"/>
    <w:unhideWhenUsed/>
    <w:qFormat/>
    <w:uiPriority w:val="39"/>
    <w:pPr>
      <w:outlineLvl w:val="9"/>
    </w:pPr>
    <w:rPr>
      <w:lang w:val="en-US"/>
    </w:rPr>
  </w:style>
  <w:style w:type="character" w:customStyle="1" w:styleId="17">
    <w:name w:val="Header Char"/>
    <w:basedOn w:val="6"/>
    <w:link w:val="4"/>
    <w:qFormat/>
    <w:uiPriority w:val="99"/>
    <w:rPr>
      <w:sz w:val="22"/>
      <w:szCs w:val="22"/>
      <w:lang w:val="en-GB"/>
    </w:rPr>
  </w:style>
  <w:style w:type="character" w:customStyle="1" w:styleId="18">
    <w:name w:val="Footer Char"/>
    <w:basedOn w:val="6"/>
    <w:link w:val="3"/>
    <w:qFormat/>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chart" Target="charts/chart3.xml"/><Relationship Id="rId8" Type="http://schemas.openxmlformats.org/officeDocument/2006/relationships/chart" Target="charts/chart2.xml"/><Relationship Id="rId7" Type="http://schemas.openxmlformats.org/officeDocument/2006/relationships/chart" Target="charts/chart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customXml" Target="../customXml/item1.xml"/><Relationship Id="rId16" Type="http://schemas.openxmlformats.org/officeDocument/2006/relationships/image" Target="media/image4.png"/><Relationship Id="rId15" Type="http://schemas.openxmlformats.org/officeDocument/2006/relationships/oleObject" Target="embeddings/oleObject1.bin"/><Relationship Id="rId14" Type="http://schemas.openxmlformats.org/officeDocument/2006/relationships/image" Target="media/image3.png"/><Relationship Id="rId13" Type="http://schemas.openxmlformats.org/officeDocument/2006/relationships/chart" Target="charts/chart7.xml"/><Relationship Id="rId12" Type="http://schemas.openxmlformats.org/officeDocument/2006/relationships/chart" Target="charts/chart6.xml"/><Relationship Id="rId11" Type="http://schemas.openxmlformats.org/officeDocument/2006/relationships/chart" Target="charts/chart5.xml"/><Relationship Id="rId10" Type="http://schemas.openxmlformats.org/officeDocument/2006/relationships/chart" Target="charts/chart4.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D:\Moodle%20Survey%20-%20Excel%202.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D:\Moodle%20Survey%20-%20Excel%202.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D:\Moodle%20Survey%20-%20Excel%202.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D:\Moodle%20Survey%20-%20Excel%202.xlsx"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D:\Moodle%20Survey%20-%20Excel%202.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D:\Moodle%20Survey%20-%20Excel%202.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D:\Moodle%20Survey%20-%20Excel%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Moodle accessibilty</a:t>
            </a:r>
            <a:endParaRPr lang="en-US"/>
          </a:p>
        </c:rich>
      </c:tx>
      <c:layout/>
      <c:overlay val="0"/>
      <c:spPr>
        <a:noFill/>
        <a:ln>
          <a:noFill/>
        </a:ln>
        <a:effectLst/>
      </c:spPr>
    </c:title>
    <c:autoTitleDeleted val="0"/>
    <c:plotArea>
      <c:layout>
        <c:manualLayout>
          <c:layoutTarget val="inner"/>
          <c:xMode val="edge"/>
          <c:yMode val="edge"/>
          <c:x val="0.0930555555555556"/>
          <c:y val="0.342106153397492"/>
          <c:w val="0.813888888888889"/>
          <c:h val="0.527121026538349"/>
        </c:manualLayout>
      </c:layout>
      <c:pieChart>
        <c:varyColors val="1"/>
        <c:ser>
          <c:idx val="0"/>
          <c:order val="0"/>
          <c:spPr/>
          <c:explosion val="0"/>
          <c:dPt>
            <c:idx val="0"/>
            <c:bubble3D val="0"/>
            <c:spPr>
              <a:solidFill>
                <a:schemeClr val="accent6"/>
              </a:solidFill>
              <a:ln>
                <a:noFill/>
              </a:ln>
              <a:effectLst>
                <a:outerShdw blurRad="254000" sx="102000" sy="102000" algn="ctr" rotWithShape="0">
                  <a:prstClr val="black">
                    <a:alpha val="20000"/>
                  </a:prstClr>
                </a:outerShdw>
              </a:effectLst>
              <a:sp3d/>
            </c:spPr>
          </c:dPt>
          <c:dPt>
            <c:idx val="1"/>
            <c:bubble3D val="0"/>
            <c:spPr>
              <a:solidFill>
                <a:schemeClr val="accent5"/>
              </a:solidFill>
              <a:ln>
                <a:noFill/>
              </a:ln>
              <a:effectLst>
                <a:outerShdw blurRad="254000" sx="102000" sy="102000" algn="ctr" rotWithShape="0">
                  <a:prstClr val="black">
                    <a:alpha val="20000"/>
                  </a:prstClr>
                </a:outerShdw>
              </a:effectLst>
              <a:sp3d/>
            </c:spPr>
          </c:dPt>
          <c:dLbls>
            <c:dLbl>
              <c:idx val="0"/>
              <c:layout/>
              <c:numFmt formatCode="General" sourceLinked="1"/>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p>
              </c:txPr>
              <c:dLblPos val="ctr"/>
              <c:showLegendKey val="0"/>
              <c:showVal val="0"/>
              <c:showCatName val="1"/>
              <c:showSerName val="0"/>
              <c:showPercent val="1"/>
              <c:showBubbleSize val="0"/>
              <c:separator>
</c:separator>
              <c:extLst>
                <c:ext xmlns:c15="http://schemas.microsoft.com/office/drawing/2012/chart" uri="{CE6537A1-D6FC-4f65-9D91-7224C49458BB}">
                  <c15:spPr xmlns:c15="http://schemas.microsoft.com/office/drawing/2012/chart">
                    <a:prstGeom prst="wedgeRectCallout">
                      <a:avLst>
                        <a:gd name="adj1" fmla="val 0"/>
                        <a:gd name="adj2" fmla="val 65890"/>
                      </a:avLst>
                    </a:prstGeom>
                    <a:noFill/>
                    <a:ln>
                      <a:noFill/>
                    </a:ln>
                  </c15:spPr>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0"/>
            <c:extLst>
              <c:ext xmlns:c15="http://schemas.microsoft.com/office/drawing/2012/chart" uri="{CE6537A1-D6FC-4f65-9D91-7224C49458BB}">
                <c15:layout/>
                <c15:showLeaderLines val="0"/>
                <c15:leaderLines>
                  <c:spPr>
                    <a:ln w="9525">
                      <a:solidFill>
                        <a:schemeClr val="dk1">
                          <a:lumMod val="50000"/>
                          <a:lumOff val="50000"/>
                        </a:schemeClr>
                      </a:solidFill>
                    </a:ln>
                    <a:effectLst/>
                  </c:spPr>
                </c15:leaderLines>
              </c:ext>
            </c:extLst>
          </c:dLbls>
          <c:cat>
            <c:strRef>
              <c:f>'Survey Data and Charts'!$A$35:$A$36</c:f>
              <c:strCache>
                <c:ptCount val="2"/>
                <c:pt idx="0">
                  <c:v>Yes</c:v>
                </c:pt>
                <c:pt idx="1">
                  <c:v>No</c:v>
                </c:pt>
              </c:strCache>
            </c:strRef>
          </c:cat>
          <c:val>
            <c:numRef>
              <c:f>'Survey Data and Charts'!$B$35:$B$36</c:f>
              <c:numCache>
                <c:formatCode>0%</c:formatCode>
                <c:ptCount val="2"/>
                <c:pt idx="0">
                  <c:v>1</c:v>
                </c:pt>
                <c:pt idx="1">
                  <c:v>0</c:v>
                </c:pt>
              </c:numCache>
            </c:numRef>
          </c:val>
        </c:ser>
        <c:dLbls>
          <c:showLegendKey val="0"/>
          <c:showVal val="0"/>
          <c:showCatName val="0"/>
          <c:showSerName val="0"/>
          <c:showPercent val="1"/>
          <c:showBubbleSize val="0"/>
          <c:showLeaderLines val="0"/>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Frequency</a:t>
            </a:r>
            <a:r>
              <a:rPr lang="en-US" baseline="0"/>
              <a:t> of moodle access</a:t>
            </a:r>
            <a:endParaRPr lang="en-US"/>
          </a:p>
        </c:rich>
      </c:tx>
      <c:layout/>
      <c:overlay val="0"/>
      <c:spPr>
        <a:noFill/>
        <a:ln>
          <a:noFill/>
        </a:ln>
        <a:effectLst/>
      </c:spPr>
    </c:title>
    <c:autoTitleDeleted val="0"/>
    <c:plotArea>
      <c:layout/>
      <c:barChart>
        <c:barDir val="col"/>
        <c:grouping val="clustered"/>
        <c:varyColors val="0"/>
        <c:ser>
          <c:idx val="0"/>
          <c:order val="0"/>
          <c:tx>
            <c:strRef>
              <c:f>'Survey Data and Charts'!$B$39</c:f>
              <c:strCache>
                <c:ptCount val="1"/>
                <c:pt idx="0">
                  <c:v>Responses</c:v>
                </c:pt>
              </c:strCache>
            </c:strRef>
          </c:tx>
          <c:spPr>
            <a:solidFill>
              <a:schemeClr val="accent1"/>
            </a:solidFill>
            <a:ln>
              <a:noFill/>
            </a:ln>
            <a:effectLst/>
            <a:sp3d/>
          </c:spPr>
          <c:invertIfNegative val="0"/>
          <c:dPt>
            <c:idx val="0"/>
            <c:invertIfNegative val="0"/>
            <c:bubble3D val="0"/>
            <c:spPr>
              <a:solidFill>
                <a:srgbClr val="7030A0"/>
              </a:solidFill>
              <a:ln>
                <a:noFill/>
              </a:ln>
              <a:effectLst/>
              <a:sp3d/>
            </c:spPr>
          </c:dPt>
          <c:dPt>
            <c:idx val="1"/>
            <c:invertIfNegative val="0"/>
            <c:bubble3D val="0"/>
            <c:spPr>
              <a:solidFill>
                <a:srgbClr val="FFC000"/>
              </a:solidFill>
              <a:ln>
                <a:noFill/>
              </a:ln>
              <a:effectLst/>
              <a:sp3d/>
            </c:spPr>
          </c:dPt>
          <c:dPt>
            <c:idx val="2"/>
            <c:invertIfNegative val="0"/>
            <c:bubble3D val="0"/>
            <c:spPr>
              <a:solidFill>
                <a:schemeClr val="accent6">
                  <a:lumMod val="75000"/>
                </a:schemeClr>
              </a:solidFill>
              <a:ln>
                <a:noFill/>
              </a:ln>
              <a:effectLst/>
              <a:sp3d/>
            </c:spPr>
          </c:dPt>
          <c:dPt>
            <c:idx val="3"/>
            <c:invertIfNegative val="0"/>
            <c:bubble3D val="0"/>
            <c:spPr>
              <a:solidFill>
                <a:srgbClr val="FF0000"/>
              </a:solidFill>
              <a:ln>
                <a:noFill/>
              </a:ln>
              <a:effectLst/>
              <a:sp3d/>
            </c:spPr>
          </c:dPt>
          <c:dPt>
            <c:idx val="4"/>
            <c:invertIfNegative val="0"/>
            <c:bubble3D val="0"/>
            <c:spPr>
              <a:solidFill>
                <a:schemeClr val="accent2">
                  <a:lumMod val="75000"/>
                </a:schemeClr>
              </a:solidFill>
              <a:ln>
                <a:noFill/>
              </a:ln>
              <a:effectLst/>
              <a:sp3d/>
            </c:spPr>
          </c:dPt>
          <c:dLbls>
            <c:delete val="1"/>
          </c:dLbls>
          <c:cat>
            <c:strRef>
              <c:f>'Survey Data and Charts'!$A$40:$A$44</c:f>
              <c:strCache>
                <c:ptCount val="5"/>
                <c:pt idx="0">
                  <c:v>Daily</c:v>
                </c:pt>
                <c:pt idx="1">
                  <c:v>Only during lectures</c:v>
                </c:pt>
                <c:pt idx="2">
                  <c:v>Weekly</c:v>
                </c:pt>
                <c:pt idx="3">
                  <c:v>Monthly</c:v>
                </c:pt>
                <c:pt idx="4">
                  <c:v>Not at all</c:v>
                </c:pt>
              </c:strCache>
            </c:strRef>
          </c:cat>
          <c:val>
            <c:numRef>
              <c:f>'Survey Data and Charts'!$B$40:$B$44</c:f>
              <c:numCache>
                <c:formatCode>0%</c:formatCode>
                <c:ptCount val="5"/>
                <c:pt idx="0">
                  <c:v>0.4</c:v>
                </c:pt>
                <c:pt idx="1">
                  <c:v>0.2</c:v>
                </c:pt>
                <c:pt idx="2">
                  <c:v>0.35</c:v>
                </c:pt>
                <c:pt idx="3">
                  <c:v>0.05</c:v>
                </c:pt>
                <c:pt idx="4">
                  <c:v>0</c:v>
                </c:pt>
              </c:numCache>
            </c:numRef>
          </c:val>
        </c:ser>
        <c:dLbls>
          <c:showLegendKey val="0"/>
          <c:showVal val="0"/>
          <c:showCatName val="0"/>
          <c:showSerName val="0"/>
          <c:showPercent val="0"/>
          <c:showBubbleSize val="0"/>
        </c:dLbls>
        <c:gapWidth val="150"/>
        <c:axId val="569282896"/>
        <c:axId val="569282256"/>
      </c:barChart>
      <c:catAx>
        <c:axId val="5692828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69282256"/>
        <c:crosses val="autoZero"/>
        <c:auto val="1"/>
        <c:lblAlgn val="ctr"/>
        <c:lblOffset val="100"/>
        <c:noMultiLvlLbl val="0"/>
      </c:catAx>
      <c:valAx>
        <c:axId val="5692822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69282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cap="none" spc="20" baseline="0">
                <a:solidFill>
                  <a:schemeClr val="tx1">
                    <a:lumMod val="50000"/>
                    <a:lumOff val="50000"/>
                  </a:schemeClr>
                </a:solidFill>
                <a:latin typeface="+mn-lt"/>
                <a:ea typeface="+mn-ea"/>
                <a:cs typeface="+mn-cs"/>
              </a:defRPr>
            </a:pPr>
            <a:r>
              <a:rPr lang="en-US"/>
              <a:t>Reason for Moodle access</a:t>
            </a:r>
            <a:endParaRPr lang="en-US"/>
          </a:p>
        </c:rich>
      </c:tx>
      <c:layout>
        <c:manualLayout>
          <c:xMode val="edge"/>
          <c:yMode val="edge"/>
          <c:x val="0.334493000874891"/>
          <c:y val="0.0416666666666667"/>
        </c:manualLayout>
      </c:layout>
      <c:overlay val="0"/>
      <c:spPr>
        <a:noFill/>
        <a:ln>
          <a:noFill/>
        </a:ln>
        <a:effectLst/>
      </c:spPr>
    </c:title>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50000"/>
                        <a:lumOff val="50000"/>
                      </a:schemeClr>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'Survey Data and Charts'!$A$48:$A$51</c:f>
              <c:strCache>
                <c:ptCount val="4"/>
                <c:pt idx="0">
                  <c:v>For Guidance</c:v>
                </c:pt>
                <c:pt idx="1">
                  <c:v>To solve Academic Problems </c:v>
                </c:pt>
                <c:pt idx="2">
                  <c:v>Additional resources</c:v>
                </c:pt>
                <c:pt idx="3">
                  <c:v>Others (Please Specify)</c:v>
                </c:pt>
              </c:strCache>
            </c:strRef>
          </c:cat>
          <c:val>
            <c:numRef>
              <c:f>'Survey Data and Charts'!$B$48:$B$51</c:f>
              <c:numCache>
                <c:formatCode>0%</c:formatCode>
                <c:ptCount val="4"/>
                <c:pt idx="0">
                  <c:v>0.45</c:v>
                </c:pt>
                <c:pt idx="1">
                  <c:v>0.3</c:v>
                </c:pt>
                <c:pt idx="2">
                  <c:v>0.3</c:v>
                </c:pt>
                <c:pt idx="3">
                  <c:v>0.1</c:v>
                </c:pt>
              </c:numCache>
            </c:numRef>
          </c:val>
        </c:ser>
        <c:dLbls>
          <c:showLegendKey val="0"/>
          <c:showVal val="1"/>
          <c:showCatName val="0"/>
          <c:showSerName val="0"/>
          <c:showPercent val="0"/>
          <c:showBubbleSize val="0"/>
        </c:dLbls>
        <c:gapWidth val="100"/>
        <c:overlap val="-24"/>
        <c:axId val="336509760"/>
        <c:axId val="97765664"/>
      </c:barChart>
      <c:catAx>
        <c:axId val="336509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50000"/>
                    <a:lumOff val="50000"/>
                  </a:schemeClr>
                </a:solidFill>
                <a:latin typeface="+mn-lt"/>
                <a:ea typeface="+mn-ea"/>
                <a:cs typeface="+mn-cs"/>
              </a:defRPr>
            </a:pPr>
          </a:p>
        </c:txPr>
        <c:crossAx val="97765664"/>
        <c:crosses val="autoZero"/>
        <c:auto val="1"/>
        <c:lblAlgn val="ctr"/>
        <c:lblOffset val="100"/>
        <c:noMultiLvlLbl val="0"/>
      </c:catAx>
      <c:valAx>
        <c:axId val="97765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900" b="0" i="0" u="none" strike="noStrike" kern="1200" cap="none" baseline="0">
                    <a:solidFill>
                      <a:schemeClr val="tx1">
                        <a:lumMod val="50000"/>
                        <a:lumOff val="50000"/>
                      </a:schemeClr>
                    </a:solidFill>
                    <a:latin typeface="+mn-lt"/>
                    <a:ea typeface="+mn-ea"/>
                    <a:cs typeface="+mn-cs"/>
                  </a:defRPr>
                </a:pPr>
                <a:r>
                  <a:rPr lang="en-US" cap="none" baseline="0"/>
                  <a:t>% of responses</a:t>
                </a:r>
                <a:endParaRPr lang="en-US" cap="none" baseline="0"/>
              </a:p>
            </c:rich>
          </c:tx>
          <c:layout/>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50000"/>
                    <a:lumOff val="50000"/>
                  </a:schemeClr>
                </a:solidFill>
                <a:latin typeface="+mn-lt"/>
                <a:ea typeface="+mn-ea"/>
                <a:cs typeface="+mn-cs"/>
              </a:defRPr>
            </a:pPr>
          </a:p>
        </c:txPr>
        <c:crossAx val="336509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lang="en-US" sz="1600" b="1" i="0" u="none" strike="noStrike" kern="1200" cap="none" baseline="0">
                <a:solidFill>
                  <a:schemeClr val="tx1">
                    <a:lumMod val="65000"/>
                    <a:lumOff val="35000"/>
                  </a:schemeClr>
                </a:solidFill>
                <a:latin typeface="+mn-lt"/>
                <a:ea typeface="+mn-ea"/>
                <a:cs typeface="+mn-cs"/>
              </a:defRPr>
            </a:pPr>
            <a:r>
              <a:rPr lang="en-US" cap="none" baseline="0"/>
              <a:t>Expected information from moodle</a:t>
            </a:r>
            <a:endParaRPr lang="en-US" cap="none" baseline="0"/>
          </a:p>
        </c:rich>
      </c:tx>
      <c:layout>
        <c:manualLayout>
          <c:xMode val="edge"/>
          <c:yMode val="edge"/>
          <c:x val="0.175541587533394"/>
          <c:y val="0.0528052622314866"/>
        </c:manualLayout>
      </c:layout>
      <c:overlay val="0"/>
      <c:spPr>
        <a:noFill/>
        <a:ln>
          <a:noFill/>
        </a:ln>
        <a:effectLst/>
      </c:spPr>
    </c:title>
    <c:autoTitleDeleted val="0"/>
    <c:plotArea>
      <c:layout/>
      <c:pieChart>
        <c:varyColors val="1"/>
        <c:ser>
          <c:idx val="0"/>
          <c:order val="0"/>
          <c:tx>
            <c:strRef>
              <c:f>'Survey Data and Charts'!$B$54</c:f>
              <c:strCache>
                <c:ptCount val="1"/>
                <c:pt idx="0">
                  <c:v>Responses</c:v>
                </c:pt>
              </c:strCache>
            </c:strRef>
          </c:tx>
          <c:spPr/>
          <c:explosion val="0"/>
          <c:dPt>
            <c:idx val="0"/>
            <c:bubble3D val="0"/>
            <c:spPr>
              <a:solidFill>
                <a:schemeClr val="accent4">
                  <a:shade val="76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1"/>
            <c:bubble3D val="0"/>
            <c:spPr>
              <a:solidFill>
                <a:schemeClr val="accent4">
                  <a:tint val="77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Lbls>
            <c:dLbl>
              <c:idx val="0"/>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4">
                          <a:shade val="76000"/>
                        </a:schemeClr>
                      </a:solidFill>
                      <a:latin typeface="+mn-lt"/>
                      <a:ea typeface="+mn-ea"/>
                      <a:cs typeface="+mn-cs"/>
                    </a:defRPr>
                  </a:pPr>
                </a:p>
              </c:txPr>
              <c:dLblPos val="outEnd"/>
              <c:showLegendKey val="0"/>
              <c:showVal val="0"/>
              <c:showCatName val="1"/>
              <c:showSerName val="0"/>
              <c:showPercent val="1"/>
              <c:showBubbleSize val="0"/>
              <c:separator>
</c:separator>
              <c:extLst>
                <c:ext xmlns:c15="http://schemas.microsoft.com/office/drawing/2012/chart" uri="{CE6537A1-D6FC-4f65-9D91-7224C49458BB}"/>
              </c:extLst>
            </c:dLbl>
            <c:dLbl>
              <c:idx val="1"/>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4">
                          <a:tint val="77000"/>
                        </a:schemeClr>
                      </a:solidFill>
                      <a:latin typeface="+mn-lt"/>
                      <a:ea typeface="+mn-ea"/>
                      <a:cs typeface="+mn-cs"/>
                    </a:defRPr>
                  </a:pPr>
                </a:p>
              </c:txPr>
              <c:dLblPos val="outEnd"/>
              <c:showLegendKey val="0"/>
              <c:showVal val="0"/>
              <c:showCatName val="1"/>
              <c:showSerName val="0"/>
              <c:showPercent val="1"/>
              <c:showBubbleSize val="0"/>
              <c:separator>
</c:separator>
              <c:extLst>
                <c:ext xmlns:c15="http://schemas.microsoft.com/office/drawing/2012/chart" uri="{CE6537A1-D6FC-4f65-9D91-7224C49458BB}"/>
              </c:extLst>
            </c:dLbl>
            <c:spPr>
              <a:noFill/>
              <a:ln>
                <a:noFill/>
              </a:ln>
              <a:effectLst/>
            </c:spPr>
            <c:txPr>
              <a:bodyPr rot="0" spcFirstLastPara="0" vertOverflow="ellipsis" vert="horz" wrap="square" lIns="38100" tIns="19050" rIns="38100" bIns="19050" anchor="ctr" anchorCtr="1"/>
              <a:lstStyle/>
              <a:p>
                <a:pPr>
                  <a:defRPr lang="en-US" sz="1000" b="1" i="0" u="none" strike="noStrike" kern="1200" spc="0" baseline="0">
                    <a:solidFill>
                      <a:schemeClr val="accent4"/>
                    </a:solidFill>
                    <a:latin typeface="+mn-lt"/>
                    <a:ea typeface="+mn-ea"/>
                    <a:cs typeface="+mn-cs"/>
                  </a:defRPr>
                </a:pPr>
              </a:p>
            </c:txPr>
            <c:dLblPos val="outEnd"/>
            <c:showLegendKey val="0"/>
            <c:showVal val="0"/>
            <c:showCatName val="1"/>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'Survey Data and Charts'!$A$55:$A$56</c:f>
              <c:strCache>
                <c:ptCount val="2"/>
                <c:pt idx="0">
                  <c:v>Yes</c:v>
                </c:pt>
                <c:pt idx="1">
                  <c:v>No</c:v>
                </c:pt>
              </c:strCache>
            </c:strRef>
          </c:cat>
          <c:val>
            <c:numRef>
              <c:f>'Survey Data and Charts'!$B$55:$B$56</c:f>
              <c:numCache>
                <c:formatCode>0%</c:formatCode>
                <c:ptCount val="2"/>
                <c:pt idx="0">
                  <c:v>0.85</c:v>
                </c:pt>
                <c:pt idx="1">
                  <c:v>0.15</c:v>
                </c:pt>
              </c:numCache>
            </c:numRef>
          </c:val>
        </c:ser>
        <c:dLbls>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r>
              <a:rPr lang="en-US"/>
              <a:t>Moodle learning experiences</a:t>
            </a:r>
            <a:endParaRPr lang="en-US"/>
          </a:p>
        </c:rich>
      </c:tx>
      <c:layout>
        <c:manualLayout>
          <c:xMode val="edge"/>
          <c:yMode val="edge"/>
          <c:x val="0.280854760411586"/>
          <c:y val="0.0623238338862465"/>
        </c:manualLayout>
      </c:layout>
      <c:overlay val="0"/>
      <c:spPr>
        <a:noFill/>
        <a:ln>
          <a:noFill/>
        </a:ln>
        <a:effectLst/>
      </c:spPr>
    </c:title>
    <c:autoTitleDeleted val="0"/>
    <c:plotArea>
      <c:layout/>
      <c:pieChart>
        <c:varyColors val="1"/>
        <c:ser>
          <c:idx val="0"/>
          <c:order val="0"/>
          <c:spPr/>
          <c:explosion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dk1">
                          <a:lumMod val="35000"/>
                          <a:lumOff val="65000"/>
                        </a:schemeClr>
                      </a:solidFill>
                      <a:round/>
                    </a:ln>
                    <a:effectLst/>
                  </c:spPr>
                </c15:leaderLines>
              </c:ext>
            </c:extLst>
          </c:dLbls>
          <c:cat>
            <c:strRef>
              <c:f>'Survey Data and Charts'!$A$24:$A$25</c:f>
              <c:strCache>
                <c:ptCount val="2"/>
                <c:pt idx="0">
                  <c:v>Yes</c:v>
                </c:pt>
                <c:pt idx="1">
                  <c:v>No</c:v>
                </c:pt>
              </c:strCache>
            </c:strRef>
          </c:cat>
          <c:val>
            <c:numRef>
              <c:f>'Survey Data and Charts'!$B$24:$B$25</c:f>
              <c:numCache>
                <c:formatCode>0%</c:formatCode>
                <c:ptCount val="2"/>
                <c:pt idx="0">
                  <c:v>0.95</c:v>
                </c:pt>
                <c:pt idx="1">
                  <c:v>0.05</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r"/>
      <c:layout/>
      <c:overlay val="0"/>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Moodle content information</a:t>
            </a:r>
            <a:endParaRPr lang="en-US"/>
          </a:p>
        </c:rich>
      </c:tx>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FF00"/>
              </a:solidFill>
              <a:ln>
                <a:noFill/>
              </a:ln>
              <a:effectLst/>
            </c:spPr>
          </c:dPt>
          <c:dPt>
            <c:idx val="2"/>
            <c:invertIfNegative val="0"/>
            <c:bubble3D val="0"/>
            <c:spPr>
              <a:solidFill>
                <a:srgbClr val="00B050"/>
              </a:solidFill>
              <a:ln>
                <a:noFill/>
              </a:ln>
              <a:effectLst/>
            </c:spPr>
          </c:dPt>
          <c:dPt>
            <c:idx val="3"/>
            <c:invertIfNegative val="0"/>
            <c:bubble3D val="0"/>
            <c:spPr>
              <a:solidFill>
                <a:srgbClr val="7030A0"/>
              </a:solidFill>
              <a:ln>
                <a:noFill/>
              </a:ln>
              <a:effectLst/>
            </c:spPr>
          </c:dPt>
          <c:dPt>
            <c:idx val="4"/>
            <c:invertIfNegative val="0"/>
            <c:bubble3D val="0"/>
            <c:spPr>
              <a:solidFill>
                <a:schemeClr val="bg1">
                  <a:lumMod val="65000"/>
                </a:schemeClr>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'Survey Data and Charts'!$A$61:$A$65</c:f>
              <c:strCache>
                <c:ptCount val="5"/>
                <c:pt idx="0">
                  <c:v>Academic Guidance</c:v>
                </c:pt>
                <c:pt idx="1">
                  <c:v>Personal Guidance</c:v>
                </c:pt>
                <c:pt idx="2">
                  <c:v>Digital Guidance</c:v>
                </c:pt>
                <c:pt idx="3">
                  <c:v>Library Resources Guidance</c:v>
                </c:pt>
                <c:pt idx="4">
                  <c:v>Other</c:v>
                </c:pt>
              </c:strCache>
            </c:strRef>
          </c:cat>
          <c:val>
            <c:numRef>
              <c:f>'Survey Data and Charts'!$B$61:$B$65</c:f>
              <c:numCache>
                <c:formatCode>0%</c:formatCode>
                <c:ptCount val="5"/>
                <c:pt idx="0">
                  <c:v>0.75</c:v>
                </c:pt>
                <c:pt idx="1">
                  <c:v>0.15</c:v>
                </c:pt>
                <c:pt idx="2">
                  <c:v>0.1</c:v>
                </c:pt>
                <c:pt idx="3">
                  <c:v>0.25</c:v>
                </c:pt>
                <c:pt idx="4">
                  <c:v>0.1</c:v>
                </c:pt>
              </c:numCache>
            </c:numRef>
          </c:val>
        </c:ser>
        <c:dLbls>
          <c:showLegendKey val="0"/>
          <c:showVal val="1"/>
          <c:showCatName val="0"/>
          <c:showSerName val="0"/>
          <c:showPercent val="0"/>
          <c:showBubbleSize val="0"/>
        </c:dLbls>
        <c:gapWidth val="219"/>
        <c:overlap val="-27"/>
        <c:axId val="332073888"/>
        <c:axId val="195122800"/>
      </c:barChart>
      <c:catAx>
        <c:axId val="332073888"/>
        <c:scaling>
          <c:orientation val="minMax"/>
        </c:scaling>
        <c:delete val="0"/>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US"/>
                  <a:t>Information from moodle</a:t>
                </a:r>
                <a:r>
                  <a:rPr lang="en-US" baseline="0"/>
                  <a:t> </a:t>
                </a:r>
                <a:endParaRPr lang="en-US"/>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95122800"/>
        <c:crosses val="autoZero"/>
        <c:auto val="1"/>
        <c:lblAlgn val="ctr"/>
        <c:lblOffset val="100"/>
        <c:noMultiLvlLbl val="0"/>
      </c:catAx>
      <c:valAx>
        <c:axId val="195122800"/>
        <c:scaling>
          <c:orientation val="minMax"/>
        </c:scaling>
        <c:delete val="0"/>
        <c:axPos val="l"/>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US"/>
                  <a:t>% of responses</a:t>
                </a:r>
                <a:endParaRPr lang="en-US"/>
              </a:p>
            </c:rich>
          </c:tx>
          <c:layout/>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332073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3"/>
    </mc:Choice>
    <mc:Fallback>
      <c:style val="3"/>
    </mc:Fallback>
  </mc:AlternateContent>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p>
      </c:txPr>
    </c:title>
    <c:autoTitleDeleted val="0"/>
    <c:plotArea>
      <c:layout/>
      <c:pieChart>
        <c:varyColors val="1"/>
        <c:ser>
          <c:idx val="0"/>
          <c:order val="0"/>
          <c:tx>
            <c:strRef>
              <c:f>'Survey Data and Charts'!$B$17</c:f>
              <c:strCache>
                <c:ptCount val="1"/>
                <c:pt idx="0">
                  <c:v>Responses</c:v>
                </c:pt>
              </c:strCache>
            </c:strRef>
          </c:tx>
          <c:spPr/>
          <c:explosion val="0"/>
          <c:dPt>
            <c:idx val="0"/>
            <c:bubble3D val="0"/>
            <c:spPr>
              <a:solidFill>
                <a:schemeClr val="accent1">
                  <a:tint val="65000"/>
                </a:schemeClr>
              </a:solidFill>
              <a:ln>
                <a:noFill/>
              </a:ln>
              <a:effectLst>
                <a:outerShdw blurRad="254000" sx="102000" sy="102000" algn="ctr" rotWithShape="0">
                  <a:prstClr val="black">
                    <a:alpha val="20000"/>
                  </a:prstClr>
                </a:outerShdw>
              </a:effectLst>
              <a:sp3d/>
            </c:spPr>
          </c:dPt>
          <c:dPt>
            <c:idx val="1"/>
            <c:bubble3D val="0"/>
            <c:spPr>
              <a:solidFill>
                <a:schemeClr val="accent1"/>
              </a:solidFill>
              <a:ln>
                <a:noFill/>
              </a:ln>
              <a:effectLst>
                <a:outerShdw blurRad="254000" sx="102000" sy="102000" algn="ctr" rotWithShape="0">
                  <a:prstClr val="black">
                    <a:alpha val="20000"/>
                  </a:prstClr>
                </a:outerShdw>
              </a:effectLst>
              <a:sp3d/>
            </c:spPr>
          </c:dPt>
          <c:dPt>
            <c:idx val="2"/>
            <c:bubble3D val="0"/>
            <c:spPr>
              <a:solidFill>
                <a:schemeClr val="accent1">
                  <a:shade val="65000"/>
                </a:schemeClr>
              </a:solidFill>
              <a:ln>
                <a:noFill/>
              </a:ln>
              <a:effectLst>
                <a:outerShdw blurRad="254000" sx="102000" sy="102000" algn="ctr" rotWithShape="0">
                  <a:prstClr val="black">
                    <a:alpha val="20000"/>
                  </a:prstClr>
                </a:outerShdw>
              </a:effectLst>
              <a:sp3d/>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'Survey Data and Charts'!$A$18:$A$20</c:f>
              <c:strCache>
                <c:ptCount val="3"/>
                <c:pt idx="0">
                  <c:v>Yes</c:v>
                </c:pt>
                <c:pt idx="1">
                  <c:v>No </c:v>
                </c:pt>
                <c:pt idx="2">
                  <c:v>(no label)</c:v>
                </c:pt>
              </c:strCache>
            </c:strRef>
          </c:cat>
          <c:val>
            <c:numRef>
              <c:f>'Survey Data and Charts'!$B$18:$B$20</c:f>
              <c:numCache>
                <c:formatCode>0%</c:formatCode>
                <c:ptCount val="3"/>
                <c:pt idx="0">
                  <c:v>0.9</c:v>
                </c:pt>
                <c:pt idx="1">
                  <c:v>0.05</c:v>
                </c:pt>
                <c:pt idx="2">
                  <c:v>0.05</c:v>
                </c:pt>
              </c:numCache>
            </c:numRef>
          </c:val>
        </c:ser>
        <c:ser>
          <c:idx val="1"/>
          <c:order val="1"/>
          <c:tx>
            <c:strRef>
              <c:f>'Survey Data and Charts'!$C$17</c:f>
              <c:strCache>
                <c:ptCount val="1"/>
                <c:pt idx="0">
                  <c:v>Number of Correspondents </c:v>
                </c:pt>
              </c:strCache>
            </c:strRef>
          </c:tx>
          <c:spPr/>
          <c:explosion val="0"/>
          <c:dPt>
            <c:idx val="0"/>
            <c:bubble3D val="0"/>
            <c:spPr>
              <a:solidFill>
                <a:schemeClr val="accent1">
                  <a:tint val="65000"/>
                </a:schemeClr>
              </a:solidFill>
              <a:ln>
                <a:noFill/>
              </a:ln>
              <a:effectLst>
                <a:outerShdw blurRad="254000" sx="102000" sy="102000" algn="ctr" rotWithShape="0">
                  <a:prstClr val="black">
                    <a:alpha val="20000"/>
                  </a:prstClr>
                </a:outerShdw>
              </a:effectLst>
              <a:sp3d/>
            </c:spPr>
          </c:dPt>
          <c:dPt>
            <c:idx val="1"/>
            <c:bubble3D val="0"/>
            <c:spPr>
              <a:solidFill>
                <a:schemeClr val="accent1"/>
              </a:solidFill>
              <a:ln>
                <a:noFill/>
              </a:ln>
              <a:effectLst>
                <a:outerShdw blurRad="254000" sx="102000" sy="102000" algn="ctr" rotWithShape="0">
                  <a:prstClr val="black">
                    <a:alpha val="20000"/>
                  </a:prstClr>
                </a:outerShdw>
              </a:effectLst>
              <a:sp3d/>
            </c:spPr>
          </c:dPt>
          <c:dPt>
            <c:idx val="2"/>
            <c:bubble3D val="0"/>
            <c:spPr>
              <a:solidFill>
                <a:schemeClr val="accent1">
                  <a:shade val="65000"/>
                </a:schemeClr>
              </a:solidFill>
              <a:ln>
                <a:noFill/>
              </a:ln>
              <a:effectLst>
                <a:outerShdw blurRad="254000" sx="102000" sy="102000" algn="ctr" rotWithShape="0">
                  <a:prstClr val="black">
                    <a:alpha val="20000"/>
                  </a:prstClr>
                </a:outerShdw>
              </a:effectLst>
              <a:sp3d/>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'Survey Data and Charts'!$A$18:$A$20</c:f>
              <c:strCache>
                <c:ptCount val="3"/>
                <c:pt idx="0">
                  <c:v>Yes</c:v>
                </c:pt>
                <c:pt idx="1">
                  <c:v>No </c:v>
                </c:pt>
                <c:pt idx="2">
                  <c:v>(no label)</c:v>
                </c:pt>
              </c:strCache>
            </c:strRef>
          </c:cat>
          <c:val>
            <c:numRef>
              <c:f>'Survey Data and Charts'!$C$18:$C$20</c:f>
              <c:numCache>
                <c:formatCode>General</c:formatCode>
                <c:ptCount val="3"/>
                <c:pt idx="0">
                  <c:v>18</c:v>
                </c:pt>
                <c:pt idx="1">
                  <c:v>1</c:v>
                </c:pt>
                <c:pt idx="2">
                  <c:v>1</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Reversed" id="21">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Omolara Lawal-akintola (1906883)</Company>
  <Pages>20</Pages>
  <Words>2457</Words>
  <Characters>14006</Characters>
  <Lines>116</Lines>
  <Paragraphs>32</Paragraphs>
  <TotalTime>0</TotalTime>
  <ScaleCrop>false</ScaleCrop>
  <LinksUpToDate>false</LinksUpToDate>
  <CharactersWithSpaces>16431</CharactersWithSpaces>
  <Application>WPS Office_2.2.0.3644_F1E327BC-269C-435d-A152-05C5408002CA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2020-05-10T21:12:00Z</dcterms:created>
  <dc:creator>Omolara Lawal-akintola (1906883)</dc:creator>
  <cp:lastModifiedBy>surajudeenlawal</cp:lastModifiedBy>
  <dcterms:modified xsi:type="dcterms:W3CDTF">2020-05-11T02:53:09Z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1033-2.2.0.3644</vt:lpwstr>
  </property>
</Properties>
</file>