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FA940A" w14:textId="651E7E15" w:rsidR="004424BB" w:rsidRDefault="004424BB">
      <w:pPr>
        <w:rPr>
          <w:rFonts w:ascii="Times New Roman" w:hAnsi="Times New Roman" w:cs="Times New Roman"/>
        </w:rPr>
      </w:pPr>
      <w:r>
        <w:rPr>
          <w:rFonts w:ascii="Times New Roman" w:hAnsi="Times New Roman" w:cs="Times New Roman"/>
        </w:rPr>
        <w:t>Quantifying animal bones: Key concepts 1</w:t>
      </w:r>
    </w:p>
    <w:p w14:paraId="7F482040" w14:textId="77777777" w:rsidR="004424BB" w:rsidRDefault="004424BB">
      <w:pPr>
        <w:rPr>
          <w:rFonts w:ascii="Times New Roman" w:hAnsi="Times New Roman" w:cs="Times New Roman"/>
        </w:rPr>
      </w:pPr>
    </w:p>
    <w:p w14:paraId="1B6A8B37" w14:textId="765E3A96" w:rsidR="00F2706B" w:rsidRDefault="00EE3E0A">
      <w:pPr>
        <w:rPr>
          <w:rFonts w:ascii="Times New Roman" w:hAnsi="Times New Roman" w:cs="Times New Roman"/>
        </w:rPr>
      </w:pPr>
      <w:r>
        <w:rPr>
          <w:rFonts w:ascii="Times New Roman" w:hAnsi="Times New Roman" w:cs="Times New Roman"/>
        </w:rPr>
        <w:t xml:space="preserve">In the study of bone assemblages, </w:t>
      </w:r>
      <w:r w:rsidR="008366A4">
        <w:rPr>
          <w:rFonts w:ascii="Times New Roman" w:hAnsi="Times New Roman" w:cs="Times New Roman"/>
        </w:rPr>
        <w:t xml:space="preserve">there are </w:t>
      </w:r>
      <w:r w:rsidR="009F3EBA">
        <w:rPr>
          <w:rFonts w:ascii="Times New Roman" w:hAnsi="Times New Roman" w:cs="Times New Roman"/>
        </w:rPr>
        <w:t>lots of</w:t>
      </w:r>
      <w:r w:rsidR="008366A4">
        <w:rPr>
          <w:rFonts w:ascii="Times New Roman" w:hAnsi="Times New Roman" w:cs="Times New Roman"/>
        </w:rPr>
        <w:t xml:space="preserve"> things that we would like to find out, for instance </w:t>
      </w:r>
      <w:r w:rsidR="000C4B7F">
        <w:rPr>
          <w:rFonts w:ascii="Times New Roman" w:hAnsi="Times New Roman" w:cs="Times New Roman"/>
        </w:rPr>
        <w:t>the identification of taxa, the abundancy of different animals</w:t>
      </w:r>
      <w:r w:rsidR="009F3EBA">
        <w:rPr>
          <w:rFonts w:ascii="Times New Roman" w:hAnsi="Times New Roman" w:cs="Times New Roman"/>
        </w:rPr>
        <w:t xml:space="preserve">, </w:t>
      </w:r>
      <w:r w:rsidR="001E1C30">
        <w:rPr>
          <w:rFonts w:ascii="Times New Roman" w:hAnsi="Times New Roman" w:cs="Times New Roman"/>
        </w:rPr>
        <w:t>whether the abundance pattern persists in a deeply stratified or an extensive site</w:t>
      </w:r>
      <w:r w:rsidR="009F3EBA">
        <w:rPr>
          <w:rFonts w:ascii="Times New Roman" w:hAnsi="Times New Roman" w:cs="Times New Roman"/>
        </w:rPr>
        <w:t xml:space="preserve"> or even questions like which and how many skeletal elements are present in an assemblage of the ontogenically young individuals. It is obvious that quantification is essential for carrying out taphonomic analysis as researchers have to rely on </w:t>
      </w:r>
      <w:r w:rsidR="004E1E2C">
        <w:rPr>
          <w:rFonts w:ascii="Times New Roman" w:hAnsi="Times New Roman" w:cs="Times New Roman"/>
        </w:rPr>
        <w:t>the data in order to understand, unravel and record taphonomic history of the assemblages of vertebrate remains.</w:t>
      </w:r>
      <w:r w:rsidR="00615C2E">
        <w:rPr>
          <w:rFonts w:ascii="Times New Roman" w:hAnsi="Times New Roman" w:cs="Times New Roman"/>
        </w:rPr>
        <w:t xml:space="preserve"> Besides, </w:t>
      </w:r>
      <w:r w:rsidR="0085271C">
        <w:rPr>
          <w:rFonts w:ascii="Times New Roman" w:hAnsi="Times New Roman" w:cs="Times New Roman"/>
        </w:rPr>
        <w:t>it is the work of the taphonomist to figure out and make documentation of why and how</w:t>
      </w:r>
      <w:r w:rsidR="00CB2C0C">
        <w:rPr>
          <w:rFonts w:ascii="Times New Roman" w:hAnsi="Times New Roman" w:cs="Times New Roman"/>
        </w:rPr>
        <w:t xml:space="preserve"> the specimens collected is different from that model of the living organism.</w:t>
      </w:r>
    </w:p>
    <w:p w14:paraId="4F391B50" w14:textId="5CD9B962" w:rsidR="00CA0C35" w:rsidRDefault="00CA0C35">
      <w:pPr>
        <w:rPr>
          <w:rFonts w:ascii="Times New Roman" w:hAnsi="Times New Roman" w:cs="Times New Roman"/>
        </w:rPr>
      </w:pPr>
    </w:p>
    <w:p w14:paraId="27A9BEF8" w14:textId="63B36A04" w:rsidR="00CA0C35" w:rsidRDefault="00CA0C35">
      <w:pPr>
        <w:rPr>
          <w:rFonts w:ascii="Times New Roman" w:hAnsi="Times New Roman" w:cs="Times New Roman"/>
        </w:rPr>
      </w:pPr>
      <w:r>
        <w:rPr>
          <w:rFonts w:ascii="Times New Roman" w:hAnsi="Times New Roman" w:cs="Times New Roman"/>
        </w:rPr>
        <w:t xml:space="preserve">There are several </w:t>
      </w:r>
      <w:r w:rsidR="00B11DAA">
        <w:rPr>
          <w:rFonts w:ascii="Times New Roman" w:hAnsi="Times New Roman" w:cs="Times New Roman"/>
        </w:rPr>
        <w:t xml:space="preserve">quantification methods that can be applied to bone assemblages nowadays. </w:t>
      </w:r>
      <w:r w:rsidR="00CC6DED">
        <w:rPr>
          <w:rFonts w:ascii="Times New Roman" w:hAnsi="Times New Roman" w:cs="Times New Roman"/>
        </w:rPr>
        <w:t>Q</w:t>
      </w:r>
      <w:r w:rsidR="00F14CAB">
        <w:rPr>
          <w:rFonts w:ascii="Times New Roman" w:hAnsi="Times New Roman" w:cs="Times New Roman"/>
        </w:rPr>
        <w:t xml:space="preserve">uantification measurement result from comparing the observations </w:t>
      </w:r>
      <w:r w:rsidR="00CC6DED">
        <w:rPr>
          <w:rFonts w:ascii="Times New Roman" w:hAnsi="Times New Roman" w:cs="Times New Roman"/>
        </w:rPr>
        <w:t>according</w:t>
      </w:r>
      <w:r w:rsidR="00F14CAB">
        <w:rPr>
          <w:rFonts w:ascii="Times New Roman" w:hAnsi="Times New Roman" w:cs="Times New Roman"/>
        </w:rPr>
        <w:t xml:space="preserve"> to a </w:t>
      </w:r>
      <w:r w:rsidR="00CC6DED">
        <w:rPr>
          <w:rFonts w:ascii="Times New Roman" w:hAnsi="Times New Roman" w:cs="Times New Roman"/>
        </w:rPr>
        <w:t>particular</w:t>
      </w:r>
      <w:r w:rsidR="00F14CAB">
        <w:rPr>
          <w:rFonts w:ascii="Times New Roman" w:hAnsi="Times New Roman" w:cs="Times New Roman"/>
        </w:rPr>
        <w:t xml:space="preserve"> set of rules and assigning one or more values or symbols to every observation </w:t>
      </w:r>
      <w:r w:rsidR="00CC6DED">
        <w:rPr>
          <w:rFonts w:ascii="Times New Roman" w:hAnsi="Times New Roman" w:cs="Times New Roman"/>
        </w:rPr>
        <w:t>of a</w:t>
      </w:r>
      <w:r w:rsidR="00F14CAB">
        <w:rPr>
          <w:rFonts w:ascii="Times New Roman" w:hAnsi="Times New Roman" w:cs="Times New Roman"/>
        </w:rPr>
        <w:t xml:space="preserve"> phenomenon</w:t>
      </w:r>
      <w:r w:rsidR="00CC6DED">
        <w:rPr>
          <w:rFonts w:ascii="Times New Roman" w:hAnsi="Times New Roman" w:cs="Times New Roman"/>
        </w:rPr>
        <w:t xml:space="preserve"> (</w:t>
      </w:r>
      <w:r w:rsidR="00CC6DED">
        <w:rPr>
          <w:rFonts w:ascii="Times New Roman" w:hAnsi="Times New Roman" w:cs="Times New Roman"/>
        </w:rPr>
        <w:t>Gibbon</w:t>
      </w:r>
      <w:r w:rsidR="00CC6DED">
        <w:rPr>
          <w:rFonts w:ascii="Times New Roman" w:hAnsi="Times New Roman" w:cs="Times New Roman"/>
        </w:rPr>
        <w:t xml:space="preserve"> </w:t>
      </w:r>
      <w:r w:rsidR="00CC6DED">
        <w:rPr>
          <w:rFonts w:ascii="Times New Roman" w:hAnsi="Times New Roman" w:cs="Times New Roman"/>
        </w:rPr>
        <w:t>cited in Lyman 1994</w:t>
      </w:r>
      <w:r w:rsidR="00CC6DED">
        <w:rPr>
          <w:rFonts w:ascii="Times New Roman" w:hAnsi="Times New Roman" w:cs="Times New Roman"/>
        </w:rPr>
        <w:t xml:space="preserve"> p.97)</w:t>
      </w:r>
      <w:r w:rsidR="00F14CAB">
        <w:rPr>
          <w:rFonts w:ascii="Times New Roman" w:hAnsi="Times New Roman" w:cs="Times New Roman"/>
        </w:rPr>
        <w:t xml:space="preserve">. </w:t>
      </w:r>
      <w:r w:rsidR="00B11DAA">
        <w:rPr>
          <w:rFonts w:ascii="Times New Roman" w:hAnsi="Times New Roman" w:cs="Times New Roman"/>
        </w:rPr>
        <w:t xml:space="preserve">Regarding the quantification methods, the most direct and simplest way </w:t>
      </w:r>
      <w:r w:rsidR="002452F4">
        <w:rPr>
          <w:rFonts w:ascii="Times New Roman" w:hAnsi="Times New Roman" w:cs="Times New Roman"/>
        </w:rPr>
        <w:t>is to count the number of specimens attributed to e</w:t>
      </w:r>
      <w:r w:rsidR="00414EA4">
        <w:rPr>
          <w:rFonts w:ascii="Times New Roman" w:hAnsi="Times New Roman" w:cs="Times New Roman"/>
        </w:rPr>
        <w:t>very</w:t>
      </w:r>
      <w:r w:rsidR="002452F4">
        <w:rPr>
          <w:rFonts w:ascii="Times New Roman" w:hAnsi="Times New Roman" w:cs="Times New Roman"/>
        </w:rPr>
        <w:t xml:space="preserve"> taxon, where the taxon c</w:t>
      </w:r>
      <w:r w:rsidR="00414EA4">
        <w:rPr>
          <w:rFonts w:ascii="Times New Roman" w:hAnsi="Times New Roman" w:cs="Times New Roman"/>
        </w:rPr>
        <w:t>ould</w:t>
      </w:r>
      <w:r w:rsidR="002452F4">
        <w:rPr>
          <w:rFonts w:ascii="Times New Roman" w:hAnsi="Times New Roman" w:cs="Times New Roman"/>
        </w:rPr>
        <w:t xml:space="preserve"> be a family, genus, species</w:t>
      </w:r>
      <w:r w:rsidR="00414EA4">
        <w:rPr>
          <w:rFonts w:ascii="Times New Roman" w:hAnsi="Times New Roman" w:cs="Times New Roman"/>
        </w:rPr>
        <w:t>, subspecies</w:t>
      </w:r>
      <w:r w:rsidR="002452F4">
        <w:rPr>
          <w:rFonts w:ascii="Times New Roman" w:hAnsi="Times New Roman" w:cs="Times New Roman"/>
        </w:rPr>
        <w:t xml:space="preserve"> or </w:t>
      </w:r>
      <w:r w:rsidR="00414EA4">
        <w:rPr>
          <w:rFonts w:ascii="Times New Roman" w:hAnsi="Times New Roman" w:cs="Times New Roman"/>
        </w:rPr>
        <w:t xml:space="preserve">from </w:t>
      </w:r>
      <w:r w:rsidR="002452F4">
        <w:rPr>
          <w:rFonts w:ascii="Times New Roman" w:hAnsi="Times New Roman" w:cs="Times New Roman"/>
        </w:rPr>
        <w:t xml:space="preserve">a higher </w:t>
      </w:r>
      <w:r w:rsidR="002452F4" w:rsidRPr="002452F4">
        <w:rPr>
          <w:rFonts w:ascii="Times New Roman" w:hAnsi="Times New Roman" w:cs="Times New Roman"/>
        </w:rPr>
        <w:t>taxonomic category</w:t>
      </w:r>
      <w:r w:rsidR="00414EA4">
        <w:rPr>
          <w:rFonts w:ascii="Times New Roman" w:hAnsi="Times New Roman" w:cs="Times New Roman"/>
        </w:rPr>
        <w:t xml:space="preserve"> (Lyman, 1994, p.100).</w:t>
      </w:r>
      <w:r w:rsidR="00EF225C">
        <w:rPr>
          <w:rFonts w:ascii="Times New Roman" w:hAnsi="Times New Roman" w:cs="Times New Roman"/>
        </w:rPr>
        <w:t xml:space="preserve"> This method is commonly used and is known as the Number of Identified Species (NISP). A similar method is called the Total Number of Fragments (TNF) method.</w:t>
      </w:r>
      <w:r w:rsidR="00431EC6">
        <w:rPr>
          <w:rFonts w:ascii="Times New Roman" w:hAnsi="Times New Roman" w:cs="Times New Roman"/>
        </w:rPr>
        <w:t xml:space="preserve"> However, there are issues concerning the NISP method such as the interdependence </w:t>
      </w:r>
      <w:r w:rsidR="00F14CAB">
        <w:rPr>
          <w:rFonts w:ascii="Times New Roman" w:hAnsi="Times New Roman" w:cs="Times New Roman"/>
        </w:rPr>
        <w:t>problem in NISP calculation</w:t>
      </w:r>
      <w:r w:rsidR="00414EA4">
        <w:rPr>
          <w:rFonts w:ascii="Times New Roman" w:hAnsi="Times New Roman" w:cs="Times New Roman"/>
        </w:rPr>
        <w:t xml:space="preserve"> (Grayson cited in </w:t>
      </w:r>
      <w:r w:rsidR="00434388">
        <w:rPr>
          <w:rFonts w:ascii="Times New Roman" w:hAnsi="Times New Roman" w:cs="Times New Roman"/>
        </w:rPr>
        <w:t>O’Connor 2000 p.56)</w:t>
      </w:r>
      <w:r w:rsidR="00F14CAB">
        <w:rPr>
          <w:rFonts w:ascii="Times New Roman" w:hAnsi="Times New Roman" w:cs="Times New Roman"/>
        </w:rPr>
        <w:t>, where an individual animal that contributes more than one identifiable bone to the assemblage will be counted several times, therefore overrepresenting the taxon and makes the result invalid. Another quantification method is by weighting the identified fragments</w:t>
      </w:r>
      <w:r w:rsidR="00703AF9">
        <w:rPr>
          <w:rFonts w:ascii="Times New Roman" w:hAnsi="Times New Roman" w:cs="Times New Roman"/>
        </w:rPr>
        <w:t xml:space="preserve"> while those taxa with large bodies will definitely be overrepresented using this method.</w:t>
      </w:r>
    </w:p>
    <w:p w14:paraId="70A17128" w14:textId="7C7F1133" w:rsidR="00703AF9" w:rsidRDefault="00703AF9">
      <w:pPr>
        <w:rPr>
          <w:rFonts w:ascii="Times New Roman" w:hAnsi="Times New Roman" w:cs="Times New Roman"/>
        </w:rPr>
      </w:pPr>
    </w:p>
    <w:p w14:paraId="31C3D387" w14:textId="18B7D0FB" w:rsidR="00703AF9" w:rsidRDefault="006949D4">
      <w:pPr>
        <w:rPr>
          <w:rFonts w:ascii="Times New Roman" w:hAnsi="Times New Roman" w:cs="Times New Roman"/>
        </w:rPr>
      </w:pPr>
      <w:r>
        <w:rPr>
          <w:rFonts w:ascii="Times New Roman" w:hAnsi="Times New Roman" w:cs="Times New Roman"/>
        </w:rPr>
        <w:t xml:space="preserve">Apart from raw counting and weighting identified specimens, </w:t>
      </w:r>
      <w:r w:rsidR="00EE77FE">
        <w:rPr>
          <w:rFonts w:ascii="Times New Roman" w:hAnsi="Times New Roman" w:cs="Times New Roman"/>
        </w:rPr>
        <w:t>quantification can also based on the estimation of the minimum number of individuals in the identified assemblages</w:t>
      </w:r>
      <w:r w:rsidR="001433EC">
        <w:rPr>
          <w:rFonts w:ascii="Times New Roman" w:hAnsi="Times New Roman" w:cs="Times New Roman"/>
        </w:rPr>
        <w:t xml:space="preserve"> (O’Connor, 2000, p.59)</w:t>
      </w:r>
      <w:r w:rsidR="00A327C0">
        <w:rPr>
          <w:rFonts w:ascii="Times New Roman" w:hAnsi="Times New Roman" w:cs="Times New Roman"/>
        </w:rPr>
        <w:t>. The definition of MNI is the minimum number of individual animals necessary to account for some analytically specified set of identified faunal specimens</w:t>
      </w:r>
      <w:r w:rsidR="003A1A99">
        <w:rPr>
          <w:rFonts w:ascii="Times New Roman" w:hAnsi="Times New Roman" w:cs="Times New Roman"/>
        </w:rPr>
        <w:t xml:space="preserve"> (Lyman, 1994, p.100). </w:t>
      </w:r>
      <w:r w:rsidR="009C108E">
        <w:rPr>
          <w:rFonts w:ascii="Times New Roman" w:hAnsi="Times New Roman" w:cs="Times New Roman"/>
        </w:rPr>
        <w:t>Individual would not be counted twice using the MNI method as the MNI counts are relied on the non-reproducible elements.</w:t>
      </w:r>
      <w:r w:rsidR="00BF158D">
        <w:rPr>
          <w:rFonts w:ascii="Times New Roman" w:hAnsi="Times New Roman" w:cs="Times New Roman"/>
        </w:rPr>
        <w:t xml:space="preserve"> Other methods like the MNE method puts emphasis on the minimum number of a particular skeletal portion or element of a taxon</w:t>
      </w:r>
      <w:r w:rsidR="003A1A99">
        <w:rPr>
          <w:rFonts w:ascii="Times New Roman" w:hAnsi="Times New Roman" w:cs="Times New Roman"/>
        </w:rPr>
        <w:t xml:space="preserve"> </w:t>
      </w:r>
      <w:r w:rsidR="003A1A99">
        <w:rPr>
          <w:rFonts w:ascii="Times New Roman" w:hAnsi="Times New Roman" w:cs="Times New Roman"/>
        </w:rPr>
        <w:t>(Lyman, 1994, p.10</w:t>
      </w:r>
      <w:r w:rsidR="003A1A99">
        <w:rPr>
          <w:rFonts w:ascii="Times New Roman" w:hAnsi="Times New Roman" w:cs="Times New Roman"/>
        </w:rPr>
        <w:t>2</w:t>
      </w:r>
      <w:r w:rsidR="003A1A99">
        <w:rPr>
          <w:rFonts w:ascii="Times New Roman" w:hAnsi="Times New Roman" w:cs="Times New Roman"/>
        </w:rPr>
        <w:t>)</w:t>
      </w:r>
      <w:r w:rsidR="00BF158D">
        <w:rPr>
          <w:rFonts w:ascii="Times New Roman" w:hAnsi="Times New Roman" w:cs="Times New Roman"/>
        </w:rPr>
        <w:t>. Some will also try to estimate the killed populatio</w:t>
      </w:r>
      <w:r w:rsidR="000921C2">
        <w:rPr>
          <w:rFonts w:ascii="Times New Roman" w:hAnsi="Times New Roman" w:cs="Times New Roman"/>
        </w:rPr>
        <w:t>n that has contributed to the assemblage</w:t>
      </w:r>
      <w:r w:rsidR="003A1A99">
        <w:rPr>
          <w:rFonts w:ascii="Times New Roman" w:hAnsi="Times New Roman" w:cs="Times New Roman"/>
        </w:rPr>
        <w:t xml:space="preserve"> </w:t>
      </w:r>
      <w:r w:rsidR="003A1A99">
        <w:rPr>
          <w:rFonts w:ascii="Times New Roman" w:hAnsi="Times New Roman" w:cs="Times New Roman"/>
        </w:rPr>
        <w:t>(O’Connor, 2000, p.</w:t>
      </w:r>
      <w:r w:rsidR="003A1A99">
        <w:rPr>
          <w:rFonts w:ascii="Times New Roman" w:hAnsi="Times New Roman" w:cs="Times New Roman"/>
        </w:rPr>
        <w:t>61</w:t>
      </w:r>
      <w:r w:rsidR="003A1A99">
        <w:rPr>
          <w:rFonts w:ascii="Times New Roman" w:hAnsi="Times New Roman" w:cs="Times New Roman"/>
        </w:rPr>
        <w:t>)</w:t>
      </w:r>
      <w:r w:rsidR="000921C2">
        <w:rPr>
          <w:rFonts w:ascii="Times New Roman" w:hAnsi="Times New Roman" w:cs="Times New Roman"/>
        </w:rPr>
        <w:t xml:space="preserve">. In order to estimate precise numbers in the original death assemblage, not only </w:t>
      </w:r>
      <w:r w:rsidR="00B95CCB">
        <w:rPr>
          <w:rFonts w:ascii="Times New Roman" w:hAnsi="Times New Roman" w:cs="Times New Roman"/>
        </w:rPr>
        <w:t>those present in the recovered sample will be counted, but also those have been lost altogether.</w:t>
      </w:r>
    </w:p>
    <w:p w14:paraId="31F7B2EA" w14:textId="06979826" w:rsidR="00AA73B0" w:rsidRDefault="00AA73B0">
      <w:pPr>
        <w:rPr>
          <w:rFonts w:ascii="Times New Roman" w:hAnsi="Times New Roman" w:cs="Times New Roman"/>
        </w:rPr>
      </w:pPr>
    </w:p>
    <w:p w14:paraId="00B494D1" w14:textId="3C7F2617" w:rsidR="00AA73B0" w:rsidRDefault="003D00CA">
      <w:pPr>
        <w:rPr>
          <w:rFonts w:ascii="Times New Roman" w:hAnsi="Times New Roman" w:cs="Times New Roman"/>
        </w:rPr>
      </w:pPr>
      <w:r>
        <w:rPr>
          <w:rFonts w:ascii="Times New Roman" w:hAnsi="Times New Roman" w:cs="Times New Roman"/>
        </w:rPr>
        <w:t xml:space="preserve">It is important </w:t>
      </w:r>
      <w:r w:rsidR="006D44DF">
        <w:rPr>
          <w:rFonts w:ascii="Times New Roman" w:hAnsi="Times New Roman" w:cs="Times New Roman"/>
        </w:rPr>
        <w:t xml:space="preserve">to </w:t>
      </w:r>
      <w:r w:rsidR="005B7811">
        <w:rPr>
          <w:rFonts w:ascii="Times New Roman" w:hAnsi="Times New Roman" w:cs="Times New Roman"/>
        </w:rPr>
        <w:t>state clearly of</w:t>
      </w:r>
      <w:r w:rsidR="006D44DF">
        <w:rPr>
          <w:rFonts w:ascii="Times New Roman" w:hAnsi="Times New Roman" w:cs="Times New Roman"/>
        </w:rPr>
        <w:t xml:space="preserve"> </w:t>
      </w:r>
      <w:r w:rsidR="00ED6573">
        <w:rPr>
          <w:rFonts w:ascii="Times New Roman" w:hAnsi="Times New Roman" w:cs="Times New Roman"/>
        </w:rPr>
        <w:t>how the quantitative units th</w:t>
      </w:r>
      <w:r w:rsidR="005B7811">
        <w:rPr>
          <w:rFonts w:ascii="Times New Roman" w:hAnsi="Times New Roman" w:cs="Times New Roman"/>
        </w:rPr>
        <w:t>at are chosen</w:t>
      </w:r>
      <w:r w:rsidR="00ED6573">
        <w:rPr>
          <w:rFonts w:ascii="Times New Roman" w:hAnsi="Times New Roman" w:cs="Times New Roman"/>
        </w:rPr>
        <w:t xml:space="preserve"> to use is related </w:t>
      </w:r>
      <w:r w:rsidR="005B7811">
        <w:rPr>
          <w:rFonts w:ascii="Times New Roman" w:hAnsi="Times New Roman" w:cs="Times New Roman"/>
        </w:rPr>
        <w:t xml:space="preserve">with </w:t>
      </w:r>
      <w:r w:rsidR="00ED6573" w:rsidRPr="00ED6573">
        <w:rPr>
          <w:rFonts w:ascii="Times New Roman" w:hAnsi="Times New Roman" w:cs="Times New Roman"/>
        </w:rPr>
        <w:t xml:space="preserve">the quantitative properties of the target population we </w:t>
      </w:r>
      <w:r w:rsidR="005B7811">
        <w:rPr>
          <w:rFonts w:ascii="Times New Roman" w:hAnsi="Times New Roman" w:cs="Times New Roman"/>
        </w:rPr>
        <w:t>hope</w:t>
      </w:r>
      <w:r w:rsidR="00ED6573" w:rsidRPr="00ED6573">
        <w:rPr>
          <w:rFonts w:ascii="Times New Roman" w:hAnsi="Times New Roman" w:cs="Times New Roman"/>
        </w:rPr>
        <w:t xml:space="preserve"> to </w:t>
      </w:r>
      <w:r w:rsidR="00ED6573">
        <w:rPr>
          <w:rFonts w:ascii="Times New Roman" w:hAnsi="Times New Roman" w:cs="Times New Roman"/>
        </w:rPr>
        <w:t>deduce.</w:t>
      </w:r>
      <w:r w:rsidR="00407B29">
        <w:rPr>
          <w:rFonts w:ascii="Times New Roman" w:hAnsi="Times New Roman" w:cs="Times New Roman"/>
        </w:rPr>
        <w:t xml:space="preserve"> </w:t>
      </w:r>
      <w:r w:rsidR="00407B29" w:rsidRPr="00407B29">
        <w:rPr>
          <w:rFonts w:ascii="Times New Roman" w:hAnsi="Times New Roman" w:cs="Times New Roman"/>
        </w:rPr>
        <w:t xml:space="preserve">Quantitative units can </w:t>
      </w:r>
      <w:r w:rsidR="005B7811">
        <w:rPr>
          <w:rFonts w:ascii="Times New Roman" w:hAnsi="Times New Roman" w:cs="Times New Roman"/>
        </w:rPr>
        <w:t>either be</w:t>
      </w:r>
      <w:r w:rsidR="00407B29" w:rsidRPr="00407B29">
        <w:rPr>
          <w:rFonts w:ascii="Times New Roman" w:hAnsi="Times New Roman" w:cs="Times New Roman"/>
        </w:rPr>
        <w:t xml:space="preserve"> observational or analytical</w:t>
      </w:r>
      <w:r w:rsidR="005B7811">
        <w:rPr>
          <w:rFonts w:ascii="Times New Roman" w:hAnsi="Times New Roman" w:cs="Times New Roman"/>
        </w:rPr>
        <w:t xml:space="preserve"> (Lyman, 1994, p.99)</w:t>
      </w:r>
      <w:r w:rsidR="00407B29">
        <w:rPr>
          <w:rFonts w:ascii="Times New Roman" w:hAnsi="Times New Roman" w:cs="Times New Roman"/>
        </w:rPr>
        <w:t xml:space="preserve">. Analytical units can be further divided into two forms, which is derived and interpretive respectively. </w:t>
      </w:r>
      <w:r w:rsidR="00B31AD3">
        <w:rPr>
          <w:rFonts w:ascii="Times New Roman" w:hAnsi="Times New Roman" w:cs="Times New Roman"/>
        </w:rPr>
        <w:t xml:space="preserve">Common quantitative and continuous measurements include interval, ordinal and ratio-level measures while nominal-level measures is usually qualitative, </w:t>
      </w:r>
      <w:r w:rsidR="00B31AD3" w:rsidRPr="00B31AD3">
        <w:rPr>
          <w:rFonts w:ascii="Times New Roman" w:hAnsi="Times New Roman" w:cs="Times New Roman"/>
        </w:rPr>
        <w:t>discontinuous</w:t>
      </w:r>
      <w:r w:rsidR="00B31AD3">
        <w:rPr>
          <w:rFonts w:ascii="Times New Roman" w:hAnsi="Times New Roman" w:cs="Times New Roman"/>
        </w:rPr>
        <w:t xml:space="preserve"> and discrete.</w:t>
      </w:r>
    </w:p>
    <w:p w14:paraId="74E5189E" w14:textId="13EE648E" w:rsidR="009208E0" w:rsidRDefault="009208E0">
      <w:pPr>
        <w:rPr>
          <w:rFonts w:ascii="Times New Roman" w:hAnsi="Times New Roman" w:cs="Times New Roman"/>
        </w:rPr>
      </w:pPr>
    </w:p>
    <w:p w14:paraId="3B945881" w14:textId="45141A30" w:rsidR="009208E0" w:rsidRDefault="009208E0">
      <w:pPr>
        <w:rPr>
          <w:rFonts w:ascii="Times New Roman" w:hAnsi="Times New Roman" w:cs="Times New Roman"/>
        </w:rPr>
      </w:pPr>
    </w:p>
    <w:p w14:paraId="65125445" w14:textId="0B37B608" w:rsidR="009208E0" w:rsidRDefault="009208E0">
      <w:pPr>
        <w:rPr>
          <w:rFonts w:ascii="Times New Roman" w:hAnsi="Times New Roman" w:cs="Times New Roman"/>
        </w:rPr>
      </w:pPr>
    </w:p>
    <w:p w14:paraId="734F1803" w14:textId="3C591364" w:rsidR="009208E0" w:rsidRDefault="009208E0">
      <w:pPr>
        <w:rPr>
          <w:rFonts w:ascii="Times New Roman" w:hAnsi="Times New Roman" w:cs="Times New Roman"/>
        </w:rPr>
      </w:pPr>
    </w:p>
    <w:p w14:paraId="4049B72C" w14:textId="6704F6A3" w:rsidR="009208E0" w:rsidRDefault="009208E0">
      <w:pPr>
        <w:rPr>
          <w:rFonts w:ascii="Times New Roman" w:hAnsi="Times New Roman" w:cs="Times New Roman"/>
        </w:rPr>
      </w:pPr>
    </w:p>
    <w:p w14:paraId="4476BB62" w14:textId="12F62396" w:rsidR="009208E0" w:rsidRDefault="009208E0">
      <w:pPr>
        <w:rPr>
          <w:rFonts w:ascii="Times New Roman" w:hAnsi="Times New Roman" w:cs="Times New Roman"/>
        </w:rPr>
      </w:pPr>
      <w:r>
        <w:rPr>
          <w:rFonts w:ascii="Times New Roman" w:hAnsi="Times New Roman" w:cs="Times New Roman"/>
        </w:rPr>
        <w:lastRenderedPageBreak/>
        <w:t>Reference list:</w:t>
      </w:r>
    </w:p>
    <w:p w14:paraId="07BFE772" w14:textId="77777777" w:rsidR="008A2123" w:rsidRDefault="008A2123">
      <w:pPr>
        <w:rPr>
          <w:rFonts w:ascii="Times New Roman" w:hAnsi="Times New Roman" w:cs="Times New Roman"/>
        </w:rPr>
      </w:pPr>
    </w:p>
    <w:p w14:paraId="76478454" w14:textId="6B69AAD3" w:rsidR="009208E0" w:rsidRDefault="009208E0">
      <w:pPr>
        <w:rPr>
          <w:rFonts w:ascii="Times New Roman" w:hAnsi="Times New Roman" w:cs="Times New Roman"/>
        </w:rPr>
      </w:pPr>
      <w:r w:rsidRPr="009208E0">
        <w:rPr>
          <w:rFonts w:ascii="Times New Roman" w:hAnsi="Times New Roman" w:cs="Times New Roman"/>
        </w:rPr>
        <w:t>Lyman, R. (1994). Dedication. In Vertebrate Taphonomy (Cambridge Manuals in Archaeology, pp. Vii-Viii). Cambridge: Cambridge University Press.</w:t>
      </w:r>
    </w:p>
    <w:p w14:paraId="4FCB5371" w14:textId="464CFA61" w:rsidR="008A2123" w:rsidRDefault="008A2123">
      <w:pPr>
        <w:rPr>
          <w:rFonts w:ascii="Times New Roman" w:hAnsi="Times New Roman" w:cs="Times New Roman"/>
        </w:rPr>
      </w:pPr>
    </w:p>
    <w:p w14:paraId="122E3D66" w14:textId="0EFC6829" w:rsidR="008A2123" w:rsidRPr="00DC7626" w:rsidRDefault="008A2123">
      <w:pPr>
        <w:rPr>
          <w:rFonts w:ascii="Times New Roman" w:hAnsi="Times New Roman" w:cs="Times New Roman"/>
        </w:rPr>
      </w:pPr>
      <w:r w:rsidRPr="008A2123">
        <w:rPr>
          <w:rFonts w:ascii="Times New Roman" w:hAnsi="Times New Roman" w:cs="Times New Roman"/>
        </w:rPr>
        <w:t>O'Connor, T. (2000). The archaeology of animal bones. Sutton Publishing.</w:t>
      </w:r>
    </w:p>
    <w:sectPr w:rsidR="008A2123" w:rsidRPr="00DC7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626"/>
    <w:rsid w:val="000921C2"/>
    <w:rsid w:val="000C4B7F"/>
    <w:rsid w:val="001433EC"/>
    <w:rsid w:val="0018594C"/>
    <w:rsid w:val="001B4215"/>
    <w:rsid w:val="001E1C30"/>
    <w:rsid w:val="00203715"/>
    <w:rsid w:val="002452F4"/>
    <w:rsid w:val="00330CFC"/>
    <w:rsid w:val="003A1A99"/>
    <w:rsid w:val="003B2EEC"/>
    <w:rsid w:val="003D00CA"/>
    <w:rsid w:val="003D43AB"/>
    <w:rsid w:val="00407B29"/>
    <w:rsid w:val="00414EA4"/>
    <w:rsid w:val="00431EC6"/>
    <w:rsid w:val="00434388"/>
    <w:rsid w:val="004424BB"/>
    <w:rsid w:val="004D5A38"/>
    <w:rsid w:val="004E1E2C"/>
    <w:rsid w:val="005070A8"/>
    <w:rsid w:val="005B7811"/>
    <w:rsid w:val="00615C2E"/>
    <w:rsid w:val="00691189"/>
    <w:rsid w:val="006949D4"/>
    <w:rsid w:val="006D44DF"/>
    <w:rsid w:val="00703AF9"/>
    <w:rsid w:val="00724FA3"/>
    <w:rsid w:val="008366A4"/>
    <w:rsid w:val="0085271C"/>
    <w:rsid w:val="00856B2B"/>
    <w:rsid w:val="008A2123"/>
    <w:rsid w:val="009208E0"/>
    <w:rsid w:val="009C108E"/>
    <w:rsid w:val="009F3EBA"/>
    <w:rsid w:val="00A327C0"/>
    <w:rsid w:val="00AA73B0"/>
    <w:rsid w:val="00B11DAA"/>
    <w:rsid w:val="00B31AD3"/>
    <w:rsid w:val="00B63244"/>
    <w:rsid w:val="00B95CCB"/>
    <w:rsid w:val="00BF158D"/>
    <w:rsid w:val="00CA0C35"/>
    <w:rsid w:val="00CB2C0C"/>
    <w:rsid w:val="00CC6DED"/>
    <w:rsid w:val="00DC7626"/>
    <w:rsid w:val="00E91F60"/>
    <w:rsid w:val="00EB70D7"/>
    <w:rsid w:val="00ED6573"/>
    <w:rsid w:val="00EE3E0A"/>
    <w:rsid w:val="00EE77FE"/>
    <w:rsid w:val="00EF225C"/>
    <w:rsid w:val="00F14CAB"/>
    <w:rsid w:val="00F2706B"/>
    <w:rsid w:val="00FA51EE"/>
    <w:rsid w:val="00FE18D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35CAF556"/>
  <w15:chartTrackingRefBased/>
  <w15:docId w15:val="{06EF32B6-72BD-E84A-BB7F-604FAF57C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706B"/>
    <w:pPr>
      <w:spacing w:before="100" w:beforeAutospacing="1" w:after="100" w:afterAutospacing="1"/>
    </w:pPr>
    <w:rPr>
      <w:rFonts w:ascii="Times New Roman" w:eastAsia="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5785434">
      <w:bodyDiv w:val="1"/>
      <w:marLeft w:val="0"/>
      <w:marRight w:val="0"/>
      <w:marTop w:val="0"/>
      <w:marBottom w:val="0"/>
      <w:divBdr>
        <w:top w:val="none" w:sz="0" w:space="0" w:color="auto"/>
        <w:left w:val="none" w:sz="0" w:space="0" w:color="auto"/>
        <w:bottom w:val="none" w:sz="0" w:space="0" w:color="auto"/>
        <w:right w:val="none" w:sz="0" w:space="0" w:color="auto"/>
      </w:divBdr>
    </w:div>
    <w:div w:id="1774127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403</TotalTime>
  <Pages>2</Pages>
  <Words>561</Words>
  <Characters>3203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Sing Ching</dc:creator>
  <cp:keywords/>
  <dc:description/>
  <cp:lastModifiedBy>LEE Sing Ching</cp:lastModifiedBy>
  <cp:revision>171</cp:revision>
  <dcterms:created xsi:type="dcterms:W3CDTF">2023-03-04T18:40:00Z</dcterms:created>
  <dcterms:modified xsi:type="dcterms:W3CDTF">2023-04-28T22:33:00Z</dcterms:modified>
</cp:coreProperties>
</file>