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417A36" w14:textId="1D6DD95E" w:rsidR="005419E9" w:rsidRDefault="00AE0C43" w:rsidP="00E64030">
      <w:pPr>
        <w:pStyle w:val="Heading2"/>
        <w:spacing w:line="360" w:lineRule="auto"/>
        <w:rPr>
          <w:rFonts w:ascii="Arial" w:hAnsi="Arial" w:cs="Arial"/>
          <w:b/>
          <w:bCs/>
          <w:color w:val="000000"/>
        </w:rPr>
      </w:pPr>
      <w:r>
        <w:fldChar w:fldCharType="begin"/>
      </w:r>
      <w:r>
        <w:instrText xml:space="preserve"> INCLUDEPICTURE "/Users/admin/Library/Group Containers/UBF8T346G9.ms/WebArchiveCopyPasteTempFiles/com.microsoft.Word/RiSmXcimnlDc9L+VSLuVSLuVSLuVSLuVSLuVSLuVSLuVSLuVSLuW08v8BGrFjURtirFcAAAAASUVORK5CYII=" \* MERGEFORMATINET </w:instrText>
      </w:r>
      <w:r>
        <w:fldChar w:fldCharType="separate"/>
      </w:r>
      <w:r>
        <w:rPr>
          <w:noProof/>
        </w:rPr>
        <w:drawing>
          <wp:inline distT="0" distB="0" distL="0" distR="0" wp14:anchorId="1A38B6E7" wp14:editId="0CCD87E6">
            <wp:extent cx="3554083" cy="1417539"/>
            <wp:effectExtent l="0" t="0" r="2540" b="5080"/>
            <wp:docPr id="359348865" name="Picture 1" descr="University of Wales Trinity Saint Davi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img_GEa9aYbbMZfBhbIP8-Hj4Qw_45" descr="University of Wales Trinity Saint David ..."/>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599847" cy="1435792"/>
                    </a:xfrm>
                    <a:prstGeom prst="rect">
                      <a:avLst/>
                    </a:prstGeom>
                    <a:noFill/>
                    <a:ln>
                      <a:noFill/>
                    </a:ln>
                  </pic:spPr>
                </pic:pic>
              </a:graphicData>
            </a:graphic>
          </wp:inline>
        </w:drawing>
      </w:r>
      <w:r>
        <w:fldChar w:fldCharType="end"/>
      </w:r>
    </w:p>
    <w:sdt>
      <w:sdtPr>
        <w:rPr>
          <w:i/>
          <w:iCs/>
          <w:color w:val="E97132" w:themeColor="accent2"/>
          <w:sz w:val="36"/>
          <w:szCs w:val="36"/>
          <w:u w:val="single"/>
        </w:rPr>
        <w:id w:val="-1358339673"/>
        <w:docPartObj>
          <w:docPartGallery w:val="Cover Pages"/>
          <w:docPartUnique/>
        </w:docPartObj>
      </w:sdtPr>
      <w:sdtEndPr>
        <w:rPr>
          <w:rFonts w:ascii="Arial" w:hAnsi="Arial" w:cs="Arial"/>
          <w:b/>
          <w:bCs/>
        </w:rPr>
      </w:sdtEndPr>
      <w:sdtContent>
        <w:p w14:paraId="2C9B9E94" w14:textId="4492D4C7" w:rsidR="005419E9" w:rsidRPr="009C4E02" w:rsidRDefault="005419E9" w:rsidP="00BC280D">
          <w:pPr>
            <w:rPr>
              <w:i/>
              <w:iCs/>
              <w:color w:val="E97132" w:themeColor="accent2"/>
              <w:sz w:val="36"/>
              <w:szCs w:val="36"/>
              <w:u w:val="single"/>
            </w:rPr>
          </w:pPr>
        </w:p>
        <w:p w14:paraId="691F68BB" w14:textId="77777777" w:rsidR="005419E9" w:rsidRPr="009C4E02" w:rsidRDefault="005419E9" w:rsidP="005419E9">
          <w:pPr>
            <w:rPr>
              <w:rFonts w:ascii="Arial" w:eastAsiaTheme="majorEastAsia" w:hAnsi="Arial" w:cs="Arial"/>
              <w:b/>
              <w:bCs/>
              <w:i/>
              <w:iCs/>
              <w:color w:val="E97132" w:themeColor="accent2"/>
              <w:sz w:val="36"/>
              <w:szCs w:val="36"/>
              <w:u w:val="single"/>
            </w:rPr>
          </w:pPr>
        </w:p>
      </w:sdtContent>
    </w:sdt>
    <w:p w14:paraId="315CD70A" w14:textId="77777777" w:rsidR="006426B7" w:rsidRPr="00BC280D" w:rsidRDefault="006426B7" w:rsidP="006426B7">
      <w:pPr>
        <w:pStyle w:val="p1"/>
        <w:rPr>
          <w:rFonts w:ascii="Hadassah Friedlaender" w:hAnsi="Hadassah Friedlaender" w:cs="Hadassah Friedlaender" w:hint="cs"/>
          <w:i/>
          <w:iCs/>
          <w:color w:val="E97132" w:themeColor="accent2"/>
          <w:sz w:val="96"/>
          <w:szCs w:val="96"/>
          <w:u w:val="single"/>
        </w:rPr>
      </w:pPr>
      <w:r w:rsidRPr="00BC280D">
        <w:rPr>
          <w:rFonts w:ascii="Hadassah Friedlaender" w:hAnsi="Hadassah Friedlaender" w:cs="Hadassah Friedlaender" w:hint="cs"/>
          <w:b/>
          <w:bCs/>
          <w:i/>
          <w:iCs/>
          <w:color w:val="E97132" w:themeColor="accent2"/>
          <w:sz w:val="96"/>
          <w:szCs w:val="96"/>
          <w:u w:val="single"/>
        </w:rPr>
        <w:t>Assessment 2</w:t>
      </w:r>
      <w:r w:rsidRPr="00BC280D">
        <w:rPr>
          <w:rStyle w:val="s1"/>
          <w:rFonts w:ascii="Hadassah Friedlaender" w:eastAsiaTheme="majorEastAsia" w:hAnsi="Hadassah Friedlaender" w:cs="Hadassah Friedlaender" w:hint="cs"/>
          <w:b/>
          <w:bCs/>
          <w:i/>
          <w:iCs/>
          <w:color w:val="E97132" w:themeColor="accent2"/>
          <w:sz w:val="96"/>
          <w:szCs w:val="96"/>
          <w:u w:val="single"/>
        </w:rPr>
        <w:t>:</w:t>
      </w:r>
    </w:p>
    <w:p w14:paraId="51B258D3" w14:textId="77777777" w:rsidR="006426B7" w:rsidRPr="00BC280D" w:rsidRDefault="006426B7" w:rsidP="006426B7">
      <w:pPr>
        <w:pStyle w:val="p2"/>
        <w:rPr>
          <w:rFonts w:ascii="Hadassah Friedlaender" w:hAnsi="Hadassah Friedlaender" w:cs="Hadassah Friedlaender" w:hint="cs"/>
          <w:i/>
          <w:iCs/>
          <w:color w:val="E97132" w:themeColor="accent2"/>
          <w:sz w:val="96"/>
          <w:szCs w:val="96"/>
          <w:u w:val="single"/>
        </w:rPr>
      </w:pPr>
      <w:r w:rsidRPr="00BC280D">
        <w:rPr>
          <w:rFonts w:ascii="Hadassah Friedlaender" w:hAnsi="Hadassah Friedlaender" w:cs="Hadassah Friedlaender" w:hint="cs"/>
          <w:b/>
          <w:bCs/>
          <w:i/>
          <w:iCs/>
          <w:color w:val="E97132" w:themeColor="accent2"/>
          <w:sz w:val="96"/>
          <w:szCs w:val="96"/>
          <w:u w:val="single"/>
        </w:rPr>
        <w:t>Bibliography</w:t>
      </w:r>
    </w:p>
    <w:p w14:paraId="4206675A" w14:textId="77777777" w:rsidR="006426B7" w:rsidRPr="00BC280D" w:rsidRDefault="006426B7" w:rsidP="006426B7">
      <w:pPr>
        <w:pStyle w:val="p2"/>
        <w:rPr>
          <w:rFonts w:ascii="Hadassah Friedlaender" w:hAnsi="Hadassah Friedlaender" w:cs="Hadassah Friedlaender" w:hint="cs"/>
          <w:i/>
          <w:iCs/>
          <w:color w:val="E97132" w:themeColor="accent2"/>
          <w:sz w:val="96"/>
          <w:szCs w:val="96"/>
          <w:u w:val="single"/>
        </w:rPr>
      </w:pPr>
      <w:r w:rsidRPr="00BC280D">
        <w:rPr>
          <w:rFonts w:ascii="Hadassah Friedlaender" w:hAnsi="Hadassah Friedlaender" w:cs="Hadassah Friedlaender" w:hint="cs"/>
          <w:b/>
          <w:bCs/>
          <w:i/>
          <w:iCs/>
          <w:color w:val="E97132" w:themeColor="accent2"/>
          <w:sz w:val="96"/>
          <w:szCs w:val="96"/>
          <w:u w:val="single"/>
        </w:rPr>
        <w:t>&amp; report</w:t>
      </w:r>
    </w:p>
    <w:p w14:paraId="26C25C7F" w14:textId="77777777" w:rsidR="00F011B8" w:rsidRPr="00BC280D" w:rsidRDefault="00F011B8">
      <w:pPr>
        <w:rPr>
          <w:rFonts w:ascii="Arial" w:hAnsi="Arial" w:cs="Arial"/>
          <w:b/>
          <w:bCs/>
          <w:color w:val="000000"/>
          <w:sz w:val="96"/>
          <w:szCs w:val="96"/>
        </w:rPr>
      </w:pPr>
    </w:p>
    <w:p w14:paraId="3EAB2469" w14:textId="77777777" w:rsidR="00F011B8" w:rsidRPr="00BC280D" w:rsidRDefault="00F011B8">
      <w:pPr>
        <w:rPr>
          <w:rFonts w:ascii="Arial" w:hAnsi="Arial" w:cs="Arial"/>
          <w:b/>
          <w:bCs/>
          <w:color w:val="000000"/>
          <w:sz w:val="96"/>
          <w:szCs w:val="96"/>
        </w:rPr>
      </w:pPr>
    </w:p>
    <w:p w14:paraId="1C9A7ABD" w14:textId="77777777" w:rsidR="00F011B8" w:rsidRDefault="00F011B8">
      <w:pPr>
        <w:rPr>
          <w:rFonts w:ascii="Arial" w:hAnsi="Arial" w:cs="Arial"/>
          <w:b/>
          <w:bCs/>
          <w:color w:val="000000"/>
        </w:rPr>
      </w:pPr>
    </w:p>
    <w:p w14:paraId="19A02CB7" w14:textId="77777777" w:rsidR="00F011B8" w:rsidRDefault="00F011B8">
      <w:pPr>
        <w:rPr>
          <w:rFonts w:ascii="Arial" w:hAnsi="Arial" w:cs="Arial"/>
          <w:b/>
          <w:bCs/>
          <w:color w:val="000000"/>
        </w:rPr>
      </w:pPr>
    </w:p>
    <w:p w14:paraId="2BC7E01B" w14:textId="77777777" w:rsidR="00BC280D" w:rsidRDefault="00BC280D" w:rsidP="00BC280D">
      <w:pPr>
        <w:pStyle w:val="p1"/>
        <w:rPr>
          <w:b/>
          <w:bCs/>
          <w:sz w:val="22"/>
          <w:szCs w:val="22"/>
        </w:rPr>
      </w:pPr>
      <w:r>
        <w:rPr>
          <w:b/>
          <w:bCs/>
          <w:sz w:val="22"/>
          <w:szCs w:val="22"/>
        </w:rPr>
        <w:t>STUDENT NAME: Helen May Frial</w:t>
      </w:r>
    </w:p>
    <w:p w14:paraId="2DED3DEE" w14:textId="77777777" w:rsidR="00BC280D" w:rsidRPr="006956CD" w:rsidRDefault="00BC280D" w:rsidP="00BC280D">
      <w:pPr>
        <w:pStyle w:val="p1"/>
        <w:rPr>
          <w:b/>
          <w:bCs/>
          <w:sz w:val="22"/>
          <w:szCs w:val="22"/>
        </w:rPr>
      </w:pPr>
      <w:r>
        <w:rPr>
          <w:b/>
          <w:bCs/>
          <w:sz w:val="22"/>
          <w:szCs w:val="22"/>
        </w:rPr>
        <w:t>Student Number:2430209</w:t>
      </w:r>
    </w:p>
    <w:p w14:paraId="016DB04D" w14:textId="77777777" w:rsidR="00BC280D" w:rsidRPr="006956CD" w:rsidRDefault="00BC280D" w:rsidP="00BC280D">
      <w:pPr>
        <w:spacing w:after="0" w:line="240" w:lineRule="auto"/>
        <w:rPr>
          <w:rFonts w:ascii="Arial" w:eastAsia="Times New Roman" w:hAnsi="Arial" w:cs="Arial"/>
          <w:color w:val="000000"/>
          <w:sz w:val="22"/>
          <w:szCs w:val="22"/>
          <w:lang w:eastAsia="en-GB"/>
        </w:rPr>
      </w:pPr>
      <w:r w:rsidRPr="006956CD">
        <w:rPr>
          <w:rFonts w:ascii="Arial" w:eastAsia="Times New Roman" w:hAnsi="Arial" w:cs="Arial"/>
          <w:b/>
          <w:bCs/>
          <w:color w:val="000000"/>
          <w:sz w:val="22"/>
          <w:szCs w:val="22"/>
          <w:lang w:eastAsia="en-GB"/>
        </w:rPr>
        <w:t>Programme: Certificate of Higher Education in Health and Social Care</w:t>
      </w:r>
    </w:p>
    <w:p w14:paraId="68112F78" w14:textId="77777777" w:rsidR="00BC280D" w:rsidRPr="006956CD" w:rsidRDefault="00BC280D" w:rsidP="00BC280D">
      <w:pPr>
        <w:spacing w:after="0" w:line="240" w:lineRule="auto"/>
        <w:rPr>
          <w:rFonts w:ascii="Arial" w:eastAsia="Times New Roman" w:hAnsi="Arial" w:cs="Arial"/>
          <w:color w:val="000000"/>
          <w:sz w:val="22"/>
          <w:szCs w:val="22"/>
          <w:lang w:eastAsia="en-GB"/>
        </w:rPr>
      </w:pPr>
      <w:r w:rsidRPr="006956CD">
        <w:rPr>
          <w:rFonts w:ascii="Arial" w:eastAsia="Times New Roman" w:hAnsi="Arial" w:cs="Arial"/>
          <w:b/>
          <w:bCs/>
          <w:color w:val="000000"/>
          <w:sz w:val="22"/>
          <w:szCs w:val="22"/>
          <w:lang w:eastAsia="en-GB"/>
        </w:rPr>
        <w:t>Module: Psychology in Health and Social Care</w:t>
      </w:r>
    </w:p>
    <w:p w14:paraId="765702F5" w14:textId="77777777" w:rsidR="00BC280D" w:rsidRPr="006956CD" w:rsidRDefault="00BC280D" w:rsidP="00BC280D">
      <w:pPr>
        <w:spacing w:after="0" w:line="240" w:lineRule="auto"/>
        <w:rPr>
          <w:rFonts w:ascii="Arial" w:eastAsia="Times New Roman" w:hAnsi="Arial" w:cs="Arial"/>
          <w:color w:val="000000"/>
          <w:sz w:val="22"/>
          <w:szCs w:val="22"/>
          <w:lang w:eastAsia="en-GB"/>
        </w:rPr>
      </w:pPr>
      <w:r w:rsidRPr="006956CD">
        <w:rPr>
          <w:rFonts w:ascii="Arial" w:eastAsia="Times New Roman" w:hAnsi="Arial" w:cs="Arial"/>
          <w:b/>
          <w:bCs/>
          <w:color w:val="000000"/>
          <w:sz w:val="22"/>
          <w:szCs w:val="22"/>
          <w:lang w:eastAsia="en-GB"/>
        </w:rPr>
        <w:t xml:space="preserve">Module code: LCHS4010 </w:t>
      </w:r>
    </w:p>
    <w:p w14:paraId="031959AF" w14:textId="77777777" w:rsidR="00BC280D" w:rsidRPr="006956CD" w:rsidRDefault="00BC280D" w:rsidP="00BC280D">
      <w:pPr>
        <w:spacing w:after="0" w:line="240" w:lineRule="auto"/>
        <w:rPr>
          <w:rFonts w:ascii="Arial" w:eastAsia="Times New Roman" w:hAnsi="Arial" w:cs="Arial"/>
          <w:color w:val="000000"/>
          <w:sz w:val="22"/>
          <w:szCs w:val="22"/>
          <w:lang w:eastAsia="en-GB"/>
        </w:rPr>
      </w:pPr>
      <w:r w:rsidRPr="006956CD">
        <w:rPr>
          <w:rFonts w:ascii="Arial" w:eastAsia="Times New Roman" w:hAnsi="Arial" w:cs="Arial"/>
          <w:b/>
          <w:bCs/>
          <w:color w:val="000000"/>
          <w:sz w:val="22"/>
          <w:szCs w:val="22"/>
          <w:lang w:eastAsia="en-GB"/>
        </w:rPr>
        <w:t xml:space="preserve">Module lead: Farah Wiita </w:t>
      </w:r>
    </w:p>
    <w:p w14:paraId="639A6A78" w14:textId="77777777" w:rsidR="00BC280D" w:rsidRDefault="00BC280D">
      <w:pPr>
        <w:rPr>
          <w:rFonts w:ascii="Arial" w:hAnsi="Arial" w:cs="Arial"/>
          <w:b/>
          <w:bCs/>
          <w:color w:val="000000"/>
          <w:sz w:val="21"/>
          <w:szCs w:val="21"/>
        </w:rPr>
      </w:pPr>
    </w:p>
    <w:p w14:paraId="582558AE" w14:textId="77777777" w:rsidR="00BC280D" w:rsidRDefault="00BC280D">
      <w:pPr>
        <w:rPr>
          <w:rFonts w:ascii="Arial" w:eastAsiaTheme="majorEastAsia" w:hAnsi="Arial" w:cs="Arial"/>
          <w:b/>
          <w:bCs/>
          <w:color w:val="000000"/>
          <w:sz w:val="32"/>
          <w:szCs w:val="32"/>
        </w:rPr>
      </w:pPr>
    </w:p>
    <w:p w14:paraId="63C5891B" w14:textId="6E049B18" w:rsidR="00D957D1" w:rsidRPr="00D957D1" w:rsidRDefault="00D957D1" w:rsidP="00E64030">
      <w:pPr>
        <w:pStyle w:val="Heading2"/>
        <w:spacing w:line="360" w:lineRule="auto"/>
        <w:rPr>
          <w:rFonts w:ascii="Arial" w:hAnsi="Arial" w:cs="Arial"/>
          <w:b/>
          <w:bCs/>
          <w:color w:val="000000"/>
          <w:u w:val="single"/>
        </w:rPr>
      </w:pPr>
      <w:r w:rsidRPr="00D957D1">
        <w:rPr>
          <w:rFonts w:ascii="Arial" w:hAnsi="Arial" w:cs="Arial"/>
          <w:b/>
          <w:bCs/>
          <w:color w:val="000000"/>
        </w:rPr>
        <w:lastRenderedPageBreak/>
        <w:t>Part A</w:t>
      </w:r>
    </w:p>
    <w:p w14:paraId="4CE34135" w14:textId="79D7B848" w:rsidR="00E64030" w:rsidRPr="005A37C0" w:rsidRDefault="00E64030" w:rsidP="00E64030">
      <w:pPr>
        <w:pStyle w:val="Heading2"/>
        <w:spacing w:line="360" w:lineRule="auto"/>
        <w:rPr>
          <w:rFonts w:ascii="Arial" w:hAnsi="Arial" w:cs="Arial"/>
          <w:b/>
          <w:bCs/>
          <w:i/>
          <w:iCs/>
          <w:color w:val="000000"/>
          <w:sz w:val="24"/>
          <w:szCs w:val="24"/>
          <w:u w:val="single"/>
        </w:rPr>
      </w:pPr>
      <w:r w:rsidRPr="005A37C0">
        <w:rPr>
          <w:rFonts w:ascii="Arial" w:hAnsi="Arial" w:cs="Arial"/>
          <w:b/>
          <w:bCs/>
          <w:i/>
          <w:iCs/>
          <w:color w:val="000000"/>
          <w:sz w:val="24"/>
          <w:szCs w:val="24"/>
          <w:u w:val="single"/>
        </w:rPr>
        <w:t>Selected Theories and Sources</w:t>
      </w:r>
    </w:p>
    <w:p w14:paraId="45497C40" w14:textId="544995C9" w:rsidR="00E64030" w:rsidRPr="00E64030" w:rsidRDefault="00E64030" w:rsidP="00E64030">
      <w:pPr>
        <w:pStyle w:val="NormalWeb"/>
        <w:spacing w:line="360" w:lineRule="auto"/>
        <w:rPr>
          <w:rFonts w:ascii="Arial" w:hAnsi="Arial" w:cs="Arial"/>
          <w:color w:val="000000"/>
          <w:sz w:val="22"/>
          <w:szCs w:val="22"/>
        </w:rPr>
      </w:pPr>
      <w:r w:rsidRPr="00E64030">
        <w:rPr>
          <w:rFonts w:ascii="Arial" w:hAnsi="Arial" w:cs="Arial"/>
          <w:color w:val="000000"/>
          <w:sz w:val="22"/>
          <w:szCs w:val="22"/>
        </w:rPr>
        <w:t>For weeks 1–5,</w:t>
      </w:r>
      <w:r w:rsidRPr="00E64030">
        <w:rPr>
          <w:rStyle w:val="apple-converted-space"/>
          <w:rFonts w:ascii="Arial" w:eastAsiaTheme="majorEastAsia" w:hAnsi="Arial" w:cs="Arial"/>
          <w:color w:val="000000"/>
          <w:sz w:val="22"/>
          <w:szCs w:val="22"/>
        </w:rPr>
        <w:t> </w:t>
      </w:r>
      <w:r w:rsidRPr="00E64030">
        <w:rPr>
          <w:rStyle w:val="whitespace-normal"/>
          <w:rFonts w:ascii="Arial" w:eastAsiaTheme="majorEastAsia" w:hAnsi="Arial" w:cs="Arial"/>
          <w:color w:val="000000"/>
          <w:sz w:val="22"/>
          <w:szCs w:val="22"/>
        </w:rPr>
        <w:t>Erik Erikson</w:t>
      </w:r>
      <w:r w:rsidRPr="00E64030">
        <w:rPr>
          <w:rFonts w:ascii="Arial" w:hAnsi="Arial" w:cs="Arial"/>
          <w:color w:val="000000"/>
          <w:sz w:val="22"/>
          <w:szCs w:val="22"/>
        </w:rPr>
        <w:t>’s Psychosocial Theory has been selected. The two sources used are</w:t>
      </w:r>
      <w:r w:rsidRPr="00E64030">
        <w:rPr>
          <w:rStyle w:val="apple-converted-space"/>
          <w:rFonts w:ascii="Arial" w:eastAsiaTheme="majorEastAsia" w:hAnsi="Arial" w:cs="Arial"/>
          <w:color w:val="000000"/>
          <w:sz w:val="22"/>
          <w:szCs w:val="22"/>
        </w:rPr>
        <w:t> </w:t>
      </w:r>
      <w:r w:rsidRPr="00E64030">
        <w:rPr>
          <w:rStyle w:val="Emphasis"/>
          <w:rFonts w:ascii="Arial" w:eastAsiaTheme="majorEastAsia" w:hAnsi="Arial" w:cs="Arial"/>
          <w:i w:val="0"/>
          <w:iCs w:val="0"/>
          <w:color w:val="000000"/>
          <w:sz w:val="22"/>
          <w:szCs w:val="22"/>
        </w:rPr>
        <w:t>Childhood and Society</w:t>
      </w:r>
      <w:r w:rsidR="009369AE">
        <w:rPr>
          <w:rStyle w:val="Emphasis"/>
          <w:rFonts w:ascii="Arial" w:eastAsiaTheme="majorEastAsia" w:hAnsi="Arial" w:cs="Arial"/>
          <w:i w:val="0"/>
          <w:iCs w:val="0"/>
          <w:color w:val="000000"/>
          <w:sz w:val="22"/>
          <w:szCs w:val="22"/>
        </w:rPr>
        <w:t xml:space="preserve"> </w:t>
      </w:r>
      <w:r w:rsidRPr="00E64030">
        <w:rPr>
          <w:rFonts w:ascii="Arial" w:hAnsi="Arial" w:cs="Arial"/>
          <w:color w:val="000000"/>
          <w:sz w:val="22"/>
          <w:szCs w:val="22"/>
        </w:rPr>
        <w:t>(Erikson, 1963) and</w:t>
      </w:r>
      <w:r w:rsidRPr="00E64030">
        <w:rPr>
          <w:rStyle w:val="apple-converted-space"/>
          <w:rFonts w:ascii="Arial" w:eastAsiaTheme="majorEastAsia" w:hAnsi="Arial" w:cs="Arial"/>
          <w:color w:val="000000"/>
          <w:sz w:val="22"/>
          <w:szCs w:val="22"/>
        </w:rPr>
        <w:t> </w:t>
      </w:r>
      <w:r w:rsidRPr="00E64030">
        <w:rPr>
          <w:rStyle w:val="Emphasis"/>
          <w:rFonts w:ascii="Arial" w:eastAsiaTheme="majorEastAsia" w:hAnsi="Arial" w:cs="Arial"/>
          <w:i w:val="0"/>
          <w:iCs w:val="0"/>
          <w:color w:val="000000"/>
          <w:sz w:val="22"/>
          <w:szCs w:val="22"/>
        </w:rPr>
        <w:t>The Life Cycle Completed</w:t>
      </w:r>
      <w:r w:rsidRPr="00E64030">
        <w:rPr>
          <w:rStyle w:val="apple-converted-space"/>
          <w:rFonts w:ascii="Arial" w:eastAsiaTheme="majorEastAsia" w:hAnsi="Arial" w:cs="Arial"/>
          <w:color w:val="000000"/>
          <w:sz w:val="22"/>
          <w:szCs w:val="22"/>
        </w:rPr>
        <w:t> </w:t>
      </w:r>
      <w:r w:rsidRPr="00E64030">
        <w:rPr>
          <w:rFonts w:ascii="Arial" w:hAnsi="Arial" w:cs="Arial"/>
          <w:color w:val="000000"/>
          <w:sz w:val="22"/>
          <w:szCs w:val="22"/>
        </w:rPr>
        <w:t>(Erikson, 1982).</w:t>
      </w:r>
    </w:p>
    <w:p w14:paraId="2F306F9A" w14:textId="77777777" w:rsidR="00E64030" w:rsidRPr="00E64030" w:rsidRDefault="00E64030" w:rsidP="00E64030">
      <w:pPr>
        <w:pStyle w:val="NormalWeb"/>
        <w:spacing w:line="360" w:lineRule="auto"/>
        <w:rPr>
          <w:rFonts w:ascii="Arial" w:hAnsi="Arial" w:cs="Arial"/>
          <w:color w:val="000000"/>
          <w:sz w:val="22"/>
          <w:szCs w:val="22"/>
        </w:rPr>
      </w:pPr>
      <w:r w:rsidRPr="00E64030">
        <w:rPr>
          <w:rFonts w:ascii="Arial" w:hAnsi="Arial" w:cs="Arial"/>
          <w:color w:val="000000"/>
          <w:sz w:val="22"/>
          <w:szCs w:val="22"/>
        </w:rPr>
        <w:t>For weeks 7–9,</w:t>
      </w:r>
      <w:r w:rsidRPr="00E64030">
        <w:rPr>
          <w:rStyle w:val="apple-converted-space"/>
          <w:rFonts w:ascii="Arial" w:eastAsiaTheme="majorEastAsia" w:hAnsi="Arial" w:cs="Arial"/>
          <w:color w:val="000000"/>
          <w:sz w:val="22"/>
          <w:szCs w:val="22"/>
        </w:rPr>
        <w:t> </w:t>
      </w:r>
      <w:r w:rsidRPr="00E64030">
        <w:rPr>
          <w:rStyle w:val="whitespace-normal"/>
          <w:rFonts w:ascii="Arial" w:eastAsiaTheme="majorEastAsia" w:hAnsi="Arial" w:cs="Arial"/>
          <w:color w:val="000000"/>
          <w:sz w:val="22"/>
          <w:szCs w:val="22"/>
        </w:rPr>
        <w:t>John Bowlby</w:t>
      </w:r>
      <w:r w:rsidRPr="00E64030">
        <w:rPr>
          <w:rFonts w:ascii="Arial" w:hAnsi="Arial" w:cs="Arial"/>
          <w:color w:val="000000"/>
          <w:sz w:val="22"/>
          <w:szCs w:val="22"/>
        </w:rPr>
        <w:t>’s Attachment Theory has been selected. The two sources used are</w:t>
      </w:r>
      <w:r w:rsidRPr="00E64030">
        <w:rPr>
          <w:rStyle w:val="apple-converted-space"/>
          <w:rFonts w:ascii="Arial" w:eastAsiaTheme="majorEastAsia" w:hAnsi="Arial" w:cs="Arial"/>
          <w:color w:val="000000"/>
          <w:sz w:val="22"/>
          <w:szCs w:val="22"/>
        </w:rPr>
        <w:t> </w:t>
      </w:r>
      <w:r w:rsidRPr="00E64030">
        <w:rPr>
          <w:rStyle w:val="Emphasis"/>
          <w:rFonts w:ascii="Arial" w:eastAsiaTheme="majorEastAsia" w:hAnsi="Arial" w:cs="Arial"/>
          <w:i w:val="0"/>
          <w:iCs w:val="0"/>
          <w:color w:val="000000"/>
          <w:sz w:val="22"/>
          <w:szCs w:val="22"/>
        </w:rPr>
        <w:t>Attachment and Loss: Volume 1</w:t>
      </w:r>
      <w:r w:rsidRPr="00E64030">
        <w:rPr>
          <w:rStyle w:val="apple-converted-space"/>
          <w:rFonts w:ascii="Arial" w:eastAsiaTheme="majorEastAsia" w:hAnsi="Arial" w:cs="Arial"/>
          <w:color w:val="000000"/>
          <w:sz w:val="22"/>
          <w:szCs w:val="22"/>
        </w:rPr>
        <w:t> </w:t>
      </w:r>
      <w:r w:rsidRPr="00E64030">
        <w:rPr>
          <w:rFonts w:ascii="Arial" w:hAnsi="Arial" w:cs="Arial"/>
          <w:color w:val="000000"/>
          <w:sz w:val="22"/>
          <w:szCs w:val="22"/>
        </w:rPr>
        <w:t>(Bowlby, 1969) and</w:t>
      </w:r>
      <w:r w:rsidRPr="00E64030">
        <w:rPr>
          <w:rStyle w:val="apple-converted-space"/>
          <w:rFonts w:ascii="Arial" w:eastAsiaTheme="majorEastAsia" w:hAnsi="Arial" w:cs="Arial"/>
          <w:color w:val="000000"/>
          <w:sz w:val="22"/>
          <w:szCs w:val="22"/>
        </w:rPr>
        <w:t> </w:t>
      </w:r>
      <w:r w:rsidRPr="00E64030">
        <w:rPr>
          <w:rStyle w:val="Emphasis"/>
          <w:rFonts w:ascii="Arial" w:eastAsiaTheme="majorEastAsia" w:hAnsi="Arial" w:cs="Arial"/>
          <w:i w:val="0"/>
          <w:iCs w:val="0"/>
          <w:color w:val="000000"/>
          <w:sz w:val="22"/>
          <w:szCs w:val="22"/>
        </w:rPr>
        <w:t>A Secure Base</w:t>
      </w:r>
      <w:r w:rsidRPr="00E64030">
        <w:rPr>
          <w:rStyle w:val="apple-converted-space"/>
          <w:rFonts w:ascii="Arial" w:eastAsiaTheme="majorEastAsia" w:hAnsi="Arial" w:cs="Arial"/>
          <w:color w:val="000000"/>
          <w:sz w:val="22"/>
          <w:szCs w:val="22"/>
        </w:rPr>
        <w:t> </w:t>
      </w:r>
      <w:r w:rsidRPr="00E64030">
        <w:rPr>
          <w:rFonts w:ascii="Arial" w:hAnsi="Arial" w:cs="Arial"/>
          <w:color w:val="000000"/>
          <w:sz w:val="22"/>
          <w:szCs w:val="22"/>
        </w:rPr>
        <w:t>(Bowlby, 1988).</w:t>
      </w:r>
    </w:p>
    <w:p w14:paraId="7036444E" w14:textId="77777777" w:rsidR="00E64030" w:rsidRPr="009369AE" w:rsidRDefault="00B90D72" w:rsidP="00E64030">
      <w:pPr>
        <w:spacing w:line="360" w:lineRule="auto"/>
        <w:rPr>
          <w:rFonts w:ascii="Arial" w:hAnsi="Arial" w:cs="Arial"/>
          <w:b/>
          <w:bCs/>
          <w:i/>
          <w:iCs/>
          <w:sz w:val="22"/>
          <w:szCs w:val="22"/>
        </w:rPr>
      </w:pPr>
      <w:r w:rsidRPr="00B90D72">
        <w:rPr>
          <w:rFonts w:ascii="Arial" w:hAnsi="Arial" w:cs="Arial"/>
          <w:b/>
          <w:i/>
          <w:noProof/>
          <w:sz w:val="22"/>
          <w:szCs w:val="22"/>
        </w:rPr>
        <w:pict w14:anchorId="57527675">
          <v:rect id="_x0000_i1039" alt="" style="width:451.3pt;height:.05pt;mso-width-percent:0;mso-height-percent:0;mso-width-percent:0;mso-height-percent:0" o:hralign="center" o:hrstd="t" o:hr="t" fillcolor="#a0a0a0" stroked="f"/>
        </w:pict>
      </w:r>
    </w:p>
    <w:p w14:paraId="6CE74A9C" w14:textId="129A6435" w:rsidR="00E64030" w:rsidRPr="009369AE" w:rsidRDefault="00E64030" w:rsidP="00E64030">
      <w:pPr>
        <w:pStyle w:val="Heading2"/>
        <w:spacing w:line="360" w:lineRule="auto"/>
        <w:rPr>
          <w:rFonts w:ascii="Arial" w:hAnsi="Arial" w:cs="Arial"/>
          <w:b/>
          <w:bCs/>
          <w:i/>
          <w:iCs/>
          <w:color w:val="000000"/>
          <w:sz w:val="28"/>
          <w:szCs w:val="28"/>
          <w:u w:val="single"/>
        </w:rPr>
      </w:pPr>
      <w:r w:rsidRPr="009369AE">
        <w:rPr>
          <w:rFonts w:ascii="Arial" w:hAnsi="Arial" w:cs="Arial"/>
          <w:b/>
          <w:bCs/>
          <w:i/>
          <w:iCs/>
          <w:color w:val="000000"/>
          <w:sz w:val="28"/>
          <w:szCs w:val="28"/>
          <w:u w:val="single"/>
        </w:rPr>
        <w:t>Summary of Key Arguments</w:t>
      </w:r>
    </w:p>
    <w:p w14:paraId="002640A1" w14:textId="77777777" w:rsidR="00E64030" w:rsidRPr="009369AE" w:rsidRDefault="00E64030" w:rsidP="00E64030">
      <w:pPr>
        <w:pStyle w:val="Heading3"/>
        <w:spacing w:line="360" w:lineRule="auto"/>
        <w:rPr>
          <w:rFonts w:ascii="Arial" w:hAnsi="Arial" w:cs="Arial"/>
          <w:b/>
          <w:bCs/>
          <w:color w:val="000000"/>
          <w:sz w:val="22"/>
          <w:szCs w:val="22"/>
        </w:rPr>
      </w:pPr>
      <w:r w:rsidRPr="009369AE">
        <w:rPr>
          <w:rFonts w:ascii="Arial" w:hAnsi="Arial" w:cs="Arial"/>
          <w:b/>
          <w:bCs/>
          <w:color w:val="000000"/>
          <w:sz w:val="22"/>
          <w:szCs w:val="22"/>
        </w:rPr>
        <w:t>Erikson’s Psychosocial Theory</w:t>
      </w:r>
    </w:p>
    <w:p w14:paraId="568A2100" w14:textId="77777777" w:rsidR="00E64030" w:rsidRPr="00E64030" w:rsidRDefault="00E64030" w:rsidP="00E64030">
      <w:pPr>
        <w:pStyle w:val="NormalWeb"/>
        <w:spacing w:line="360" w:lineRule="auto"/>
        <w:rPr>
          <w:rFonts w:ascii="Arial" w:hAnsi="Arial" w:cs="Arial"/>
          <w:color w:val="000000"/>
          <w:sz w:val="22"/>
          <w:szCs w:val="22"/>
        </w:rPr>
      </w:pPr>
      <w:r w:rsidRPr="00E64030">
        <w:rPr>
          <w:rFonts w:ascii="Arial" w:hAnsi="Arial" w:cs="Arial"/>
          <w:color w:val="000000"/>
          <w:sz w:val="22"/>
          <w:szCs w:val="22"/>
        </w:rPr>
        <w:t>Erikson (1963) argues that individuals develop through eight stages across the lifespan, each involving a psychosocial conflict that must be resolved. In older adulthood, the final stage is</w:t>
      </w:r>
      <w:r w:rsidRPr="00E64030">
        <w:rPr>
          <w:rStyle w:val="apple-converted-space"/>
          <w:rFonts w:ascii="Arial" w:eastAsiaTheme="majorEastAsia" w:hAnsi="Arial" w:cs="Arial"/>
          <w:color w:val="000000"/>
          <w:sz w:val="22"/>
          <w:szCs w:val="22"/>
        </w:rPr>
        <w:t> </w:t>
      </w:r>
      <w:r w:rsidRPr="00E64030">
        <w:rPr>
          <w:rStyle w:val="Emphasis"/>
          <w:rFonts w:ascii="Arial" w:eastAsiaTheme="majorEastAsia" w:hAnsi="Arial" w:cs="Arial"/>
          <w:i w:val="0"/>
          <w:iCs w:val="0"/>
          <w:color w:val="000000"/>
          <w:sz w:val="22"/>
          <w:szCs w:val="22"/>
        </w:rPr>
        <w:t>ego integrity versus despair</w:t>
      </w:r>
      <w:r w:rsidRPr="00E64030">
        <w:rPr>
          <w:rFonts w:ascii="Arial" w:hAnsi="Arial" w:cs="Arial"/>
          <w:color w:val="000000"/>
          <w:sz w:val="22"/>
          <w:szCs w:val="22"/>
        </w:rPr>
        <w:t>. At this stage, individuals reflect on their life and evaluate whether it has been meaningful. If they feel satisfied, they achieve ego integrity, which leads to a sense of fulfilment and acceptance. If they feel regret or disappointment, they experience despair, which can result in anxiety, sadness, or withdrawal.</w:t>
      </w:r>
    </w:p>
    <w:p w14:paraId="0C20E5E8" w14:textId="77777777" w:rsidR="00E64030" w:rsidRPr="00E64030" w:rsidRDefault="00E64030" w:rsidP="00E64030">
      <w:pPr>
        <w:pStyle w:val="NormalWeb"/>
        <w:spacing w:line="360" w:lineRule="auto"/>
        <w:rPr>
          <w:rFonts w:ascii="Arial" w:hAnsi="Arial" w:cs="Arial"/>
          <w:color w:val="000000"/>
          <w:sz w:val="22"/>
          <w:szCs w:val="22"/>
        </w:rPr>
      </w:pPr>
      <w:r w:rsidRPr="00E64030">
        <w:rPr>
          <w:rFonts w:ascii="Arial" w:hAnsi="Arial" w:cs="Arial"/>
          <w:color w:val="000000"/>
          <w:sz w:val="22"/>
          <w:szCs w:val="22"/>
        </w:rPr>
        <w:t xml:space="preserve">Erikson (1982) further develops this idea by highlighting the importance of accepting both positive and negative life experiences. He suggests that achieving integrity is not about having a perfect life but about recognising value and meaning despite challenges. Across both sources, the key argument is that psychological wellbeing in later life is shaped by reflection, identity, and the ability to find meaning in past experiences. This shows that ageing is not only a physical process but also a psychological one, where individuals reassess their </w:t>
      </w:r>
      <w:proofErr w:type="gramStart"/>
      <w:r w:rsidRPr="00E64030">
        <w:rPr>
          <w:rFonts w:ascii="Arial" w:hAnsi="Arial" w:cs="Arial"/>
          <w:color w:val="000000"/>
          <w:sz w:val="22"/>
          <w:szCs w:val="22"/>
        </w:rPr>
        <w:t>life as a whole</w:t>
      </w:r>
      <w:proofErr w:type="gramEnd"/>
      <w:r w:rsidRPr="00E64030">
        <w:rPr>
          <w:rFonts w:ascii="Arial" w:hAnsi="Arial" w:cs="Arial"/>
          <w:color w:val="000000"/>
          <w:sz w:val="22"/>
          <w:szCs w:val="22"/>
        </w:rPr>
        <w:t>.</w:t>
      </w:r>
    </w:p>
    <w:p w14:paraId="65209C2B" w14:textId="77777777" w:rsidR="00E64030" w:rsidRPr="00E64030" w:rsidRDefault="00B90D72" w:rsidP="00E64030">
      <w:pPr>
        <w:spacing w:line="360" w:lineRule="auto"/>
        <w:rPr>
          <w:rFonts w:ascii="Arial" w:hAnsi="Arial" w:cs="Arial"/>
          <w:sz w:val="22"/>
          <w:szCs w:val="22"/>
        </w:rPr>
      </w:pPr>
      <w:r w:rsidRPr="00B90D72">
        <w:rPr>
          <w:rFonts w:ascii="Arial" w:hAnsi="Arial" w:cs="Arial"/>
          <w:noProof/>
          <w:sz w:val="22"/>
          <w:szCs w:val="22"/>
        </w:rPr>
        <w:pict w14:anchorId="11975D91">
          <v:rect id="_x0000_i1038" alt="" style="width:451.3pt;height:.05pt;mso-width-percent:0;mso-height-percent:0;mso-width-percent:0;mso-height-percent:0" o:hralign="center" o:hrstd="t" o:hr="t" fillcolor="#a0a0a0" stroked="f"/>
        </w:pict>
      </w:r>
    </w:p>
    <w:p w14:paraId="2F1401E0" w14:textId="77777777" w:rsidR="00E64030" w:rsidRPr="007408C1" w:rsidRDefault="00E64030" w:rsidP="00E64030">
      <w:pPr>
        <w:pStyle w:val="Heading3"/>
        <w:spacing w:line="360" w:lineRule="auto"/>
        <w:rPr>
          <w:rFonts w:ascii="Arial" w:hAnsi="Arial" w:cs="Arial"/>
          <w:b/>
          <w:bCs/>
          <w:color w:val="000000"/>
          <w:sz w:val="22"/>
          <w:szCs w:val="22"/>
        </w:rPr>
      </w:pPr>
      <w:r w:rsidRPr="007408C1">
        <w:rPr>
          <w:rFonts w:ascii="Arial" w:hAnsi="Arial" w:cs="Arial"/>
          <w:b/>
          <w:bCs/>
          <w:color w:val="000000"/>
          <w:sz w:val="22"/>
          <w:szCs w:val="22"/>
        </w:rPr>
        <w:t>Bowlby’s Attachment Theory</w:t>
      </w:r>
    </w:p>
    <w:p w14:paraId="2D98C990" w14:textId="77777777" w:rsidR="00E64030" w:rsidRPr="00E64030" w:rsidRDefault="00E64030" w:rsidP="00E64030">
      <w:pPr>
        <w:pStyle w:val="NormalWeb"/>
        <w:spacing w:line="360" w:lineRule="auto"/>
        <w:rPr>
          <w:rFonts w:ascii="Arial" w:hAnsi="Arial" w:cs="Arial"/>
          <w:color w:val="000000"/>
          <w:sz w:val="22"/>
          <w:szCs w:val="22"/>
        </w:rPr>
      </w:pPr>
      <w:r w:rsidRPr="00E64030">
        <w:rPr>
          <w:rFonts w:ascii="Arial" w:hAnsi="Arial" w:cs="Arial"/>
          <w:color w:val="000000"/>
          <w:sz w:val="22"/>
          <w:szCs w:val="22"/>
        </w:rPr>
        <w:t xml:space="preserve">Bowlby (1969) argues that early relationships with </w:t>
      </w:r>
      <w:proofErr w:type="gramStart"/>
      <w:r w:rsidRPr="00E64030">
        <w:rPr>
          <w:rFonts w:ascii="Arial" w:hAnsi="Arial" w:cs="Arial"/>
          <w:color w:val="000000"/>
          <w:sz w:val="22"/>
          <w:szCs w:val="22"/>
        </w:rPr>
        <w:t>caregivers</w:t>
      </w:r>
      <w:proofErr w:type="gramEnd"/>
      <w:r w:rsidRPr="00E64030">
        <w:rPr>
          <w:rFonts w:ascii="Arial" w:hAnsi="Arial" w:cs="Arial"/>
          <w:color w:val="000000"/>
          <w:sz w:val="22"/>
          <w:szCs w:val="22"/>
        </w:rPr>
        <w:t xml:space="preserve"> shape how individuals form emotional bonds throughout life. These early attachments create internal working models, which influence how people perceive trust, safety, and relationships. Individuals who </w:t>
      </w:r>
      <w:r w:rsidRPr="00E64030">
        <w:rPr>
          <w:rFonts w:ascii="Arial" w:hAnsi="Arial" w:cs="Arial"/>
          <w:color w:val="000000"/>
          <w:sz w:val="22"/>
          <w:szCs w:val="22"/>
        </w:rPr>
        <w:lastRenderedPageBreak/>
        <w:t>experience secure attachment in childhood are more likely to form stable and trusting relationships later in life.</w:t>
      </w:r>
    </w:p>
    <w:p w14:paraId="59797553" w14:textId="77777777" w:rsidR="00E64030" w:rsidRPr="00E64030" w:rsidRDefault="00E64030" w:rsidP="00E64030">
      <w:pPr>
        <w:pStyle w:val="NormalWeb"/>
        <w:spacing w:line="360" w:lineRule="auto"/>
        <w:rPr>
          <w:rFonts w:ascii="Arial" w:hAnsi="Arial" w:cs="Arial"/>
          <w:color w:val="000000"/>
          <w:sz w:val="22"/>
          <w:szCs w:val="22"/>
        </w:rPr>
      </w:pPr>
      <w:r w:rsidRPr="00E64030">
        <w:rPr>
          <w:rFonts w:ascii="Arial" w:hAnsi="Arial" w:cs="Arial"/>
          <w:color w:val="000000"/>
          <w:sz w:val="22"/>
          <w:szCs w:val="22"/>
        </w:rPr>
        <w:t>Bowlby (1988) extends this theory by explaining that the need for attachment does not disappear with age. Instead, individuals continue to require a “secure base” throughout adulthood and into old age. This secure base provides emotional safety and allows individuals to cope with stress, illness, and life changes. In later life, attachment needs can become more significant due to increased vulnerability, such as loss of independence or transition into care settings.</w:t>
      </w:r>
    </w:p>
    <w:p w14:paraId="2396CD17" w14:textId="77777777" w:rsidR="00E64030" w:rsidRPr="00E64030" w:rsidRDefault="00E64030" w:rsidP="00E64030">
      <w:pPr>
        <w:pStyle w:val="NormalWeb"/>
        <w:spacing w:line="360" w:lineRule="auto"/>
        <w:rPr>
          <w:rFonts w:ascii="Arial" w:hAnsi="Arial" w:cs="Arial"/>
          <w:color w:val="000000"/>
          <w:sz w:val="22"/>
          <w:szCs w:val="22"/>
        </w:rPr>
      </w:pPr>
      <w:r w:rsidRPr="00E64030">
        <w:rPr>
          <w:rFonts w:ascii="Arial" w:hAnsi="Arial" w:cs="Arial"/>
          <w:color w:val="000000"/>
          <w:sz w:val="22"/>
          <w:szCs w:val="22"/>
        </w:rPr>
        <w:t>Across both sources, the key argument is that attachment is a lifelong process. Emotional security and supportive relationships remain essential for wellbeing, especially during times of dependency and change.</w:t>
      </w:r>
    </w:p>
    <w:p w14:paraId="6B46C052" w14:textId="77777777" w:rsidR="00E64030" w:rsidRPr="00E64030" w:rsidRDefault="00B90D72" w:rsidP="00E64030">
      <w:pPr>
        <w:spacing w:line="360" w:lineRule="auto"/>
        <w:rPr>
          <w:rFonts w:ascii="Arial" w:hAnsi="Arial" w:cs="Arial"/>
          <w:sz w:val="22"/>
          <w:szCs w:val="22"/>
        </w:rPr>
      </w:pPr>
      <w:r w:rsidRPr="00B90D72">
        <w:rPr>
          <w:rFonts w:ascii="Arial" w:hAnsi="Arial" w:cs="Arial"/>
          <w:noProof/>
          <w:sz w:val="22"/>
          <w:szCs w:val="22"/>
        </w:rPr>
        <w:pict w14:anchorId="76ED4F33">
          <v:rect id="_x0000_i1037" alt="" style="width:451.3pt;height:.05pt;mso-width-percent:0;mso-height-percent:0;mso-width-percent:0;mso-height-percent:0" o:hralign="center" o:hrstd="t" o:hr="t" fillcolor="#a0a0a0" stroked="f"/>
        </w:pict>
      </w:r>
    </w:p>
    <w:p w14:paraId="144D093F" w14:textId="74B53149" w:rsidR="00E64030" w:rsidRPr="007408C1" w:rsidRDefault="00E64030" w:rsidP="00E64030">
      <w:pPr>
        <w:pStyle w:val="Heading2"/>
        <w:spacing w:line="360" w:lineRule="auto"/>
        <w:rPr>
          <w:rFonts w:ascii="Arial" w:hAnsi="Arial" w:cs="Arial"/>
          <w:b/>
          <w:bCs/>
          <w:i/>
          <w:iCs/>
          <w:color w:val="000000"/>
          <w:sz w:val="24"/>
          <w:szCs w:val="24"/>
          <w:u w:val="single"/>
        </w:rPr>
      </w:pPr>
      <w:r w:rsidRPr="007408C1">
        <w:rPr>
          <w:rFonts w:ascii="Arial" w:hAnsi="Arial" w:cs="Arial"/>
          <w:b/>
          <w:bCs/>
          <w:i/>
          <w:iCs/>
          <w:color w:val="000000"/>
          <w:sz w:val="24"/>
          <w:szCs w:val="24"/>
          <w:u w:val="single"/>
        </w:rPr>
        <w:t>Critical Comments</w:t>
      </w:r>
    </w:p>
    <w:p w14:paraId="6A686850" w14:textId="77777777" w:rsidR="00E64030" w:rsidRPr="007408C1" w:rsidRDefault="00E64030" w:rsidP="00E64030">
      <w:pPr>
        <w:pStyle w:val="Heading3"/>
        <w:spacing w:line="360" w:lineRule="auto"/>
        <w:rPr>
          <w:rFonts w:ascii="Arial" w:hAnsi="Arial" w:cs="Arial"/>
          <w:b/>
          <w:bCs/>
          <w:color w:val="000000"/>
          <w:sz w:val="22"/>
          <w:szCs w:val="22"/>
        </w:rPr>
      </w:pPr>
      <w:r w:rsidRPr="007408C1">
        <w:rPr>
          <w:rFonts w:ascii="Arial" w:hAnsi="Arial" w:cs="Arial"/>
          <w:b/>
          <w:bCs/>
          <w:color w:val="000000"/>
          <w:sz w:val="22"/>
          <w:szCs w:val="22"/>
        </w:rPr>
        <w:t>Erikson’s Theory in Health and Social Care</w:t>
      </w:r>
    </w:p>
    <w:p w14:paraId="4276A845" w14:textId="77777777" w:rsidR="00E64030" w:rsidRPr="00E64030" w:rsidRDefault="00E64030" w:rsidP="00E64030">
      <w:pPr>
        <w:pStyle w:val="NormalWeb"/>
        <w:spacing w:line="360" w:lineRule="auto"/>
        <w:rPr>
          <w:rFonts w:ascii="Arial" w:hAnsi="Arial" w:cs="Arial"/>
          <w:color w:val="000000"/>
          <w:sz w:val="22"/>
          <w:szCs w:val="22"/>
        </w:rPr>
      </w:pPr>
      <w:r w:rsidRPr="00E64030">
        <w:rPr>
          <w:rFonts w:ascii="Arial" w:hAnsi="Arial" w:cs="Arial"/>
          <w:color w:val="000000"/>
          <w:sz w:val="22"/>
          <w:szCs w:val="22"/>
        </w:rPr>
        <w:t>Erikson’s theory is highly relevant in supporting older adults in health and social care settings. It highlights the importance of maintaining dignity, identity, and a sense of meaning. In residential care, older adults often face loss of independence, bereavement, and major life transitions. Supporting them through the stage of ego integrity can improve emotional wellbeing and reduce feelings of depression or isolation.</w:t>
      </w:r>
    </w:p>
    <w:p w14:paraId="5D22256C" w14:textId="77777777" w:rsidR="00E64030" w:rsidRPr="00E64030" w:rsidRDefault="00E64030" w:rsidP="00E64030">
      <w:pPr>
        <w:pStyle w:val="NormalWeb"/>
        <w:spacing w:line="360" w:lineRule="auto"/>
        <w:rPr>
          <w:rFonts w:ascii="Arial" w:hAnsi="Arial" w:cs="Arial"/>
          <w:color w:val="000000"/>
          <w:sz w:val="22"/>
          <w:szCs w:val="22"/>
        </w:rPr>
      </w:pPr>
      <w:r w:rsidRPr="00E64030">
        <w:rPr>
          <w:rFonts w:ascii="Arial" w:hAnsi="Arial" w:cs="Arial"/>
          <w:color w:val="000000"/>
          <w:sz w:val="22"/>
          <w:szCs w:val="22"/>
        </w:rPr>
        <w:t>In practice, this can be applied through reminiscence activities, life story work, and meaningful conversations. These approaches allow individuals to reflect on their achievements, relationships, and experiences, helping them develop a positive view of their life (Erikson, 1963). This can lead to greater emotional stability and acceptance.</w:t>
      </w:r>
    </w:p>
    <w:p w14:paraId="02028F95" w14:textId="77777777" w:rsidR="00E64030" w:rsidRPr="00E64030" w:rsidRDefault="00E64030" w:rsidP="00E64030">
      <w:pPr>
        <w:pStyle w:val="NormalWeb"/>
        <w:spacing w:line="360" w:lineRule="auto"/>
        <w:rPr>
          <w:rFonts w:ascii="Arial" w:hAnsi="Arial" w:cs="Arial"/>
          <w:color w:val="000000"/>
          <w:sz w:val="22"/>
          <w:szCs w:val="22"/>
        </w:rPr>
      </w:pPr>
      <w:r w:rsidRPr="00E64030">
        <w:rPr>
          <w:rFonts w:ascii="Arial" w:hAnsi="Arial" w:cs="Arial"/>
          <w:color w:val="000000"/>
          <w:sz w:val="22"/>
          <w:szCs w:val="22"/>
        </w:rPr>
        <w:t>However, the theory has limitations. It assumes that development occurs in fixed stages, which may not reflect individual differences. People’s experiences of ageing vary depending on culture, health, and life circumstances. In addition, individuals with dementia or cognitive decline may struggle with reflection, limiting the effectiveness of this approach. Therefore, while the theory is useful, it should be applied flexibly and alongside other care strategies.</w:t>
      </w:r>
    </w:p>
    <w:p w14:paraId="374AF775" w14:textId="77777777" w:rsidR="00E64030" w:rsidRPr="00E64030" w:rsidRDefault="00B90D72" w:rsidP="00E64030">
      <w:pPr>
        <w:spacing w:line="360" w:lineRule="auto"/>
        <w:rPr>
          <w:rFonts w:ascii="Arial" w:hAnsi="Arial" w:cs="Arial"/>
          <w:sz w:val="22"/>
          <w:szCs w:val="22"/>
        </w:rPr>
      </w:pPr>
      <w:r w:rsidRPr="00B90D72">
        <w:rPr>
          <w:rFonts w:ascii="Arial" w:hAnsi="Arial" w:cs="Arial"/>
          <w:noProof/>
          <w:sz w:val="22"/>
          <w:szCs w:val="22"/>
        </w:rPr>
        <w:pict w14:anchorId="09045B54">
          <v:rect id="_x0000_i1036" alt="" style="width:451.3pt;height:.05pt;mso-width-percent:0;mso-height-percent:0;mso-width-percent:0;mso-height-percent:0" o:hralign="center" o:hrstd="t" o:hr="t" fillcolor="#a0a0a0" stroked="f"/>
        </w:pict>
      </w:r>
    </w:p>
    <w:p w14:paraId="5204236A" w14:textId="77777777" w:rsidR="00E64030" w:rsidRPr="007408C1" w:rsidRDefault="00E64030" w:rsidP="00E64030">
      <w:pPr>
        <w:pStyle w:val="Heading3"/>
        <w:spacing w:line="360" w:lineRule="auto"/>
        <w:rPr>
          <w:rFonts w:ascii="Arial" w:hAnsi="Arial" w:cs="Arial"/>
          <w:b/>
          <w:bCs/>
          <w:color w:val="000000"/>
          <w:sz w:val="22"/>
          <w:szCs w:val="22"/>
        </w:rPr>
      </w:pPr>
      <w:r w:rsidRPr="007408C1">
        <w:rPr>
          <w:rFonts w:ascii="Arial" w:hAnsi="Arial" w:cs="Arial"/>
          <w:b/>
          <w:bCs/>
          <w:color w:val="000000"/>
          <w:sz w:val="22"/>
          <w:szCs w:val="22"/>
        </w:rPr>
        <w:lastRenderedPageBreak/>
        <w:t>Bowlby’s Theory in Health and Social Care</w:t>
      </w:r>
    </w:p>
    <w:p w14:paraId="03CF772C" w14:textId="77777777" w:rsidR="00E64030" w:rsidRPr="00E64030" w:rsidRDefault="00E64030" w:rsidP="00E64030">
      <w:pPr>
        <w:pStyle w:val="NormalWeb"/>
        <w:spacing w:line="360" w:lineRule="auto"/>
        <w:rPr>
          <w:rFonts w:ascii="Arial" w:hAnsi="Arial" w:cs="Arial"/>
          <w:color w:val="000000"/>
          <w:sz w:val="22"/>
          <w:szCs w:val="22"/>
        </w:rPr>
      </w:pPr>
      <w:r w:rsidRPr="00E64030">
        <w:rPr>
          <w:rFonts w:ascii="Arial" w:hAnsi="Arial" w:cs="Arial"/>
          <w:color w:val="000000"/>
          <w:sz w:val="22"/>
          <w:szCs w:val="22"/>
        </w:rPr>
        <w:t>Bowlby’s attachment theory is also highly relevant in care settings, as it emphasises the importance of emotional security and relationships. Older adults in residential care may feel anxious, lonely, or abandoned, particularly if they have lost close family members or independence. According to Bowlby (1988), having a secure base is essential for coping with these challenges.</w:t>
      </w:r>
    </w:p>
    <w:p w14:paraId="491B8868" w14:textId="77777777" w:rsidR="00E64030" w:rsidRPr="00E64030" w:rsidRDefault="00E64030" w:rsidP="00E64030">
      <w:pPr>
        <w:pStyle w:val="NormalWeb"/>
        <w:spacing w:line="360" w:lineRule="auto"/>
        <w:rPr>
          <w:rFonts w:ascii="Arial" w:hAnsi="Arial" w:cs="Arial"/>
          <w:color w:val="000000"/>
          <w:sz w:val="22"/>
          <w:szCs w:val="22"/>
        </w:rPr>
      </w:pPr>
      <w:r w:rsidRPr="00E64030">
        <w:rPr>
          <w:rFonts w:ascii="Arial" w:hAnsi="Arial" w:cs="Arial"/>
          <w:color w:val="000000"/>
          <w:sz w:val="22"/>
          <w:szCs w:val="22"/>
        </w:rPr>
        <w:t>In practice, care staff can provide this secure base by building consistent, trusting relationships with residents. Being reliable, patient, and emotionally supportive can help residents feel safe and valued. This can reduce anxiety, improve cooperation with care, and enhance overall wellbeing.</w:t>
      </w:r>
    </w:p>
    <w:p w14:paraId="404CEB2D" w14:textId="77777777" w:rsidR="00E64030" w:rsidRPr="00E64030" w:rsidRDefault="00E64030" w:rsidP="00E64030">
      <w:pPr>
        <w:pStyle w:val="NormalWeb"/>
        <w:spacing w:line="360" w:lineRule="auto"/>
        <w:rPr>
          <w:rFonts w:ascii="Arial" w:hAnsi="Arial" w:cs="Arial"/>
          <w:color w:val="000000"/>
          <w:sz w:val="22"/>
          <w:szCs w:val="22"/>
        </w:rPr>
      </w:pPr>
      <w:r w:rsidRPr="00E64030">
        <w:rPr>
          <w:rFonts w:ascii="Arial" w:hAnsi="Arial" w:cs="Arial"/>
          <w:color w:val="000000"/>
          <w:sz w:val="22"/>
          <w:szCs w:val="22"/>
        </w:rPr>
        <w:t>However, there are limitations to applying this theory. Bowlby’s work focuses heavily on early childhood experiences, which may overlook the influence of later-life relationships and social factors. In care homes, it can also be difficult to maintain strong attachments due to staff shortages, shift patterns, and high turnover. Additionally, not all individuals seek close emotional relationships, as some may prefer independence.</w:t>
      </w:r>
    </w:p>
    <w:p w14:paraId="61E6FEAE" w14:textId="77777777" w:rsidR="00E64030" w:rsidRPr="00E64030" w:rsidRDefault="00E64030" w:rsidP="00E64030">
      <w:pPr>
        <w:pStyle w:val="NormalWeb"/>
        <w:spacing w:line="360" w:lineRule="auto"/>
        <w:rPr>
          <w:rFonts w:ascii="Arial" w:hAnsi="Arial" w:cs="Arial"/>
          <w:color w:val="000000"/>
          <w:sz w:val="22"/>
          <w:szCs w:val="22"/>
        </w:rPr>
      </w:pPr>
      <w:r w:rsidRPr="00E64030">
        <w:rPr>
          <w:rFonts w:ascii="Arial" w:hAnsi="Arial" w:cs="Arial"/>
          <w:color w:val="000000"/>
          <w:sz w:val="22"/>
          <w:szCs w:val="22"/>
        </w:rPr>
        <w:t>Overall, while Bowlby’s theory provides valuable insight into emotional needs, it must be adapted to practical care environments and individual preferences.</w:t>
      </w:r>
    </w:p>
    <w:p w14:paraId="0BAB5E82" w14:textId="0CE0B6B5" w:rsidR="00E64030" w:rsidRPr="007408C1" w:rsidRDefault="00B90D72" w:rsidP="007408C1">
      <w:pPr>
        <w:spacing w:line="360" w:lineRule="auto"/>
        <w:rPr>
          <w:rFonts w:ascii="Arial" w:hAnsi="Arial" w:cs="Arial"/>
          <w:sz w:val="22"/>
          <w:szCs w:val="22"/>
        </w:rPr>
      </w:pPr>
      <w:r w:rsidRPr="00B90D72">
        <w:rPr>
          <w:rFonts w:ascii="Arial" w:hAnsi="Arial" w:cs="Arial"/>
          <w:noProof/>
          <w:sz w:val="22"/>
          <w:szCs w:val="22"/>
        </w:rPr>
        <w:pict w14:anchorId="07306C7A">
          <v:rect id="_x0000_i1035" alt="" style="width:451.3pt;height:.05pt;mso-width-percent:0;mso-height-percent:0;mso-width-percent:0;mso-height-percent:0" o:hralign="center" o:hrstd="t" o:hr="t" fillcolor="#a0a0a0" stroked="f"/>
        </w:pict>
      </w:r>
    </w:p>
    <w:p w14:paraId="0B7FDC00" w14:textId="77777777" w:rsidR="00E64030" w:rsidRPr="00E64030" w:rsidRDefault="00E64030" w:rsidP="00E64030">
      <w:pPr>
        <w:pStyle w:val="Heading2"/>
        <w:spacing w:line="360" w:lineRule="auto"/>
        <w:rPr>
          <w:rFonts w:ascii="Arial" w:hAnsi="Arial" w:cs="Arial"/>
          <w:color w:val="000000"/>
          <w:sz w:val="22"/>
          <w:szCs w:val="22"/>
        </w:rPr>
      </w:pPr>
    </w:p>
    <w:p w14:paraId="60117D97" w14:textId="77777777" w:rsidR="00E64030" w:rsidRPr="007408C1" w:rsidRDefault="00E64030" w:rsidP="00E64030">
      <w:pPr>
        <w:pStyle w:val="Heading3"/>
        <w:spacing w:line="360" w:lineRule="auto"/>
        <w:rPr>
          <w:rFonts w:ascii="Arial" w:hAnsi="Arial" w:cs="Arial"/>
          <w:b/>
          <w:bCs/>
          <w:i/>
          <w:iCs/>
          <w:sz w:val="24"/>
          <w:szCs w:val="24"/>
          <w:u w:val="single"/>
        </w:rPr>
      </w:pPr>
      <w:r w:rsidRPr="007408C1">
        <w:rPr>
          <w:rFonts w:ascii="Arial" w:hAnsi="Arial" w:cs="Arial"/>
          <w:b/>
          <w:bCs/>
          <w:i/>
          <w:iCs/>
          <w:sz w:val="24"/>
          <w:szCs w:val="24"/>
          <w:u w:val="single"/>
        </w:rPr>
        <w:t>Conclusion</w:t>
      </w:r>
    </w:p>
    <w:p w14:paraId="1A0C0664" w14:textId="77777777" w:rsidR="00E64030" w:rsidRDefault="00E64030" w:rsidP="00E64030">
      <w:pPr>
        <w:pStyle w:val="NormalWeb"/>
        <w:spacing w:line="360" w:lineRule="auto"/>
      </w:pPr>
      <w:r w:rsidRPr="00E64030">
        <w:rPr>
          <w:rFonts w:ascii="Arial" w:hAnsi="Arial" w:cs="Arial"/>
          <w:sz w:val="22"/>
          <w:szCs w:val="22"/>
        </w:rPr>
        <w:t>Both Erikson’s Psychosocial Theory and Bowlby’s Attachment Theory provide important frameworks for understanding ageing. Erikson focuses on meaning, identity, and reflection, while Bowlby highlights the importance of emotional security and relationships</w:t>
      </w:r>
      <w:r>
        <w:t>. Together, they show that supporting older adults is not just about physical care, but also about meeting psychological and emotional needs. However, both theories have limitations and should be applied with flexibility in real-world health and social care settings.</w:t>
      </w:r>
    </w:p>
    <w:p w14:paraId="60912ED6" w14:textId="77777777" w:rsidR="00E64030" w:rsidRDefault="00E64030" w:rsidP="00E64030">
      <w:pPr>
        <w:pStyle w:val="Heading2"/>
        <w:rPr>
          <w:color w:val="000000"/>
        </w:rPr>
      </w:pPr>
    </w:p>
    <w:p w14:paraId="7CF56CFF" w14:textId="77777777" w:rsidR="00E64030" w:rsidRDefault="00E64030" w:rsidP="00E64030">
      <w:pPr>
        <w:pStyle w:val="Heading2"/>
        <w:rPr>
          <w:color w:val="000000"/>
        </w:rPr>
      </w:pPr>
    </w:p>
    <w:p w14:paraId="28FC6EA1" w14:textId="3238AC22" w:rsidR="00E64030" w:rsidRPr="00D957D1" w:rsidRDefault="00E64030" w:rsidP="00E64030">
      <w:pPr>
        <w:pStyle w:val="Heading2"/>
        <w:rPr>
          <w:b/>
          <w:bCs/>
          <w:color w:val="000000"/>
          <w:u w:val="single"/>
        </w:rPr>
      </w:pPr>
      <w:r>
        <w:rPr>
          <w:color w:val="000000"/>
        </w:rPr>
        <w:t>References</w:t>
      </w:r>
      <w:r w:rsidR="00D957D1">
        <w:rPr>
          <w:color w:val="000000"/>
        </w:rPr>
        <w:t xml:space="preserve">.  </w:t>
      </w:r>
      <w:r w:rsidR="00D957D1" w:rsidRPr="00D957D1">
        <w:rPr>
          <w:rFonts w:ascii="-webkit-standard" w:hAnsi="-webkit-standard"/>
          <w:b/>
          <w:bCs/>
          <w:color w:val="000000"/>
          <w:sz w:val="27"/>
          <w:szCs w:val="27"/>
          <w:u w:val="single"/>
        </w:rPr>
        <w:t>Part A</w:t>
      </w:r>
    </w:p>
    <w:p w14:paraId="772CE3E3" w14:textId="77777777" w:rsidR="00E64030" w:rsidRDefault="00E64030" w:rsidP="00E64030">
      <w:pPr>
        <w:pStyle w:val="NormalWeb"/>
        <w:rPr>
          <w:color w:val="000000"/>
        </w:rPr>
      </w:pPr>
      <w:r>
        <w:rPr>
          <w:color w:val="000000"/>
        </w:rPr>
        <w:t>Bowlby, J. (1969)</w:t>
      </w:r>
      <w:r>
        <w:rPr>
          <w:rStyle w:val="apple-converted-space"/>
          <w:rFonts w:eastAsiaTheme="majorEastAsia"/>
          <w:color w:val="000000"/>
        </w:rPr>
        <w:t> </w:t>
      </w:r>
      <w:r>
        <w:rPr>
          <w:rStyle w:val="Emphasis"/>
          <w:rFonts w:eastAsiaTheme="majorEastAsia"/>
          <w:color w:val="000000"/>
        </w:rPr>
        <w:t>Attachment and loss: Vol. 1. Attachment</w:t>
      </w:r>
      <w:r>
        <w:rPr>
          <w:color w:val="000000"/>
        </w:rPr>
        <w:t>. London: Hogarth Press.</w:t>
      </w:r>
    </w:p>
    <w:p w14:paraId="102F6DA9" w14:textId="77777777" w:rsidR="00E64030" w:rsidRDefault="00E64030" w:rsidP="00E64030">
      <w:pPr>
        <w:pStyle w:val="NormalWeb"/>
        <w:rPr>
          <w:color w:val="000000"/>
        </w:rPr>
      </w:pPr>
      <w:r>
        <w:rPr>
          <w:color w:val="000000"/>
        </w:rPr>
        <w:t>Bowlby, J. (1988)</w:t>
      </w:r>
      <w:r>
        <w:rPr>
          <w:rStyle w:val="apple-converted-space"/>
          <w:rFonts w:eastAsiaTheme="majorEastAsia"/>
          <w:color w:val="000000"/>
        </w:rPr>
        <w:t> </w:t>
      </w:r>
      <w:r>
        <w:rPr>
          <w:rStyle w:val="Emphasis"/>
          <w:rFonts w:eastAsiaTheme="majorEastAsia"/>
          <w:color w:val="000000"/>
        </w:rPr>
        <w:t>A secure base: Parent-child attachment and healthy human development</w:t>
      </w:r>
      <w:r>
        <w:rPr>
          <w:color w:val="000000"/>
        </w:rPr>
        <w:t>. London: Routledge.</w:t>
      </w:r>
    </w:p>
    <w:p w14:paraId="068E98FB" w14:textId="77777777" w:rsidR="00E64030" w:rsidRDefault="00E64030" w:rsidP="00E64030">
      <w:pPr>
        <w:pStyle w:val="NormalWeb"/>
        <w:rPr>
          <w:color w:val="000000"/>
        </w:rPr>
      </w:pPr>
      <w:r>
        <w:rPr>
          <w:color w:val="000000"/>
        </w:rPr>
        <w:t>Erikson, E.H. (1963)</w:t>
      </w:r>
      <w:r>
        <w:rPr>
          <w:rStyle w:val="apple-converted-space"/>
          <w:rFonts w:eastAsiaTheme="majorEastAsia"/>
          <w:color w:val="000000"/>
        </w:rPr>
        <w:t> </w:t>
      </w:r>
      <w:r>
        <w:rPr>
          <w:rStyle w:val="Emphasis"/>
          <w:rFonts w:eastAsiaTheme="majorEastAsia"/>
          <w:color w:val="000000"/>
        </w:rPr>
        <w:t>Childhood and society</w:t>
      </w:r>
      <w:r>
        <w:rPr>
          <w:color w:val="000000"/>
        </w:rPr>
        <w:t xml:space="preserve">. 2nd </w:t>
      </w:r>
      <w:proofErr w:type="spellStart"/>
      <w:r>
        <w:rPr>
          <w:color w:val="000000"/>
        </w:rPr>
        <w:t>edn</w:t>
      </w:r>
      <w:proofErr w:type="spellEnd"/>
      <w:r>
        <w:rPr>
          <w:color w:val="000000"/>
        </w:rPr>
        <w:t>. New York: Norton.</w:t>
      </w:r>
    </w:p>
    <w:p w14:paraId="278F8B95" w14:textId="77777777" w:rsidR="00E64030" w:rsidRDefault="00E64030" w:rsidP="00E64030">
      <w:pPr>
        <w:pStyle w:val="NormalWeb"/>
        <w:rPr>
          <w:color w:val="000000"/>
        </w:rPr>
      </w:pPr>
      <w:r>
        <w:rPr>
          <w:color w:val="000000"/>
        </w:rPr>
        <w:t>Erikson, E.H. (1982)</w:t>
      </w:r>
      <w:r>
        <w:rPr>
          <w:rStyle w:val="apple-converted-space"/>
          <w:rFonts w:eastAsiaTheme="majorEastAsia"/>
          <w:color w:val="000000"/>
        </w:rPr>
        <w:t> </w:t>
      </w:r>
      <w:r>
        <w:rPr>
          <w:rStyle w:val="Emphasis"/>
          <w:rFonts w:eastAsiaTheme="majorEastAsia"/>
          <w:color w:val="000000"/>
        </w:rPr>
        <w:t>The life cycle completed</w:t>
      </w:r>
      <w:r>
        <w:rPr>
          <w:color w:val="000000"/>
        </w:rPr>
        <w:t>. New York: Norton.</w:t>
      </w:r>
    </w:p>
    <w:p w14:paraId="48EAA806" w14:textId="77777777" w:rsidR="00E64030" w:rsidRDefault="00B90D72" w:rsidP="00E64030">
      <w:r>
        <w:rPr>
          <w:noProof/>
        </w:rPr>
        <w:pict w14:anchorId="67BE3852">
          <v:rect id="_x0000_i1034" alt="" style="width:451.3pt;height:.05pt;mso-width-percent:0;mso-height-percent:0;mso-width-percent:0;mso-height-percent:0" o:hralign="center" o:hrstd="t" o:hr="t" fillcolor="#a0a0a0" stroked="f"/>
        </w:pict>
      </w:r>
    </w:p>
    <w:p w14:paraId="5A6C79C5" w14:textId="77777777" w:rsidR="00744550" w:rsidRPr="00744550" w:rsidRDefault="00E64030" w:rsidP="00744550">
      <w:pPr>
        <w:pStyle w:val="NormalWeb"/>
        <w:rPr>
          <w:rStyle w:val="Emphasis"/>
          <w:rFonts w:ascii="Arial" w:eastAsiaTheme="majorEastAsia" w:hAnsi="Arial" w:cs="Arial"/>
          <w:b/>
          <w:bCs/>
          <w:i w:val="0"/>
          <w:iCs w:val="0"/>
          <w:color w:val="000000"/>
          <w:sz w:val="22"/>
          <w:szCs w:val="22"/>
        </w:rPr>
      </w:pPr>
      <w:r w:rsidRPr="00744550">
        <w:rPr>
          <w:rFonts w:ascii="Arial" w:hAnsi="Arial" w:cs="Arial"/>
          <w:b/>
          <w:bCs/>
          <w:color w:val="000000"/>
          <w:sz w:val="22"/>
          <w:szCs w:val="22"/>
        </w:rPr>
        <w:t>Bibliography</w:t>
      </w:r>
      <w:r w:rsidR="00D957D1" w:rsidRPr="00744550">
        <w:rPr>
          <w:rFonts w:ascii="Arial" w:hAnsi="Arial" w:cs="Arial"/>
          <w:b/>
          <w:bCs/>
          <w:color w:val="000000"/>
          <w:sz w:val="22"/>
          <w:szCs w:val="22"/>
        </w:rPr>
        <w:t xml:space="preserve">. </w:t>
      </w:r>
      <w:r w:rsidR="00D957D1" w:rsidRPr="00744550">
        <w:rPr>
          <w:rFonts w:ascii="Arial" w:hAnsi="Arial" w:cs="Arial"/>
          <w:b/>
          <w:bCs/>
          <w:color w:val="000000"/>
          <w:sz w:val="22"/>
          <w:szCs w:val="22"/>
          <w:u w:val="single"/>
        </w:rPr>
        <w:t>Part A</w:t>
      </w:r>
      <w:r w:rsidR="00744550" w:rsidRPr="00744550">
        <w:rPr>
          <w:rStyle w:val="Emphasis"/>
          <w:rFonts w:ascii="Arial" w:eastAsiaTheme="majorEastAsia" w:hAnsi="Arial" w:cs="Arial"/>
          <w:b/>
          <w:bCs/>
          <w:i w:val="0"/>
          <w:iCs w:val="0"/>
          <w:color w:val="000000"/>
          <w:sz w:val="22"/>
          <w:szCs w:val="22"/>
        </w:rPr>
        <w:t xml:space="preserve"> </w:t>
      </w:r>
    </w:p>
    <w:p w14:paraId="1ECD4EF2" w14:textId="1A8F823C" w:rsidR="00744550" w:rsidRPr="00744550" w:rsidRDefault="00744550" w:rsidP="00744550">
      <w:pPr>
        <w:pStyle w:val="NormalWeb"/>
        <w:rPr>
          <w:rFonts w:ascii="Arial" w:hAnsi="Arial" w:cs="Arial"/>
          <w:color w:val="000000"/>
          <w:sz w:val="22"/>
          <w:szCs w:val="22"/>
        </w:rPr>
      </w:pPr>
      <w:r w:rsidRPr="00744550">
        <w:rPr>
          <w:rStyle w:val="Emphasis"/>
          <w:rFonts w:ascii="Arial" w:eastAsiaTheme="majorEastAsia" w:hAnsi="Arial" w:cs="Arial"/>
          <w:i w:val="0"/>
          <w:iCs w:val="0"/>
          <w:color w:val="000000"/>
          <w:sz w:val="22"/>
          <w:szCs w:val="22"/>
        </w:rPr>
        <w:t>Attachment</w:t>
      </w:r>
      <w:r w:rsidRPr="00744550">
        <w:rPr>
          <w:rFonts w:ascii="Arial" w:hAnsi="Arial" w:cs="Arial"/>
          <w:color w:val="000000"/>
          <w:sz w:val="22"/>
          <w:szCs w:val="22"/>
        </w:rPr>
        <w:t>. London: Hogarth Press.</w:t>
      </w:r>
    </w:p>
    <w:p w14:paraId="242BDEC6" w14:textId="77777777" w:rsidR="00744550" w:rsidRPr="00744550" w:rsidRDefault="00744550" w:rsidP="00744550">
      <w:pPr>
        <w:pStyle w:val="NormalWeb"/>
        <w:rPr>
          <w:rFonts w:ascii="Arial" w:hAnsi="Arial" w:cs="Arial"/>
          <w:color w:val="000000"/>
          <w:sz w:val="22"/>
          <w:szCs w:val="22"/>
        </w:rPr>
      </w:pPr>
      <w:r w:rsidRPr="00744550">
        <w:rPr>
          <w:rStyle w:val="whitespace-normal"/>
          <w:rFonts w:ascii="Arial" w:eastAsiaTheme="majorEastAsia" w:hAnsi="Arial" w:cs="Arial"/>
          <w:color w:val="000000"/>
          <w:sz w:val="22"/>
          <w:szCs w:val="22"/>
        </w:rPr>
        <w:t>Erik Erikson</w:t>
      </w:r>
      <w:r w:rsidRPr="00744550">
        <w:rPr>
          <w:rFonts w:ascii="Arial" w:hAnsi="Arial" w:cs="Arial"/>
          <w:color w:val="000000"/>
          <w:sz w:val="22"/>
          <w:szCs w:val="22"/>
        </w:rPr>
        <w:t>, E.H. (1963)</w:t>
      </w:r>
      <w:r w:rsidRPr="00744550">
        <w:rPr>
          <w:rStyle w:val="apple-converted-space"/>
          <w:rFonts w:ascii="Arial" w:eastAsiaTheme="majorEastAsia" w:hAnsi="Arial" w:cs="Arial"/>
          <w:color w:val="000000"/>
          <w:sz w:val="22"/>
          <w:szCs w:val="22"/>
        </w:rPr>
        <w:t> </w:t>
      </w:r>
      <w:r w:rsidRPr="00744550">
        <w:rPr>
          <w:rStyle w:val="Emphasis"/>
          <w:rFonts w:ascii="Arial" w:eastAsiaTheme="majorEastAsia" w:hAnsi="Arial" w:cs="Arial"/>
          <w:i w:val="0"/>
          <w:iCs w:val="0"/>
          <w:color w:val="000000"/>
          <w:sz w:val="22"/>
          <w:szCs w:val="22"/>
        </w:rPr>
        <w:t>Childhood and society</w:t>
      </w:r>
      <w:r w:rsidRPr="00744550">
        <w:rPr>
          <w:rFonts w:ascii="Arial" w:hAnsi="Arial" w:cs="Arial"/>
          <w:color w:val="000000"/>
          <w:sz w:val="22"/>
          <w:szCs w:val="22"/>
        </w:rPr>
        <w:t xml:space="preserve">. 2nd </w:t>
      </w:r>
      <w:proofErr w:type="spellStart"/>
      <w:r w:rsidRPr="00744550">
        <w:rPr>
          <w:rFonts w:ascii="Arial" w:hAnsi="Arial" w:cs="Arial"/>
          <w:color w:val="000000"/>
          <w:sz w:val="22"/>
          <w:szCs w:val="22"/>
        </w:rPr>
        <w:t>edn</w:t>
      </w:r>
      <w:proofErr w:type="spellEnd"/>
      <w:r w:rsidRPr="00744550">
        <w:rPr>
          <w:rFonts w:ascii="Arial" w:hAnsi="Arial" w:cs="Arial"/>
          <w:color w:val="000000"/>
          <w:sz w:val="22"/>
          <w:szCs w:val="22"/>
        </w:rPr>
        <w:t>. New York: Norton.</w:t>
      </w:r>
    </w:p>
    <w:p w14:paraId="565C0B57" w14:textId="3991CD06" w:rsidR="00744550" w:rsidRPr="00744550" w:rsidRDefault="00744550" w:rsidP="00744550">
      <w:pPr>
        <w:pStyle w:val="NormalWeb"/>
        <w:rPr>
          <w:rFonts w:ascii="Arial" w:hAnsi="Arial" w:cs="Arial"/>
          <w:color w:val="000000"/>
          <w:sz w:val="22"/>
          <w:szCs w:val="22"/>
        </w:rPr>
      </w:pPr>
      <w:r w:rsidRPr="00744550">
        <w:rPr>
          <w:rStyle w:val="whitespace-normal"/>
          <w:rFonts w:ascii="Arial" w:eastAsiaTheme="majorEastAsia" w:hAnsi="Arial" w:cs="Arial"/>
          <w:color w:val="000000"/>
          <w:sz w:val="22"/>
          <w:szCs w:val="22"/>
        </w:rPr>
        <w:t>Erik Erikson</w:t>
      </w:r>
      <w:r w:rsidRPr="00744550">
        <w:rPr>
          <w:rFonts w:ascii="Arial" w:hAnsi="Arial" w:cs="Arial"/>
          <w:color w:val="000000"/>
          <w:sz w:val="22"/>
          <w:szCs w:val="22"/>
        </w:rPr>
        <w:t>, E.H. (1982)</w:t>
      </w:r>
      <w:r w:rsidRPr="00744550">
        <w:rPr>
          <w:rStyle w:val="apple-converted-space"/>
          <w:rFonts w:ascii="Arial" w:eastAsiaTheme="majorEastAsia" w:hAnsi="Arial" w:cs="Arial"/>
          <w:color w:val="000000"/>
          <w:sz w:val="22"/>
          <w:szCs w:val="22"/>
        </w:rPr>
        <w:t> </w:t>
      </w:r>
      <w:r w:rsidRPr="00744550">
        <w:rPr>
          <w:rStyle w:val="Emphasis"/>
          <w:rFonts w:ascii="Arial" w:eastAsiaTheme="majorEastAsia" w:hAnsi="Arial" w:cs="Arial"/>
          <w:i w:val="0"/>
          <w:iCs w:val="0"/>
          <w:color w:val="000000"/>
          <w:sz w:val="22"/>
          <w:szCs w:val="22"/>
        </w:rPr>
        <w:t>The life cycle completed</w:t>
      </w:r>
      <w:r w:rsidRPr="00744550">
        <w:rPr>
          <w:rFonts w:ascii="Arial" w:hAnsi="Arial" w:cs="Arial"/>
          <w:color w:val="000000"/>
          <w:sz w:val="22"/>
          <w:szCs w:val="22"/>
        </w:rPr>
        <w:t>. New York: Norton.</w:t>
      </w:r>
    </w:p>
    <w:p w14:paraId="0F3AED45" w14:textId="4C43CCB8" w:rsidR="00E64030" w:rsidRPr="00744550" w:rsidRDefault="00E64030" w:rsidP="00E64030">
      <w:pPr>
        <w:pStyle w:val="Heading3"/>
        <w:rPr>
          <w:rFonts w:ascii="Arial" w:hAnsi="Arial" w:cs="Arial"/>
          <w:sz w:val="22"/>
          <w:szCs w:val="22"/>
        </w:rPr>
      </w:pPr>
      <w:r w:rsidRPr="00744550">
        <w:rPr>
          <w:rStyle w:val="whitespace-normal"/>
          <w:rFonts w:ascii="Arial" w:hAnsi="Arial" w:cs="Arial"/>
          <w:color w:val="000000"/>
          <w:sz w:val="22"/>
          <w:szCs w:val="22"/>
        </w:rPr>
        <w:t>John Bowlby</w:t>
      </w:r>
      <w:r w:rsidRPr="00744550">
        <w:rPr>
          <w:rFonts w:ascii="Arial" w:hAnsi="Arial" w:cs="Arial"/>
          <w:color w:val="000000"/>
          <w:sz w:val="22"/>
          <w:szCs w:val="22"/>
        </w:rPr>
        <w:t>, J. (1969)</w:t>
      </w:r>
      <w:r w:rsidRPr="00744550">
        <w:rPr>
          <w:rStyle w:val="apple-converted-space"/>
          <w:rFonts w:ascii="Arial" w:hAnsi="Arial" w:cs="Arial"/>
          <w:color w:val="000000"/>
          <w:sz w:val="22"/>
          <w:szCs w:val="22"/>
        </w:rPr>
        <w:t> </w:t>
      </w:r>
      <w:r w:rsidRPr="00744550">
        <w:rPr>
          <w:rStyle w:val="Emphasis"/>
          <w:rFonts w:ascii="Arial" w:hAnsi="Arial" w:cs="Arial"/>
          <w:i w:val="0"/>
          <w:iCs w:val="0"/>
          <w:color w:val="000000"/>
          <w:sz w:val="22"/>
          <w:szCs w:val="22"/>
        </w:rPr>
        <w:t xml:space="preserve">Attachment and loss: Vol. 1. </w:t>
      </w:r>
    </w:p>
    <w:p w14:paraId="709FAF22" w14:textId="77777777" w:rsidR="00E64030" w:rsidRPr="00744550" w:rsidRDefault="00E64030" w:rsidP="00E64030">
      <w:pPr>
        <w:pStyle w:val="NormalWeb"/>
        <w:rPr>
          <w:rFonts w:ascii="Arial" w:hAnsi="Arial" w:cs="Arial"/>
          <w:color w:val="000000"/>
          <w:sz w:val="22"/>
          <w:szCs w:val="22"/>
        </w:rPr>
      </w:pPr>
      <w:r w:rsidRPr="00744550">
        <w:rPr>
          <w:rStyle w:val="whitespace-normal"/>
          <w:rFonts w:ascii="Arial" w:eastAsiaTheme="majorEastAsia" w:hAnsi="Arial" w:cs="Arial"/>
          <w:color w:val="000000"/>
          <w:sz w:val="22"/>
          <w:szCs w:val="22"/>
        </w:rPr>
        <w:t>John Bowlby</w:t>
      </w:r>
      <w:r w:rsidRPr="00744550">
        <w:rPr>
          <w:rFonts w:ascii="Arial" w:hAnsi="Arial" w:cs="Arial"/>
          <w:color w:val="000000"/>
          <w:sz w:val="22"/>
          <w:szCs w:val="22"/>
        </w:rPr>
        <w:t>, J. (1988)</w:t>
      </w:r>
      <w:r w:rsidRPr="00744550">
        <w:rPr>
          <w:rStyle w:val="apple-converted-space"/>
          <w:rFonts w:ascii="Arial" w:eastAsiaTheme="majorEastAsia" w:hAnsi="Arial" w:cs="Arial"/>
          <w:color w:val="000000"/>
          <w:sz w:val="22"/>
          <w:szCs w:val="22"/>
        </w:rPr>
        <w:t> </w:t>
      </w:r>
      <w:r w:rsidRPr="00744550">
        <w:rPr>
          <w:rStyle w:val="Emphasis"/>
          <w:rFonts w:ascii="Arial" w:eastAsiaTheme="majorEastAsia" w:hAnsi="Arial" w:cs="Arial"/>
          <w:i w:val="0"/>
          <w:iCs w:val="0"/>
          <w:color w:val="000000"/>
          <w:sz w:val="22"/>
          <w:szCs w:val="22"/>
        </w:rPr>
        <w:t>A secure base: Parent-child attachment and healthy human development</w:t>
      </w:r>
      <w:r w:rsidRPr="00744550">
        <w:rPr>
          <w:rFonts w:ascii="Arial" w:hAnsi="Arial" w:cs="Arial"/>
          <w:color w:val="000000"/>
          <w:sz w:val="22"/>
          <w:szCs w:val="22"/>
        </w:rPr>
        <w:t>. London: Routledge.</w:t>
      </w:r>
    </w:p>
    <w:p w14:paraId="7C2D9C2A" w14:textId="77777777" w:rsidR="00D957D1" w:rsidRPr="00744550" w:rsidRDefault="00D957D1" w:rsidP="00E64030">
      <w:pPr>
        <w:rPr>
          <w:rFonts w:ascii="Arial" w:hAnsi="Arial" w:cs="Arial"/>
          <w:sz w:val="22"/>
          <w:szCs w:val="22"/>
        </w:rPr>
      </w:pPr>
    </w:p>
    <w:p w14:paraId="5F215152" w14:textId="77777777" w:rsidR="00D957D1" w:rsidRDefault="00D957D1" w:rsidP="00E64030"/>
    <w:p w14:paraId="6A53E0CB" w14:textId="77777777" w:rsidR="00D957D1" w:rsidRDefault="00D957D1" w:rsidP="00E64030"/>
    <w:p w14:paraId="6FE6AB0E" w14:textId="77777777" w:rsidR="00D957D1" w:rsidRDefault="00D957D1" w:rsidP="00E64030"/>
    <w:p w14:paraId="6A5A83FD" w14:textId="77777777" w:rsidR="00D957D1" w:rsidRDefault="00D957D1" w:rsidP="00E64030"/>
    <w:p w14:paraId="1BE0498A" w14:textId="77777777" w:rsidR="00D957D1" w:rsidRDefault="00D957D1" w:rsidP="00E64030"/>
    <w:p w14:paraId="0D598CDC" w14:textId="2D867FC4" w:rsidR="00E64030" w:rsidRDefault="00B90D72" w:rsidP="00E64030">
      <w:r>
        <w:rPr>
          <w:noProof/>
        </w:rPr>
        <w:pict w14:anchorId="228C876C">
          <v:rect id="_x0000_i1033" alt="" style="width:451.3pt;height:.05pt;mso-width-percent:0;mso-height-percent:0;mso-width-percent:0;mso-height-percent:0" o:hralign="center" o:hrstd="t" o:hr="t" fillcolor="#a0a0a0" stroked="f"/>
        </w:pict>
      </w:r>
    </w:p>
    <w:p w14:paraId="5A35C584" w14:textId="5DEEC17B" w:rsidR="00D957D1" w:rsidRPr="00A727D3" w:rsidRDefault="00A727D3" w:rsidP="00A727D3">
      <w:pPr>
        <w:pStyle w:val="Heading1"/>
        <w:rPr>
          <w:rFonts w:ascii="Arial" w:hAnsi="Arial" w:cs="Arial"/>
          <w:b/>
          <w:bCs/>
          <w:i/>
          <w:iCs/>
          <w:color w:val="000000"/>
          <w:u w:val="single"/>
        </w:rPr>
      </w:pPr>
      <w:r w:rsidRPr="00A727D3">
        <w:rPr>
          <w:rFonts w:ascii="Arial" w:hAnsi="Arial" w:cs="Arial"/>
          <w:b/>
          <w:bCs/>
          <w:i/>
          <w:iCs/>
          <w:color w:val="000000"/>
          <w:u w:val="single"/>
        </w:rPr>
        <w:lastRenderedPageBreak/>
        <w:t>Part B</w:t>
      </w:r>
    </w:p>
    <w:p w14:paraId="3F7D7E08" w14:textId="0671E39E" w:rsidR="00E64030" w:rsidRPr="007408C1" w:rsidRDefault="00E64030" w:rsidP="00E64030">
      <w:pPr>
        <w:pStyle w:val="Heading1"/>
        <w:spacing w:line="360" w:lineRule="auto"/>
        <w:rPr>
          <w:rFonts w:ascii="Arial" w:hAnsi="Arial" w:cs="Arial"/>
          <w:b/>
          <w:bCs/>
          <w:i/>
          <w:iCs/>
          <w:sz w:val="24"/>
          <w:szCs w:val="24"/>
          <w:u w:val="single"/>
        </w:rPr>
      </w:pPr>
      <w:r w:rsidRPr="007408C1">
        <w:rPr>
          <w:rFonts w:ascii="Arial" w:hAnsi="Arial" w:cs="Arial"/>
          <w:b/>
          <w:bCs/>
          <w:i/>
          <w:iCs/>
          <w:sz w:val="24"/>
          <w:szCs w:val="24"/>
          <w:u w:val="single"/>
        </w:rPr>
        <w:t>Short Report</w:t>
      </w:r>
    </w:p>
    <w:p w14:paraId="4C58D5E4" w14:textId="17C175CE" w:rsidR="00E64030" w:rsidRPr="007408C1" w:rsidRDefault="00E64030" w:rsidP="00E64030">
      <w:pPr>
        <w:pStyle w:val="Heading2"/>
        <w:spacing w:line="360" w:lineRule="auto"/>
        <w:rPr>
          <w:rFonts w:ascii="Arial" w:hAnsi="Arial" w:cs="Arial"/>
          <w:b/>
          <w:bCs/>
          <w:sz w:val="22"/>
          <w:szCs w:val="22"/>
        </w:rPr>
      </w:pPr>
      <w:r w:rsidRPr="007408C1">
        <w:rPr>
          <w:rFonts w:ascii="Arial" w:hAnsi="Arial" w:cs="Arial"/>
          <w:b/>
          <w:bCs/>
          <w:sz w:val="22"/>
          <w:szCs w:val="22"/>
        </w:rPr>
        <w:t>Selected Theory</w:t>
      </w:r>
    </w:p>
    <w:p w14:paraId="071275A1" w14:textId="77777777" w:rsidR="00E64030" w:rsidRPr="00E64030" w:rsidRDefault="00E64030" w:rsidP="00E64030">
      <w:pPr>
        <w:pStyle w:val="NormalWeb"/>
        <w:spacing w:line="360" w:lineRule="auto"/>
        <w:rPr>
          <w:rFonts w:ascii="Arial" w:hAnsi="Arial" w:cs="Arial"/>
          <w:sz w:val="22"/>
          <w:szCs w:val="22"/>
        </w:rPr>
      </w:pPr>
      <w:r w:rsidRPr="00E64030">
        <w:rPr>
          <w:rFonts w:ascii="Arial" w:hAnsi="Arial" w:cs="Arial"/>
          <w:sz w:val="22"/>
          <w:szCs w:val="22"/>
        </w:rPr>
        <w:t>This report focuses on</w:t>
      </w:r>
      <w:r w:rsidRPr="00E64030">
        <w:rPr>
          <w:rStyle w:val="apple-converted-space"/>
          <w:rFonts w:ascii="Arial" w:eastAsiaTheme="majorEastAsia" w:hAnsi="Arial" w:cs="Arial"/>
          <w:sz w:val="22"/>
          <w:szCs w:val="22"/>
        </w:rPr>
        <w:t> </w:t>
      </w:r>
      <w:r w:rsidRPr="00E64030">
        <w:rPr>
          <w:rStyle w:val="whitespace-normal"/>
          <w:rFonts w:ascii="Arial" w:eastAsiaTheme="majorEastAsia" w:hAnsi="Arial" w:cs="Arial"/>
          <w:sz w:val="22"/>
          <w:szCs w:val="22"/>
        </w:rPr>
        <w:t>Erik Erikson</w:t>
      </w:r>
      <w:r w:rsidRPr="00E64030">
        <w:rPr>
          <w:rFonts w:ascii="Arial" w:hAnsi="Arial" w:cs="Arial"/>
          <w:sz w:val="22"/>
          <w:szCs w:val="22"/>
        </w:rPr>
        <w:t>’s Psychosocial Theory, particularly the final stage known as</w:t>
      </w:r>
      <w:r w:rsidRPr="00E64030">
        <w:rPr>
          <w:rStyle w:val="apple-converted-space"/>
          <w:rFonts w:ascii="Arial" w:eastAsiaTheme="majorEastAsia" w:hAnsi="Arial" w:cs="Arial"/>
          <w:sz w:val="22"/>
          <w:szCs w:val="22"/>
        </w:rPr>
        <w:t> </w:t>
      </w:r>
      <w:r w:rsidRPr="00E64030">
        <w:rPr>
          <w:rStyle w:val="Emphasis"/>
          <w:rFonts w:ascii="Arial" w:eastAsiaTheme="majorEastAsia" w:hAnsi="Arial" w:cs="Arial"/>
          <w:i w:val="0"/>
          <w:iCs w:val="0"/>
          <w:sz w:val="22"/>
          <w:szCs w:val="22"/>
        </w:rPr>
        <w:t>ego integrity versus despair</w:t>
      </w:r>
      <w:r w:rsidRPr="00E64030">
        <w:rPr>
          <w:rFonts w:ascii="Arial" w:hAnsi="Arial" w:cs="Arial"/>
          <w:sz w:val="22"/>
          <w:szCs w:val="22"/>
        </w:rPr>
        <w:t>.</w:t>
      </w:r>
    </w:p>
    <w:p w14:paraId="6A37673F" w14:textId="77777777" w:rsidR="00E64030" w:rsidRPr="00E64030" w:rsidRDefault="00B90D72" w:rsidP="00E64030">
      <w:pPr>
        <w:spacing w:line="360" w:lineRule="auto"/>
        <w:rPr>
          <w:rFonts w:ascii="Arial" w:hAnsi="Arial" w:cs="Arial"/>
          <w:sz w:val="22"/>
          <w:szCs w:val="22"/>
        </w:rPr>
      </w:pPr>
      <w:r w:rsidRPr="00B90D72">
        <w:rPr>
          <w:rFonts w:ascii="Arial" w:hAnsi="Arial" w:cs="Arial"/>
          <w:noProof/>
          <w:sz w:val="22"/>
          <w:szCs w:val="22"/>
        </w:rPr>
        <w:pict w14:anchorId="0433F462">
          <v:rect id="_x0000_i1032" alt="" style="width:451.3pt;height:.05pt;mso-width-percent:0;mso-height-percent:0;mso-width-percent:0;mso-height-percent:0" o:hralign="center" o:hrstd="t" o:hr="t" fillcolor="#a0a0a0" stroked="f"/>
        </w:pict>
      </w:r>
    </w:p>
    <w:p w14:paraId="67668B21" w14:textId="77777777" w:rsidR="00E64030" w:rsidRPr="007408C1" w:rsidRDefault="00E64030" w:rsidP="00E64030">
      <w:pPr>
        <w:pStyle w:val="Heading3"/>
        <w:spacing w:line="360" w:lineRule="auto"/>
        <w:rPr>
          <w:rFonts w:ascii="Arial" w:hAnsi="Arial" w:cs="Arial"/>
          <w:b/>
          <w:bCs/>
          <w:i/>
          <w:iCs/>
          <w:sz w:val="24"/>
          <w:szCs w:val="24"/>
          <w:u w:val="single"/>
        </w:rPr>
      </w:pPr>
      <w:r w:rsidRPr="007408C1">
        <w:rPr>
          <w:rFonts w:ascii="Arial" w:hAnsi="Arial" w:cs="Arial"/>
          <w:b/>
          <w:bCs/>
          <w:i/>
          <w:iCs/>
          <w:sz w:val="24"/>
          <w:szCs w:val="24"/>
          <w:u w:val="single"/>
        </w:rPr>
        <w:t>Introduction to the Theory</w:t>
      </w:r>
    </w:p>
    <w:p w14:paraId="63F44DE6" w14:textId="77777777" w:rsidR="00E64030" w:rsidRPr="00E64030" w:rsidRDefault="00E64030" w:rsidP="00E64030">
      <w:pPr>
        <w:pStyle w:val="NormalWeb"/>
        <w:spacing w:line="360" w:lineRule="auto"/>
        <w:rPr>
          <w:rFonts w:ascii="Arial" w:hAnsi="Arial" w:cs="Arial"/>
          <w:sz w:val="22"/>
          <w:szCs w:val="22"/>
        </w:rPr>
      </w:pPr>
      <w:r w:rsidRPr="00E64030">
        <w:rPr>
          <w:rFonts w:ascii="Arial" w:hAnsi="Arial" w:cs="Arial"/>
          <w:sz w:val="22"/>
          <w:szCs w:val="22"/>
        </w:rPr>
        <w:t>Erikson’s Psychosocial Theory explains that people go through a series of stages across their life, and each stage involves a psychological challenge. In later adulthood, the final stage is</w:t>
      </w:r>
      <w:r w:rsidRPr="00E64030">
        <w:rPr>
          <w:rStyle w:val="apple-converted-space"/>
          <w:rFonts w:ascii="Arial" w:eastAsiaTheme="majorEastAsia" w:hAnsi="Arial" w:cs="Arial"/>
          <w:sz w:val="22"/>
          <w:szCs w:val="22"/>
        </w:rPr>
        <w:t> </w:t>
      </w:r>
      <w:r w:rsidRPr="00E64030">
        <w:rPr>
          <w:rStyle w:val="Emphasis"/>
          <w:rFonts w:ascii="Arial" w:eastAsiaTheme="majorEastAsia" w:hAnsi="Arial" w:cs="Arial"/>
          <w:i w:val="0"/>
          <w:iCs w:val="0"/>
          <w:sz w:val="22"/>
          <w:szCs w:val="22"/>
        </w:rPr>
        <w:t>ego integrity versus despair</w:t>
      </w:r>
      <w:r w:rsidRPr="00E64030">
        <w:rPr>
          <w:rFonts w:ascii="Arial" w:hAnsi="Arial" w:cs="Arial"/>
          <w:sz w:val="22"/>
          <w:szCs w:val="22"/>
        </w:rPr>
        <w:t>. At this stage, individuals reflect on their life and consider whether it has been meaningful.</w:t>
      </w:r>
    </w:p>
    <w:p w14:paraId="2E5D5363" w14:textId="77777777" w:rsidR="00E64030" w:rsidRPr="00E64030" w:rsidRDefault="00E64030" w:rsidP="00E64030">
      <w:pPr>
        <w:pStyle w:val="NormalWeb"/>
        <w:spacing w:line="360" w:lineRule="auto"/>
        <w:rPr>
          <w:rFonts w:ascii="Arial" w:hAnsi="Arial" w:cs="Arial"/>
          <w:sz w:val="22"/>
          <w:szCs w:val="22"/>
        </w:rPr>
      </w:pPr>
      <w:r w:rsidRPr="00E64030">
        <w:rPr>
          <w:rFonts w:ascii="Arial" w:hAnsi="Arial" w:cs="Arial"/>
          <w:sz w:val="22"/>
          <w:szCs w:val="22"/>
        </w:rPr>
        <w:t xml:space="preserve">If a person feels satisfied with their life and accepts both good and bad experiences, they develop ego integrity. This leads to feelings of peace, acceptance, and emotional stability. However, if they focus on regrets or believe their life lacked purpose, they may experience despair. This can lead to low mood, anxiety, or withdrawal from others (Erikson, 1963). Erikson later expanded this idea by explaining that achieving integrity is not about having a perfect </w:t>
      </w:r>
      <w:proofErr w:type="gramStart"/>
      <w:r w:rsidRPr="00E64030">
        <w:rPr>
          <w:rFonts w:ascii="Arial" w:hAnsi="Arial" w:cs="Arial"/>
          <w:sz w:val="22"/>
          <w:szCs w:val="22"/>
        </w:rPr>
        <w:t>life, but</w:t>
      </w:r>
      <w:proofErr w:type="gramEnd"/>
      <w:r w:rsidRPr="00E64030">
        <w:rPr>
          <w:rFonts w:ascii="Arial" w:hAnsi="Arial" w:cs="Arial"/>
          <w:sz w:val="22"/>
          <w:szCs w:val="22"/>
        </w:rPr>
        <w:t xml:space="preserve"> about accepting one’s </w:t>
      </w:r>
      <w:proofErr w:type="gramStart"/>
      <w:r w:rsidRPr="00E64030">
        <w:rPr>
          <w:rFonts w:ascii="Arial" w:hAnsi="Arial" w:cs="Arial"/>
          <w:sz w:val="22"/>
          <w:szCs w:val="22"/>
        </w:rPr>
        <w:t>life as a whole</w:t>
      </w:r>
      <w:proofErr w:type="gramEnd"/>
      <w:r w:rsidRPr="00E64030">
        <w:rPr>
          <w:rFonts w:ascii="Arial" w:hAnsi="Arial" w:cs="Arial"/>
          <w:sz w:val="22"/>
          <w:szCs w:val="22"/>
        </w:rPr>
        <w:t xml:space="preserve"> (Erikson, 1982).</w:t>
      </w:r>
    </w:p>
    <w:p w14:paraId="4D54C6D8" w14:textId="77777777" w:rsidR="00E64030" w:rsidRPr="00E64030" w:rsidRDefault="00B90D72" w:rsidP="00E64030">
      <w:pPr>
        <w:spacing w:line="360" w:lineRule="auto"/>
        <w:rPr>
          <w:rFonts w:ascii="Arial" w:hAnsi="Arial" w:cs="Arial"/>
          <w:sz w:val="22"/>
          <w:szCs w:val="22"/>
        </w:rPr>
      </w:pPr>
      <w:r w:rsidRPr="00B90D72">
        <w:rPr>
          <w:rFonts w:ascii="Arial" w:hAnsi="Arial" w:cs="Arial"/>
          <w:noProof/>
          <w:sz w:val="22"/>
          <w:szCs w:val="22"/>
        </w:rPr>
        <w:pict w14:anchorId="58330547">
          <v:rect id="_x0000_i1031" alt="" style="width:451.3pt;height:.05pt;mso-width-percent:0;mso-height-percent:0;mso-width-percent:0;mso-height-percent:0" o:hralign="center" o:hrstd="t" o:hr="t" fillcolor="#a0a0a0" stroked="f"/>
        </w:pict>
      </w:r>
    </w:p>
    <w:p w14:paraId="485D2A0E" w14:textId="77777777" w:rsidR="00E64030" w:rsidRPr="007408C1" w:rsidRDefault="00E64030" w:rsidP="00E64030">
      <w:pPr>
        <w:pStyle w:val="Heading3"/>
        <w:spacing w:line="360" w:lineRule="auto"/>
        <w:rPr>
          <w:rFonts w:ascii="Arial" w:hAnsi="Arial" w:cs="Arial"/>
          <w:b/>
          <w:bCs/>
          <w:i/>
          <w:iCs/>
          <w:sz w:val="24"/>
          <w:szCs w:val="24"/>
          <w:u w:val="single"/>
        </w:rPr>
      </w:pPr>
      <w:r w:rsidRPr="007408C1">
        <w:rPr>
          <w:rFonts w:ascii="Arial" w:hAnsi="Arial" w:cs="Arial"/>
          <w:b/>
          <w:bCs/>
          <w:i/>
          <w:iCs/>
          <w:sz w:val="24"/>
          <w:szCs w:val="24"/>
          <w:u w:val="single"/>
        </w:rPr>
        <w:t>Application in a Residential Care Setting</w:t>
      </w:r>
    </w:p>
    <w:p w14:paraId="39232FE8" w14:textId="77777777" w:rsidR="00E64030" w:rsidRPr="00E64030" w:rsidRDefault="00E64030" w:rsidP="00E64030">
      <w:pPr>
        <w:pStyle w:val="NormalWeb"/>
        <w:spacing w:line="360" w:lineRule="auto"/>
        <w:rPr>
          <w:rFonts w:ascii="Arial" w:hAnsi="Arial" w:cs="Arial"/>
          <w:sz w:val="22"/>
          <w:szCs w:val="22"/>
        </w:rPr>
      </w:pPr>
      <w:r w:rsidRPr="00E64030">
        <w:rPr>
          <w:rFonts w:ascii="Arial" w:hAnsi="Arial" w:cs="Arial"/>
          <w:sz w:val="22"/>
          <w:szCs w:val="22"/>
        </w:rPr>
        <w:t>In residential care settings, many older adults face major life changes. These include moving away from their home, losing independence, and experiencing bereavement. These changes can affect how individuals see themselves and their life.</w:t>
      </w:r>
    </w:p>
    <w:p w14:paraId="15F1A270" w14:textId="77777777" w:rsidR="00E64030" w:rsidRPr="00E64030" w:rsidRDefault="00E64030" w:rsidP="00E64030">
      <w:pPr>
        <w:pStyle w:val="NormalWeb"/>
        <w:spacing w:line="360" w:lineRule="auto"/>
        <w:rPr>
          <w:rFonts w:ascii="Arial" w:hAnsi="Arial" w:cs="Arial"/>
          <w:sz w:val="22"/>
          <w:szCs w:val="22"/>
        </w:rPr>
      </w:pPr>
      <w:r w:rsidRPr="00E64030">
        <w:rPr>
          <w:rFonts w:ascii="Arial" w:hAnsi="Arial" w:cs="Arial"/>
          <w:sz w:val="22"/>
          <w:szCs w:val="22"/>
        </w:rPr>
        <w:t>Erikson’s theory can be applied by helping residents reflect on their experiences in a positive way. Care staff can support this through everyday interactions, not just structured activities. For example, staff can talk with residents about their past, ask about important life events, and show genuine interest in their stories.</w:t>
      </w:r>
    </w:p>
    <w:p w14:paraId="71F15D47" w14:textId="77777777" w:rsidR="00E64030" w:rsidRPr="00E64030" w:rsidRDefault="00E64030" w:rsidP="00E64030">
      <w:pPr>
        <w:pStyle w:val="NormalWeb"/>
        <w:spacing w:line="360" w:lineRule="auto"/>
        <w:rPr>
          <w:rFonts w:ascii="Arial" w:hAnsi="Arial" w:cs="Arial"/>
          <w:sz w:val="22"/>
          <w:szCs w:val="22"/>
        </w:rPr>
      </w:pPr>
      <w:r w:rsidRPr="00E64030">
        <w:rPr>
          <w:rFonts w:ascii="Arial" w:hAnsi="Arial" w:cs="Arial"/>
          <w:sz w:val="22"/>
          <w:szCs w:val="22"/>
        </w:rPr>
        <w:t xml:space="preserve">More structured approaches can also be used. Life story work, where residents create a record of their life using photos and memories, can help reinforce identity. Group </w:t>
      </w:r>
      <w:r w:rsidRPr="00E64030">
        <w:rPr>
          <w:rFonts w:ascii="Arial" w:hAnsi="Arial" w:cs="Arial"/>
          <w:sz w:val="22"/>
          <w:szCs w:val="22"/>
        </w:rPr>
        <w:lastRenderedPageBreak/>
        <w:t>reminiscence sessions can allow residents to share experiences with others, which can also build social connections.</w:t>
      </w:r>
    </w:p>
    <w:p w14:paraId="53946EA5" w14:textId="77777777" w:rsidR="00E64030" w:rsidRPr="00E64030" w:rsidRDefault="00E64030" w:rsidP="00E64030">
      <w:pPr>
        <w:pStyle w:val="NormalWeb"/>
        <w:spacing w:line="360" w:lineRule="auto"/>
        <w:rPr>
          <w:rFonts w:ascii="Arial" w:hAnsi="Arial" w:cs="Arial"/>
          <w:sz w:val="22"/>
          <w:szCs w:val="22"/>
        </w:rPr>
      </w:pPr>
      <w:r w:rsidRPr="00E64030">
        <w:rPr>
          <w:rFonts w:ascii="Arial" w:hAnsi="Arial" w:cs="Arial"/>
          <w:sz w:val="22"/>
          <w:szCs w:val="22"/>
        </w:rPr>
        <w:t>These approaches help residents feel valued and understood. They also support emotional wellbeing by helping individuals recognise that their life has meaning. This can reduce feelings of loneliness and depression and improve overall quality of life.</w:t>
      </w:r>
    </w:p>
    <w:p w14:paraId="0065818B" w14:textId="77777777" w:rsidR="00E64030" w:rsidRPr="00E64030" w:rsidRDefault="00B90D72" w:rsidP="00E64030">
      <w:pPr>
        <w:spacing w:line="360" w:lineRule="auto"/>
        <w:rPr>
          <w:rFonts w:ascii="Arial" w:hAnsi="Arial" w:cs="Arial"/>
          <w:sz w:val="22"/>
          <w:szCs w:val="22"/>
        </w:rPr>
      </w:pPr>
      <w:r w:rsidRPr="00B90D72">
        <w:rPr>
          <w:rFonts w:ascii="Arial" w:hAnsi="Arial" w:cs="Arial"/>
          <w:noProof/>
          <w:sz w:val="22"/>
          <w:szCs w:val="22"/>
        </w:rPr>
        <w:pict w14:anchorId="385E5F0B">
          <v:rect id="_x0000_i1030" alt="" style="width:451.3pt;height:.05pt;mso-width-percent:0;mso-height-percent:0;mso-width-percent:0;mso-height-percent:0" o:hralign="center" o:hrstd="t" o:hr="t" fillcolor="#a0a0a0" stroked="f"/>
        </w:pict>
      </w:r>
    </w:p>
    <w:p w14:paraId="51275D8E" w14:textId="77777777" w:rsidR="00E64030" w:rsidRPr="007408C1" w:rsidRDefault="00E64030" w:rsidP="00E64030">
      <w:pPr>
        <w:pStyle w:val="Heading3"/>
        <w:spacing w:line="360" w:lineRule="auto"/>
        <w:rPr>
          <w:rFonts w:ascii="Arial" w:hAnsi="Arial" w:cs="Arial"/>
          <w:b/>
          <w:bCs/>
          <w:i/>
          <w:iCs/>
          <w:sz w:val="24"/>
          <w:szCs w:val="24"/>
          <w:u w:val="single"/>
        </w:rPr>
      </w:pPr>
      <w:r w:rsidRPr="007408C1">
        <w:rPr>
          <w:rFonts w:ascii="Arial" w:hAnsi="Arial" w:cs="Arial"/>
          <w:b/>
          <w:bCs/>
          <w:i/>
          <w:iCs/>
          <w:sz w:val="24"/>
          <w:szCs w:val="24"/>
          <w:u w:val="single"/>
        </w:rPr>
        <w:t>Example Scenario</w:t>
      </w:r>
    </w:p>
    <w:p w14:paraId="6E3CE2EE" w14:textId="77777777" w:rsidR="00E64030" w:rsidRPr="00E64030" w:rsidRDefault="00E64030" w:rsidP="00E64030">
      <w:pPr>
        <w:pStyle w:val="NormalWeb"/>
        <w:spacing w:line="360" w:lineRule="auto"/>
        <w:rPr>
          <w:rFonts w:ascii="Arial" w:hAnsi="Arial" w:cs="Arial"/>
          <w:sz w:val="22"/>
          <w:szCs w:val="22"/>
        </w:rPr>
      </w:pPr>
      <w:r w:rsidRPr="00E64030">
        <w:rPr>
          <w:rFonts w:ascii="Arial" w:hAnsi="Arial" w:cs="Arial"/>
          <w:sz w:val="22"/>
          <w:szCs w:val="22"/>
        </w:rPr>
        <w:t>Mrs Ali, aged 84, has recently moved into a care home. Since arriving, she has become withdrawn and avoids social activities. She often says she feels like she has “lost everything.”</w:t>
      </w:r>
    </w:p>
    <w:p w14:paraId="30DAC497" w14:textId="77777777" w:rsidR="00E64030" w:rsidRPr="00E64030" w:rsidRDefault="00E64030" w:rsidP="00E64030">
      <w:pPr>
        <w:pStyle w:val="NormalWeb"/>
        <w:spacing w:line="360" w:lineRule="auto"/>
        <w:rPr>
          <w:rFonts w:ascii="Arial" w:hAnsi="Arial" w:cs="Arial"/>
          <w:sz w:val="22"/>
          <w:szCs w:val="22"/>
        </w:rPr>
      </w:pPr>
      <w:r w:rsidRPr="00E64030">
        <w:rPr>
          <w:rFonts w:ascii="Arial" w:hAnsi="Arial" w:cs="Arial"/>
          <w:sz w:val="22"/>
          <w:szCs w:val="22"/>
        </w:rPr>
        <w:t>A care worker begins to spend time with her each week. Instead of focusing only on routine care, they ask about her past. Mrs Ali talks about her family, her work, and the challenges she overcame. The care worker helps her create a memory book using photos and written notes.</w:t>
      </w:r>
    </w:p>
    <w:p w14:paraId="53B49F8F" w14:textId="77777777" w:rsidR="00E64030" w:rsidRPr="00E64030" w:rsidRDefault="00E64030" w:rsidP="00E64030">
      <w:pPr>
        <w:pStyle w:val="NormalWeb"/>
        <w:spacing w:line="360" w:lineRule="auto"/>
        <w:rPr>
          <w:rFonts w:ascii="Arial" w:hAnsi="Arial" w:cs="Arial"/>
          <w:sz w:val="22"/>
          <w:szCs w:val="22"/>
        </w:rPr>
      </w:pPr>
      <w:r w:rsidRPr="00E64030">
        <w:rPr>
          <w:rFonts w:ascii="Arial" w:hAnsi="Arial" w:cs="Arial"/>
          <w:sz w:val="22"/>
          <w:szCs w:val="22"/>
        </w:rPr>
        <w:t>Over time, Mrs Ali becomes more open. She begins talking more with other residents and starts joining small group activities. Her mood improves, and she appears more comfortable in her environment. This shows how supporting reflection can help someone move towards a sense of integrity rather than despair.</w:t>
      </w:r>
    </w:p>
    <w:p w14:paraId="535A0E75" w14:textId="77777777" w:rsidR="00E64030" w:rsidRPr="00E64030" w:rsidRDefault="00B90D72" w:rsidP="00E64030">
      <w:pPr>
        <w:spacing w:line="360" w:lineRule="auto"/>
        <w:rPr>
          <w:rFonts w:ascii="Arial" w:hAnsi="Arial" w:cs="Arial"/>
          <w:sz w:val="22"/>
          <w:szCs w:val="22"/>
        </w:rPr>
      </w:pPr>
      <w:r w:rsidRPr="00B90D72">
        <w:rPr>
          <w:rFonts w:ascii="Arial" w:hAnsi="Arial" w:cs="Arial"/>
          <w:noProof/>
          <w:sz w:val="22"/>
          <w:szCs w:val="22"/>
        </w:rPr>
        <w:pict w14:anchorId="1770F234">
          <v:rect id="_x0000_i1029" alt="" style="width:451.3pt;height:.05pt;mso-width-percent:0;mso-height-percent:0;mso-width-percent:0;mso-height-percent:0" o:hralign="center" o:hrstd="t" o:hr="t" fillcolor="#a0a0a0" stroked="f"/>
        </w:pict>
      </w:r>
    </w:p>
    <w:p w14:paraId="40E992B8" w14:textId="77777777" w:rsidR="00E64030" w:rsidRPr="007408C1" w:rsidRDefault="00E64030" w:rsidP="00E64030">
      <w:pPr>
        <w:pStyle w:val="Heading3"/>
        <w:spacing w:line="360" w:lineRule="auto"/>
        <w:rPr>
          <w:rFonts w:ascii="Arial" w:hAnsi="Arial" w:cs="Arial"/>
          <w:b/>
          <w:bCs/>
          <w:i/>
          <w:iCs/>
          <w:sz w:val="24"/>
          <w:szCs w:val="24"/>
          <w:u w:val="single"/>
        </w:rPr>
      </w:pPr>
      <w:r w:rsidRPr="007408C1">
        <w:rPr>
          <w:rFonts w:ascii="Arial" w:hAnsi="Arial" w:cs="Arial"/>
          <w:b/>
          <w:bCs/>
          <w:i/>
          <w:iCs/>
          <w:sz w:val="24"/>
          <w:szCs w:val="24"/>
          <w:u w:val="single"/>
        </w:rPr>
        <w:t>One Potential Challenge</w:t>
      </w:r>
    </w:p>
    <w:p w14:paraId="5BAE6C1E" w14:textId="77777777" w:rsidR="00E64030" w:rsidRPr="00E64030" w:rsidRDefault="00E64030" w:rsidP="00E64030">
      <w:pPr>
        <w:pStyle w:val="NormalWeb"/>
        <w:spacing w:line="360" w:lineRule="auto"/>
        <w:rPr>
          <w:rFonts w:ascii="Arial" w:hAnsi="Arial" w:cs="Arial"/>
          <w:sz w:val="22"/>
          <w:szCs w:val="22"/>
        </w:rPr>
      </w:pPr>
      <w:r w:rsidRPr="00E64030">
        <w:rPr>
          <w:rFonts w:ascii="Arial" w:hAnsi="Arial" w:cs="Arial"/>
          <w:sz w:val="22"/>
          <w:szCs w:val="22"/>
        </w:rPr>
        <w:t>One challenge when applying this theory is that some residents may have</w:t>
      </w:r>
      <w:r w:rsidRPr="00E64030">
        <w:rPr>
          <w:rStyle w:val="apple-converted-space"/>
          <w:rFonts w:ascii="Arial" w:eastAsiaTheme="majorEastAsia" w:hAnsi="Arial" w:cs="Arial"/>
          <w:sz w:val="22"/>
          <w:szCs w:val="22"/>
        </w:rPr>
        <w:t> </w:t>
      </w:r>
      <w:r w:rsidRPr="00E64030">
        <w:rPr>
          <w:rStyle w:val="Strong"/>
          <w:rFonts w:ascii="Arial" w:eastAsiaTheme="majorEastAsia" w:hAnsi="Arial" w:cs="Arial"/>
          <w:b w:val="0"/>
          <w:bCs w:val="0"/>
          <w:sz w:val="22"/>
          <w:szCs w:val="22"/>
        </w:rPr>
        <w:t>dementia or cognitive impairment</w:t>
      </w:r>
      <w:r w:rsidRPr="00E64030">
        <w:rPr>
          <w:rFonts w:ascii="Arial" w:hAnsi="Arial" w:cs="Arial"/>
          <w:sz w:val="22"/>
          <w:szCs w:val="22"/>
        </w:rPr>
        <w:t>. This can affect memory, making it difficult for individuals to recall past experiences or take part in reflective conversations.</w:t>
      </w:r>
    </w:p>
    <w:p w14:paraId="4D769B7B" w14:textId="77777777" w:rsidR="00E64030" w:rsidRPr="00E64030" w:rsidRDefault="00E64030" w:rsidP="00E64030">
      <w:pPr>
        <w:pStyle w:val="NormalWeb"/>
        <w:spacing w:line="360" w:lineRule="auto"/>
        <w:rPr>
          <w:rFonts w:ascii="Arial" w:hAnsi="Arial" w:cs="Arial"/>
          <w:sz w:val="22"/>
          <w:szCs w:val="22"/>
        </w:rPr>
      </w:pPr>
      <w:r w:rsidRPr="00E64030">
        <w:rPr>
          <w:rFonts w:ascii="Arial" w:hAnsi="Arial" w:cs="Arial"/>
          <w:sz w:val="22"/>
          <w:szCs w:val="22"/>
        </w:rPr>
        <w:t>This can limit how effectively Erikson’s theory can be applied, as reflection is a key part of achieving ego integrity.</w:t>
      </w:r>
    </w:p>
    <w:p w14:paraId="5A379CB1" w14:textId="77777777" w:rsidR="00E64030" w:rsidRPr="00E64030" w:rsidRDefault="00B90D72" w:rsidP="00E64030">
      <w:pPr>
        <w:spacing w:line="360" w:lineRule="auto"/>
        <w:rPr>
          <w:rFonts w:ascii="Arial" w:hAnsi="Arial" w:cs="Arial"/>
          <w:sz w:val="22"/>
          <w:szCs w:val="22"/>
        </w:rPr>
      </w:pPr>
      <w:r w:rsidRPr="00B90D72">
        <w:rPr>
          <w:rFonts w:ascii="Arial" w:hAnsi="Arial" w:cs="Arial"/>
          <w:noProof/>
          <w:sz w:val="22"/>
          <w:szCs w:val="22"/>
        </w:rPr>
        <w:pict w14:anchorId="63087A1F">
          <v:rect id="_x0000_i1028" alt="" style="width:451.3pt;height:.05pt;mso-width-percent:0;mso-height-percent:0;mso-width-percent:0;mso-height-percent:0" o:hralign="center" o:hrstd="t" o:hr="t" fillcolor="#a0a0a0" stroked="f"/>
        </w:pict>
      </w:r>
    </w:p>
    <w:p w14:paraId="2283186E" w14:textId="77777777" w:rsidR="00E64030" w:rsidRPr="007408C1" w:rsidRDefault="00E64030" w:rsidP="00E64030">
      <w:pPr>
        <w:pStyle w:val="Heading3"/>
        <w:spacing w:line="360" w:lineRule="auto"/>
        <w:rPr>
          <w:rFonts w:ascii="Arial" w:hAnsi="Arial" w:cs="Arial"/>
          <w:b/>
          <w:bCs/>
          <w:i/>
          <w:iCs/>
          <w:sz w:val="24"/>
          <w:szCs w:val="24"/>
          <w:u w:val="single"/>
        </w:rPr>
      </w:pPr>
      <w:r w:rsidRPr="007408C1">
        <w:rPr>
          <w:rFonts w:ascii="Arial" w:hAnsi="Arial" w:cs="Arial"/>
          <w:b/>
          <w:bCs/>
          <w:i/>
          <w:iCs/>
          <w:sz w:val="24"/>
          <w:szCs w:val="24"/>
          <w:u w:val="single"/>
        </w:rPr>
        <w:lastRenderedPageBreak/>
        <w:t>Evidence-Based Solution</w:t>
      </w:r>
    </w:p>
    <w:p w14:paraId="1A4CFD8B" w14:textId="77777777" w:rsidR="00E64030" w:rsidRPr="00E64030" w:rsidRDefault="00E64030" w:rsidP="00E64030">
      <w:pPr>
        <w:pStyle w:val="NormalWeb"/>
        <w:spacing w:line="360" w:lineRule="auto"/>
        <w:rPr>
          <w:rFonts w:ascii="Arial" w:hAnsi="Arial" w:cs="Arial"/>
          <w:sz w:val="22"/>
          <w:szCs w:val="22"/>
        </w:rPr>
      </w:pPr>
      <w:r w:rsidRPr="00E64030">
        <w:rPr>
          <w:rFonts w:ascii="Arial" w:hAnsi="Arial" w:cs="Arial"/>
          <w:sz w:val="22"/>
          <w:szCs w:val="22"/>
        </w:rPr>
        <w:t>A useful solution is the use of</w:t>
      </w:r>
      <w:r w:rsidRPr="00E64030">
        <w:rPr>
          <w:rStyle w:val="apple-converted-space"/>
          <w:rFonts w:ascii="Arial" w:eastAsiaTheme="majorEastAsia" w:hAnsi="Arial" w:cs="Arial"/>
          <w:sz w:val="22"/>
          <w:szCs w:val="22"/>
        </w:rPr>
        <w:t> </w:t>
      </w:r>
      <w:r w:rsidRPr="00E64030">
        <w:rPr>
          <w:rStyle w:val="Strong"/>
          <w:rFonts w:ascii="Arial" w:eastAsiaTheme="majorEastAsia" w:hAnsi="Arial" w:cs="Arial"/>
          <w:b w:val="0"/>
          <w:bCs w:val="0"/>
          <w:sz w:val="22"/>
          <w:szCs w:val="22"/>
        </w:rPr>
        <w:t>reminiscence therapy</w:t>
      </w:r>
      <w:r w:rsidRPr="00E64030">
        <w:rPr>
          <w:rFonts w:ascii="Arial" w:hAnsi="Arial" w:cs="Arial"/>
          <w:sz w:val="22"/>
          <w:szCs w:val="22"/>
        </w:rPr>
        <w:t>, which is supported by research. This approach uses prompts such as photos, music, or familiar objects to help trigger memories and encourage communication.</w:t>
      </w:r>
    </w:p>
    <w:p w14:paraId="16A77F36" w14:textId="77777777" w:rsidR="00E64030" w:rsidRPr="00E64030" w:rsidRDefault="00E64030" w:rsidP="00E64030">
      <w:pPr>
        <w:pStyle w:val="NormalWeb"/>
        <w:spacing w:line="360" w:lineRule="auto"/>
        <w:rPr>
          <w:rFonts w:ascii="Arial" w:hAnsi="Arial" w:cs="Arial"/>
          <w:sz w:val="22"/>
          <w:szCs w:val="22"/>
        </w:rPr>
      </w:pPr>
      <w:r w:rsidRPr="00E64030">
        <w:rPr>
          <w:rFonts w:ascii="Arial" w:hAnsi="Arial" w:cs="Arial"/>
          <w:sz w:val="22"/>
          <w:szCs w:val="22"/>
        </w:rPr>
        <w:t>Studies show that reminiscence therapy can improve mood, communication, and overall wellbeing in older adults, including those with dementia (Woods et al., 2018). It works because it does not rely only on memory recall. Instead, it uses sensory cues to make it easier for individuals to engage.</w:t>
      </w:r>
    </w:p>
    <w:p w14:paraId="32C7F98F" w14:textId="77777777" w:rsidR="00E64030" w:rsidRPr="00E64030" w:rsidRDefault="00E64030" w:rsidP="00E64030">
      <w:pPr>
        <w:pStyle w:val="NormalWeb"/>
        <w:spacing w:line="360" w:lineRule="auto"/>
        <w:rPr>
          <w:rFonts w:ascii="Arial" w:hAnsi="Arial" w:cs="Arial"/>
          <w:sz w:val="22"/>
          <w:szCs w:val="22"/>
        </w:rPr>
      </w:pPr>
      <w:r w:rsidRPr="00E64030">
        <w:rPr>
          <w:rFonts w:ascii="Arial" w:hAnsi="Arial" w:cs="Arial"/>
          <w:sz w:val="22"/>
          <w:szCs w:val="22"/>
        </w:rPr>
        <w:t xml:space="preserve">In addition, person-centred care approaches can support this process. These focus on understanding </w:t>
      </w:r>
      <w:proofErr w:type="gramStart"/>
      <w:r w:rsidRPr="00E64030">
        <w:rPr>
          <w:rFonts w:ascii="Arial" w:hAnsi="Arial" w:cs="Arial"/>
          <w:sz w:val="22"/>
          <w:szCs w:val="22"/>
        </w:rPr>
        <w:t>each individual’s</w:t>
      </w:r>
      <w:proofErr w:type="gramEnd"/>
      <w:r w:rsidRPr="00E64030">
        <w:rPr>
          <w:rFonts w:ascii="Arial" w:hAnsi="Arial" w:cs="Arial"/>
          <w:sz w:val="22"/>
          <w:szCs w:val="22"/>
        </w:rPr>
        <w:t xml:space="preserve"> history, preferences, and needs. This helps staff tailor activities in a way that is meaningful to the resident (</w:t>
      </w:r>
      <w:proofErr w:type="spellStart"/>
      <w:r w:rsidRPr="00E64030">
        <w:rPr>
          <w:rFonts w:ascii="Arial" w:hAnsi="Arial" w:cs="Arial"/>
          <w:sz w:val="22"/>
          <w:szCs w:val="22"/>
        </w:rPr>
        <w:t>Kitwood</w:t>
      </w:r>
      <w:proofErr w:type="spellEnd"/>
      <w:r w:rsidRPr="00E64030">
        <w:rPr>
          <w:rFonts w:ascii="Arial" w:hAnsi="Arial" w:cs="Arial"/>
          <w:sz w:val="22"/>
          <w:szCs w:val="22"/>
        </w:rPr>
        <w:t>, 1997).</w:t>
      </w:r>
    </w:p>
    <w:p w14:paraId="3CBDAC9B" w14:textId="77777777" w:rsidR="00E64030" w:rsidRPr="00E64030" w:rsidRDefault="00E64030" w:rsidP="00E64030">
      <w:pPr>
        <w:pStyle w:val="NormalWeb"/>
        <w:spacing w:line="360" w:lineRule="auto"/>
        <w:rPr>
          <w:rFonts w:ascii="Arial" w:hAnsi="Arial" w:cs="Arial"/>
          <w:sz w:val="22"/>
          <w:szCs w:val="22"/>
        </w:rPr>
      </w:pPr>
      <w:r w:rsidRPr="00E64030">
        <w:rPr>
          <w:rFonts w:ascii="Arial" w:hAnsi="Arial" w:cs="Arial"/>
          <w:sz w:val="22"/>
          <w:szCs w:val="22"/>
        </w:rPr>
        <w:t>In practice, care staff can:</w:t>
      </w:r>
    </w:p>
    <w:p w14:paraId="53937EFD" w14:textId="77777777" w:rsidR="00E64030" w:rsidRPr="00E64030" w:rsidRDefault="00E64030" w:rsidP="00E64030">
      <w:pPr>
        <w:numPr>
          <w:ilvl w:val="0"/>
          <w:numId w:val="9"/>
        </w:numPr>
        <w:spacing w:before="100" w:beforeAutospacing="1" w:after="100" w:afterAutospacing="1" w:line="360" w:lineRule="auto"/>
        <w:rPr>
          <w:rFonts w:ascii="Arial" w:hAnsi="Arial" w:cs="Arial"/>
          <w:sz w:val="22"/>
          <w:szCs w:val="22"/>
        </w:rPr>
      </w:pPr>
      <w:r w:rsidRPr="00E64030">
        <w:rPr>
          <w:rFonts w:ascii="Arial" w:hAnsi="Arial" w:cs="Arial"/>
          <w:sz w:val="22"/>
          <w:szCs w:val="22"/>
        </w:rPr>
        <w:t>use memory boxes or photo albums</w:t>
      </w:r>
    </w:p>
    <w:p w14:paraId="5C7B9117" w14:textId="77777777" w:rsidR="00E64030" w:rsidRPr="00E64030" w:rsidRDefault="00E64030" w:rsidP="00E64030">
      <w:pPr>
        <w:numPr>
          <w:ilvl w:val="0"/>
          <w:numId w:val="9"/>
        </w:numPr>
        <w:spacing w:before="100" w:beforeAutospacing="1" w:after="100" w:afterAutospacing="1" w:line="360" w:lineRule="auto"/>
        <w:rPr>
          <w:rFonts w:ascii="Arial" w:hAnsi="Arial" w:cs="Arial"/>
          <w:sz w:val="22"/>
          <w:szCs w:val="22"/>
        </w:rPr>
      </w:pPr>
      <w:r w:rsidRPr="00E64030">
        <w:rPr>
          <w:rFonts w:ascii="Arial" w:hAnsi="Arial" w:cs="Arial"/>
          <w:sz w:val="22"/>
          <w:szCs w:val="22"/>
        </w:rPr>
        <w:t>play music from the resident’s past</w:t>
      </w:r>
    </w:p>
    <w:p w14:paraId="0B7A0FC0" w14:textId="77777777" w:rsidR="00E64030" w:rsidRPr="00E64030" w:rsidRDefault="00E64030" w:rsidP="00E64030">
      <w:pPr>
        <w:numPr>
          <w:ilvl w:val="0"/>
          <w:numId w:val="9"/>
        </w:numPr>
        <w:spacing w:before="100" w:beforeAutospacing="1" w:after="100" w:afterAutospacing="1" w:line="360" w:lineRule="auto"/>
        <w:rPr>
          <w:rFonts w:ascii="Arial" w:hAnsi="Arial" w:cs="Arial"/>
          <w:sz w:val="22"/>
          <w:szCs w:val="22"/>
        </w:rPr>
      </w:pPr>
      <w:r w:rsidRPr="00E64030">
        <w:rPr>
          <w:rFonts w:ascii="Arial" w:hAnsi="Arial" w:cs="Arial"/>
          <w:sz w:val="22"/>
          <w:szCs w:val="22"/>
        </w:rPr>
        <w:t>involve family members to provide personal items</w:t>
      </w:r>
    </w:p>
    <w:p w14:paraId="64BAFDE8" w14:textId="77777777" w:rsidR="00E64030" w:rsidRPr="00E64030" w:rsidRDefault="00E64030" w:rsidP="00E64030">
      <w:pPr>
        <w:pStyle w:val="NormalWeb"/>
        <w:spacing w:line="360" w:lineRule="auto"/>
        <w:rPr>
          <w:rFonts w:ascii="Arial" w:hAnsi="Arial" w:cs="Arial"/>
          <w:sz w:val="22"/>
          <w:szCs w:val="22"/>
        </w:rPr>
      </w:pPr>
      <w:r w:rsidRPr="00E64030">
        <w:rPr>
          <w:rFonts w:ascii="Arial" w:hAnsi="Arial" w:cs="Arial"/>
          <w:sz w:val="22"/>
          <w:szCs w:val="22"/>
        </w:rPr>
        <w:t>These strategies make reflection more accessible and help residents stay connected to their identity.</w:t>
      </w:r>
    </w:p>
    <w:p w14:paraId="74ABA038" w14:textId="77777777" w:rsidR="00E64030" w:rsidRPr="00E64030" w:rsidRDefault="00B90D72" w:rsidP="00E64030">
      <w:pPr>
        <w:spacing w:line="360" w:lineRule="auto"/>
        <w:rPr>
          <w:rFonts w:ascii="Arial" w:hAnsi="Arial" w:cs="Arial"/>
          <w:sz w:val="22"/>
          <w:szCs w:val="22"/>
        </w:rPr>
      </w:pPr>
      <w:r w:rsidRPr="00B90D72">
        <w:rPr>
          <w:rFonts w:ascii="Arial" w:hAnsi="Arial" w:cs="Arial"/>
          <w:noProof/>
          <w:sz w:val="22"/>
          <w:szCs w:val="22"/>
        </w:rPr>
        <w:pict w14:anchorId="5741F12B">
          <v:rect id="_x0000_i1027" alt="" style="width:451.3pt;height:.05pt;mso-width-percent:0;mso-height-percent:0;mso-width-percent:0;mso-height-percent:0" o:hralign="center" o:hrstd="t" o:hr="t" fillcolor="#a0a0a0" stroked="f"/>
        </w:pict>
      </w:r>
    </w:p>
    <w:p w14:paraId="772E769B" w14:textId="77777777" w:rsidR="00E64030" w:rsidRPr="007408C1" w:rsidRDefault="00E64030" w:rsidP="00E64030">
      <w:pPr>
        <w:pStyle w:val="Heading2"/>
        <w:spacing w:line="360" w:lineRule="auto"/>
        <w:rPr>
          <w:rFonts w:ascii="Arial" w:hAnsi="Arial" w:cs="Arial"/>
          <w:b/>
          <w:bCs/>
          <w:i/>
          <w:iCs/>
          <w:sz w:val="24"/>
          <w:szCs w:val="24"/>
          <w:u w:val="single"/>
        </w:rPr>
      </w:pPr>
      <w:r w:rsidRPr="007408C1">
        <w:rPr>
          <w:rFonts w:ascii="Arial" w:hAnsi="Arial" w:cs="Arial"/>
          <w:b/>
          <w:bCs/>
          <w:i/>
          <w:iCs/>
          <w:sz w:val="24"/>
          <w:szCs w:val="24"/>
          <w:u w:val="single"/>
        </w:rPr>
        <w:t>Conclusion</w:t>
      </w:r>
    </w:p>
    <w:p w14:paraId="4C8918A9" w14:textId="77777777" w:rsidR="00E64030" w:rsidRPr="00E64030" w:rsidRDefault="00E64030" w:rsidP="00E64030">
      <w:pPr>
        <w:pStyle w:val="NormalWeb"/>
        <w:spacing w:line="360" w:lineRule="auto"/>
        <w:rPr>
          <w:rFonts w:ascii="Arial" w:hAnsi="Arial" w:cs="Arial"/>
          <w:sz w:val="22"/>
          <w:szCs w:val="22"/>
        </w:rPr>
      </w:pPr>
      <w:r w:rsidRPr="00E64030">
        <w:rPr>
          <w:rFonts w:ascii="Arial" w:hAnsi="Arial" w:cs="Arial"/>
          <w:sz w:val="22"/>
          <w:szCs w:val="22"/>
        </w:rPr>
        <w:t>Erikson’s Psychosocial Theory provides a useful way to understand emotional wellbeing in older adults. It highlights the importance of reflection and meaning in later life. In residential care settings, this can be supported through simple actions such as conversations, life story work, and reminiscence activities.</w:t>
      </w:r>
    </w:p>
    <w:p w14:paraId="79C8834F" w14:textId="77777777" w:rsidR="007977A4" w:rsidRDefault="00E64030" w:rsidP="007408C1">
      <w:pPr>
        <w:pStyle w:val="NormalWeb"/>
        <w:spacing w:line="360" w:lineRule="auto"/>
        <w:rPr>
          <w:rFonts w:ascii="Arial" w:hAnsi="Arial" w:cs="Arial"/>
          <w:sz w:val="22"/>
          <w:szCs w:val="22"/>
        </w:rPr>
      </w:pPr>
      <w:r w:rsidRPr="00E64030">
        <w:rPr>
          <w:rFonts w:ascii="Arial" w:hAnsi="Arial" w:cs="Arial"/>
          <w:sz w:val="22"/>
          <w:szCs w:val="22"/>
        </w:rPr>
        <w:t xml:space="preserve">Although challenges such as dementia can make this more difficult, evidence-based approaches like reminiscence therapy and person-centred care can help overcome these barriers. Overall, the theory shows that supporting emotional needs is just as important as physical care in improving quality of </w:t>
      </w:r>
      <w:proofErr w:type="spellStart"/>
      <w:r w:rsidRPr="00E64030">
        <w:rPr>
          <w:rFonts w:ascii="Arial" w:hAnsi="Arial" w:cs="Arial"/>
          <w:sz w:val="22"/>
          <w:szCs w:val="22"/>
        </w:rPr>
        <w:t>lif</w:t>
      </w:r>
      <w:proofErr w:type="spellEnd"/>
    </w:p>
    <w:p w14:paraId="0D399513" w14:textId="77777777" w:rsidR="007977A4" w:rsidRDefault="007977A4" w:rsidP="007408C1">
      <w:pPr>
        <w:pStyle w:val="NormalWeb"/>
        <w:spacing w:line="360" w:lineRule="auto"/>
        <w:rPr>
          <w:rFonts w:ascii="Arial" w:hAnsi="Arial" w:cs="Arial"/>
          <w:sz w:val="22"/>
          <w:szCs w:val="22"/>
        </w:rPr>
      </w:pPr>
    </w:p>
    <w:p w14:paraId="59DE3661" w14:textId="15021DB0" w:rsidR="00E64030" w:rsidRPr="00E64030" w:rsidRDefault="00B90D72" w:rsidP="007408C1">
      <w:pPr>
        <w:pStyle w:val="NormalWeb"/>
        <w:spacing w:line="360" w:lineRule="auto"/>
        <w:rPr>
          <w:rFonts w:ascii="Arial" w:hAnsi="Arial" w:cs="Arial"/>
          <w:sz w:val="22"/>
          <w:szCs w:val="22"/>
        </w:rPr>
      </w:pPr>
      <w:r w:rsidRPr="00B90D72">
        <w:rPr>
          <w:rFonts w:ascii="Arial" w:hAnsi="Arial" w:cs="Arial"/>
          <w:noProof/>
          <w:sz w:val="22"/>
          <w:szCs w:val="22"/>
          <w14:ligatures w14:val="standardContextual"/>
        </w:rPr>
        <w:lastRenderedPageBreak/>
        <w:pict w14:anchorId="17CDECC5">
          <v:rect id="_x0000_i1026" alt="" style="width:451.3pt;height:.05pt;mso-width-percent:0;mso-height-percent:0;mso-width-percent:0;mso-height-percent:0" o:hralign="center" o:hrstd="t" o:hr="t" fillcolor="#a0a0a0" stroked="f"/>
        </w:pict>
      </w:r>
    </w:p>
    <w:p w14:paraId="703448E5" w14:textId="6B543AD5" w:rsidR="0094312B" w:rsidRPr="0094312B" w:rsidRDefault="00E64030" w:rsidP="0094312B">
      <w:pPr>
        <w:pStyle w:val="Heading1"/>
        <w:rPr>
          <w:rFonts w:ascii="Arial" w:hAnsi="Arial" w:cs="Arial"/>
          <w:b/>
          <w:bCs/>
          <w:i/>
          <w:iCs/>
          <w:color w:val="000000"/>
          <w:sz w:val="24"/>
          <w:szCs w:val="24"/>
          <w:u w:val="single"/>
        </w:rPr>
      </w:pPr>
      <w:r w:rsidRPr="0094312B">
        <w:rPr>
          <w:rFonts w:ascii="Arial" w:hAnsi="Arial" w:cs="Arial"/>
          <w:b/>
          <w:bCs/>
          <w:i/>
          <w:iCs/>
          <w:sz w:val="24"/>
          <w:szCs w:val="24"/>
          <w:u w:val="single"/>
        </w:rPr>
        <w:t>References</w:t>
      </w:r>
      <w:r w:rsidR="0094312B">
        <w:rPr>
          <w:rFonts w:ascii="Arial" w:hAnsi="Arial" w:cs="Arial"/>
          <w:b/>
          <w:bCs/>
          <w:i/>
          <w:iCs/>
          <w:sz w:val="24"/>
          <w:szCs w:val="24"/>
          <w:u w:val="single"/>
        </w:rPr>
        <w:t>:</w:t>
      </w:r>
      <w:r w:rsidR="0094312B" w:rsidRPr="0094312B">
        <w:rPr>
          <w:rFonts w:ascii="Arial" w:hAnsi="Arial" w:cs="Arial"/>
          <w:b/>
          <w:bCs/>
          <w:sz w:val="24"/>
          <w:szCs w:val="24"/>
          <w:u w:val="single"/>
        </w:rPr>
        <w:t xml:space="preserve">   </w:t>
      </w:r>
      <w:r w:rsidR="00A727D3" w:rsidRPr="0094312B">
        <w:rPr>
          <w:rFonts w:ascii="Arial" w:hAnsi="Arial" w:cs="Arial"/>
          <w:b/>
          <w:bCs/>
          <w:sz w:val="24"/>
          <w:szCs w:val="24"/>
          <w:u w:val="single"/>
        </w:rPr>
        <w:t xml:space="preserve"> </w:t>
      </w:r>
      <w:r w:rsidR="0094312B" w:rsidRPr="0094312B">
        <w:rPr>
          <w:rFonts w:ascii="Arial" w:hAnsi="Arial" w:cs="Arial"/>
          <w:b/>
          <w:bCs/>
          <w:i/>
          <w:iCs/>
          <w:color w:val="000000"/>
          <w:sz w:val="24"/>
          <w:szCs w:val="24"/>
          <w:u w:val="single"/>
        </w:rPr>
        <w:t>Part B</w:t>
      </w:r>
    </w:p>
    <w:p w14:paraId="3CD91875" w14:textId="20DD749A" w:rsidR="00E64030" w:rsidRPr="007977A4" w:rsidRDefault="00E64030" w:rsidP="00E64030">
      <w:pPr>
        <w:pStyle w:val="Heading2"/>
        <w:spacing w:line="360" w:lineRule="auto"/>
        <w:rPr>
          <w:rFonts w:ascii="Arial" w:hAnsi="Arial" w:cs="Arial"/>
          <w:b/>
          <w:bCs/>
          <w:i/>
          <w:iCs/>
          <w:sz w:val="24"/>
          <w:szCs w:val="24"/>
          <w:u w:val="single"/>
        </w:rPr>
      </w:pPr>
    </w:p>
    <w:p w14:paraId="6F8C0596" w14:textId="77777777" w:rsidR="00E64030" w:rsidRPr="00E64030" w:rsidRDefault="00E64030" w:rsidP="00E64030">
      <w:pPr>
        <w:pStyle w:val="NormalWeb"/>
        <w:spacing w:line="360" w:lineRule="auto"/>
        <w:rPr>
          <w:rFonts w:ascii="Arial" w:hAnsi="Arial" w:cs="Arial"/>
          <w:sz w:val="22"/>
          <w:szCs w:val="22"/>
        </w:rPr>
      </w:pPr>
      <w:r w:rsidRPr="00E64030">
        <w:rPr>
          <w:rFonts w:ascii="Arial" w:hAnsi="Arial" w:cs="Arial"/>
          <w:sz w:val="22"/>
          <w:szCs w:val="22"/>
        </w:rPr>
        <w:t>Erikson, E.H. (1963)</w:t>
      </w:r>
      <w:r w:rsidRPr="00E64030">
        <w:rPr>
          <w:rStyle w:val="apple-converted-space"/>
          <w:rFonts w:ascii="Arial" w:eastAsiaTheme="majorEastAsia" w:hAnsi="Arial" w:cs="Arial"/>
          <w:sz w:val="22"/>
          <w:szCs w:val="22"/>
        </w:rPr>
        <w:t> </w:t>
      </w:r>
      <w:r w:rsidRPr="00E64030">
        <w:rPr>
          <w:rStyle w:val="Emphasis"/>
          <w:rFonts w:ascii="Arial" w:eastAsiaTheme="majorEastAsia" w:hAnsi="Arial" w:cs="Arial"/>
          <w:i w:val="0"/>
          <w:iCs w:val="0"/>
          <w:sz w:val="22"/>
          <w:szCs w:val="22"/>
        </w:rPr>
        <w:t>Childhood and society</w:t>
      </w:r>
      <w:r w:rsidRPr="00E64030">
        <w:rPr>
          <w:rFonts w:ascii="Arial" w:hAnsi="Arial" w:cs="Arial"/>
          <w:sz w:val="22"/>
          <w:szCs w:val="22"/>
        </w:rPr>
        <w:t xml:space="preserve">. 2nd </w:t>
      </w:r>
      <w:proofErr w:type="spellStart"/>
      <w:r w:rsidRPr="00E64030">
        <w:rPr>
          <w:rFonts w:ascii="Arial" w:hAnsi="Arial" w:cs="Arial"/>
          <w:sz w:val="22"/>
          <w:szCs w:val="22"/>
        </w:rPr>
        <w:t>edn</w:t>
      </w:r>
      <w:proofErr w:type="spellEnd"/>
      <w:r w:rsidRPr="00E64030">
        <w:rPr>
          <w:rFonts w:ascii="Arial" w:hAnsi="Arial" w:cs="Arial"/>
          <w:sz w:val="22"/>
          <w:szCs w:val="22"/>
        </w:rPr>
        <w:t>. New York: Norton.</w:t>
      </w:r>
    </w:p>
    <w:p w14:paraId="69BF3776" w14:textId="77777777" w:rsidR="00E64030" w:rsidRPr="00E64030" w:rsidRDefault="00E64030" w:rsidP="00E64030">
      <w:pPr>
        <w:pStyle w:val="NormalWeb"/>
        <w:spacing w:line="360" w:lineRule="auto"/>
        <w:rPr>
          <w:rFonts w:ascii="Arial" w:hAnsi="Arial" w:cs="Arial"/>
          <w:sz w:val="22"/>
          <w:szCs w:val="22"/>
        </w:rPr>
      </w:pPr>
      <w:r w:rsidRPr="00E64030">
        <w:rPr>
          <w:rFonts w:ascii="Arial" w:hAnsi="Arial" w:cs="Arial"/>
          <w:sz w:val="22"/>
          <w:szCs w:val="22"/>
        </w:rPr>
        <w:t>Erikson, E.H. (1982)</w:t>
      </w:r>
      <w:r w:rsidRPr="00E64030">
        <w:rPr>
          <w:rStyle w:val="apple-converted-space"/>
          <w:rFonts w:ascii="Arial" w:eastAsiaTheme="majorEastAsia" w:hAnsi="Arial" w:cs="Arial"/>
          <w:sz w:val="22"/>
          <w:szCs w:val="22"/>
        </w:rPr>
        <w:t> </w:t>
      </w:r>
      <w:r w:rsidRPr="00E64030">
        <w:rPr>
          <w:rStyle w:val="Emphasis"/>
          <w:rFonts w:ascii="Arial" w:eastAsiaTheme="majorEastAsia" w:hAnsi="Arial" w:cs="Arial"/>
          <w:i w:val="0"/>
          <w:iCs w:val="0"/>
          <w:sz w:val="22"/>
          <w:szCs w:val="22"/>
        </w:rPr>
        <w:t>The life cycle completed</w:t>
      </w:r>
      <w:r w:rsidRPr="00E64030">
        <w:rPr>
          <w:rFonts w:ascii="Arial" w:hAnsi="Arial" w:cs="Arial"/>
          <w:sz w:val="22"/>
          <w:szCs w:val="22"/>
        </w:rPr>
        <w:t>. New York: Norton.</w:t>
      </w:r>
    </w:p>
    <w:p w14:paraId="67BFA054" w14:textId="77777777" w:rsidR="00E64030" w:rsidRPr="00E64030" w:rsidRDefault="00E64030" w:rsidP="00E64030">
      <w:pPr>
        <w:pStyle w:val="NormalWeb"/>
        <w:spacing w:line="360" w:lineRule="auto"/>
        <w:rPr>
          <w:rFonts w:ascii="Arial" w:hAnsi="Arial" w:cs="Arial"/>
          <w:sz w:val="22"/>
          <w:szCs w:val="22"/>
        </w:rPr>
      </w:pPr>
      <w:proofErr w:type="spellStart"/>
      <w:r w:rsidRPr="00E64030">
        <w:rPr>
          <w:rFonts w:ascii="Arial" w:hAnsi="Arial" w:cs="Arial"/>
          <w:sz w:val="22"/>
          <w:szCs w:val="22"/>
        </w:rPr>
        <w:t>Kitwood</w:t>
      </w:r>
      <w:proofErr w:type="spellEnd"/>
      <w:r w:rsidRPr="00E64030">
        <w:rPr>
          <w:rFonts w:ascii="Arial" w:hAnsi="Arial" w:cs="Arial"/>
          <w:sz w:val="22"/>
          <w:szCs w:val="22"/>
        </w:rPr>
        <w:t>, T. (1997)</w:t>
      </w:r>
      <w:r w:rsidRPr="00E64030">
        <w:rPr>
          <w:rStyle w:val="apple-converted-space"/>
          <w:rFonts w:ascii="Arial" w:eastAsiaTheme="majorEastAsia" w:hAnsi="Arial" w:cs="Arial"/>
          <w:sz w:val="22"/>
          <w:szCs w:val="22"/>
        </w:rPr>
        <w:t> </w:t>
      </w:r>
      <w:r w:rsidRPr="00E64030">
        <w:rPr>
          <w:rStyle w:val="Emphasis"/>
          <w:rFonts w:ascii="Arial" w:eastAsiaTheme="majorEastAsia" w:hAnsi="Arial" w:cs="Arial"/>
          <w:i w:val="0"/>
          <w:iCs w:val="0"/>
          <w:sz w:val="22"/>
          <w:szCs w:val="22"/>
        </w:rPr>
        <w:t>Dementia reconsidered: The person comes first</w:t>
      </w:r>
      <w:r w:rsidRPr="00E64030">
        <w:rPr>
          <w:rFonts w:ascii="Arial" w:hAnsi="Arial" w:cs="Arial"/>
          <w:sz w:val="22"/>
          <w:szCs w:val="22"/>
        </w:rPr>
        <w:t>. Buckingham: Open University Press.</w:t>
      </w:r>
    </w:p>
    <w:p w14:paraId="3D769706" w14:textId="77777777" w:rsidR="00E64030" w:rsidRPr="00E64030" w:rsidRDefault="00E64030" w:rsidP="00E64030">
      <w:pPr>
        <w:pStyle w:val="NormalWeb"/>
        <w:spacing w:line="360" w:lineRule="auto"/>
        <w:rPr>
          <w:rFonts w:ascii="Arial" w:hAnsi="Arial" w:cs="Arial"/>
          <w:sz w:val="22"/>
          <w:szCs w:val="22"/>
        </w:rPr>
      </w:pPr>
      <w:r w:rsidRPr="00E64030">
        <w:rPr>
          <w:rFonts w:ascii="Arial" w:hAnsi="Arial" w:cs="Arial"/>
          <w:sz w:val="22"/>
          <w:szCs w:val="22"/>
        </w:rPr>
        <w:t xml:space="preserve">Woods, B., </w:t>
      </w:r>
      <w:proofErr w:type="spellStart"/>
      <w:r w:rsidRPr="00E64030">
        <w:rPr>
          <w:rFonts w:ascii="Arial" w:hAnsi="Arial" w:cs="Arial"/>
          <w:sz w:val="22"/>
          <w:szCs w:val="22"/>
        </w:rPr>
        <w:t>O’Philbin</w:t>
      </w:r>
      <w:proofErr w:type="spellEnd"/>
      <w:r w:rsidRPr="00E64030">
        <w:rPr>
          <w:rFonts w:ascii="Arial" w:hAnsi="Arial" w:cs="Arial"/>
          <w:sz w:val="22"/>
          <w:szCs w:val="22"/>
        </w:rPr>
        <w:t>, L., Farrell, E.M., Spector, A.E. and Orrell, M. (2018) ‘Reminiscence therapy for dementia’,</w:t>
      </w:r>
      <w:r w:rsidRPr="00E64030">
        <w:rPr>
          <w:rStyle w:val="apple-converted-space"/>
          <w:rFonts w:ascii="Arial" w:eastAsiaTheme="majorEastAsia" w:hAnsi="Arial" w:cs="Arial"/>
          <w:sz w:val="22"/>
          <w:szCs w:val="22"/>
        </w:rPr>
        <w:t> </w:t>
      </w:r>
      <w:r w:rsidRPr="00E64030">
        <w:rPr>
          <w:rStyle w:val="Emphasis"/>
          <w:rFonts w:ascii="Arial" w:eastAsiaTheme="majorEastAsia" w:hAnsi="Arial" w:cs="Arial"/>
          <w:i w:val="0"/>
          <w:iCs w:val="0"/>
          <w:sz w:val="22"/>
          <w:szCs w:val="22"/>
        </w:rPr>
        <w:t>Cochrane Database of Systematic Reviews</w:t>
      </w:r>
      <w:r w:rsidRPr="00E64030">
        <w:rPr>
          <w:rFonts w:ascii="Arial" w:hAnsi="Arial" w:cs="Arial"/>
          <w:sz w:val="22"/>
          <w:szCs w:val="22"/>
        </w:rPr>
        <w:t>, 3(3).</w:t>
      </w:r>
    </w:p>
    <w:p w14:paraId="098C9939" w14:textId="77777777" w:rsidR="00E64030" w:rsidRPr="00E64030" w:rsidRDefault="00B90D72" w:rsidP="00E64030">
      <w:pPr>
        <w:spacing w:line="360" w:lineRule="auto"/>
        <w:rPr>
          <w:rFonts w:ascii="Arial" w:hAnsi="Arial" w:cs="Arial"/>
          <w:sz w:val="22"/>
          <w:szCs w:val="22"/>
        </w:rPr>
      </w:pPr>
      <w:r w:rsidRPr="00B90D72">
        <w:rPr>
          <w:rFonts w:ascii="Arial" w:hAnsi="Arial" w:cs="Arial"/>
          <w:noProof/>
          <w:sz w:val="22"/>
          <w:szCs w:val="22"/>
        </w:rPr>
        <w:pict w14:anchorId="5200F57E">
          <v:rect id="_x0000_i1025" alt="" style="width:451.3pt;height:.05pt;mso-width-percent:0;mso-height-percent:0;mso-width-percent:0;mso-height-percent:0" o:hralign="center" o:hrstd="t" o:hr="t" fillcolor="#a0a0a0" stroked="f"/>
        </w:pict>
      </w:r>
    </w:p>
    <w:p w14:paraId="58527F04" w14:textId="5EB268FF" w:rsidR="00675CE7" w:rsidRDefault="00EA1741" w:rsidP="00675CE7">
      <w:pPr>
        <w:pStyle w:val="NormalWeb"/>
      </w:pPr>
      <w:r>
        <w:t>\</w:t>
      </w:r>
    </w:p>
    <w:p w14:paraId="37C0E850" w14:textId="77777777" w:rsidR="00E64030" w:rsidRPr="00E64030" w:rsidRDefault="00E64030" w:rsidP="00E64030">
      <w:pPr>
        <w:spacing w:line="360" w:lineRule="auto"/>
        <w:rPr>
          <w:rFonts w:ascii="Arial" w:hAnsi="Arial" w:cs="Arial"/>
          <w:sz w:val="22"/>
          <w:szCs w:val="22"/>
        </w:rPr>
      </w:pPr>
    </w:p>
    <w:sectPr w:rsidR="00E64030" w:rsidRPr="00E64030" w:rsidSect="00BD7456">
      <w:footerReference w:type="even" r:id="rId8"/>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F8882DE" w14:textId="77777777" w:rsidR="00B90D72" w:rsidRDefault="00B90D72" w:rsidP="009369AE">
      <w:pPr>
        <w:spacing w:after="0" w:line="240" w:lineRule="auto"/>
      </w:pPr>
      <w:r>
        <w:separator/>
      </w:r>
    </w:p>
  </w:endnote>
  <w:endnote w:type="continuationSeparator" w:id="0">
    <w:p w14:paraId="45806A03" w14:textId="77777777" w:rsidR="00B90D72" w:rsidRDefault="00B90D72" w:rsidP="009369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panose1 w:val="020B0004020202020204"/>
    <w:charset w:val="00"/>
    <w:family w:val="swiss"/>
    <w:pitch w:val="variable"/>
    <w:sig w:usb0="20000287" w:usb1="00000003" w:usb2="00000000" w:usb3="00000000" w:csb0="0000019F" w:csb1="00000000"/>
  </w:font>
  <w:font w:name="DengXian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Hadassah Friedlaender">
    <w:panose1 w:val="02020603050405020304"/>
    <w:charset w:val="B1"/>
    <w:family w:val="roman"/>
    <w:pitch w:val="variable"/>
    <w:sig w:usb0="00000803" w:usb1="00000000" w:usb2="00000000" w:usb3="00000000" w:csb0="00000021" w:csb1="00000000"/>
  </w:font>
  <w:font w:name="-webkit-standard">
    <w:altName w:val="Cambria"/>
    <w:panose1 w:val="020B0604020202020204"/>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488282323"/>
      <w:docPartObj>
        <w:docPartGallery w:val="Page Numbers (Bottom of Page)"/>
        <w:docPartUnique/>
      </w:docPartObj>
    </w:sdtPr>
    <w:sdtContent>
      <w:p w14:paraId="4C6A3BA2" w14:textId="6E9A311B" w:rsidR="009369AE" w:rsidRDefault="009369AE" w:rsidP="00D6619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1D5A6BC" w14:textId="77777777" w:rsidR="009369AE" w:rsidRDefault="009369AE" w:rsidP="009369A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47247212"/>
      <w:docPartObj>
        <w:docPartGallery w:val="Page Numbers (Bottom of Page)"/>
        <w:docPartUnique/>
      </w:docPartObj>
    </w:sdtPr>
    <w:sdtContent>
      <w:p w14:paraId="3D664FA0" w14:textId="0795A2FC" w:rsidR="009369AE" w:rsidRDefault="009369AE" w:rsidP="00D6619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5785A70C" w14:textId="77777777" w:rsidR="009369AE" w:rsidRDefault="009369AE" w:rsidP="009369AE">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26651C" w14:textId="77777777" w:rsidR="00B90D72" w:rsidRDefault="00B90D72" w:rsidP="009369AE">
      <w:pPr>
        <w:spacing w:after="0" w:line="240" w:lineRule="auto"/>
      </w:pPr>
      <w:r>
        <w:separator/>
      </w:r>
    </w:p>
  </w:footnote>
  <w:footnote w:type="continuationSeparator" w:id="0">
    <w:p w14:paraId="17A28C79" w14:textId="77777777" w:rsidR="00B90D72" w:rsidRDefault="00B90D72" w:rsidP="009369A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4E4EEA"/>
    <w:multiLevelType w:val="multilevel"/>
    <w:tmpl w:val="697ADB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4BC24E9"/>
    <w:multiLevelType w:val="multilevel"/>
    <w:tmpl w:val="6F7449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5725E79"/>
    <w:multiLevelType w:val="multilevel"/>
    <w:tmpl w:val="30AC8B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6606816"/>
    <w:multiLevelType w:val="hybridMultilevel"/>
    <w:tmpl w:val="A30452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0B37471"/>
    <w:multiLevelType w:val="hybridMultilevel"/>
    <w:tmpl w:val="01BA93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5D4528F"/>
    <w:multiLevelType w:val="multilevel"/>
    <w:tmpl w:val="15FE30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A0D40D3"/>
    <w:multiLevelType w:val="hybridMultilevel"/>
    <w:tmpl w:val="5C8CD4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CE437E3"/>
    <w:multiLevelType w:val="hybridMultilevel"/>
    <w:tmpl w:val="94EC9C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F532B90"/>
    <w:multiLevelType w:val="multilevel"/>
    <w:tmpl w:val="E26873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39815B3"/>
    <w:multiLevelType w:val="hybridMultilevel"/>
    <w:tmpl w:val="3B0A46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95C49E5"/>
    <w:multiLevelType w:val="multilevel"/>
    <w:tmpl w:val="4DC02B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28644981">
    <w:abstractNumId w:val="7"/>
  </w:num>
  <w:num w:numId="2" w16cid:durableId="1938370907">
    <w:abstractNumId w:val="3"/>
  </w:num>
  <w:num w:numId="3" w16cid:durableId="2036612836">
    <w:abstractNumId w:val="9"/>
  </w:num>
  <w:num w:numId="4" w16cid:durableId="235241017">
    <w:abstractNumId w:val="4"/>
  </w:num>
  <w:num w:numId="5" w16cid:durableId="1369064126">
    <w:abstractNumId w:val="6"/>
  </w:num>
  <w:num w:numId="6" w16cid:durableId="735052587">
    <w:abstractNumId w:val="1"/>
  </w:num>
  <w:num w:numId="7" w16cid:durableId="1843738161">
    <w:abstractNumId w:val="5"/>
  </w:num>
  <w:num w:numId="8" w16cid:durableId="286277795">
    <w:abstractNumId w:val="0"/>
  </w:num>
  <w:num w:numId="9" w16cid:durableId="481582171">
    <w:abstractNumId w:val="8"/>
  </w:num>
  <w:num w:numId="10" w16cid:durableId="1045374800">
    <w:abstractNumId w:val="10"/>
  </w:num>
  <w:num w:numId="11" w16cid:durableId="172425285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7"/>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707C"/>
    <w:rsid w:val="002048F0"/>
    <w:rsid w:val="0024548E"/>
    <w:rsid w:val="002F3908"/>
    <w:rsid w:val="005419E9"/>
    <w:rsid w:val="005A37C0"/>
    <w:rsid w:val="006426B7"/>
    <w:rsid w:val="00675CE7"/>
    <w:rsid w:val="007408C1"/>
    <w:rsid w:val="00744550"/>
    <w:rsid w:val="007977A4"/>
    <w:rsid w:val="00862628"/>
    <w:rsid w:val="0092707C"/>
    <w:rsid w:val="009369AE"/>
    <w:rsid w:val="0094312B"/>
    <w:rsid w:val="00947BB1"/>
    <w:rsid w:val="009C4E02"/>
    <w:rsid w:val="00A727D3"/>
    <w:rsid w:val="00AE0C43"/>
    <w:rsid w:val="00B3279F"/>
    <w:rsid w:val="00B353D2"/>
    <w:rsid w:val="00B80C30"/>
    <w:rsid w:val="00B90D72"/>
    <w:rsid w:val="00BA7076"/>
    <w:rsid w:val="00BC280D"/>
    <w:rsid w:val="00BD7456"/>
    <w:rsid w:val="00BF472A"/>
    <w:rsid w:val="00D957D1"/>
    <w:rsid w:val="00E64030"/>
    <w:rsid w:val="00EA1741"/>
    <w:rsid w:val="00ED4E85"/>
    <w:rsid w:val="00F011B8"/>
    <w:rsid w:val="00F118C0"/>
    <w:rsid w:val="00F50B9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D24BA0"/>
  <w15:chartTrackingRefBased/>
  <w15:docId w15:val="{51693FF7-E278-4607-ADAA-BC928F045F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2707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2707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92707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2707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2707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2707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2707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2707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2707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2707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2707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92707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2707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2707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2707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2707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2707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2707C"/>
    <w:rPr>
      <w:rFonts w:eastAsiaTheme="majorEastAsia" w:cstheme="majorBidi"/>
      <w:color w:val="272727" w:themeColor="text1" w:themeTint="D8"/>
    </w:rPr>
  </w:style>
  <w:style w:type="paragraph" w:styleId="Title">
    <w:name w:val="Title"/>
    <w:basedOn w:val="Normal"/>
    <w:next w:val="Normal"/>
    <w:link w:val="TitleChar"/>
    <w:uiPriority w:val="10"/>
    <w:qFormat/>
    <w:rsid w:val="0092707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2707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2707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2707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2707C"/>
    <w:pPr>
      <w:spacing w:before="160"/>
      <w:jc w:val="center"/>
    </w:pPr>
    <w:rPr>
      <w:i/>
      <w:iCs/>
      <w:color w:val="404040" w:themeColor="text1" w:themeTint="BF"/>
    </w:rPr>
  </w:style>
  <w:style w:type="character" w:customStyle="1" w:styleId="QuoteChar">
    <w:name w:val="Quote Char"/>
    <w:basedOn w:val="DefaultParagraphFont"/>
    <w:link w:val="Quote"/>
    <w:uiPriority w:val="29"/>
    <w:rsid w:val="0092707C"/>
    <w:rPr>
      <w:i/>
      <w:iCs/>
      <w:color w:val="404040" w:themeColor="text1" w:themeTint="BF"/>
    </w:rPr>
  </w:style>
  <w:style w:type="paragraph" w:styleId="ListParagraph">
    <w:name w:val="List Paragraph"/>
    <w:basedOn w:val="Normal"/>
    <w:uiPriority w:val="34"/>
    <w:qFormat/>
    <w:rsid w:val="0092707C"/>
    <w:pPr>
      <w:ind w:left="720"/>
      <w:contextualSpacing/>
    </w:pPr>
  </w:style>
  <w:style w:type="character" w:styleId="IntenseEmphasis">
    <w:name w:val="Intense Emphasis"/>
    <w:basedOn w:val="DefaultParagraphFont"/>
    <w:uiPriority w:val="21"/>
    <w:qFormat/>
    <w:rsid w:val="0092707C"/>
    <w:rPr>
      <w:i/>
      <w:iCs/>
      <w:color w:val="0F4761" w:themeColor="accent1" w:themeShade="BF"/>
    </w:rPr>
  </w:style>
  <w:style w:type="paragraph" w:styleId="IntenseQuote">
    <w:name w:val="Intense Quote"/>
    <w:basedOn w:val="Normal"/>
    <w:next w:val="Normal"/>
    <w:link w:val="IntenseQuoteChar"/>
    <w:uiPriority w:val="30"/>
    <w:qFormat/>
    <w:rsid w:val="0092707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2707C"/>
    <w:rPr>
      <w:i/>
      <w:iCs/>
      <w:color w:val="0F4761" w:themeColor="accent1" w:themeShade="BF"/>
    </w:rPr>
  </w:style>
  <w:style w:type="character" w:styleId="IntenseReference">
    <w:name w:val="Intense Reference"/>
    <w:basedOn w:val="DefaultParagraphFont"/>
    <w:uiPriority w:val="32"/>
    <w:qFormat/>
    <w:rsid w:val="0092707C"/>
    <w:rPr>
      <w:b/>
      <w:bCs/>
      <w:smallCaps/>
      <w:color w:val="0F4761" w:themeColor="accent1" w:themeShade="BF"/>
      <w:spacing w:val="5"/>
    </w:rPr>
  </w:style>
  <w:style w:type="paragraph" w:styleId="NormalWeb">
    <w:name w:val="Normal (Web)"/>
    <w:basedOn w:val="Normal"/>
    <w:uiPriority w:val="99"/>
    <w:unhideWhenUsed/>
    <w:rsid w:val="00E64030"/>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E64030"/>
  </w:style>
  <w:style w:type="character" w:styleId="Strong">
    <w:name w:val="Strong"/>
    <w:basedOn w:val="DefaultParagraphFont"/>
    <w:uiPriority w:val="22"/>
    <w:qFormat/>
    <w:rsid w:val="00E64030"/>
    <w:rPr>
      <w:b/>
      <w:bCs/>
    </w:rPr>
  </w:style>
  <w:style w:type="character" w:customStyle="1" w:styleId="whitespace-normal">
    <w:name w:val="whitespace-normal"/>
    <w:basedOn w:val="DefaultParagraphFont"/>
    <w:rsid w:val="00E64030"/>
  </w:style>
  <w:style w:type="character" w:styleId="Emphasis">
    <w:name w:val="Emphasis"/>
    <w:basedOn w:val="DefaultParagraphFont"/>
    <w:uiPriority w:val="20"/>
    <w:qFormat/>
    <w:rsid w:val="00E64030"/>
    <w:rPr>
      <w:i/>
      <w:iCs/>
    </w:rPr>
  </w:style>
  <w:style w:type="paragraph" w:styleId="Footer">
    <w:name w:val="footer"/>
    <w:basedOn w:val="Normal"/>
    <w:link w:val="FooterChar"/>
    <w:uiPriority w:val="99"/>
    <w:unhideWhenUsed/>
    <w:rsid w:val="009369AE"/>
    <w:pPr>
      <w:tabs>
        <w:tab w:val="center" w:pos="4513"/>
        <w:tab w:val="right" w:pos="9026"/>
      </w:tabs>
      <w:spacing w:after="0" w:line="240" w:lineRule="auto"/>
    </w:pPr>
  </w:style>
  <w:style w:type="character" w:customStyle="1" w:styleId="FooterChar">
    <w:name w:val="Footer Char"/>
    <w:basedOn w:val="DefaultParagraphFont"/>
    <w:link w:val="Footer"/>
    <w:uiPriority w:val="99"/>
    <w:rsid w:val="009369AE"/>
  </w:style>
  <w:style w:type="character" w:styleId="PageNumber">
    <w:name w:val="page number"/>
    <w:basedOn w:val="DefaultParagraphFont"/>
    <w:uiPriority w:val="99"/>
    <w:semiHidden/>
    <w:unhideWhenUsed/>
    <w:rsid w:val="009369AE"/>
  </w:style>
  <w:style w:type="paragraph" w:styleId="NoSpacing">
    <w:name w:val="No Spacing"/>
    <w:link w:val="NoSpacingChar"/>
    <w:uiPriority w:val="1"/>
    <w:qFormat/>
    <w:rsid w:val="00BD7456"/>
    <w:pPr>
      <w:spacing w:after="0" w:line="240" w:lineRule="auto"/>
    </w:pPr>
    <w:rPr>
      <w:kern w:val="0"/>
      <w:sz w:val="22"/>
      <w:szCs w:val="22"/>
      <w:lang w:val="en-US"/>
      <w14:ligatures w14:val="none"/>
    </w:rPr>
  </w:style>
  <w:style w:type="character" w:customStyle="1" w:styleId="NoSpacingChar">
    <w:name w:val="No Spacing Char"/>
    <w:basedOn w:val="DefaultParagraphFont"/>
    <w:link w:val="NoSpacing"/>
    <w:uiPriority w:val="1"/>
    <w:rsid w:val="00BD7456"/>
    <w:rPr>
      <w:kern w:val="0"/>
      <w:sz w:val="22"/>
      <w:szCs w:val="22"/>
      <w:lang w:val="en-US"/>
      <w14:ligatures w14:val="none"/>
    </w:rPr>
  </w:style>
  <w:style w:type="paragraph" w:customStyle="1" w:styleId="p1">
    <w:name w:val="p1"/>
    <w:basedOn w:val="Normal"/>
    <w:rsid w:val="002F3908"/>
    <w:pPr>
      <w:spacing w:after="0" w:line="240" w:lineRule="auto"/>
    </w:pPr>
    <w:rPr>
      <w:rFonts w:ascii="Arial" w:eastAsia="Times New Roman" w:hAnsi="Arial" w:cs="Arial"/>
      <w:color w:val="000000"/>
      <w:kern w:val="0"/>
      <w:sz w:val="17"/>
      <w:szCs w:val="17"/>
      <w:lang w:eastAsia="en-GB"/>
      <w14:ligatures w14:val="none"/>
    </w:rPr>
  </w:style>
  <w:style w:type="paragraph" w:styleId="Caption">
    <w:name w:val="caption"/>
    <w:basedOn w:val="Normal"/>
    <w:next w:val="Normal"/>
    <w:uiPriority w:val="35"/>
    <w:unhideWhenUsed/>
    <w:qFormat/>
    <w:rsid w:val="00BA7076"/>
    <w:pPr>
      <w:spacing w:after="200" w:line="240" w:lineRule="auto"/>
    </w:pPr>
    <w:rPr>
      <w:i/>
      <w:iCs/>
      <w:color w:val="0E2841" w:themeColor="text2"/>
      <w:sz w:val="18"/>
      <w:szCs w:val="18"/>
    </w:rPr>
  </w:style>
  <w:style w:type="paragraph" w:styleId="Revision">
    <w:name w:val="Revision"/>
    <w:hidden/>
    <w:uiPriority w:val="99"/>
    <w:semiHidden/>
    <w:rsid w:val="00862628"/>
    <w:pPr>
      <w:spacing w:after="0" w:line="240" w:lineRule="auto"/>
    </w:pPr>
  </w:style>
  <w:style w:type="paragraph" w:customStyle="1" w:styleId="p2">
    <w:name w:val="p2"/>
    <w:basedOn w:val="Normal"/>
    <w:rsid w:val="006426B7"/>
    <w:pPr>
      <w:spacing w:after="0" w:line="240" w:lineRule="auto"/>
    </w:pPr>
    <w:rPr>
      <w:rFonts w:ascii="Arial" w:eastAsia="Times New Roman" w:hAnsi="Arial" w:cs="Arial"/>
      <w:color w:val="000000"/>
      <w:kern w:val="0"/>
      <w:sz w:val="18"/>
      <w:szCs w:val="18"/>
      <w:lang w:eastAsia="en-GB"/>
      <w14:ligatures w14:val="none"/>
    </w:rPr>
  </w:style>
  <w:style w:type="character" w:customStyle="1" w:styleId="s1">
    <w:name w:val="s1"/>
    <w:basedOn w:val="DefaultParagraphFont"/>
    <w:rsid w:val="006426B7"/>
    <w:rPr>
      <w:rFonts w:ascii="Times New Roman" w:hAnsi="Times New Roman" w:cs="Times New Roman" w:hint="default"/>
      <w:sz w:val="15"/>
      <w:szCs w:val="1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41</TotalTime>
  <Pages>9</Pages>
  <Words>1855</Words>
  <Characters>10578</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 2:Bibliography&amp; reportWord count (orequivalent):1500 wordsSubmission To be submitte</dc:title>
  <dc:subject/>
  <dc:creator>LECTURER NAME: Farah Wiita</dc:creator>
  <cp:keywords/>
  <dc:description/>
  <cp:lastModifiedBy>Helen May Escoto Frial (2430209)</cp:lastModifiedBy>
  <cp:revision>26</cp:revision>
  <dcterms:created xsi:type="dcterms:W3CDTF">2026-04-20T01:36:00Z</dcterms:created>
  <dcterms:modified xsi:type="dcterms:W3CDTF">2026-04-20T10:43:00Z</dcterms:modified>
</cp:coreProperties>
</file>