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09622" w14:textId="67B3D24E" w:rsidR="00CD7795" w:rsidRDefault="00014CAA" w:rsidP="00964EC2">
      <w:pPr>
        <w:pStyle w:val="NormalWeb"/>
        <w:divId w:val="1875121377"/>
        <w:rPr>
          <w:rStyle w:val="Strong"/>
          <w:color w:val="000000"/>
        </w:rPr>
      </w:pPr>
      <w:r>
        <w:rPr>
          <w:b/>
          <w:bCs/>
          <w:noProof/>
          <w:color w:val="000000"/>
          <w14:ligatures w14:val="standardContextual"/>
        </w:rPr>
        <w:drawing>
          <wp:anchor distT="0" distB="0" distL="114300" distR="114300" simplePos="0" relativeHeight="251659264" behindDoc="1" locked="0" layoutInCell="1" allowOverlap="1" wp14:anchorId="5E10AFC1" wp14:editId="3EDEB981">
            <wp:simplePos x="0" y="0"/>
            <wp:positionH relativeFrom="column">
              <wp:posOffset>3255010</wp:posOffset>
            </wp:positionH>
            <wp:positionV relativeFrom="paragraph">
              <wp:posOffset>0</wp:posOffset>
            </wp:positionV>
            <wp:extent cx="2691044" cy="1408430"/>
            <wp:effectExtent l="0" t="0" r="1905" b="1270"/>
            <wp:wrapTight wrapText="bothSides">
              <wp:wrapPolygon edited="0">
                <wp:start x="0" y="0"/>
                <wp:lineTo x="0" y="21425"/>
                <wp:lineTo x="21513" y="21425"/>
                <wp:lineTo x="21513" y="0"/>
                <wp:lineTo x="0" y="0"/>
              </wp:wrapPolygon>
            </wp:wrapTight>
            <wp:docPr id="4737735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73550" name="Picture 47377355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1044" cy="1408430"/>
                    </a:xfrm>
                    <a:prstGeom prst="rect">
                      <a:avLst/>
                    </a:prstGeom>
                  </pic:spPr>
                </pic:pic>
              </a:graphicData>
            </a:graphic>
            <wp14:sizeRelH relativeFrom="margin">
              <wp14:pctWidth>0</wp14:pctWidth>
            </wp14:sizeRelH>
            <wp14:sizeRelV relativeFrom="margin">
              <wp14:pctHeight>0</wp14:pctHeight>
            </wp14:sizeRelV>
          </wp:anchor>
        </w:drawing>
      </w:r>
      <w:r w:rsidR="00964EC2">
        <w:rPr>
          <w:rStyle w:val="Strong"/>
          <w:color w:val="000000"/>
        </w:rPr>
        <w:t xml:space="preserve">Finley McGrath </w:t>
      </w:r>
      <w:r w:rsidR="00523757">
        <w:rPr>
          <w:rStyle w:val="Strong"/>
          <w:color w:val="000000"/>
        </w:rPr>
        <w:t>- 2215276</w:t>
      </w:r>
    </w:p>
    <w:p w14:paraId="048DDB24" w14:textId="469B8FD1" w:rsidR="00964EC2" w:rsidRDefault="00964EC2" w:rsidP="00964EC2">
      <w:pPr>
        <w:pStyle w:val="NormalWeb"/>
        <w:divId w:val="1875121377"/>
        <w:rPr>
          <w:rStyle w:val="Strong"/>
          <w:color w:val="000000"/>
        </w:rPr>
      </w:pPr>
      <w:r>
        <w:rPr>
          <w:rStyle w:val="Strong"/>
          <w:color w:val="000000"/>
        </w:rPr>
        <w:t>Independent Project – Literature Review</w:t>
      </w:r>
    </w:p>
    <w:p w14:paraId="2E175AC0" w14:textId="524FDDA0" w:rsidR="00964EC2" w:rsidRDefault="00964EC2" w:rsidP="00964EC2">
      <w:pPr>
        <w:pStyle w:val="NormalWeb"/>
        <w:divId w:val="1875121377"/>
        <w:rPr>
          <w:rStyle w:val="Strong"/>
          <w:color w:val="000000"/>
        </w:rPr>
      </w:pPr>
    </w:p>
    <w:p w14:paraId="14B56A1C" w14:textId="77777777" w:rsidR="00014CAA" w:rsidRDefault="00014CAA" w:rsidP="002D610A">
      <w:pPr>
        <w:pStyle w:val="NormalWeb"/>
        <w:jc w:val="center"/>
        <w:divId w:val="1875121377"/>
        <w:rPr>
          <w:rStyle w:val="Strong"/>
          <w:color w:val="000000"/>
        </w:rPr>
      </w:pPr>
    </w:p>
    <w:p w14:paraId="3A9455FE" w14:textId="77777777" w:rsidR="00014CAA" w:rsidRDefault="00014CAA" w:rsidP="002D610A">
      <w:pPr>
        <w:pStyle w:val="NormalWeb"/>
        <w:jc w:val="center"/>
        <w:divId w:val="1875121377"/>
        <w:rPr>
          <w:rStyle w:val="Strong"/>
          <w:color w:val="000000"/>
        </w:rPr>
      </w:pPr>
    </w:p>
    <w:p w14:paraId="6BE0C4A7" w14:textId="0EB46BB2" w:rsidR="002D610A" w:rsidRDefault="002D610A" w:rsidP="002D610A">
      <w:pPr>
        <w:pStyle w:val="NormalWeb"/>
        <w:jc w:val="center"/>
        <w:divId w:val="1875121377"/>
        <w:rPr>
          <w:color w:val="000000"/>
        </w:rPr>
      </w:pPr>
      <w:r>
        <w:rPr>
          <w:rStyle w:val="Strong"/>
          <w:color w:val="000000"/>
        </w:rPr>
        <w:t>Table of Contents</w:t>
      </w:r>
    </w:p>
    <w:p w14:paraId="28E51E79" w14:textId="5B9B025E" w:rsidR="002D610A" w:rsidRDefault="002D610A">
      <w:pPr>
        <w:pStyle w:val="NormalWeb"/>
        <w:numPr>
          <w:ilvl w:val="0"/>
          <w:numId w:val="1"/>
        </w:numPr>
        <w:divId w:val="1875121377"/>
        <w:rPr>
          <w:color w:val="000000"/>
        </w:rPr>
      </w:pPr>
      <w:r>
        <w:rPr>
          <w:rStyle w:val="Strong"/>
          <w:color w:val="000000"/>
        </w:rPr>
        <w:t>Introductio</w:t>
      </w:r>
      <w:r w:rsidR="00171C84">
        <w:rPr>
          <w:rStyle w:val="Strong"/>
          <w:color w:val="000000"/>
        </w:rPr>
        <w:t>n</w:t>
      </w:r>
      <w:r w:rsidR="00171C84" w:rsidRPr="005F05CC">
        <w:rPr>
          <w:rStyle w:val="Strong"/>
          <w:b w:val="0"/>
          <w:bCs w:val="0"/>
          <w:color w:val="000000"/>
        </w:rPr>
        <w:t>………………………………………………………………..</w:t>
      </w:r>
      <w:r w:rsidR="005F05CC" w:rsidRPr="005F05CC">
        <w:rPr>
          <w:rStyle w:val="Strong"/>
          <w:b w:val="0"/>
          <w:bCs w:val="0"/>
          <w:color w:val="000000"/>
        </w:rPr>
        <w:t>2</w:t>
      </w:r>
      <w:r w:rsidRPr="005F05CC">
        <w:rPr>
          <w:b/>
          <w:bCs/>
          <w:color w:val="000000"/>
        </w:rPr>
        <w:br/>
      </w:r>
      <w:r>
        <w:rPr>
          <w:color w:val="000000"/>
        </w:rPr>
        <w:t>1.1 Background and Rational</w:t>
      </w:r>
      <w:r w:rsidR="00992898">
        <w:rPr>
          <w:color w:val="000000"/>
        </w:rPr>
        <w:t>e………………………………………………</w:t>
      </w:r>
      <w:r w:rsidR="008558F0">
        <w:rPr>
          <w:color w:val="000000"/>
        </w:rPr>
        <w:t>……</w:t>
      </w:r>
      <w:r w:rsidR="00577F40">
        <w:rPr>
          <w:color w:val="000000"/>
        </w:rPr>
        <w:t>2</w:t>
      </w:r>
      <w:r>
        <w:rPr>
          <w:color w:val="000000"/>
        </w:rPr>
        <w:br/>
        <w:t>1.2 Objectives of the Literature Revie</w:t>
      </w:r>
      <w:r w:rsidR="008558F0">
        <w:rPr>
          <w:color w:val="000000"/>
        </w:rPr>
        <w:t>w…………………………………………</w:t>
      </w:r>
      <w:r w:rsidR="00577F40">
        <w:rPr>
          <w:color w:val="000000"/>
        </w:rPr>
        <w:t>2</w:t>
      </w:r>
    </w:p>
    <w:p w14:paraId="78CEDFB2" w14:textId="117E13ED" w:rsidR="002D610A" w:rsidRDefault="002D610A">
      <w:pPr>
        <w:pStyle w:val="NormalWeb"/>
        <w:numPr>
          <w:ilvl w:val="0"/>
          <w:numId w:val="1"/>
        </w:numPr>
        <w:divId w:val="1875121377"/>
        <w:rPr>
          <w:color w:val="000000"/>
        </w:rPr>
      </w:pPr>
      <w:r>
        <w:rPr>
          <w:rStyle w:val="Strong"/>
          <w:color w:val="000000"/>
        </w:rPr>
        <w:t>Theoretical Foundations of Work-Based Learnin</w:t>
      </w:r>
      <w:r w:rsidR="005F05CC">
        <w:rPr>
          <w:rStyle w:val="Strong"/>
          <w:color w:val="000000"/>
        </w:rPr>
        <w:t>g</w:t>
      </w:r>
      <w:r w:rsidR="005F05CC" w:rsidRPr="005F05CC">
        <w:rPr>
          <w:rStyle w:val="Strong"/>
          <w:b w:val="0"/>
          <w:bCs w:val="0"/>
          <w:color w:val="000000"/>
        </w:rPr>
        <w:t>……………………………</w:t>
      </w:r>
      <w:r w:rsidR="00E578B7">
        <w:rPr>
          <w:rStyle w:val="Strong"/>
          <w:b w:val="0"/>
          <w:bCs w:val="0"/>
          <w:color w:val="000000"/>
        </w:rPr>
        <w:t>3</w:t>
      </w:r>
      <w:r w:rsidRPr="005F05CC">
        <w:rPr>
          <w:b/>
          <w:bCs/>
          <w:color w:val="000000"/>
        </w:rPr>
        <w:br/>
      </w:r>
      <w:r>
        <w:rPr>
          <w:color w:val="000000"/>
        </w:rPr>
        <w:t xml:space="preserve">2.1 Explanation of </w:t>
      </w:r>
      <w:proofErr w:type="spellStart"/>
      <w:r>
        <w:rPr>
          <w:color w:val="000000"/>
        </w:rPr>
        <w:t>Kolb’s</w:t>
      </w:r>
      <w:proofErr w:type="spellEnd"/>
      <w:r>
        <w:rPr>
          <w:color w:val="000000"/>
        </w:rPr>
        <w:t xml:space="preserve"> Experiential Learning Theory</w:t>
      </w:r>
      <w:r w:rsidR="008558F0">
        <w:rPr>
          <w:color w:val="000000"/>
        </w:rPr>
        <w:t>…………………………</w:t>
      </w:r>
      <w:r w:rsidR="00E578B7">
        <w:rPr>
          <w:color w:val="000000"/>
        </w:rPr>
        <w:t>3</w:t>
      </w:r>
      <w:r>
        <w:rPr>
          <w:color w:val="000000"/>
        </w:rPr>
        <w:br/>
        <w:t xml:space="preserve">2.2 Application of </w:t>
      </w:r>
      <w:proofErr w:type="spellStart"/>
      <w:r>
        <w:rPr>
          <w:color w:val="000000"/>
        </w:rPr>
        <w:t>Kolb’s</w:t>
      </w:r>
      <w:proofErr w:type="spellEnd"/>
      <w:r>
        <w:rPr>
          <w:color w:val="000000"/>
        </w:rPr>
        <w:t xml:space="preserve"> Model to Placements</w:t>
      </w:r>
      <w:r w:rsidR="003D2B09">
        <w:rPr>
          <w:color w:val="000000"/>
        </w:rPr>
        <w:t>……………………………………</w:t>
      </w:r>
      <w:r w:rsidR="00357CCE">
        <w:rPr>
          <w:color w:val="000000"/>
        </w:rPr>
        <w:t>3</w:t>
      </w:r>
      <w:r>
        <w:rPr>
          <w:color w:val="000000"/>
        </w:rPr>
        <w:br/>
        <w:t>2.3 Leader-Member Exchange (LMX) Theory in Work-Based Learning</w:t>
      </w:r>
      <w:r w:rsidR="003D2B09">
        <w:rPr>
          <w:color w:val="000000"/>
        </w:rPr>
        <w:t>…………</w:t>
      </w:r>
      <w:r w:rsidR="00357CCE">
        <w:rPr>
          <w:color w:val="000000"/>
        </w:rPr>
        <w:t>3</w:t>
      </w:r>
      <w:r>
        <w:rPr>
          <w:color w:val="000000"/>
        </w:rPr>
        <w:br/>
        <w:t>2.4 Defining Employability in Higher Education</w:t>
      </w:r>
      <w:r w:rsidR="003D2B09">
        <w:rPr>
          <w:color w:val="000000"/>
        </w:rPr>
        <w:t>………………………………</w:t>
      </w:r>
      <w:r w:rsidR="00357CCE">
        <w:rPr>
          <w:color w:val="000000"/>
        </w:rPr>
        <w:t>3/</w:t>
      </w:r>
      <w:r w:rsidR="00BF535F">
        <w:rPr>
          <w:color w:val="000000"/>
        </w:rPr>
        <w:t>4</w:t>
      </w:r>
    </w:p>
    <w:p w14:paraId="3368A467" w14:textId="4280F4C2" w:rsidR="002D610A" w:rsidRDefault="002D610A">
      <w:pPr>
        <w:pStyle w:val="NormalWeb"/>
        <w:numPr>
          <w:ilvl w:val="0"/>
          <w:numId w:val="1"/>
        </w:numPr>
        <w:divId w:val="1875121377"/>
        <w:rPr>
          <w:color w:val="000000"/>
        </w:rPr>
      </w:pPr>
      <w:r>
        <w:rPr>
          <w:rStyle w:val="Strong"/>
          <w:color w:val="000000"/>
        </w:rPr>
        <w:t>The Importance of Placements in Higher Education</w:t>
      </w:r>
      <w:r w:rsidR="003D2B09">
        <w:rPr>
          <w:color w:val="000000"/>
        </w:rPr>
        <w:t>…………………………</w:t>
      </w:r>
      <w:r w:rsidR="006D34E0">
        <w:rPr>
          <w:color w:val="000000"/>
        </w:rPr>
        <w:t>4</w:t>
      </w:r>
      <w:r>
        <w:rPr>
          <w:color w:val="000000"/>
        </w:rPr>
        <w:br/>
        <w:t>3.1 Benefits of Placements for Students</w:t>
      </w:r>
      <w:r w:rsidR="003D2B09">
        <w:rPr>
          <w:color w:val="000000"/>
        </w:rPr>
        <w:t>…………………………………………</w:t>
      </w:r>
      <w:r w:rsidR="00BF535F">
        <w:rPr>
          <w:color w:val="000000"/>
        </w:rPr>
        <w:t>4</w:t>
      </w:r>
      <w:r>
        <w:rPr>
          <w:color w:val="000000"/>
        </w:rPr>
        <w:br/>
        <w:t>3.2 Challenges in Placement Accessibility</w:t>
      </w:r>
      <w:r w:rsidR="003D2B09">
        <w:rPr>
          <w:color w:val="000000"/>
        </w:rPr>
        <w:t>…………………………………………</w:t>
      </w:r>
      <w:r w:rsidR="000007D0">
        <w:rPr>
          <w:color w:val="000000"/>
        </w:rPr>
        <w:t>4</w:t>
      </w:r>
      <w:r w:rsidR="00EE3D04">
        <w:rPr>
          <w:color w:val="000000"/>
        </w:rPr>
        <w:t>/5</w:t>
      </w:r>
      <w:r>
        <w:rPr>
          <w:color w:val="000000"/>
        </w:rPr>
        <w:br/>
        <w:t>3.3 Sustainability and Inclusivity in Placements</w:t>
      </w:r>
      <w:r w:rsidR="003D2B09">
        <w:rPr>
          <w:color w:val="000000"/>
        </w:rPr>
        <w:t>…………………………………</w:t>
      </w:r>
      <w:r w:rsidR="006E2C48">
        <w:rPr>
          <w:color w:val="000000"/>
        </w:rPr>
        <w:t>5</w:t>
      </w:r>
      <w:r>
        <w:rPr>
          <w:color w:val="000000"/>
        </w:rPr>
        <w:br/>
        <w:t>3.4 International Placements and Global Competencies</w:t>
      </w:r>
      <w:r w:rsidR="003D2B09">
        <w:rPr>
          <w:color w:val="000000"/>
        </w:rPr>
        <w:t>……………………………</w:t>
      </w:r>
      <w:r w:rsidR="006E2C48">
        <w:rPr>
          <w:color w:val="000000"/>
        </w:rPr>
        <w:t>5</w:t>
      </w:r>
    </w:p>
    <w:p w14:paraId="5077DD1B" w14:textId="43588A83" w:rsidR="002D610A" w:rsidRDefault="002D610A">
      <w:pPr>
        <w:pStyle w:val="NormalWeb"/>
        <w:numPr>
          <w:ilvl w:val="0"/>
          <w:numId w:val="1"/>
        </w:numPr>
        <w:divId w:val="1875121377"/>
        <w:rPr>
          <w:color w:val="000000"/>
        </w:rPr>
      </w:pPr>
      <w:r>
        <w:rPr>
          <w:rStyle w:val="Strong"/>
          <w:color w:val="000000"/>
        </w:rPr>
        <w:t>External Opportunities: Summer Camps and International Experiences</w:t>
      </w:r>
      <w:r w:rsidR="003D2B09">
        <w:rPr>
          <w:color w:val="000000"/>
        </w:rPr>
        <w:t>……</w:t>
      </w:r>
      <w:r w:rsidR="000007D0">
        <w:rPr>
          <w:color w:val="000000"/>
        </w:rPr>
        <w:t>5</w:t>
      </w:r>
      <w:r>
        <w:rPr>
          <w:color w:val="000000"/>
        </w:rPr>
        <w:br/>
        <w:t>4.1 Value of External Opportunities</w:t>
      </w:r>
      <w:r w:rsidR="003D2B09">
        <w:rPr>
          <w:color w:val="000000"/>
        </w:rPr>
        <w:t>…………………………………………</w:t>
      </w:r>
      <w:r w:rsidR="00C973BF">
        <w:rPr>
          <w:color w:val="000000"/>
        </w:rPr>
        <w:t>5</w:t>
      </w:r>
      <w:r>
        <w:rPr>
          <w:color w:val="000000"/>
        </w:rPr>
        <w:br/>
        <w:t>4.2 Benefits of Summer Camps and International Placements</w:t>
      </w:r>
      <w:r w:rsidR="003D2B09">
        <w:rPr>
          <w:color w:val="000000"/>
        </w:rPr>
        <w:t>…………………</w:t>
      </w:r>
      <w:r w:rsidR="00E26F4B">
        <w:rPr>
          <w:color w:val="000000"/>
        </w:rPr>
        <w:t>6</w:t>
      </w:r>
      <w:r>
        <w:rPr>
          <w:color w:val="000000"/>
        </w:rPr>
        <w:br/>
        <w:t>4.3 Barriers to Accessing External Opportunities</w:t>
      </w:r>
      <w:r w:rsidR="003D2B09">
        <w:rPr>
          <w:color w:val="000000"/>
        </w:rPr>
        <w:t>……………………………</w:t>
      </w:r>
      <w:r w:rsidR="00E26F4B">
        <w:rPr>
          <w:color w:val="000000"/>
        </w:rPr>
        <w:t>6</w:t>
      </w:r>
    </w:p>
    <w:p w14:paraId="216A3EE9" w14:textId="01957CFC" w:rsidR="002D610A" w:rsidRDefault="002D610A">
      <w:pPr>
        <w:pStyle w:val="NormalWeb"/>
        <w:numPr>
          <w:ilvl w:val="0"/>
          <w:numId w:val="1"/>
        </w:numPr>
        <w:divId w:val="1875121377"/>
        <w:rPr>
          <w:color w:val="000000"/>
        </w:rPr>
      </w:pPr>
      <w:r>
        <w:rPr>
          <w:rStyle w:val="Strong"/>
          <w:color w:val="000000"/>
        </w:rPr>
        <w:t>The Role of Technology in Facilitating Placement Opportunities</w:t>
      </w:r>
      <w:r w:rsidR="003D2B09">
        <w:rPr>
          <w:color w:val="000000"/>
        </w:rPr>
        <w:t>………………</w:t>
      </w:r>
      <w:r w:rsidR="00442DB3">
        <w:rPr>
          <w:color w:val="000000"/>
        </w:rPr>
        <w:t>7</w:t>
      </w:r>
      <w:r>
        <w:rPr>
          <w:color w:val="000000"/>
        </w:rPr>
        <w:br/>
        <w:t>5.1 Digital Tools and Platforms for Placement Management</w:t>
      </w:r>
      <w:r w:rsidR="003D2B09">
        <w:rPr>
          <w:color w:val="000000"/>
        </w:rPr>
        <w:t>………………………</w:t>
      </w:r>
      <w:r w:rsidR="00442DB3">
        <w:rPr>
          <w:color w:val="000000"/>
        </w:rPr>
        <w:t>7</w:t>
      </w:r>
      <w:r>
        <w:rPr>
          <w:color w:val="000000"/>
        </w:rPr>
        <w:br/>
        <w:t>5.2 Enhancing Accessibility Through Technology</w:t>
      </w:r>
      <w:r w:rsidR="003D2B09">
        <w:rPr>
          <w:color w:val="000000"/>
        </w:rPr>
        <w:t>………………………………</w:t>
      </w:r>
      <w:r w:rsidR="00442DB3">
        <w:rPr>
          <w:color w:val="000000"/>
        </w:rPr>
        <w:t>7</w:t>
      </w:r>
      <w:r>
        <w:rPr>
          <w:color w:val="000000"/>
        </w:rPr>
        <w:br/>
        <w:t>5.3 Challenges and Risks of Technology in Placements</w:t>
      </w:r>
      <w:r w:rsidR="003D2B09">
        <w:rPr>
          <w:color w:val="000000"/>
        </w:rPr>
        <w:t>……………………………</w:t>
      </w:r>
      <w:r w:rsidR="00D301D8">
        <w:rPr>
          <w:color w:val="000000"/>
        </w:rPr>
        <w:t>7</w:t>
      </w:r>
      <w:r w:rsidR="00D227AB">
        <w:rPr>
          <w:color w:val="000000"/>
        </w:rPr>
        <w:t>/8</w:t>
      </w:r>
    </w:p>
    <w:p w14:paraId="03FC2BEB" w14:textId="574CE8E9" w:rsidR="002D610A" w:rsidRDefault="002D610A">
      <w:pPr>
        <w:pStyle w:val="NormalWeb"/>
        <w:numPr>
          <w:ilvl w:val="0"/>
          <w:numId w:val="1"/>
        </w:numPr>
        <w:divId w:val="1875121377"/>
        <w:rPr>
          <w:color w:val="000000"/>
        </w:rPr>
      </w:pPr>
      <w:r>
        <w:rPr>
          <w:rStyle w:val="Strong"/>
          <w:color w:val="000000"/>
        </w:rPr>
        <w:t>Gaps in Placement Guidance and Opportunities</w:t>
      </w:r>
      <w:r w:rsidR="003D2B09">
        <w:rPr>
          <w:color w:val="000000"/>
        </w:rPr>
        <w:t>………………………………</w:t>
      </w:r>
      <w:r w:rsidR="00633E14">
        <w:rPr>
          <w:color w:val="000000"/>
        </w:rPr>
        <w:t>8</w:t>
      </w:r>
      <w:r>
        <w:rPr>
          <w:color w:val="000000"/>
        </w:rPr>
        <w:br/>
        <w:t>6.1 Challenges Faced by Universities in Providing Placement Support</w:t>
      </w:r>
      <w:r w:rsidR="003D2B09">
        <w:rPr>
          <w:color w:val="000000"/>
        </w:rPr>
        <w:t>……………</w:t>
      </w:r>
      <w:r w:rsidR="00401C67">
        <w:rPr>
          <w:color w:val="000000"/>
        </w:rPr>
        <w:t>8</w:t>
      </w:r>
      <w:r>
        <w:rPr>
          <w:color w:val="000000"/>
        </w:rPr>
        <w:br/>
        <w:t>6.2 The Role of Mentoring and Reflective Practice</w:t>
      </w:r>
      <w:r w:rsidR="003D2B09">
        <w:rPr>
          <w:color w:val="000000"/>
        </w:rPr>
        <w:t>………………………………</w:t>
      </w:r>
      <w:r w:rsidR="00401C67">
        <w:rPr>
          <w:color w:val="000000"/>
        </w:rPr>
        <w:t>8</w:t>
      </w:r>
      <w:r>
        <w:rPr>
          <w:color w:val="000000"/>
        </w:rPr>
        <w:br/>
        <w:t>6.3 Addressing Gaps Through Digital Solutions and Partnerships</w:t>
      </w:r>
      <w:r w:rsidR="003D2B09">
        <w:rPr>
          <w:color w:val="000000"/>
        </w:rPr>
        <w:t>……………………</w:t>
      </w:r>
      <w:r w:rsidR="00633E14">
        <w:rPr>
          <w:color w:val="000000"/>
        </w:rPr>
        <w:t>9</w:t>
      </w:r>
    </w:p>
    <w:p w14:paraId="7C2D7D7B" w14:textId="20A4AE2F" w:rsidR="002D610A" w:rsidRDefault="002D610A">
      <w:pPr>
        <w:pStyle w:val="NormalWeb"/>
        <w:numPr>
          <w:ilvl w:val="0"/>
          <w:numId w:val="1"/>
        </w:numPr>
        <w:divId w:val="1875121377"/>
        <w:rPr>
          <w:color w:val="000000"/>
        </w:rPr>
      </w:pPr>
      <w:r>
        <w:rPr>
          <w:rStyle w:val="Strong"/>
          <w:color w:val="000000"/>
        </w:rPr>
        <w:t>Conclusion</w:t>
      </w:r>
      <w:r w:rsidR="003D2B09">
        <w:rPr>
          <w:color w:val="000000"/>
        </w:rPr>
        <w:t>…………………………………</w:t>
      </w:r>
      <w:r w:rsidR="00DF04B7">
        <w:rPr>
          <w:color w:val="000000"/>
        </w:rPr>
        <w:t>…………………………………….</w:t>
      </w:r>
      <w:r w:rsidR="00633E14">
        <w:rPr>
          <w:color w:val="000000"/>
        </w:rPr>
        <w:t>9/10</w:t>
      </w:r>
    </w:p>
    <w:p w14:paraId="7833D0D7" w14:textId="6AA01039" w:rsidR="002D610A" w:rsidRDefault="002D610A">
      <w:pPr>
        <w:pStyle w:val="NormalWeb"/>
        <w:numPr>
          <w:ilvl w:val="0"/>
          <w:numId w:val="1"/>
        </w:numPr>
        <w:divId w:val="1875121377"/>
        <w:rPr>
          <w:color w:val="000000"/>
        </w:rPr>
      </w:pPr>
      <w:r>
        <w:rPr>
          <w:rStyle w:val="Strong"/>
          <w:color w:val="000000"/>
        </w:rPr>
        <w:t>Reference</w:t>
      </w:r>
      <w:r w:rsidR="00DF04B7">
        <w:rPr>
          <w:rStyle w:val="Strong"/>
          <w:color w:val="000000"/>
        </w:rPr>
        <w:t xml:space="preserve"> Lis</w:t>
      </w:r>
      <w:r w:rsidR="007D02DE">
        <w:rPr>
          <w:rStyle w:val="Strong"/>
          <w:color w:val="000000"/>
        </w:rPr>
        <w:t>t</w:t>
      </w:r>
      <w:r w:rsidR="007D02DE" w:rsidRPr="007D02DE">
        <w:rPr>
          <w:rStyle w:val="Strong"/>
          <w:b w:val="0"/>
          <w:bCs w:val="0"/>
          <w:color w:val="000000"/>
        </w:rPr>
        <w:t>……………………………………………………………………</w:t>
      </w:r>
      <w:r w:rsidR="00F80272">
        <w:rPr>
          <w:rStyle w:val="Strong"/>
          <w:b w:val="0"/>
          <w:bCs w:val="0"/>
          <w:color w:val="000000"/>
        </w:rPr>
        <w:t>10/11/12</w:t>
      </w:r>
    </w:p>
    <w:p w14:paraId="1C6716BC" w14:textId="77777777" w:rsidR="000F471C" w:rsidRDefault="000F471C" w:rsidP="009414EA">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7"/>
          <w:szCs w:val="27"/>
          <w14:ligatures w14:val="none"/>
        </w:rPr>
      </w:pPr>
    </w:p>
    <w:p w14:paraId="5BCD4C4A" w14:textId="77777777" w:rsidR="000F471C" w:rsidRDefault="000F471C" w:rsidP="009414EA">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7"/>
          <w:szCs w:val="27"/>
          <w14:ligatures w14:val="none"/>
        </w:rPr>
      </w:pPr>
    </w:p>
    <w:p w14:paraId="64002EF1" w14:textId="77777777" w:rsidR="000D2687" w:rsidRDefault="000D2687" w:rsidP="009414EA">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7"/>
          <w:szCs w:val="27"/>
          <w14:ligatures w14:val="none"/>
        </w:rPr>
      </w:pPr>
    </w:p>
    <w:p w14:paraId="0EAD5B88" w14:textId="77777777" w:rsidR="00FE5C53" w:rsidRDefault="00FE5C53" w:rsidP="009414EA">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7"/>
          <w:szCs w:val="27"/>
          <w14:ligatures w14:val="none"/>
        </w:rPr>
      </w:pPr>
    </w:p>
    <w:p w14:paraId="787CBE28" w14:textId="2C1DCF7B" w:rsidR="009414EA" w:rsidRPr="00722D0D" w:rsidRDefault="009414EA" w:rsidP="009414EA">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40"/>
          <w:szCs w:val="40"/>
          <w14:ligatures w14:val="none"/>
        </w:rPr>
      </w:pPr>
      <w:r w:rsidRPr="00722D0D">
        <w:rPr>
          <w:rFonts w:ascii="Times New Roman" w:eastAsia="Times New Roman" w:hAnsi="Times New Roman" w:cs="Times New Roman"/>
          <w:b/>
          <w:bCs/>
          <w:color w:val="000000"/>
          <w:kern w:val="0"/>
          <w:sz w:val="40"/>
          <w:szCs w:val="40"/>
          <w14:ligatures w14:val="none"/>
        </w:rPr>
        <w:lastRenderedPageBreak/>
        <w:t>Introduction</w:t>
      </w:r>
    </w:p>
    <w:p w14:paraId="089ADD3F" w14:textId="77777777" w:rsidR="00241201" w:rsidRDefault="00D11942" w:rsidP="00241201">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0"/>
          <w:szCs w:val="20"/>
          <w14:ligatures w14:val="none"/>
        </w:rPr>
      </w:pPr>
      <w:r>
        <w:rPr>
          <w:rFonts w:ascii="Times New Roman" w:eastAsia="Times New Roman" w:hAnsi="Times New Roman" w:cs="Times New Roman"/>
          <w:b/>
          <w:bCs/>
          <w:color w:val="000000"/>
          <w:kern w:val="0"/>
          <w:sz w:val="20"/>
          <w:szCs w:val="20"/>
          <w14:ligatures w14:val="none"/>
        </w:rPr>
        <w:t>1.1Background and Rationale</w:t>
      </w:r>
    </w:p>
    <w:p w14:paraId="2FE66482" w14:textId="384F1727" w:rsidR="00D529AE" w:rsidRDefault="00163D4E" w:rsidP="00241201">
      <w:pPr>
        <w:spacing w:before="100" w:beforeAutospacing="1" w:after="100" w:afterAutospacing="1" w:line="240" w:lineRule="auto"/>
        <w:outlineLvl w:val="2"/>
        <w:divId w:val="346830622"/>
        <w:rPr>
          <w:rFonts w:ascii="Times New Roman" w:hAnsi="Times New Roman" w:cs="Times New Roman"/>
          <w:color w:val="000000"/>
          <w:kern w:val="0"/>
          <w14:ligatures w14:val="none"/>
        </w:rPr>
      </w:pPr>
      <w:r w:rsidRPr="00241201">
        <w:rPr>
          <w:rFonts w:ascii="Times New Roman" w:hAnsi="Times New Roman" w:cs="Times New Roman"/>
          <w:b/>
          <w:bCs/>
          <w:color w:val="000000"/>
          <w:kern w:val="0"/>
          <w14:ligatures w14:val="none"/>
        </w:rPr>
        <w:t>P</w:t>
      </w:r>
      <w:r w:rsidR="00951AA2" w:rsidRPr="00241201">
        <w:rPr>
          <w:rFonts w:ascii="Times New Roman" w:hAnsi="Times New Roman" w:cs="Times New Roman"/>
          <w:b/>
          <w:bCs/>
          <w:color w:val="000000"/>
          <w:kern w:val="0"/>
          <w14:ligatures w14:val="none"/>
        </w:rPr>
        <w:t>roject Aim</w:t>
      </w:r>
      <w:r w:rsidR="00241201" w:rsidRPr="00241201">
        <w:rPr>
          <w:rFonts w:ascii="Times New Roman" w:eastAsia="Times New Roman" w:hAnsi="Times New Roman" w:cs="Times New Roman"/>
          <w:b/>
          <w:bCs/>
          <w:color w:val="000000"/>
          <w:kern w:val="0"/>
          <w14:ligatures w14:val="none"/>
        </w:rPr>
        <w:t>:</w:t>
      </w:r>
      <w:r w:rsidR="00CF77BA">
        <w:rPr>
          <w:rFonts w:ascii="Times New Roman" w:hAnsi="Times New Roman" w:cs="Times New Roman"/>
          <w:color w:val="000000"/>
          <w:kern w:val="0"/>
          <w14:ligatures w14:val="none"/>
        </w:rPr>
        <w:t>My aim for my Independent Project is to create a webpage that will support and guide students int</w:t>
      </w:r>
      <w:r w:rsidR="00DA6F30">
        <w:rPr>
          <w:rFonts w:ascii="Times New Roman" w:hAnsi="Times New Roman" w:cs="Times New Roman"/>
          <w:color w:val="000000"/>
          <w:kern w:val="0"/>
          <w14:ligatures w14:val="none"/>
        </w:rPr>
        <w:t>o placement opportunities, during term time and out of term term time, within the inst</w:t>
      </w:r>
      <w:r w:rsidR="00577B94">
        <w:rPr>
          <w:rFonts w:ascii="Times New Roman" w:hAnsi="Times New Roman" w:cs="Times New Roman"/>
          <w:color w:val="000000"/>
          <w:kern w:val="0"/>
          <w14:ligatures w14:val="none"/>
        </w:rPr>
        <w:t>itute of Management and Health of UWTSD</w:t>
      </w:r>
      <w:r w:rsidR="00D529AE">
        <w:rPr>
          <w:rFonts w:ascii="Times New Roman" w:hAnsi="Times New Roman" w:cs="Times New Roman"/>
          <w:color w:val="000000"/>
          <w:kern w:val="0"/>
          <w14:ligatures w14:val="none"/>
        </w:rPr>
        <w:t>.</w:t>
      </w:r>
    </w:p>
    <w:p w14:paraId="2DB59AB8" w14:textId="191C2BA9" w:rsidR="00E015B1" w:rsidRPr="00E015B1" w:rsidRDefault="00E015B1" w:rsidP="00241201">
      <w:pPr>
        <w:spacing w:before="100" w:beforeAutospacing="1" w:after="100" w:afterAutospacing="1" w:line="240" w:lineRule="auto"/>
        <w:outlineLvl w:val="2"/>
        <w:divId w:val="346830622"/>
        <w:rPr>
          <w:rFonts w:ascii="Times New Roman" w:eastAsia="Times New Roman" w:hAnsi="Times New Roman" w:cs="Times New Roman"/>
          <w:b/>
          <w:bCs/>
          <w:color w:val="000000"/>
          <w:kern w:val="0"/>
          <w:sz w:val="20"/>
          <w:szCs w:val="20"/>
          <w14:ligatures w14:val="none"/>
        </w:rPr>
      </w:pPr>
      <w:r w:rsidRPr="00E015B1">
        <w:rPr>
          <w:rFonts w:ascii="Times New Roman" w:hAnsi="Times New Roman" w:cs="Times New Roman"/>
          <w:b/>
          <w:bCs/>
          <w:color w:val="000000"/>
          <w:kern w:val="0"/>
          <w14:ligatures w14:val="none"/>
        </w:rPr>
        <w:t>Project Objectives:</w:t>
      </w:r>
      <w:r w:rsidRPr="00E015B1">
        <w:rPr>
          <w:rStyle w:val="s1"/>
          <w:sz w:val="22"/>
          <w:szCs w:val="22"/>
        </w:rPr>
        <w:t xml:space="preserve"> </w:t>
      </w:r>
      <w:r w:rsidRPr="008A7143">
        <w:rPr>
          <w:rStyle w:val="s1"/>
          <w:sz w:val="22"/>
          <w:szCs w:val="22"/>
        </w:rPr>
        <w:t>Create a virtual Proposal for my Independent Project and consider Ethical implications</w:t>
      </w:r>
      <w:r w:rsidR="00BE0BB5">
        <w:rPr>
          <w:rStyle w:val="s1"/>
          <w:sz w:val="22"/>
          <w:szCs w:val="22"/>
        </w:rPr>
        <w:t xml:space="preserve">; </w:t>
      </w:r>
      <w:r w:rsidRPr="008A7143">
        <w:rPr>
          <w:rStyle w:val="s1"/>
          <w:sz w:val="22"/>
          <w:szCs w:val="22"/>
        </w:rPr>
        <w:t>Complete an analysis of key literature in the field of Professional Placement opportunities</w:t>
      </w:r>
      <w:r w:rsidR="00BE0BB5">
        <w:rPr>
          <w:rStyle w:val="s1"/>
          <w:sz w:val="22"/>
          <w:szCs w:val="22"/>
        </w:rPr>
        <w:t xml:space="preserve">; </w:t>
      </w:r>
      <w:r w:rsidRPr="008A7143">
        <w:rPr>
          <w:rStyle w:val="s1"/>
          <w:sz w:val="22"/>
          <w:szCs w:val="22"/>
        </w:rPr>
        <w:t>Develop the website into a full scale model where it supports students of all different faculties at UWTSD</w:t>
      </w:r>
      <w:r w:rsidR="00BE0BB5">
        <w:rPr>
          <w:rStyle w:val="s1"/>
          <w:sz w:val="22"/>
          <w:szCs w:val="22"/>
        </w:rPr>
        <w:t>.</w:t>
      </w:r>
    </w:p>
    <w:p w14:paraId="6497F54C" w14:textId="4A83732D" w:rsidR="009414EA" w:rsidRPr="009414EA" w:rsidRDefault="00577B94" w:rsidP="009414EA">
      <w:pPr>
        <w:spacing w:before="100" w:beforeAutospacing="1" w:after="100" w:afterAutospacing="1" w:line="240" w:lineRule="auto"/>
        <w:divId w:val="346830622"/>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 P</w:t>
      </w:r>
      <w:r w:rsidR="009414EA" w:rsidRPr="009414EA">
        <w:rPr>
          <w:rFonts w:ascii="Times New Roman" w:hAnsi="Times New Roman" w:cs="Times New Roman"/>
          <w:color w:val="000000"/>
          <w:kern w:val="0"/>
          <w14:ligatures w14:val="none"/>
        </w:rPr>
        <w:t xml:space="preserve">lacements and external opportunities are vital for </w:t>
      </w:r>
      <w:r w:rsidR="00112446">
        <w:rPr>
          <w:rFonts w:ascii="Times New Roman" w:hAnsi="Times New Roman" w:cs="Times New Roman"/>
          <w:color w:val="000000"/>
          <w:kern w:val="0"/>
          <w14:ligatures w14:val="none"/>
        </w:rPr>
        <w:t xml:space="preserve">connecting </w:t>
      </w:r>
      <w:r w:rsidR="009414EA" w:rsidRPr="009414EA">
        <w:rPr>
          <w:rFonts w:ascii="Times New Roman" w:hAnsi="Times New Roman" w:cs="Times New Roman"/>
          <w:color w:val="000000"/>
          <w:kern w:val="0"/>
          <w14:ligatures w14:val="none"/>
        </w:rPr>
        <w:t xml:space="preserve">academic learning and professional practice, particularly in fields like sports management. These experiences </w:t>
      </w:r>
      <w:r w:rsidR="00587069">
        <w:rPr>
          <w:rFonts w:ascii="Times New Roman" w:hAnsi="Times New Roman" w:cs="Times New Roman"/>
          <w:color w:val="000000"/>
          <w:kern w:val="0"/>
          <w14:ligatures w14:val="none"/>
        </w:rPr>
        <w:t xml:space="preserve">can </w:t>
      </w:r>
      <w:r w:rsidR="009414EA" w:rsidRPr="009414EA">
        <w:rPr>
          <w:rFonts w:ascii="Times New Roman" w:hAnsi="Times New Roman" w:cs="Times New Roman"/>
          <w:color w:val="000000"/>
          <w:kern w:val="0"/>
          <w14:ligatures w14:val="none"/>
        </w:rPr>
        <w:t>provide students with practical exposure, enhancing their employability and career readiness. This literature review examines the role of placements, work-based learning, and technology in preparing students for professional success, providing insights to guide the development of a webpage for facilitating student placements and external opportunities.</w:t>
      </w:r>
    </w:p>
    <w:p w14:paraId="5EAD4099" w14:textId="57A5DD87" w:rsidR="002F1BD7" w:rsidRPr="009C13BD" w:rsidRDefault="00F36FAA" w:rsidP="009414EA">
      <w:pPr>
        <w:spacing w:before="100" w:beforeAutospacing="1" w:after="100" w:afterAutospacing="1" w:line="240" w:lineRule="auto"/>
        <w:divId w:val="346830622"/>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Importance of Placements and External Opportunities</w:t>
      </w:r>
      <w:r w:rsidR="008D17B0">
        <w:rPr>
          <w:rFonts w:ascii="Times New Roman" w:hAnsi="Times New Roman" w:cs="Times New Roman"/>
          <w:b/>
          <w:bCs/>
          <w:color w:val="000000"/>
          <w:kern w:val="0"/>
          <w14:ligatures w14:val="none"/>
        </w:rPr>
        <w:t xml:space="preserve"> </w:t>
      </w:r>
      <w:r w:rsidR="00FC4E4D">
        <w:rPr>
          <w:rFonts w:ascii="Times New Roman" w:hAnsi="Times New Roman" w:cs="Times New Roman"/>
          <w:b/>
          <w:bCs/>
          <w:color w:val="000000"/>
          <w:kern w:val="0"/>
          <w14:ligatures w14:val="none"/>
        </w:rPr>
        <w:t>(Justifying my Project Aim)</w:t>
      </w:r>
    </w:p>
    <w:p w14:paraId="34AA4CB0" w14:textId="42D774EB" w:rsidR="009414EA" w:rsidRPr="009414EA" w:rsidRDefault="009414EA" w:rsidP="009414EA">
      <w:pPr>
        <w:spacing w:before="100" w:beforeAutospacing="1" w:after="100" w:afterAutospacing="1" w:line="240" w:lineRule="auto"/>
        <w:divId w:val="346830622"/>
        <w:rPr>
          <w:rFonts w:ascii="Times New Roman" w:hAnsi="Times New Roman" w:cs="Times New Roman"/>
          <w:color w:val="000000"/>
          <w:kern w:val="0"/>
          <w14:ligatures w14:val="none"/>
        </w:rPr>
      </w:pPr>
      <w:r w:rsidRPr="009414EA">
        <w:rPr>
          <w:rFonts w:ascii="Times New Roman" w:hAnsi="Times New Roman" w:cs="Times New Roman"/>
          <w:color w:val="000000"/>
          <w:kern w:val="0"/>
          <w14:ligatures w14:val="none"/>
        </w:rPr>
        <w:t>Research consistently highlights the value of placements in fostering critical skills such as teamwork, communication, and self-confidence. Amos (2013) found that placements positively influence students' academic and professional achievements, while Fleming et al. (2009) emphasise their role in aligning students’ competencies with industry demands. Such findings underscore the necessity of structured and accessible placement programmes to ensure equitable opportunities for all students.</w:t>
      </w:r>
    </w:p>
    <w:p w14:paraId="0EAA1365" w14:textId="41108446" w:rsidR="009414EA" w:rsidRDefault="009414EA" w:rsidP="009414EA">
      <w:pPr>
        <w:spacing w:before="100" w:beforeAutospacing="1" w:after="100" w:afterAutospacing="1" w:line="240" w:lineRule="auto"/>
        <w:divId w:val="346830622"/>
        <w:rPr>
          <w:rFonts w:ascii="Times New Roman" w:hAnsi="Times New Roman" w:cs="Times New Roman"/>
          <w:color w:val="000000"/>
          <w:kern w:val="0"/>
          <w14:ligatures w14:val="none"/>
        </w:rPr>
      </w:pPr>
      <w:r w:rsidRPr="009414EA">
        <w:rPr>
          <w:rFonts w:ascii="Times New Roman" w:hAnsi="Times New Roman" w:cs="Times New Roman"/>
          <w:color w:val="000000"/>
          <w:kern w:val="0"/>
          <w14:ligatures w14:val="none"/>
        </w:rPr>
        <w:t>However, challenges persist. Wang and Crawford (2018) identify disparities in access to elite placements, often favouring students with greater resources or networks. Similarly, Kell and Owen (2009) highlight the need for universities to better support students in integrating academic knowledge with professional expectations. Addressing these barriers requires innovative solutions, including the use of digital tools to democratise access to placements and streamline processes.</w:t>
      </w:r>
      <w:r w:rsidR="00BE0B92">
        <w:rPr>
          <w:rFonts w:ascii="Times New Roman" w:hAnsi="Times New Roman" w:cs="Times New Roman"/>
          <w:color w:val="000000"/>
          <w:kern w:val="0"/>
          <w14:ligatures w14:val="none"/>
        </w:rPr>
        <w:t xml:space="preserve">         </w:t>
      </w:r>
      <w:r w:rsidRPr="009414EA">
        <w:rPr>
          <w:rFonts w:ascii="Times New Roman" w:hAnsi="Times New Roman" w:cs="Times New Roman"/>
          <w:color w:val="000000"/>
          <w:kern w:val="0"/>
          <w14:ligatures w14:val="none"/>
        </w:rPr>
        <w:t xml:space="preserve">Digital platforms have emerged as a promising avenue for improving placement accessibility and guidance. Amos (2013) advocates for integrating technology into academic programmes, arguing that it enhances student engagement and provides centralised resources for exploring opportunities. For this project, such insights are instrumental in designing a webpage that not only connects students to placements but also offers tailored guidance to maximise their </w:t>
      </w:r>
      <w:r w:rsidR="00B65666">
        <w:rPr>
          <w:rFonts w:ascii="Times New Roman" w:hAnsi="Times New Roman" w:cs="Times New Roman"/>
          <w:color w:val="000000"/>
          <w:kern w:val="0"/>
          <w14:ligatures w14:val="none"/>
        </w:rPr>
        <w:t>opportunities.</w:t>
      </w:r>
    </w:p>
    <w:p w14:paraId="44024DBA" w14:textId="52CF4644" w:rsidR="00F36FAA" w:rsidRPr="00F36FAA" w:rsidRDefault="00327747" w:rsidP="009414EA">
      <w:pPr>
        <w:spacing w:before="100" w:beforeAutospacing="1" w:after="100" w:afterAutospacing="1" w:line="240" w:lineRule="auto"/>
        <w:divId w:val="346830622"/>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1.2 </w:t>
      </w:r>
      <w:r w:rsidR="00F36FAA">
        <w:rPr>
          <w:rFonts w:ascii="Times New Roman" w:hAnsi="Times New Roman" w:cs="Times New Roman"/>
          <w:b/>
          <w:bCs/>
          <w:color w:val="000000"/>
          <w:kern w:val="0"/>
          <w14:ligatures w14:val="none"/>
        </w:rPr>
        <w:t>Objectives of the Literature Review</w:t>
      </w:r>
      <w:r w:rsidR="00CA7CD2">
        <w:rPr>
          <w:rFonts w:ascii="Times New Roman" w:hAnsi="Times New Roman" w:cs="Times New Roman"/>
          <w:b/>
          <w:bCs/>
          <w:color w:val="000000"/>
          <w:kern w:val="0"/>
          <w14:ligatures w14:val="none"/>
        </w:rPr>
        <w:t xml:space="preserve"> </w:t>
      </w:r>
    </w:p>
    <w:p w14:paraId="5ACD4A50" w14:textId="77777777" w:rsidR="00866BB7" w:rsidRDefault="009414EA" w:rsidP="00866BB7">
      <w:pPr>
        <w:pStyle w:val="p1"/>
        <w:divId w:val="2019889498"/>
        <w:rPr>
          <w:rFonts w:ascii="Times New Roman" w:hAnsi="Times New Roman"/>
          <w:color w:val="000000"/>
        </w:rPr>
      </w:pPr>
      <w:r w:rsidRPr="009414EA">
        <w:rPr>
          <w:rFonts w:ascii="Times New Roman" w:hAnsi="Times New Roman"/>
          <w:color w:val="000000"/>
        </w:rPr>
        <w:t xml:space="preserve">This review will explore key themes, including theoretical foundations of work-based learning, the value of placements, the role of external opportunities, and the potential of technology in addressing gaps in placement accessibility. By </w:t>
      </w:r>
      <w:bookmarkStart w:id="0" w:name="_Int_tRZwiOWc"/>
      <w:r w:rsidRPr="009414EA">
        <w:rPr>
          <w:rFonts w:ascii="Times New Roman" w:hAnsi="Times New Roman"/>
          <w:color w:val="000000"/>
        </w:rPr>
        <w:t>identifying</w:t>
      </w:r>
      <w:bookmarkEnd w:id="0"/>
      <w:r w:rsidRPr="009414EA">
        <w:rPr>
          <w:rFonts w:ascii="Times New Roman" w:hAnsi="Times New Roman"/>
          <w:color w:val="000000"/>
        </w:rPr>
        <w:t xml:space="preserve"> existing challenges and opportunities, the review aims to provide a foundation for developing a resource that equips students with the tools to navigate their career paths effectively.</w:t>
      </w:r>
    </w:p>
    <w:p w14:paraId="774CE39D" w14:textId="772B7FA8" w:rsidR="00FA11E5" w:rsidRPr="00866BB7" w:rsidRDefault="00164386" w:rsidP="00866BB7">
      <w:pPr>
        <w:pStyle w:val="p1"/>
        <w:divId w:val="2019889498"/>
        <w:rPr>
          <w:sz w:val="22"/>
          <w:szCs w:val="22"/>
        </w:rPr>
      </w:pPr>
      <w:r>
        <w:rPr>
          <w:rFonts w:ascii="Times New Roman" w:eastAsia="Times New Roman" w:hAnsi="Symbol"/>
          <w:sz w:val="40"/>
          <w:szCs w:val="40"/>
        </w:rPr>
        <w:lastRenderedPageBreak/>
        <w:t>Section 2</w:t>
      </w:r>
      <w:r w:rsidR="00F36FAA">
        <w:rPr>
          <w:rFonts w:ascii="Times New Roman" w:eastAsia="Times New Roman" w:hAnsi="Symbol"/>
          <w:sz w:val="40"/>
          <w:szCs w:val="40"/>
        </w:rPr>
        <w:t xml:space="preserve"> </w:t>
      </w:r>
    </w:p>
    <w:p w14:paraId="0171D7AA" w14:textId="21541024" w:rsidR="00F36FAA" w:rsidRPr="00F36FAA" w:rsidRDefault="00D65568">
      <w:pPr>
        <w:pStyle w:val="NormalWeb"/>
        <w:divId w:val="1940021728"/>
        <w:rPr>
          <w:b/>
          <w:bCs/>
          <w:color w:val="000000"/>
        </w:rPr>
      </w:pPr>
      <w:r>
        <w:rPr>
          <w:b/>
          <w:bCs/>
          <w:color w:val="000000"/>
        </w:rPr>
        <w:t xml:space="preserve">2.1 </w:t>
      </w:r>
      <w:r w:rsidR="00F36FAA">
        <w:rPr>
          <w:b/>
          <w:bCs/>
          <w:color w:val="000000"/>
        </w:rPr>
        <w:t xml:space="preserve">Explanation of </w:t>
      </w:r>
      <w:proofErr w:type="spellStart"/>
      <w:r w:rsidR="00F36FAA">
        <w:rPr>
          <w:b/>
          <w:bCs/>
          <w:color w:val="000000"/>
        </w:rPr>
        <w:t>Kolb’s</w:t>
      </w:r>
      <w:proofErr w:type="spellEnd"/>
      <w:r w:rsidR="00F36FAA">
        <w:rPr>
          <w:b/>
          <w:bCs/>
          <w:color w:val="000000"/>
        </w:rPr>
        <w:t xml:space="preserve"> Theory</w:t>
      </w:r>
    </w:p>
    <w:p w14:paraId="12BD8776" w14:textId="2F08D8CC" w:rsidR="0038623C" w:rsidRDefault="0038623C">
      <w:pPr>
        <w:pStyle w:val="NormalWeb"/>
        <w:divId w:val="1940021728"/>
        <w:rPr>
          <w:color w:val="000000"/>
        </w:rPr>
      </w:pPr>
      <w:r>
        <w:rPr>
          <w:color w:val="000000"/>
        </w:rPr>
        <w:t xml:space="preserve">Work-based learning is deeply rooted in experiential learning theory, which has become a cornerstone in understanding how students develop professional competencies during placements. </w:t>
      </w:r>
      <w:proofErr w:type="spellStart"/>
      <w:r>
        <w:rPr>
          <w:color w:val="000000"/>
        </w:rPr>
        <w:t>Kolb’s</w:t>
      </w:r>
      <w:proofErr w:type="spellEnd"/>
      <w:r>
        <w:rPr>
          <w:color w:val="000000"/>
        </w:rPr>
        <w:t xml:space="preserve"> Experiential Learning Model (1984) offers a cyclical framework encompassing four stages: concrete experience, reflective observation, abstract </w:t>
      </w:r>
      <w:r w:rsidR="00EF62D1">
        <w:rPr>
          <w:color w:val="000000"/>
        </w:rPr>
        <w:t>conceptualisation</w:t>
      </w:r>
      <w:r>
        <w:rPr>
          <w:color w:val="000000"/>
        </w:rPr>
        <w:t xml:space="preserve">, and active experimentation. </w:t>
      </w:r>
      <w:proofErr w:type="spellStart"/>
      <w:r>
        <w:rPr>
          <w:color w:val="000000"/>
        </w:rPr>
        <w:t>Kolb</w:t>
      </w:r>
      <w:proofErr w:type="spellEnd"/>
      <w:r>
        <w:rPr>
          <w:color w:val="000000"/>
        </w:rPr>
        <w:t xml:space="preserve"> asserts, “Learning is the process whereby knowledge is created through the transformation of experience” (p. 38). This theory </w:t>
      </w:r>
      <w:r w:rsidR="00EF62D1">
        <w:rPr>
          <w:color w:val="000000"/>
        </w:rPr>
        <w:t>emphasises</w:t>
      </w:r>
      <w:r>
        <w:rPr>
          <w:color w:val="000000"/>
        </w:rPr>
        <w:t xml:space="preserve"> the interplay between theoretical knowledge and its application, making it particularly relevant to sports management placements, where real-world engagement is essential for skill acquisition.</w:t>
      </w:r>
    </w:p>
    <w:p w14:paraId="575C2E5C" w14:textId="6B259E14" w:rsidR="00F36FAA" w:rsidRDefault="00D65568">
      <w:pPr>
        <w:pStyle w:val="NormalWeb"/>
        <w:divId w:val="1940021728"/>
        <w:rPr>
          <w:b/>
          <w:bCs/>
          <w:color w:val="000000"/>
        </w:rPr>
      </w:pPr>
      <w:r>
        <w:rPr>
          <w:b/>
          <w:bCs/>
          <w:color w:val="000000"/>
        </w:rPr>
        <w:t xml:space="preserve">2.2 </w:t>
      </w:r>
      <w:r w:rsidR="00F36FAA">
        <w:rPr>
          <w:b/>
          <w:bCs/>
          <w:color w:val="000000"/>
        </w:rPr>
        <w:t xml:space="preserve">Application of </w:t>
      </w:r>
      <w:proofErr w:type="spellStart"/>
      <w:r w:rsidR="00F36FAA">
        <w:rPr>
          <w:b/>
          <w:bCs/>
          <w:color w:val="000000"/>
        </w:rPr>
        <w:t>Kolb’s</w:t>
      </w:r>
      <w:proofErr w:type="spellEnd"/>
      <w:r w:rsidR="00F36FAA">
        <w:rPr>
          <w:b/>
          <w:bCs/>
          <w:color w:val="000000"/>
        </w:rPr>
        <w:t xml:space="preserve"> Model to Placements</w:t>
      </w:r>
    </w:p>
    <w:p w14:paraId="0C0270A5" w14:textId="68F9EF3F" w:rsidR="0038623C" w:rsidRDefault="0038623C">
      <w:pPr>
        <w:pStyle w:val="NormalWeb"/>
        <w:divId w:val="1940021728"/>
        <w:rPr>
          <w:color w:val="000000"/>
        </w:rPr>
      </w:pPr>
      <w:r>
        <w:rPr>
          <w:color w:val="000000"/>
        </w:rPr>
        <w:t xml:space="preserve">Placements align strongly with the “concrete experience” phase of </w:t>
      </w:r>
      <w:proofErr w:type="spellStart"/>
      <w:r>
        <w:rPr>
          <w:color w:val="000000"/>
        </w:rPr>
        <w:t>Kolb’s</w:t>
      </w:r>
      <w:proofErr w:type="spellEnd"/>
      <w:r>
        <w:rPr>
          <w:color w:val="000000"/>
        </w:rPr>
        <w:t xml:space="preserve"> model, as they immerse students in practical tasks within professional environments. </w:t>
      </w:r>
      <w:proofErr w:type="spellStart"/>
      <w:r>
        <w:rPr>
          <w:color w:val="000000"/>
        </w:rPr>
        <w:t>Schellhase</w:t>
      </w:r>
      <w:proofErr w:type="spellEnd"/>
      <w:r>
        <w:rPr>
          <w:color w:val="000000"/>
        </w:rPr>
        <w:t xml:space="preserve"> (2006) highlights that experiential learning in athletic training provides students with opportunities to </w:t>
      </w:r>
      <w:r w:rsidR="001972B7">
        <w:rPr>
          <w:color w:val="000000"/>
        </w:rPr>
        <w:t xml:space="preserve">cross pathways of </w:t>
      </w:r>
      <w:r>
        <w:rPr>
          <w:color w:val="000000"/>
        </w:rPr>
        <w:t>classroom theory and hands-on practice. He argues that placements enable students to "</w:t>
      </w:r>
      <w:r w:rsidR="00EF62D1">
        <w:rPr>
          <w:color w:val="000000"/>
        </w:rPr>
        <w:t>internalise</w:t>
      </w:r>
      <w:r>
        <w:rPr>
          <w:color w:val="000000"/>
        </w:rPr>
        <w:t xml:space="preserve"> critical skills that align with professional standards in sports-related fields," thereby enhancing employability.</w:t>
      </w:r>
    </w:p>
    <w:p w14:paraId="6E6ACACD" w14:textId="77777777" w:rsidR="00A01CB8" w:rsidRDefault="00776B3F">
      <w:pPr>
        <w:pStyle w:val="NormalWeb"/>
        <w:divId w:val="1940021728"/>
        <w:rPr>
          <w:color w:val="000000"/>
        </w:rPr>
      </w:pPr>
      <w:r w:rsidRPr="00A01CB8">
        <w:rPr>
          <w:b/>
          <w:bCs/>
          <w:color w:val="000000"/>
        </w:rPr>
        <w:t>2.3 Leader-Member Exchange (LMX) Theory in Work-Based Learning</w:t>
      </w:r>
      <w:r>
        <w:rPr>
          <w:color w:val="000000"/>
        </w:rPr>
        <w:t xml:space="preserve"> </w:t>
      </w:r>
    </w:p>
    <w:p w14:paraId="54A814F3" w14:textId="6FECE71A" w:rsidR="0038623C" w:rsidRDefault="0038623C">
      <w:pPr>
        <w:pStyle w:val="NormalWeb"/>
        <w:divId w:val="1940021728"/>
        <w:rPr>
          <w:color w:val="000000"/>
        </w:rPr>
      </w:pPr>
      <w:r>
        <w:rPr>
          <w:color w:val="000000"/>
        </w:rPr>
        <w:t xml:space="preserve">Moreover, Chadwick et al. (2017) explore the relational dynamics within placements using Leader-Member Exchange theory, which </w:t>
      </w:r>
      <w:r w:rsidR="00EF62D1">
        <w:rPr>
          <w:color w:val="000000"/>
        </w:rPr>
        <w:t>emphasises</w:t>
      </w:r>
      <w:r>
        <w:rPr>
          <w:color w:val="000000"/>
        </w:rPr>
        <w:t xml:space="preserve"> the importance of high-quality exchanges between interns and supervisors. Positive supervisor-student interactions during placements are shown to foster confidence, collaboration, and critical thinking, aligning with </w:t>
      </w:r>
      <w:proofErr w:type="spellStart"/>
      <w:r>
        <w:rPr>
          <w:color w:val="000000"/>
        </w:rPr>
        <w:t>Kolb’s</w:t>
      </w:r>
      <w:proofErr w:type="spellEnd"/>
      <w:r>
        <w:rPr>
          <w:color w:val="000000"/>
        </w:rPr>
        <w:t xml:space="preserve"> “reflective observation” stage. Chadwick et al. suggest that “supervisors play a pivotal role in shaping students’ ability to process and apply their experiences,” thereby strengthening their preparedness for professional roles.</w:t>
      </w:r>
    </w:p>
    <w:p w14:paraId="302E985D" w14:textId="32F82806" w:rsidR="006777A6" w:rsidRPr="006777A6" w:rsidRDefault="00D65568">
      <w:pPr>
        <w:pStyle w:val="NormalWeb"/>
        <w:divId w:val="1940021728"/>
        <w:rPr>
          <w:b/>
          <w:bCs/>
          <w:color w:val="000000"/>
        </w:rPr>
      </w:pPr>
      <w:r>
        <w:rPr>
          <w:b/>
          <w:bCs/>
          <w:color w:val="000000"/>
        </w:rPr>
        <w:t xml:space="preserve">2.4 </w:t>
      </w:r>
      <w:r w:rsidR="006777A6">
        <w:rPr>
          <w:b/>
          <w:bCs/>
          <w:color w:val="000000"/>
        </w:rPr>
        <w:t>Defining Employability in higher Education</w:t>
      </w:r>
    </w:p>
    <w:p w14:paraId="4F389228" w14:textId="7A086C45" w:rsidR="0038623C" w:rsidRDefault="0038623C">
      <w:pPr>
        <w:pStyle w:val="NormalWeb"/>
        <w:divId w:val="1940021728"/>
        <w:rPr>
          <w:color w:val="000000"/>
        </w:rPr>
      </w:pPr>
      <w:r>
        <w:rPr>
          <w:color w:val="000000"/>
        </w:rPr>
        <w:t xml:space="preserve">Employability, a central concept in higher education, also intersects with experiential learning theory. According to Dinning (2017), universities must embed employability-focused initiatives into the curriculum to ensure students develop the skills demanded by industry. His study of a sports undergraduate program revealed that while students perceived placements as valuable, employers identified a gap in students’ ability to </w:t>
      </w:r>
      <w:r w:rsidR="00EF62D1">
        <w:rPr>
          <w:color w:val="000000"/>
        </w:rPr>
        <w:t>contextualise</w:t>
      </w:r>
      <w:r>
        <w:rPr>
          <w:color w:val="000000"/>
        </w:rPr>
        <w:t xml:space="preserve"> and apply their skills effectively in sports </w:t>
      </w:r>
      <w:r w:rsidR="00EF62D1">
        <w:rPr>
          <w:color w:val="000000"/>
        </w:rPr>
        <w:t>organisations</w:t>
      </w:r>
      <w:r>
        <w:rPr>
          <w:color w:val="000000"/>
        </w:rPr>
        <w:t xml:space="preserve">. This highlights the importance of guided reflection and mentorship during placements, as </w:t>
      </w:r>
      <w:r w:rsidR="00EF62D1">
        <w:rPr>
          <w:color w:val="000000"/>
        </w:rPr>
        <w:t>emphasised</w:t>
      </w:r>
      <w:r>
        <w:rPr>
          <w:color w:val="000000"/>
        </w:rPr>
        <w:t xml:space="preserve"> by </w:t>
      </w:r>
      <w:proofErr w:type="spellStart"/>
      <w:r>
        <w:rPr>
          <w:color w:val="000000"/>
        </w:rPr>
        <w:t>Kolb’s</w:t>
      </w:r>
      <w:proofErr w:type="spellEnd"/>
      <w:r>
        <w:rPr>
          <w:color w:val="000000"/>
        </w:rPr>
        <w:t xml:space="preserve"> model.</w:t>
      </w:r>
    </w:p>
    <w:p w14:paraId="484BE73E" w14:textId="77777777" w:rsidR="0038623C" w:rsidRDefault="0038623C">
      <w:pPr>
        <w:pStyle w:val="NormalWeb"/>
        <w:divId w:val="1940021728"/>
        <w:rPr>
          <w:color w:val="000000"/>
        </w:rPr>
      </w:pPr>
      <w:r>
        <w:rPr>
          <w:color w:val="000000"/>
        </w:rPr>
        <w:t xml:space="preserve">Additionally, the practical integration of experiential learning into facility operations is explored by Schwarz, Hall, and </w:t>
      </w:r>
      <w:proofErr w:type="spellStart"/>
      <w:r>
        <w:rPr>
          <w:color w:val="000000"/>
        </w:rPr>
        <w:t>Shibli</w:t>
      </w:r>
      <w:proofErr w:type="spellEnd"/>
      <w:r>
        <w:rPr>
          <w:color w:val="000000"/>
        </w:rPr>
        <w:t xml:space="preserve"> (2020). Their analysis of sports facility management underscores the importance of experiential learning in equipping students with competencies such as decision-making, resource management, and adaptability. They state, “Facility operations serve as a dynamic environment where students can test their theoretical </w:t>
      </w:r>
      <w:r>
        <w:rPr>
          <w:color w:val="000000"/>
        </w:rPr>
        <w:lastRenderedPageBreak/>
        <w:t>knowledge under real-world pressures, providing invaluable insights into the complexities of the sports industry.”</w:t>
      </w:r>
    </w:p>
    <w:p w14:paraId="22F2FFC8" w14:textId="3A048EB2" w:rsidR="0038623C" w:rsidRDefault="0038623C">
      <w:pPr>
        <w:pStyle w:val="NormalWeb"/>
        <w:divId w:val="1940021728"/>
        <w:rPr>
          <w:color w:val="000000"/>
        </w:rPr>
      </w:pPr>
      <w:r>
        <w:rPr>
          <w:color w:val="000000"/>
        </w:rPr>
        <w:t xml:space="preserve">Theories of experiential learning and employability converge in </w:t>
      </w:r>
      <w:r w:rsidR="00EF62D1">
        <w:rPr>
          <w:color w:val="000000"/>
        </w:rPr>
        <w:t>emphasising</w:t>
      </w:r>
      <w:r>
        <w:rPr>
          <w:color w:val="000000"/>
        </w:rPr>
        <w:t xml:space="preserve"> the importance of structured guidance and reflective practices during placements. Institutions must design placements that not only provide hands-on ex</w:t>
      </w:r>
      <w:r w:rsidR="00AC47CE">
        <w:rPr>
          <w:color w:val="000000"/>
        </w:rPr>
        <w:t xml:space="preserve">posure </w:t>
      </w:r>
      <w:r>
        <w:rPr>
          <w:color w:val="000000"/>
        </w:rPr>
        <w:t>but also facilitate critical reflection, enabling students to derive meaningful insights and improve their professional capabilities. As Dinning (2017) asserts, “Placements must go beyond routine tasks to challenge students in ways that prepare them for the complexities of their future careers.”</w:t>
      </w:r>
    </w:p>
    <w:p w14:paraId="5F4B4F5B" w14:textId="0AA4F131" w:rsidR="0038623C" w:rsidRDefault="0038623C">
      <w:pPr>
        <w:pStyle w:val="NormalWeb"/>
        <w:divId w:val="1940021728"/>
        <w:rPr>
          <w:color w:val="000000"/>
        </w:rPr>
      </w:pPr>
      <w:r>
        <w:rPr>
          <w:color w:val="000000"/>
        </w:rPr>
        <w:t xml:space="preserve">In summary, theoretical frameworks such as </w:t>
      </w:r>
      <w:proofErr w:type="spellStart"/>
      <w:r>
        <w:rPr>
          <w:color w:val="000000"/>
        </w:rPr>
        <w:t>Kolb’s</w:t>
      </w:r>
      <w:proofErr w:type="spellEnd"/>
      <w:r>
        <w:rPr>
          <w:color w:val="000000"/>
        </w:rPr>
        <w:t xml:space="preserve"> Experiential Learning Model and LMX theory highlight the value of placements in fostering professional growth. These frameworks </w:t>
      </w:r>
      <w:r w:rsidR="00EF62D1">
        <w:rPr>
          <w:color w:val="000000"/>
        </w:rPr>
        <w:t>emphasise</w:t>
      </w:r>
      <w:r>
        <w:rPr>
          <w:color w:val="000000"/>
        </w:rPr>
        <w:t xml:space="preserve"> the cyclical nature of learning, where experience, reflection, and application interact to develop well-rounded and employable graduates. By aligning placements with these theoretical principles, institutions can enhance the overall impact of work-based learning on student development.</w:t>
      </w:r>
    </w:p>
    <w:p w14:paraId="2DB5DDE8" w14:textId="4D5C4182" w:rsidR="00C8287F" w:rsidRPr="00E578B7" w:rsidRDefault="00C8287F">
      <w:pPr>
        <w:pStyle w:val="NormalWeb"/>
        <w:divId w:val="1940021728"/>
        <w:rPr>
          <w:color w:val="000000"/>
          <w:sz w:val="40"/>
          <w:szCs w:val="40"/>
        </w:rPr>
      </w:pPr>
      <w:r w:rsidRPr="00E578B7">
        <w:rPr>
          <w:color w:val="000000"/>
          <w:sz w:val="40"/>
          <w:szCs w:val="40"/>
        </w:rPr>
        <w:t>Section 3</w:t>
      </w:r>
    </w:p>
    <w:p w14:paraId="39C039D8" w14:textId="77777777" w:rsidR="00C8287F" w:rsidRPr="00C8287F" w:rsidRDefault="00C8287F" w:rsidP="00C8287F">
      <w:pPr>
        <w:spacing w:before="100" w:beforeAutospacing="1" w:after="100" w:afterAutospacing="1" w:line="240" w:lineRule="auto"/>
        <w:outlineLvl w:val="2"/>
        <w:divId w:val="1347292755"/>
        <w:rPr>
          <w:rFonts w:ascii="Times New Roman" w:eastAsia="Times New Roman" w:hAnsi="Times New Roman" w:cs="Times New Roman"/>
          <w:b/>
          <w:bCs/>
          <w:color w:val="000000"/>
          <w:kern w:val="0"/>
          <w:sz w:val="27"/>
          <w:szCs w:val="27"/>
          <w14:ligatures w14:val="none"/>
        </w:rPr>
      </w:pPr>
      <w:r w:rsidRPr="00C8287F">
        <w:rPr>
          <w:rFonts w:ascii="Times New Roman" w:eastAsia="Times New Roman" w:hAnsi="Times New Roman" w:cs="Times New Roman"/>
          <w:b/>
          <w:bCs/>
          <w:color w:val="000000"/>
          <w:kern w:val="0"/>
          <w:sz w:val="27"/>
          <w:szCs w:val="27"/>
          <w14:ligatures w14:val="none"/>
        </w:rPr>
        <w:t>The Importance of Placements in Higher Education</w:t>
      </w:r>
    </w:p>
    <w:p w14:paraId="1864FE78" w14:textId="12544BF5" w:rsidR="00114475" w:rsidRDefault="00D65568" w:rsidP="00C8287F">
      <w:pPr>
        <w:spacing w:before="100" w:beforeAutospacing="1" w:after="100" w:afterAutospacing="1" w:line="240" w:lineRule="auto"/>
        <w:divId w:val="1347292755"/>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3.1 </w:t>
      </w:r>
      <w:r w:rsidR="00114475">
        <w:rPr>
          <w:rFonts w:ascii="Times New Roman" w:hAnsi="Times New Roman" w:cs="Times New Roman"/>
          <w:b/>
          <w:bCs/>
          <w:color w:val="000000"/>
          <w:kern w:val="0"/>
          <w14:ligatures w14:val="none"/>
        </w:rPr>
        <w:t>Benefits of Placements for Students</w:t>
      </w:r>
    </w:p>
    <w:p w14:paraId="1E77F075" w14:textId="3403FF46" w:rsidR="00C8287F" w:rsidRP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Placements in higher education are pivotal in bridging the gap between theoretical knowledge and practical application. They provide students with an opportunity to gain hands-on experience, develop industry-specific skills, and enhance their employability. As Bowers-Brown and Harvey (2004) argue, “The employability of graduates is no longer an optional extra but a core outcome of higher education.” Their analysis highlights the increasing pressure on universities to ensure that students are adequately prepared for the competitive job market, where placements act as a vital mechanism for skill acquisition and industry exposure.</w:t>
      </w:r>
    </w:p>
    <w:p w14:paraId="7A507BF0" w14:textId="3B30564F" w:rsid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 xml:space="preserve">For sports management students, placements offer unique opportunities to immerse themselves in professional environments where they can refine their coaching and </w:t>
      </w:r>
      <w:r w:rsidR="00D4792D" w:rsidRPr="00C8287F">
        <w:rPr>
          <w:rFonts w:ascii="Times New Roman" w:hAnsi="Times New Roman" w:cs="Times New Roman"/>
          <w:color w:val="000000"/>
          <w:kern w:val="0"/>
          <w14:ligatures w14:val="none"/>
        </w:rPr>
        <w:t>organisational</w:t>
      </w:r>
      <w:r w:rsidRPr="00C8287F">
        <w:rPr>
          <w:rFonts w:ascii="Times New Roman" w:hAnsi="Times New Roman" w:cs="Times New Roman"/>
          <w:color w:val="000000"/>
          <w:kern w:val="0"/>
          <w14:ligatures w14:val="none"/>
        </w:rPr>
        <w:t xml:space="preserve"> skills. Cassidy, Jones, and </w:t>
      </w:r>
      <w:proofErr w:type="spellStart"/>
      <w:r w:rsidRPr="00C8287F">
        <w:rPr>
          <w:rFonts w:ascii="Times New Roman" w:hAnsi="Times New Roman" w:cs="Times New Roman"/>
          <w:color w:val="000000"/>
          <w:kern w:val="0"/>
          <w14:ligatures w14:val="none"/>
        </w:rPr>
        <w:t>Potrac</w:t>
      </w:r>
      <w:proofErr w:type="spellEnd"/>
      <w:r w:rsidRPr="00C8287F">
        <w:rPr>
          <w:rFonts w:ascii="Times New Roman" w:hAnsi="Times New Roman" w:cs="Times New Roman"/>
          <w:color w:val="000000"/>
          <w:kern w:val="0"/>
          <w14:ligatures w14:val="none"/>
        </w:rPr>
        <w:t xml:space="preserve"> (2009) </w:t>
      </w:r>
      <w:r w:rsidR="00D4792D" w:rsidRPr="00C8287F">
        <w:rPr>
          <w:rFonts w:ascii="Times New Roman" w:hAnsi="Times New Roman" w:cs="Times New Roman"/>
          <w:color w:val="000000"/>
          <w:kern w:val="0"/>
          <w14:ligatures w14:val="none"/>
        </w:rPr>
        <w:t>emphasise</w:t>
      </w:r>
      <w:r w:rsidRPr="00C8287F">
        <w:rPr>
          <w:rFonts w:ascii="Times New Roman" w:hAnsi="Times New Roman" w:cs="Times New Roman"/>
          <w:color w:val="000000"/>
          <w:kern w:val="0"/>
          <w14:ligatures w14:val="none"/>
        </w:rPr>
        <w:t xml:space="preserve"> the significance of placements in sports coaching, noting that they allow students to understand the pedagogical and cultural nuances of coaching practices. They assert, “Placements challenge students to adapt to complex environments, helping them navigate the realities of professional practice beyond the classroom.” This practical exposure is crucial for fostering resilience, critical thinking, and adaptability—attributes highly valued by employers.</w:t>
      </w:r>
    </w:p>
    <w:p w14:paraId="3BC427ED" w14:textId="2F5AEA11" w:rsidR="00114475" w:rsidRPr="00114475" w:rsidRDefault="00C32142" w:rsidP="00C8287F">
      <w:pPr>
        <w:spacing w:before="100" w:beforeAutospacing="1" w:after="100" w:afterAutospacing="1" w:line="240" w:lineRule="auto"/>
        <w:divId w:val="1347292755"/>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3.2 </w:t>
      </w:r>
      <w:r w:rsidR="00114475">
        <w:rPr>
          <w:rFonts w:ascii="Times New Roman" w:hAnsi="Times New Roman" w:cs="Times New Roman"/>
          <w:b/>
          <w:bCs/>
          <w:color w:val="000000"/>
          <w:kern w:val="0"/>
          <w14:ligatures w14:val="none"/>
        </w:rPr>
        <w:t>Challenges in Placement Accessibility</w:t>
      </w:r>
    </w:p>
    <w:p w14:paraId="7CAF924E" w14:textId="77777777" w:rsid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 xml:space="preserve">Despite their benefits, placements also present challenges for both students and institutions. </w:t>
      </w:r>
      <w:proofErr w:type="spellStart"/>
      <w:r w:rsidRPr="00C8287F">
        <w:rPr>
          <w:rFonts w:ascii="Times New Roman" w:hAnsi="Times New Roman" w:cs="Times New Roman"/>
          <w:color w:val="000000"/>
          <w:kern w:val="0"/>
          <w14:ligatures w14:val="none"/>
        </w:rPr>
        <w:t>Farnell</w:t>
      </w:r>
      <w:proofErr w:type="spellEnd"/>
      <w:r w:rsidRPr="00C8287F">
        <w:rPr>
          <w:rFonts w:ascii="Times New Roman" w:hAnsi="Times New Roman" w:cs="Times New Roman"/>
          <w:color w:val="000000"/>
          <w:kern w:val="0"/>
          <w14:ligatures w14:val="none"/>
        </w:rPr>
        <w:t xml:space="preserve"> (2015) identifies a mismatch between the expectations of employers and the perceptions of students regarding their readiness for professional roles. Employers often report that students struggle to translate their academic knowledge into actionable skills in the workplace. This highlights the need for structured placement programs that include clear learning outcomes, mentoring, and reflective practices. As </w:t>
      </w:r>
      <w:proofErr w:type="spellStart"/>
      <w:r w:rsidRPr="00C8287F">
        <w:rPr>
          <w:rFonts w:ascii="Times New Roman" w:hAnsi="Times New Roman" w:cs="Times New Roman"/>
          <w:color w:val="000000"/>
          <w:kern w:val="0"/>
          <w14:ligatures w14:val="none"/>
        </w:rPr>
        <w:t>Farnell</w:t>
      </w:r>
      <w:proofErr w:type="spellEnd"/>
      <w:r w:rsidRPr="00C8287F">
        <w:rPr>
          <w:rFonts w:ascii="Times New Roman" w:hAnsi="Times New Roman" w:cs="Times New Roman"/>
          <w:color w:val="000000"/>
          <w:kern w:val="0"/>
          <w14:ligatures w14:val="none"/>
        </w:rPr>
        <w:t xml:space="preserve"> suggests, “Placements </w:t>
      </w:r>
      <w:r w:rsidRPr="00C8287F">
        <w:rPr>
          <w:rFonts w:ascii="Times New Roman" w:hAnsi="Times New Roman" w:cs="Times New Roman"/>
          <w:color w:val="000000"/>
          <w:kern w:val="0"/>
          <w14:ligatures w14:val="none"/>
        </w:rPr>
        <w:lastRenderedPageBreak/>
        <w:t>must be designed to provide students with the tools to critically evaluate their experiences and build on their strengths.”</w:t>
      </w:r>
    </w:p>
    <w:p w14:paraId="77EC0AD4" w14:textId="3DD95DF2" w:rsidR="00114475" w:rsidRPr="00114475" w:rsidRDefault="00C32142" w:rsidP="00C8287F">
      <w:pPr>
        <w:spacing w:before="100" w:beforeAutospacing="1" w:after="100" w:afterAutospacing="1" w:line="240" w:lineRule="auto"/>
        <w:divId w:val="1347292755"/>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3.3 </w:t>
      </w:r>
      <w:r w:rsidR="00114475">
        <w:rPr>
          <w:rFonts w:ascii="Times New Roman" w:hAnsi="Times New Roman" w:cs="Times New Roman"/>
          <w:b/>
          <w:bCs/>
          <w:color w:val="000000"/>
          <w:kern w:val="0"/>
          <w14:ligatures w14:val="none"/>
        </w:rPr>
        <w:t>Sustainability and Inclusivity in Placements</w:t>
      </w:r>
    </w:p>
    <w:p w14:paraId="768CBEBB" w14:textId="77777777" w:rsidR="00C8287F" w:rsidRP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 xml:space="preserve">Sustainability is another critical factor influencing the design and implementation of placements. </w:t>
      </w:r>
      <w:proofErr w:type="spellStart"/>
      <w:r w:rsidRPr="00C8287F">
        <w:rPr>
          <w:rFonts w:ascii="Times New Roman" w:hAnsi="Times New Roman" w:cs="Times New Roman"/>
          <w:color w:val="000000"/>
          <w:kern w:val="0"/>
          <w14:ligatures w14:val="none"/>
        </w:rPr>
        <w:t>Tortora</w:t>
      </w:r>
      <w:proofErr w:type="spellEnd"/>
      <w:r w:rsidRPr="00C8287F">
        <w:rPr>
          <w:rFonts w:ascii="Times New Roman" w:hAnsi="Times New Roman" w:cs="Times New Roman"/>
          <w:color w:val="000000"/>
          <w:kern w:val="0"/>
          <w14:ligatures w14:val="none"/>
        </w:rPr>
        <w:t xml:space="preserve"> (2018) explores the intersection of sustainability and placements, arguing that universities must adopt a long-term perspective to ensure that placement opportunities are equitable and accessible to all students. </w:t>
      </w:r>
      <w:proofErr w:type="spellStart"/>
      <w:r w:rsidRPr="00C8287F">
        <w:rPr>
          <w:rFonts w:ascii="Times New Roman" w:hAnsi="Times New Roman" w:cs="Times New Roman"/>
          <w:color w:val="000000"/>
          <w:kern w:val="0"/>
          <w14:ligatures w14:val="none"/>
        </w:rPr>
        <w:t>Tortora</w:t>
      </w:r>
      <w:proofErr w:type="spellEnd"/>
      <w:r w:rsidRPr="00C8287F">
        <w:rPr>
          <w:rFonts w:ascii="Times New Roman" w:hAnsi="Times New Roman" w:cs="Times New Roman"/>
          <w:color w:val="000000"/>
          <w:kern w:val="0"/>
          <w14:ligatures w14:val="none"/>
        </w:rPr>
        <w:t xml:space="preserve"> highlights how some students face barriers such as financial constraints and limited access to high-quality placements, which can exacerbate inequalities in employability outcomes. By addressing these challenges, institutions can create more inclusive placement systems that benefit a broader range of students.</w:t>
      </w:r>
    </w:p>
    <w:p w14:paraId="6FE84D67" w14:textId="77777777" w:rsidR="00E47279" w:rsidRDefault="00133B4D"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E47279">
        <w:rPr>
          <w:rFonts w:ascii="Times New Roman" w:hAnsi="Times New Roman" w:cs="Times New Roman"/>
          <w:b/>
          <w:bCs/>
          <w:color w:val="000000"/>
        </w:rPr>
        <w:t>3.4 International Placements and Global Competencies</w:t>
      </w:r>
      <w:r w:rsidRPr="00C8287F">
        <w:rPr>
          <w:rFonts w:ascii="Times New Roman" w:hAnsi="Times New Roman" w:cs="Times New Roman"/>
          <w:color w:val="000000"/>
          <w:kern w:val="0"/>
          <w14:ligatures w14:val="none"/>
        </w:rPr>
        <w:t xml:space="preserve"> </w:t>
      </w:r>
    </w:p>
    <w:p w14:paraId="107E0AA4" w14:textId="56755FC8" w:rsidR="00C8287F" w:rsidRP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 xml:space="preserve">Furthermore, placements are increasingly </w:t>
      </w:r>
      <w:r w:rsidR="00452D5E" w:rsidRPr="00C8287F">
        <w:rPr>
          <w:rFonts w:ascii="Times New Roman" w:hAnsi="Times New Roman" w:cs="Times New Roman"/>
          <w:color w:val="000000"/>
          <w:kern w:val="0"/>
          <w14:ligatures w14:val="none"/>
        </w:rPr>
        <w:t>recognised</w:t>
      </w:r>
      <w:r w:rsidRPr="00C8287F">
        <w:rPr>
          <w:rFonts w:ascii="Times New Roman" w:hAnsi="Times New Roman" w:cs="Times New Roman"/>
          <w:color w:val="000000"/>
          <w:kern w:val="0"/>
          <w14:ligatures w14:val="none"/>
        </w:rPr>
        <w:t xml:space="preserve"> as a means of fostering global competencies and intercultural awareness. Wand and </w:t>
      </w:r>
      <w:proofErr w:type="spellStart"/>
      <w:r w:rsidRPr="00C8287F">
        <w:rPr>
          <w:rFonts w:ascii="Times New Roman" w:hAnsi="Times New Roman" w:cs="Times New Roman"/>
          <w:color w:val="000000"/>
          <w:kern w:val="0"/>
          <w14:ligatures w14:val="none"/>
        </w:rPr>
        <w:t>Rambukkwella</w:t>
      </w:r>
      <w:proofErr w:type="spellEnd"/>
      <w:r w:rsidRPr="00C8287F">
        <w:rPr>
          <w:rFonts w:ascii="Times New Roman" w:hAnsi="Times New Roman" w:cs="Times New Roman"/>
          <w:color w:val="000000"/>
          <w:kern w:val="0"/>
          <w14:ligatures w14:val="none"/>
        </w:rPr>
        <w:t xml:space="preserve"> (2018) </w:t>
      </w:r>
      <w:r w:rsidR="00452D5E" w:rsidRPr="00C8287F">
        <w:rPr>
          <w:rFonts w:ascii="Times New Roman" w:hAnsi="Times New Roman" w:cs="Times New Roman"/>
          <w:color w:val="000000"/>
          <w:kern w:val="0"/>
          <w14:ligatures w14:val="none"/>
        </w:rPr>
        <w:t>emphasise</w:t>
      </w:r>
      <w:r w:rsidRPr="00C8287F">
        <w:rPr>
          <w:rFonts w:ascii="Times New Roman" w:hAnsi="Times New Roman" w:cs="Times New Roman"/>
          <w:color w:val="000000"/>
          <w:kern w:val="0"/>
          <w14:ligatures w14:val="none"/>
        </w:rPr>
        <w:t xml:space="preserve"> the value of international placements, which expose students to diverse cultural and professional contexts. They state, “Global placements not only enhance employability but also cultivate critical skills such as cultural adaptability and global citizenship.” This aligns with the broader goal of higher education to prepare students for success in an interconnected and rapidly changing world.</w:t>
      </w:r>
    </w:p>
    <w:p w14:paraId="4E6AEF0C" w14:textId="5D88BDA0" w:rsidR="00C8287F" w:rsidRPr="00C8287F" w:rsidRDefault="00C8287F" w:rsidP="00C8287F">
      <w:pPr>
        <w:spacing w:before="100" w:beforeAutospacing="1" w:after="100" w:afterAutospacing="1" w:line="240" w:lineRule="auto"/>
        <w:divId w:val="1347292755"/>
        <w:rPr>
          <w:rFonts w:ascii="Times New Roman" w:hAnsi="Times New Roman" w:cs="Times New Roman"/>
          <w:color w:val="000000"/>
          <w:kern w:val="0"/>
          <w14:ligatures w14:val="none"/>
        </w:rPr>
      </w:pPr>
      <w:r w:rsidRPr="00C8287F">
        <w:rPr>
          <w:rFonts w:ascii="Times New Roman" w:hAnsi="Times New Roman" w:cs="Times New Roman"/>
          <w:color w:val="000000"/>
          <w:kern w:val="0"/>
          <w14:ligatures w14:val="none"/>
        </w:rPr>
        <w:t xml:space="preserve">In summary, placements are an indispensable component of higher education, offering students invaluable opportunities to apply their learning, develop professional skills, and enhance their employability. However, to </w:t>
      </w:r>
      <w:r w:rsidR="00452D5E" w:rsidRPr="00C8287F">
        <w:rPr>
          <w:rFonts w:ascii="Times New Roman" w:hAnsi="Times New Roman" w:cs="Times New Roman"/>
          <w:color w:val="000000"/>
          <w:kern w:val="0"/>
          <w14:ligatures w14:val="none"/>
        </w:rPr>
        <w:t>maximise</w:t>
      </w:r>
      <w:r w:rsidRPr="00C8287F">
        <w:rPr>
          <w:rFonts w:ascii="Times New Roman" w:hAnsi="Times New Roman" w:cs="Times New Roman"/>
          <w:color w:val="000000"/>
          <w:kern w:val="0"/>
          <w14:ligatures w14:val="none"/>
        </w:rPr>
        <w:t xml:space="preserve"> their impact, institutions must address challenges such as accessibility, sustainability, and the alignment of expectations between students and employers. By doing so, placements can serve as a powerful tool for preparing graduates to navigate the complexities of the modern workforce.</w:t>
      </w:r>
    </w:p>
    <w:p w14:paraId="4C18039C" w14:textId="77777777" w:rsidR="00C8287F" w:rsidRDefault="00C8287F">
      <w:pPr>
        <w:pStyle w:val="NormalWeb"/>
        <w:divId w:val="1940021728"/>
        <w:rPr>
          <w:color w:val="000000"/>
        </w:rPr>
      </w:pPr>
    </w:p>
    <w:p w14:paraId="262CDAB3" w14:textId="245E2370" w:rsidR="00164386" w:rsidRPr="00164386" w:rsidRDefault="00667D3D">
      <w:pPr>
        <w:rPr>
          <w:rFonts w:ascii="Times New Roman" w:eastAsia="Times New Roman" w:hAnsi="Symbol" w:cs="Times New Roman"/>
          <w:kern w:val="0"/>
          <w:sz w:val="40"/>
          <w:szCs w:val="40"/>
          <w14:ligatures w14:val="none"/>
        </w:rPr>
      </w:pPr>
      <w:r>
        <w:rPr>
          <w:rFonts w:ascii="Times New Roman" w:eastAsia="Times New Roman" w:hAnsi="Symbol" w:cs="Times New Roman"/>
          <w:kern w:val="0"/>
          <w:sz w:val="40"/>
          <w:szCs w:val="40"/>
          <w14:ligatures w14:val="none"/>
        </w:rPr>
        <w:t xml:space="preserve">Section 4 </w:t>
      </w:r>
    </w:p>
    <w:p w14:paraId="6D6268AE" w14:textId="77777777" w:rsidR="00690A12" w:rsidRPr="00690A12" w:rsidRDefault="00690A12" w:rsidP="00690A12">
      <w:pPr>
        <w:spacing w:before="100" w:beforeAutospacing="1" w:after="100" w:afterAutospacing="1" w:line="240" w:lineRule="auto"/>
        <w:outlineLvl w:val="2"/>
        <w:divId w:val="35618459"/>
        <w:rPr>
          <w:rFonts w:ascii="Times New Roman" w:eastAsia="Times New Roman" w:hAnsi="Times New Roman" w:cs="Times New Roman"/>
          <w:b/>
          <w:bCs/>
          <w:color w:val="000000"/>
          <w:kern w:val="0"/>
          <w:sz w:val="27"/>
          <w:szCs w:val="27"/>
          <w14:ligatures w14:val="none"/>
        </w:rPr>
      </w:pPr>
      <w:r w:rsidRPr="00690A12">
        <w:rPr>
          <w:rFonts w:ascii="Times New Roman" w:eastAsia="Times New Roman" w:hAnsi="Times New Roman" w:cs="Times New Roman"/>
          <w:b/>
          <w:bCs/>
          <w:color w:val="000000"/>
          <w:kern w:val="0"/>
          <w:sz w:val="27"/>
          <w:szCs w:val="27"/>
          <w14:ligatures w14:val="none"/>
        </w:rPr>
        <w:t>External Opportunities: Summer Camps and International Experiences</w:t>
      </w:r>
    </w:p>
    <w:p w14:paraId="1CDDD254" w14:textId="1D11F11D" w:rsidR="00114475" w:rsidRDefault="00C32142" w:rsidP="00690A12">
      <w:pPr>
        <w:spacing w:before="100" w:beforeAutospacing="1" w:after="100" w:afterAutospacing="1" w:line="240" w:lineRule="auto"/>
        <w:divId w:val="35618459"/>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4.1 </w:t>
      </w:r>
      <w:r w:rsidR="00114475">
        <w:rPr>
          <w:rFonts w:ascii="Times New Roman" w:hAnsi="Times New Roman" w:cs="Times New Roman"/>
          <w:b/>
          <w:bCs/>
          <w:color w:val="000000"/>
          <w:kern w:val="0"/>
          <w14:ligatures w14:val="none"/>
        </w:rPr>
        <w:t>Value of External Opportunities</w:t>
      </w:r>
    </w:p>
    <w:p w14:paraId="7356C0E3" w14:textId="4F06C94E" w:rsidR="00690A12" w:rsidRPr="00690A12" w:rsidRDefault="00690A12" w:rsidP="00690A12">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External opportunities such as summer camps, internships abroad, and international placements have become critical components of work-integrated learning in higher education. Th</w:t>
      </w:r>
      <w:r w:rsidR="00F03C7E">
        <w:rPr>
          <w:rFonts w:ascii="Times New Roman" w:hAnsi="Times New Roman" w:cs="Times New Roman"/>
          <w:color w:val="000000"/>
          <w:kern w:val="0"/>
          <w14:ligatures w14:val="none"/>
        </w:rPr>
        <w:t>is de</w:t>
      </w:r>
      <w:r w:rsidR="00D80201">
        <w:rPr>
          <w:rFonts w:ascii="Times New Roman" w:hAnsi="Times New Roman" w:cs="Times New Roman"/>
          <w:color w:val="000000"/>
          <w:kern w:val="0"/>
          <w14:ligatures w14:val="none"/>
        </w:rPr>
        <w:t>velopment</w:t>
      </w:r>
      <w:r w:rsidRPr="00690A12">
        <w:rPr>
          <w:rFonts w:ascii="Times New Roman" w:hAnsi="Times New Roman" w:cs="Times New Roman"/>
          <w:color w:val="000000"/>
          <w:kern w:val="0"/>
          <w14:ligatures w14:val="none"/>
        </w:rPr>
        <w:t xml:space="preserve"> offer</w:t>
      </w:r>
      <w:r w:rsidR="00D80201">
        <w:rPr>
          <w:rFonts w:ascii="Times New Roman" w:hAnsi="Times New Roman" w:cs="Times New Roman"/>
          <w:color w:val="000000"/>
          <w:kern w:val="0"/>
          <w14:ligatures w14:val="none"/>
        </w:rPr>
        <w:t>s</w:t>
      </w:r>
      <w:r w:rsidRPr="00690A12">
        <w:rPr>
          <w:rFonts w:ascii="Times New Roman" w:hAnsi="Times New Roman" w:cs="Times New Roman"/>
          <w:color w:val="000000"/>
          <w:kern w:val="0"/>
          <w14:ligatures w14:val="none"/>
        </w:rPr>
        <w:t xml:space="preserve"> students not only the chance to apply theoretical knowledge in practical settings but also the opportunity to develop global competencies and a broader understanding of professional expectations across cultural contexts. Martin and Fleming (2022) highlight the transformative potential of international placements, asserting that they “enhance professional competencies by fostering adaptability, intercultural awareness, and a global perspective—skills essential in an increasingly interconnected world.”</w:t>
      </w:r>
    </w:p>
    <w:p w14:paraId="674F1B30" w14:textId="77777777" w:rsidR="00A1165A" w:rsidRDefault="00A1165A" w:rsidP="00690A12">
      <w:pPr>
        <w:spacing w:before="100" w:beforeAutospacing="1" w:after="100" w:afterAutospacing="1" w:line="240" w:lineRule="auto"/>
        <w:divId w:val="35618459"/>
        <w:rPr>
          <w:rFonts w:ascii="Times New Roman" w:hAnsi="Times New Roman" w:cs="Times New Roman"/>
          <w:b/>
          <w:bCs/>
          <w:color w:val="000000"/>
          <w:kern w:val="0"/>
          <w14:ligatures w14:val="none"/>
        </w:rPr>
      </w:pPr>
    </w:p>
    <w:p w14:paraId="170C24F0" w14:textId="77777777" w:rsidR="00A1165A" w:rsidRDefault="00A1165A" w:rsidP="00690A12">
      <w:pPr>
        <w:spacing w:before="100" w:beforeAutospacing="1" w:after="100" w:afterAutospacing="1" w:line="240" w:lineRule="auto"/>
        <w:divId w:val="35618459"/>
        <w:rPr>
          <w:rFonts w:ascii="Times New Roman" w:hAnsi="Times New Roman" w:cs="Times New Roman"/>
          <w:b/>
          <w:bCs/>
          <w:color w:val="000000"/>
          <w:kern w:val="0"/>
          <w14:ligatures w14:val="none"/>
        </w:rPr>
      </w:pPr>
    </w:p>
    <w:p w14:paraId="757C5D5F" w14:textId="60D2EE48" w:rsidR="00E92CBE" w:rsidRPr="00E92CBE" w:rsidRDefault="00E92CBE" w:rsidP="00690A12">
      <w:pPr>
        <w:spacing w:before="100" w:beforeAutospacing="1" w:after="100" w:afterAutospacing="1" w:line="240" w:lineRule="auto"/>
        <w:divId w:val="35618459"/>
        <w:rPr>
          <w:rFonts w:ascii="Times New Roman" w:hAnsi="Times New Roman" w:cs="Times New Roman"/>
          <w:b/>
          <w:bCs/>
          <w:color w:val="000000"/>
          <w:kern w:val="0"/>
          <w14:ligatures w14:val="none"/>
        </w:rPr>
      </w:pPr>
      <w:r w:rsidRPr="00E92CBE">
        <w:rPr>
          <w:rFonts w:ascii="Times New Roman" w:hAnsi="Times New Roman" w:cs="Times New Roman"/>
          <w:b/>
          <w:bCs/>
          <w:color w:val="000000"/>
          <w:kern w:val="0"/>
          <w14:ligatures w14:val="none"/>
        </w:rPr>
        <w:t>4.2 Benefits of Summer Camps and International Placements</w:t>
      </w:r>
    </w:p>
    <w:p w14:paraId="6232B109" w14:textId="1CD6BF7A" w:rsidR="00690A12" w:rsidRPr="00690A12" w:rsidRDefault="00690A12" w:rsidP="00690A12">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Summer camps, in particular, provide a unique context for learning and personal development. Morris et al. (2017) explore the impact of summer placements on student-athletes, finding that such</w:t>
      </w:r>
      <w:r w:rsidR="001A78CE">
        <w:rPr>
          <w:rFonts w:ascii="Times New Roman" w:hAnsi="Times New Roman" w:cs="Times New Roman"/>
          <w:color w:val="000000"/>
          <w:kern w:val="0"/>
          <w14:ligatures w14:val="none"/>
        </w:rPr>
        <w:t xml:space="preserve"> encounters si</w:t>
      </w:r>
      <w:r w:rsidRPr="00690A12">
        <w:rPr>
          <w:rFonts w:ascii="Times New Roman" w:hAnsi="Times New Roman" w:cs="Times New Roman"/>
          <w:color w:val="000000"/>
          <w:kern w:val="0"/>
          <w14:ligatures w14:val="none"/>
        </w:rPr>
        <w:t>gnificantly contribute to their well-being and self-esteem. They note, “Summer camps provide a supportive environment where students can experiment with leadership roles, navigate team dynamics, and cultivate resilience.” These opportunities not only prepare students for their future careers but also contribute to their personal growth and emotional development.</w:t>
      </w:r>
    </w:p>
    <w:p w14:paraId="4DBE87C0" w14:textId="77777777" w:rsidR="00690A12" w:rsidRPr="00690A12" w:rsidRDefault="00690A12" w:rsidP="00690A12">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Similarly, work-integrated learning placements abroad expose students to diverse professional environments and help them build transferable skills. Hall, Pascoe, and Charity (2017) investigate the impact of external placements on graduate attributes, finding that students who participate in such experiences report higher levels of self-confidence, problem-solving skills, and adaptability. They state, “The international dimension of placements equips students with the ability to work in multicultural teams, handle complex challenges, and navigate unfamiliar organisational structures—qualities that employers highly value.”</w:t>
      </w:r>
    </w:p>
    <w:p w14:paraId="216AB6A8" w14:textId="289F3FF1" w:rsidR="00690A12" w:rsidRPr="00690A12" w:rsidRDefault="00690A12" w:rsidP="00690A12">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 xml:space="preserve">A significant advantage of external opportunities is their ability to boost students’ self-efficacy. </w:t>
      </w:r>
      <w:proofErr w:type="spellStart"/>
      <w:r w:rsidRPr="00690A12">
        <w:rPr>
          <w:rFonts w:ascii="Times New Roman" w:hAnsi="Times New Roman" w:cs="Times New Roman"/>
          <w:color w:val="000000"/>
          <w:kern w:val="0"/>
          <w14:ligatures w14:val="none"/>
        </w:rPr>
        <w:t>Ngo</w:t>
      </w:r>
      <w:proofErr w:type="spellEnd"/>
      <w:r w:rsidRPr="00690A12">
        <w:rPr>
          <w:rFonts w:ascii="Times New Roman" w:hAnsi="Times New Roman" w:cs="Times New Roman"/>
          <w:color w:val="000000"/>
          <w:kern w:val="0"/>
          <w14:ligatures w14:val="none"/>
        </w:rPr>
        <w:t xml:space="preserve"> and Weldon (2019) examined the effects of WIL on undergraduate sports coaching students and found that participants in external placements demonstrated higher levels of workplace self-efficacy compared to their peers. The researchers argue, “Work-integrated learning, particularly in external settings, enables students to overcome the uncertainties of transitioning into professional roles by providing them with hands-on </w:t>
      </w:r>
      <w:r w:rsidR="001A78CE">
        <w:rPr>
          <w:rFonts w:ascii="Times New Roman" w:hAnsi="Times New Roman" w:cs="Times New Roman"/>
          <w:color w:val="000000"/>
          <w:kern w:val="0"/>
          <w14:ligatures w14:val="none"/>
        </w:rPr>
        <w:t>lear</w:t>
      </w:r>
      <w:r w:rsidR="00122EDF">
        <w:rPr>
          <w:rFonts w:ascii="Times New Roman" w:hAnsi="Times New Roman" w:cs="Times New Roman"/>
          <w:color w:val="000000"/>
          <w:kern w:val="0"/>
          <w14:ligatures w14:val="none"/>
        </w:rPr>
        <w:t>ning</w:t>
      </w:r>
      <w:r w:rsidRPr="00690A12">
        <w:rPr>
          <w:rFonts w:ascii="Times New Roman" w:hAnsi="Times New Roman" w:cs="Times New Roman"/>
          <w:color w:val="000000"/>
          <w:kern w:val="0"/>
          <w14:ligatures w14:val="none"/>
        </w:rPr>
        <w:t xml:space="preserve"> and practical skillsets.”</w:t>
      </w:r>
    </w:p>
    <w:p w14:paraId="095B9B1A" w14:textId="3EC5F4C1" w:rsidR="00114475" w:rsidRDefault="00A1165A" w:rsidP="00690A12">
      <w:pPr>
        <w:spacing w:before="100" w:beforeAutospacing="1" w:after="100" w:afterAutospacing="1" w:line="240" w:lineRule="auto"/>
        <w:divId w:val="35618459"/>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4.3 </w:t>
      </w:r>
      <w:r w:rsidR="00114475">
        <w:rPr>
          <w:rFonts w:ascii="Times New Roman" w:hAnsi="Times New Roman" w:cs="Times New Roman"/>
          <w:b/>
          <w:bCs/>
          <w:color w:val="000000"/>
          <w:kern w:val="0"/>
          <w14:ligatures w14:val="none"/>
        </w:rPr>
        <w:t>Barriers to Accessing External Opportunities</w:t>
      </w:r>
    </w:p>
    <w:p w14:paraId="15EDFFB5" w14:textId="2689A3BF" w:rsidR="00690A12" w:rsidRPr="00690A12" w:rsidRDefault="00690A12" w:rsidP="00690A12">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However, despite their benefits, external opportunities also present challenges. Financial barriers, lack of accessibility, and limited institutional support can restrict students’ participation, particularly for international placements. Hall et al. (2017) stress the importance of institutional collaboration in addressing these challenges, recommending that universities establish partnerships with organisations to create accessible and equitable placement opportunities. Additionally, Martin and Fleming (2022) highlight the need for structured reflection and mentoring during these experiences, as they “help students critically evaluate their growth and apply their learning in meaningful ways.”</w:t>
      </w:r>
    </w:p>
    <w:p w14:paraId="4587F475" w14:textId="2C02F358" w:rsidR="005731B0" w:rsidRDefault="00690A12" w:rsidP="005731B0">
      <w:pPr>
        <w:spacing w:before="100" w:beforeAutospacing="1" w:after="100" w:afterAutospacing="1" w:line="240" w:lineRule="auto"/>
        <w:divId w:val="35618459"/>
        <w:rPr>
          <w:rFonts w:ascii="Times New Roman" w:hAnsi="Times New Roman" w:cs="Times New Roman"/>
          <w:color w:val="000000"/>
          <w:kern w:val="0"/>
          <w14:ligatures w14:val="none"/>
        </w:rPr>
      </w:pPr>
      <w:r w:rsidRPr="00690A12">
        <w:rPr>
          <w:rFonts w:ascii="Times New Roman" w:hAnsi="Times New Roman" w:cs="Times New Roman"/>
          <w:color w:val="000000"/>
          <w:kern w:val="0"/>
          <w14:ligatures w14:val="none"/>
        </w:rPr>
        <w:t>In summary, external opportunities such as summer camps and international placements play a vital role in equipping students with the skills, confidence, and global perspective needed to succeed in today’s competitive job market. While these</w:t>
      </w:r>
      <w:r w:rsidR="001F491B">
        <w:rPr>
          <w:rFonts w:ascii="Times New Roman" w:hAnsi="Times New Roman" w:cs="Times New Roman"/>
          <w:color w:val="000000"/>
          <w:kern w:val="0"/>
          <w14:ligatures w14:val="none"/>
        </w:rPr>
        <w:t xml:space="preserve"> oppor</w:t>
      </w:r>
      <w:r w:rsidR="00B9747D">
        <w:rPr>
          <w:rFonts w:ascii="Times New Roman" w:hAnsi="Times New Roman" w:cs="Times New Roman"/>
          <w:color w:val="000000"/>
          <w:kern w:val="0"/>
          <w14:ligatures w14:val="none"/>
        </w:rPr>
        <w:t>tunities o</w:t>
      </w:r>
      <w:r w:rsidRPr="00690A12">
        <w:rPr>
          <w:rFonts w:ascii="Times New Roman" w:hAnsi="Times New Roman" w:cs="Times New Roman"/>
          <w:color w:val="000000"/>
          <w:kern w:val="0"/>
          <w14:ligatures w14:val="none"/>
        </w:rPr>
        <w:t>ffer numerous benefits, addressing accessibility and providing structured support are essential to maximising their impact. By integrating these opportunities into work-integrated learning frameworks, institutions can prepare students to navigate complex and dynamic professional landscapes.</w:t>
      </w:r>
    </w:p>
    <w:p w14:paraId="2871642A" w14:textId="77777777" w:rsidR="00A1165A" w:rsidRDefault="00A1165A" w:rsidP="005731B0">
      <w:pPr>
        <w:spacing w:before="100" w:beforeAutospacing="1" w:after="100" w:afterAutospacing="1" w:line="240" w:lineRule="auto"/>
        <w:divId w:val="35618459"/>
        <w:rPr>
          <w:rFonts w:ascii="Times New Roman" w:hAnsi="Times New Roman" w:cs="Times New Roman"/>
          <w:color w:val="000000"/>
          <w:kern w:val="0"/>
          <w14:ligatures w14:val="none"/>
        </w:rPr>
      </w:pPr>
    </w:p>
    <w:p w14:paraId="5A4D9D8C" w14:textId="77777777" w:rsidR="00A1165A" w:rsidRDefault="00A1165A" w:rsidP="005731B0">
      <w:pPr>
        <w:spacing w:before="100" w:beforeAutospacing="1" w:after="100" w:afterAutospacing="1" w:line="240" w:lineRule="auto"/>
        <w:divId w:val="35618459"/>
        <w:rPr>
          <w:rFonts w:ascii="Times New Roman" w:hAnsi="Times New Roman" w:cs="Times New Roman"/>
          <w:color w:val="000000"/>
          <w:kern w:val="0"/>
          <w14:ligatures w14:val="none"/>
        </w:rPr>
      </w:pPr>
    </w:p>
    <w:p w14:paraId="57187BC7" w14:textId="77777777" w:rsidR="00A1165A" w:rsidRDefault="00A1165A" w:rsidP="005731B0">
      <w:pPr>
        <w:spacing w:before="100" w:beforeAutospacing="1" w:after="100" w:afterAutospacing="1" w:line="240" w:lineRule="auto"/>
        <w:divId w:val="35618459"/>
        <w:rPr>
          <w:rFonts w:ascii="Times New Roman" w:hAnsi="Times New Roman" w:cs="Times New Roman"/>
          <w:color w:val="000000"/>
          <w:kern w:val="0"/>
          <w14:ligatures w14:val="none"/>
        </w:rPr>
      </w:pPr>
    </w:p>
    <w:p w14:paraId="377BFFF1" w14:textId="6EA1FA9E" w:rsidR="005731B0" w:rsidRPr="003B47C2" w:rsidRDefault="005731B0" w:rsidP="005731B0">
      <w:pPr>
        <w:spacing w:before="100" w:beforeAutospacing="1" w:after="100" w:afterAutospacing="1" w:line="240" w:lineRule="auto"/>
        <w:divId w:val="35618459"/>
        <w:rPr>
          <w:rFonts w:ascii="Times New Roman" w:hAnsi="Times New Roman" w:cs="Times New Roman"/>
          <w:color w:val="000000"/>
          <w:kern w:val="0"/>
          <w:sz w:val="40"/>
          <w:szCs w:val="40"/>
          <w14:ligatures w14:val="none"/>
        </w:rPr>
      </w:pPr>
      <w:r w:rsidRPr="003B47C2">
        <w:rPr>
          <w:rFonts w:ascii="Times New Roman" w:hAnsi="Times New Roman" w:cs="Times New Roman"/>
          <w:color w:val="000000"/>
          <w:kern w:val="0"/>
          <w:sz w:val="40"/>
          <w:szCs w:val="40"/>
          <w14:ligatures w14:val="none"/>
        </w:rPr>
        <w:t>Section 5</w:t>
      </w:r>
    </w:p>
    <w:p w14:paraId="3A1957B5" w14:textId="77777777" w:rsidR="001B7069" w:rsidRPr="001B7069" w:rsidRDefault="001B7069" w:rsidP="001B7069">
      <w:pPr>
        <w:spacing w:before="100" w:beforeAutospacing="1" w:after="100" w:afterAutospacing="1" w:line="240" w:lineRule="auto"/>
        <w:outlineLvl w:val="2"/>
        <w:divId w:val="635646320"/>
        <w:rPr>
          <w:rFonts w:ascii="Times New Roman" w:eastAsia="Times New Roman" w:hAnsi="Times New Roman" w:cs="Times New Roman"/>
          <w:b/>
          <w:bCs/>
          <w:color w:val="000000"/>
          <w:kern w:val="0"/>
          <w:sz w:val="27"/>
          <w:szCs w:val="27"/>
          <w14:ligatures w14:val="none"/>
        </w:rPr>
      </w:pPr>
      <w:r w:rsidRPr="001B7069">
        <w:rPr>
          <w:rFonts w:ascii="Times New Roman" w:eastAsia="Times New Roman" w:hAnsi="Times New Roman" w:cs="Times New Roman"/>
          <w:b/>
          <w:bCs/>
          <w:color w:val="000000"/>
          <w:kern w:val="0"/>
          <w:sz w:val="27"/>
          <w:szCs w:val="27"/>
          <w14:ligatures w14:val="none"/>
        </w:rPr>
        <w:t>The Role of Technology in Facilitating Placement Opportunities</w:t>
      </w:r>
    </w:p>
    <w:p w14:paraId="4EFE20E2" w14:textId="77777777" w:rsidR="00A1165A" w:rsidRDefault="00A1165A" w:rsidP="001B7069">
      <w:pPr>
        <w:spacing w:before="100" w:beforeAutospacing="1" w:after="100" w:afterAutospacing="1" w:line="240" w:lineRule="auto"/>
        <w:divId w:val="635646320"/>
        <w:rPr>
          <w:rFonts w:ascii="Times New Roman" w:hAnsi="Times New Roman" w:cs="Times New Roman"/>
          <w:b/>
          <w:bCs/>
          <w:color w:val="000000"/>
          <w:kern w:val="0"/>
          <w:sz w:val="26"/>
          <w:szCs w:val="26"/>
          <w14:ligatures w14:val="none"/>
        </w:rPr>
      </w:pPr>
      <w:r w:rsidRPr="00A1165A">
        <w:rPr>
          <w:rFonts w:ascii="Times New Roman" w:hAnsi="Times New Roman" w:cs="Times New Roman"/>
          <w:b/>
          <w:bCs/>
          <w:color w:val="000000"/>
          <w:kern w:val="0"/>
          <w:sz w:val="26"/>
          <w:szCs w:val="26"/>
          <w14:ligatures w14:val="none"/>
        </w:rPr>
        <w:t>5.1 Digital Tools and Platforms for Placement Management</w:t>
      </w:r>
    </w:p>
    <w:p w14:paraId="7946859B" w14:textId="1289E40A" w:rsidR="001B7069" w:rsidRPr="001B7069" w:rsidRDefault="00A1165A" w:rsidP="001B7069">
      <w:pPr>
        <w:spacing w:before="100" w:beforeAutospacing="1" w:after="100" w:afterAutospacing="1" w:line="240" w:lineRule="auto"/>
        <w:divId w:val="6356463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 </w:t>
      </w:r>
      <w:r w:rsidR="001B7069" w:rsidRPr="001B7069">
        <w:rPr>
          <w:rFonts w:ascii="Times New Roman" w:hAnsi="Times New Roman" w:cs="Times New Roman"/>
          <w:color w:val="000000"/>
          <w:kern w:val="0"/>
          <w14:ligatures w14:val="none"/>
        </w:rPr>
        <w:t>Technology has become an indispensable tool in connecting students to placement opportunities, offering innovative ways to enhance accessibility, engagement, and outcomes in work-integrated learning. Digital platforms, apps, and other online resources have transformed the placement process, making it more efficient and inclusive for students in higher education.</w:t>
      </w:r>
    </w:p>
    <w:p w14:paraId="218076C2" w14:textId="77777777"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t>Pierce and Foster (2021) discuss the integration of technology into experiential learning in sports management programs. They argue, “The use of digital tools enables institutions to streamline the placement process, providing students with personalised access to opportunities aligned with their career goals.” Their study highlights the value of platforms that incorporate user-friendly interfaces, centralised information, and direct communication with potential employers. These features simplify the search process and reduce barriers for students seeking placements.</w:t>
      </w:r>
    </w:p>
    <w:p w14:paraId="5858B615" w14:textId="3D3076BC"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t xml:space="preserve">O’Shea and Watson (2007) further emphasise the role of technology in supporting digital learning during placements. Their research explores the use of online resources to prepare students for real-world challenges, stating, “Digital integration </w:t>
      </w:r>
      <w:r w:rsidR="00943B53">
        <w:rPr>
          <w:rFonts w:ascii="Times New Roman" w:hAnsi="Times New Roman" w:cs="Times New Roman"/>
          <w:color w:val="000000"/>
          <w:kern w:val="0"/>
          <w14:ligatures w14:val="none"/>
        </w:rPr>
        <w:t xml:space="preserve">narrows the divide </w:t>
      </w:r>
      <w:r w:rsidRPr="001B7069">
        <w:rPr>
          <w:rFonts w:ascii="Times New Roman" w:hAnsi="Times New Roman" w:cs="Times New Roman"/>
          <w:color w:val="000000"/>
          <w:kern w:val="0"/>
          <w14:ligatures w14:val="none"/>
        </w:rPr>
        <w:t>between classroom learning and professional environments by fostering pre-placement readiness and post-placement reflection.” The authors advocate for virtual simulations and telecommunication tools that allow students to develop their skills remotely, particularly in contexts where physical placements may be limited.</w:t>
      </w:r>
    </w:p>
    <w:p w14:paraId="5E4E3A04" w14:textId="77777777"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t>A critical advantage of digital tools lies in their ability to personalise the placement experience. Flanagan and Wilson (2018) conducted a study on the role of technology in facilitating placements for social work students and found that online platforms enabled students to tailor their search based on individual preferences and career aspirations. They note, “Technology empowers students to take ownership of their placement journey, allowing them to identify opportunities that align with their unique interests and goals.” While their study focused on social work, the findings are broadly applicable to sports management and other disciplines.</w:t>
      </w:r>
    </w:p>
    <w:p w14:paraId="50AD9404" w14:textId="0ABEF036" w:rsidR="00114475" w:rsidRDefault="004F0EA9" w:rsidP="001B7069">
      <w:pPr>
        <w:spacing w:before="100" w:beforeAutospacing="1" w:after="100" w:afterAutospacing="1" w:line="240" w:lineRule="auto"/>
        <w:divId w:val="635646320"/>
        <w:rPr>
          <w:rFonts w:ascii="Times New Roman" w:hAnsi="Times New Roman" w:cs="Times New Roman"/>
          <w:b/>
          <w:bCs/>
          <w:color w:val="000000"/>
          <w:kern w:val="0"/>
          <w14:ligatures w14:val="none"/>
        </w:rPr>
      </w:pPr>
      <w:r>
        <w:rPr>
          <w:rFonts w:ascii="Times New Roman" w:hAnsi="Times New Roman" w:cs="Times New Roman"/>
          <w:b/>
          <w:bCs/>
          <w:color w:val="000000"/>
          <w:kern w:val="0"/>
          <w14:ligatures w14:val="none"/>
        </w:rPr>
        <w:t xml:space="preserve">5.3 </w:t>
      </w:r>
      <w:r w:rsidR="00114475">
        <w:rPr>
          <w:rFonts w:ascii="Times New Roman" w:hAnsi="Times New Roman" w:cs="Times New Roman"/>
          <w:b/>
          <w:bCs/>
          <w:color w:val="000000"/>
          <w:kern w:val="0"/>
          <w14:ligatures w14:val="none"/>
        </w:rPr>
        <w:t>Challenges and Risks of Technology in Placements</w:t>
      </w:r>
    </w:p>
    <w:p w14:paraId="7A1484FD" w14:textId="3F12D621"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t>However, challenges remain in leveraging technology effectively. Bech and Chadwick (2013) highlight the uneven adoption of digital resources across universities, which can create disparities in access to high-quality placements. They caution, “The effectiveness of technology in placements depends not only on the tools themselves but also on institutional support and training for students and staff.” This underscores the importance of equipping both educators and students with the skills to navigate and maximise digital platforms.</w:t>
      </w:r>
    </w:p>
    <w:p w14:paraId="003EE071" w14:textId="77777777"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lastRenderedPageBreak/>
        <w:t>Despite these challenges, the potential of technology to enhance placement outcomes is undeniable. By integrating digital resources into placement programs, institutions can foster greater inclusivity and engagement. For instance, Pierce and Foster (2021) highlight examples of digital platforms that incorporate analytics to track student progress and employer feedback, enabling continuous improvement of the placement experience.</w:t>
      </w:r>
    </w:p>
    <w:p w14:paraId="0734EC34" w14:textId="77777777" w:rsidR="001B7069" w:rsidRPr="001B7069" w:rsidRDefault="001B7069" w:rsidP="001B7069">
      <w:pPr>
        <w:spacing w:before="100" w:beforeAutospacing="1" w:after="100" w:afterAutospacing="1" w:line="240" w:lineRule="auto"/>
        <w:divId w:val="635646320"/>
        <w:rPr>
          <w:rFonts w:ascii="Times New Roman" w:hAnsi="Times New Roman" w:cs="Times New Roman"/>
          <w:color w:val="000000"/>
          <w:kern w:val="0"/>
          <w14:ligatures w14:val="none"/>
        </w:rPr>
      </w:pPr>
      <w:r w:rsidRPr="001B7069">
        <w:rPr>
          <w:rFonts w:ascii="Times New Roman" w:hAnsi="Times New Roman" w:cs="Times New Roman"/>
          <w:color w:val="000000"/>
          <w:kern w:val="0"/>
          <w14:ligatures w14:val="none"/>
        </w:rPr>
        <w:t>In conclusion, technology plays a transformative role in facilitating placements by increasing accessibility, personalisation, and efficiency. However, its success depends on thoughtful implementation and ongoing support from institutions. By leveraging the full potential of digital tools, universities can ensure that students are well-prepared to navigate the complexities of professional environments and achieve their career aspirations.</w:t>
      </w:r>
    </w:p>
    <w:p w14:paraId="7ED21B6E" w14:textId="4C97DBCB" w:rsidR="005731B0" w:rsidRPr="003B47C2" w:rsidRDefault="00CB659E" w:rsidP="005731B0">
      <w:pPr>
        <w:spacing w:before="100" w:beforeAutospacing="1" w:after="100" w:afterAutospacing="1" w:line="240" w:lineRule="auto"/>
        <w:divId w:val="35618459"/>
        <w:rPr>
          <w:rFonts w:ascii="Times New Roman" w:hAnsi="Times New Roman" w:cs="Times New Roman"/>
          <w:color w:val="000000"/>
          <w:kern w:val="0"/>
          <w:sz w:val="52"/>
          <w:szCs w:val="52"/>
          <w14:ligatures w14:val="none"/>
        </w:rPr>
      </w:pPr>
      <w:r w:rsidRPr="003B47C2">
        <w:rPr>
          <w:rFonts w:ascii="Times New Roman" w:hAnsi="Times New Roman" w:cs="Times New Roman"/>
          <w:color w:val="000000"/>
          <w:kern w:val="0"/>
          <w:sz w:val="52"/>
          <w:szCs w:val="52"/>
          <w14:ligatures w14:val="none"/>
        </w:rPr>
        <w:t xml:space="preserve">Section 6 </w:t>
      </w:r>
    </w:p>
    <w:p w14:paraId="674595CF" w14:textId="4A553674" w:rsidR="008A07D0" w:rsidRPr="00E95DB8" w:rsidRDefault="00E95DB8" w:rsidP="008A07D0">
      <w:pPr>
        <w:spacing w:before="100" w:beforeAutospacing="1" w:after="100" w:afterAutospacing="1" w:line="240" w:lineRule="auto"/>
        <w:outlineLvl w:val="2"/>
        <w:divId w:val="1692493151"/>
        <w:rPr>
          <w:rFonts w:ascii="Times New Roman" w:eastAsia="Times New Roman" w:hAnsi="Times New Roman" w:cs="Times New Roman"/>
          <w:b/>
          <w:bCs/>
          <w:color w:val="000000"/>
          <w:kern w:val="0"/>
          <w:sz w:val="27"/>
          <w:szCs w:val="27"/>
          <w14:ligatures w14:val="none"/>
        </w:rPr>
      </w:pPr>
      <w:r w:rsidRPr="00E95DB8">
        <w:rPr>
          <w:rFonts w:ascii="Times New Roman" w:hAnsi="Times New Roman" w:cs="Times New Roman"/>
          <w:b/>
          <w:bCs/>
          <w:color w:val="000000"/>
        </w:rPr>
        <w:t>6.1 Challenges Faced by Universities in Providing Placement Support</w:t>
      </w:r>
      <w:r w:rsidRPr="00E95DB8">
        <w:rPr>
          <w:rFonts w:ascii="Times New Roman" w:eastAsia="Times New Roman" w:hAnsi="Times New Roman" w:cs="Times New Roman"/>
          <w:b/>
          <w:bCs/>
          <w:color w:val="000000"/>
          <w:kern w:val="0"/>
          <w:sz w:val="27"/>
          <w:szCs w:val="27"/>
          <w14:ligatures w14:val="none"/>
        </w:rPr>
        <w:t xml:space="preserve"> </w:t>
      </w:r>
    </w:p>
    <w:p w14:paraId="73910F52" w14:textId="77777777" w:rsidR="008A07D0" w:rsidRPr="008A07D0" w:rsidRDefault="008A07D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8A07D0">
        <w:rPr>
          <w:rFonts w:ascii="Times New Roman" w:hAnsi="Times New Roman" w:cs="Times New Roman"/>
          <w:color w:val="000000"/>
          <w:kern w:val="0"/>
          <w14:ligatures w14:val="none"/>
        </w:rPr>
        <w:t xml:space="preserve">Despite the recognised benefits of placements in enhancing employability, significant gaps exist in how institutions support students in accessing, navigating, and maximising these opportunities. Foster, O’Reilly, and </w:t>
      </w:r>
      <w:proofErr w:type="spellStart"/>
      <w:r w:rsidRPr="008A07D0">
        <w:rPr>
          <w:rFonts w:ascii="Times New Roman" w:hAnsi="Times New Roman" w:cs="Times New Roman"/>
          <w:color w:val="000000"/>
          <w:kern w:val="0"/>
          <w14:ligatures w14:val="none"/>
        </w:rPr>
        <w:t>Dávila</w:t>
      </w:r>
      <w:proofErr w:type="spellEnd"/>
      <w:r w:rsidRPr="008A07D0">
        <w:rPr>
          <w:rFonts w:ascii="Times New Roman" w:hAnsi="Times New Roman" w:cs="Times New Roman"/>
          <w:color w:val="000000"/>
          <w:kern w:val="0"/>
          <w14:ligatures w14:val="none"/>
        </w:rPr>
        <w:t xml:space="preserve"> (2021) highlight systemic challenges, stating, “Many universities lack the infrastructure to provide equitable placement opportunities, leaving students to rely heavily on personal networks or chance encounters.” These disparities can lead to uneven employability outcomes, disproportionately affecting students from underprivileged backgrounds who lack the social capital to secure high-quality placements.</w:t>
      </w:r>
    </w:p>
    <w:p w14:paraId="58FA3876" w14:textId="1254E534" w:rsidR="0018339E" w:rsidRPr="0018339E" w:rsidRDefault="0018339E" w:rsidP="008A07D0">
      <w:pPr>
        <w:spacing w:before="100" w:beforeAutospacing="1" w:after="100" w:afterAutospacing="1" w:line="240" w:lineRule="auto"/>
        <w:divId w:val="1692493151"/>
        <w:rPr>
          <w:rFonts w:ascii="Times New Roman" w:hAnsi="Times New Roman" w:cs="Times New Roman"/>
          <w:b/>
          <w:bCs/>
          <w:color w:val="000000"/>
          <w:kern w:val="0"/>
          <w14:ligatures w14:val="none"/>
        </w:rPr>
      </w:pPr>
      <w:r w:rsidRPr="0018339E">
        <w:rPr>
          <w:rFonts w:ascii="Times New Roman" w:hAnsi="Times New Roman" w:cs="Times New Roman"/>
          <w:b/>
          <w:bCs/>
          <w:color w:val="000000"/>
        </w:rPr>
        <w:t>6.2 The Role of Mentoring and Reflective Practice</w:t>
      </w:r>
    </w:p>
    <w:p w14:paraId="1F05B6ED" w14:textId="1C49DEEF" w:rsidR="008A07D0" w:rsidRPr="008A07D0" w:rsidRDefault="008A07D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8A07D0">
        <w:rPr>
          <w:rFonts w:ascii="Times New Roman" w:hAnsi="Times New Roman" w:cs="Times New Roman"/>
          <w:color w:val="000000"/>
          <w:kern w:val="0"/>
          <w14:ligatures w14:val="none"/>
        </w:rPr>
        <w:t>O’Donovan (2018) identifies further barriers, particularly the difficulty students face in adapting to professional environments during short-term placements. He notes that “students often experience a steep learning curve, struggling to balance academic responsibilities with workplace expectations,” which can undermine the overall learning experience. This is compounded by the lack of structured reflection and mentoring, both of which are critical for ensuring that students can process and apply their learning effectively.</w:t>
      </w:r>
    </w:p>
    <w:p w14:paraId="3947586C" w14:textId="77777777" w:rsidR="008A07D0" w:rsidRPr="008A07D0" w:rsidRDefault="008A07D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8A07D0">
        <w:rPr>
          <w:rFonts w:ascii="Times New Roman" w:hAnsi="Times New Roman" w:cs="Times New Roman"/>
          <w:color w:val="000000"/>
          <w:kern w:val="0"/>
          <w14:ligatures w14:val="none"/>
        </w:rPr>
        <w:t>Additionally, institutions themselves often face resource constraints that hinder the development of comprehensive placement programmes. Schwarz and Hall (2020) observe that many universities focus on theoretical instruction at the expense of practical training, creating what they term an “employability gap.” They argue that “institutions must integrate practical components, such as placements, more holistically into the curriculum to ensure that students are not just academically prepared but also professionally capable.”</w:t>
      </w:r>
    </w:p>
    <w:p w14:paraId="0117F52A" w14:textId="77777777" w:rsidR="008A07D0" w:rsidRPr="008A07D0" w:rsidRDefault="008A07D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8A07D0">
        <w:rPr>
          <w:rFonts w:ascii="Times New Roman" w:hAnsi="Times New Roman" w:cs="Times New Roman"/>
          <w:color w:val="000000"/>
          <w:kern w:val="0"/>
          <w14:ligatures w14:val="none"/>
        </w:rPr>
        <w:t>The need for innovative approaches to address these gaps is echoed by Crisp (2020), who advocates for the inclusion of “real-world coaching” experiences as part of sports management programmes. In his study, students reflected on the value of extended placements, noting that longer durations allowed them to develop deeper skills and a better understanding of workplace dynamics. Crisp emphasises that “short-term placements often fail to provide the depth of experience necessary for meaningful professional growth,” a challenge that institutions must address by fostering longer-term partnerships with industry stakeholders.</w:t>
      </w:r>
    </w:p>
    <w:p w14:paraId="03A6E0FB" w14:textId="77777777" w:rsidR="00633E14" w:rsidRDefault="00BD01F0" w:rsidP="008A07D0">
      <w:pPr>
        <w:spacing w:before="100" w:beforeAutospacing="1" w:after="100" w:afterAutospacing="1" w:line="240" w:lineRule="auto"/>
        <w:divId w:val="1692493151"/>
        <w:rPr>
          <w:rFonts w:ascii="Times New Roman" w:hAnsi="Times New Roman" w:cs="Times New Roman"/>
          <w:b/>
          <w:bCs/>
          <w:color w:val="000000"/>
        </w:rPr>
      </w:pPr>
      <w:r w:rsidRPr="00BD01F0">
        <w:rPr>
          <w:rFonts w:ascii="Times New Roman" w:hAnsi="Times New Roman" w:cs="Times New Roman"/>
          <w:b/>
          <w:bCs/>
          <w:color w:val="000000"/>
        </w:rPr>
        <w:lastRenderedPageBreak/>
        <w:t>6.3 Addressing Gaps Through Digital Solutions and Partnerships</w:t>
      </w:r>
    </w:p>
    <w:p w14:paraId="0F24FC24" w14:textId="48A88298" w:rsidR="008A07D0" w:rsidRPr="008A07D0" w:rsidRDefault="00BD01F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BD01F0">
        <w:rPr>
          <w:rFonts w:ascii="Times New Roman" w:hAnsi="Times New Roman" w:cs="Times New Roman"/>
          <w:b/>
          <w:bCs/>
          <w:color w:val="000000"/>
          <w:kern w:val="0"/>
          <w14:ligatures w14:val="none"/>
        </w:rPr>
        <w:t xml:space="preserve"> </w:t>
      </w:r>
      <w:r w:rsidR="008A07D0" w:rsidRPr="00633E14">
        <w:rPr>
          <w:rFonts w:ascii="Times New Roman" w:hAnsi="Times New Roman" w:cs="Times New Roman"/>
          <w:color w:val="000000"/>
          <w:kern w:val="0"/>
          <w14:ligatures w14:val="none"/>
        </w:rPr>
        <w:t>Furthermore,</w:t>
      </w:r>
      <w:r w:rsidR="008A07D0" w:rsidRPr="008A07D0">
        <w:rPr>
          <w:rFonts w:ascii="Times New Roman" w:hAnsi="Times New Roman" w:cs="Times New Roman"/>
          <w:color w:val="000000"/>
          <w:kern w:val="0"/>
          <w14:ligatures w14:val="none"/>
        </w:rPr>
        <w:t xml:space="preserve"> Foster et al. (2021) stress the importance of integrating technology to streamline placement processes and improve accessibility. They argue that digital platforms can “democratise access to placements by providing centralised databases of opportunities, enabling students to search, apply, and receive guidance without geographic or institutional barriers.” Such platforms can also facilitate ongoing communication between students, mentors, and employers, ensuring that placements are not only accessible but also effective in achieving their intended learning outcomes.</w:t>
      </w:r>
    </w:p>
    <w:p w14:paraId="18E9A72E" w14:textId="03ACD4C5" w:rsidR="008A07D0" w:rsidRPr="008A07D0" w:rsidRDefault="008A07D0"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sidRPr="008A07D0">
        <w:rPr>
          <w:rFonts w:ascii="Times New Roman" w:hAnsi="Times New Roman" w:cs="Times New Roman"/>
          <w:color w:val="000000"/>
          <w:kern w:val="0"/>
          <w14:ligatures w14:val="none"/>
        </w:rPr>
        <w:t xml:space="preserve">Comparatively, Crisp (2020) and O’Donovan (2018) align in their emphasis on reflective practice as a tool for </w:t>
      </w:r>
      <w:r w:rsidR="003107B6">
        <w:rPr>
          <w:rFonts w:ascii="Times New Roman" w:hAnsi="Times New Roman" w:cs="Times New Roman"/>
          <w:color w:val="000000"/>
          <w:kern w:val="0"/>
          <w14:ligatures w14:val="none"/>
        </w:rPr>
        <w:t>combing both</w:t>
      </w:r>
      <w:r w:rsidRPr="008A07D0">
        <w:rPr>
          <w:rFonts w:ascii="Times New Roman" w:hAnsi="Times New Roman" w:cs="Times New Roman"/>
          <w:color w:val="000000"/>
          <w:kern w:val="0"/>
          <w14:ligatures w14:val="none"/>
        </w:rPr>
        <w:t xml:space="preserve"> experience and learning. Both scholars advocate for embedding guided reflection into placement programmes, with Crisp noting that “reflection fosters metacognitive skills that are critical for professional growth.” This shared perspective underscores the importance of mentorship and structured support in helping students derive meaningful insights from their </w:t>
      </w:r>
      <w:r w:rsidR="00F47EBF">
        <w:rPr>
          <w:rFonts w:ascii="Times New Roman" w:hAnsi="Times New Roman" w:cs="Times New Roman"/>
          <w:color w:val="000000"/>
          <w:kern w:val="0"/>
          <w14:ligatures w14:val="none"/>
        </w:rPr>
        <w:t>engagement</w:t>
      </w:r>
      <w:r w:rsidRPr="008A07D0">
        <w:rPr>
          <w:rFonts w:ascii="Times New Roman" w:hAnsi="Times New Roman" w:cs="Times New Roman"/>
          <w:color w:val="000000"/>
          <w:kern w:val="0"/>
          <w14:ligatures w14:val="none"/>
        </w:rPr>
        <w:t>.</w:t>
      </w:r>
    </w:p>
    <w:p w14:paraId="56BF543B" w14:textId="5AB21E0C" w:rsidR="008A07D0" w:rsidRDefault="00A33F25" w:rsidP="008A07D0">
      <w:pPr>
        <w:spacing w:before="100" w:beforeAutospacing="1" w:after="100" w:afterAutospacing="1" w:line="240" w:lineRule="auto"/>
        <w:divId w:val="1692493151"/>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Finishing off this section</w:t>
      </w:r>
      <w:r w:rsidR="008A07D0" w:rsidRPr="008A07D0">
        <w:rPr>
          <w:rFonts w:ascii="Times New Roman" w:hAnsi="Times New Roman" w:cs="Times New Roman"/>
          <w:color w:val="000000"/>
          <w:kern w:val="0"/>
          <w14:ligatures w14:val="none"/>
        </w:rPr>
        <w:t xml:space="preserve">, the gaps in placement guidance and opportunities are multifaceted, encompassing issues of accessibility, duration, institutional support, and reflective practice. By addressing these challenges through innovative solutions such as digital platforms, extended placements, and embedded mentorship, universities can create more </w:t>
      </w:r>
      <w:r w:rsidR="002F1BD7" w:rsidRPr="008A07D0">
        <w:rPr>
          <w:rFonts w:ascii="Times New Roman" w:hAnsi="Times New Roman" w:cs="Times New Roman"/>
          <w:color w:val="000000"/>
          <w:kern w:val="0"/>
          <w14:ligatures w14:val="none"/>
        </w:rPr>
        <w:t>fair</w:t>
      </w:r>
      <w:r w:rsidR="008A07D0" w:rsidRPr="008A07D0">
        <w:rPr>
          <w:rFonts w:ascii="Times New Roman" w:hAnsi="Times New Roman" w:cs="Times New Roman"/>
          <w:color w:val="000000"/>
          <w:kern w:val="0"/>
          <w14:ligatures w14:val="none"/>
        </w:rPr>
        <w:t xml:space="preserve"> and effective placement programmes that better prepare students for the complexities of the modern workforce.</w:t>
      </w:r>
    </w:p>
    <w:p w14:paraId="7BCDC1D7" w14:textId="1C5273EC" w:rsidR="009C2E67" w:rsidRPr="003B47C2" w:rsidRDefault="00114B57" w:rsidP="008A07D0">
      <w:pPr>
        <w:spacing w:before="100" w:beforeAutospacing="1" w:after="100" w:afterAutospacing="1" w:line="240" w:lineRule="auto"/>
        <w:divId w:val="1692493151"/>
        <w:rPr>
          <w:rFonts w:ascii="Times New Roman" w:hAnsi="Times New Roman" w:cs="Times New Roman"/>
          <w:b/>
          <w:bCs/>
          <w:color w:val="000000"/>
          <w:kern w:val="0"/>
          <w:sz w:val="40"/>
          <w:szCs w:val="40"/>
          <w14:ligatures w14:val="none"/>
        </w:rPr>
      </w:pPr>
      <w:r w:rsidRPr="003B47C2">
        <w:rPr>
          <w:rFonts w:ascii="Times New Roman" w:hAnsi="Times New Roman" w:cs="Times New Roman"/>
          <w:b/>
          <w:bCs/>
          <w:color w:val="000000"/>
          <w:kern w:val="0"/>
          <w:sz w:val="40"/>
          <w:szCs w:val="40"/>
          <w14:ligatures w14:val="none"/>
        </w:rPr>
        <w:t>Conclusion</w:t>
      </w:r>
    </w:p>
    <w:p w14:paraId="7B37B591" w14:textId="2994C9C5" w:rsidR="00A15B3F" w:rsidRDefault="00A15B3F">
      <w:pPr>
        <w:pStyle w:val="NormalWeb"/>
        <w:divId w:val="1551109657"/>
        <w:rPr>
          <w:color w:val="000000"/>
        </w:rPr>
      </w:pPr>
      <w:r>
        <w:rPr>
          <w:color w:val="000000"/>
        </w:rPr>
        <w:t xml:space="preserve">In summary, placements and external opportunities are integral aspects of higher education,  </w:t>
      </w:r>
      <w:r w:rsidR="00992898">
        <w:rPr>
          <w:color w:val="000000"/>
        </w:rPr>
        <w:t xml:space="preserve">integrating </w:t>
      </w:r>
      <w:r>
        <w:rPr>
          <w:color w:val="000000"/>
        </w:rPr>
        <w:t>academic knowledge and professional application. These initiatives equip students with valuable hands-on experiences, fostering key abilities such as communication, teamwork, and adaptability. Research underscores the significant role of placements in improving employability, offering practical insights into industry demands, and enabling students to develop professional networks. Despite these advantages, challenges like unequal access, inconsistencies in placement quality, and the need for better mentorship and reflective practices persist.</w:t>
      </w:r>
    </w:p>
    <w:p w14:paraId="233D6B8C" w14:textId="7771CDBD" w:rsidR="00A15B3F" w:rsidRDefault="00A15B3F">
      <w:pPr>
        <w:pStyle w:val="NormalWeb"/>
        <w:divId w:val="1551109657"/>
        <w:rPr>
          <w:color w:val="000000"/>
        </w:rPr>
      </w:pPr>
      <w:r>
        <w:rPr>
          <w:color w:val="000000"/>
        </w:rPr>
        <w:t xml:space="preserve">The application of experiential learning theories, including </w:t>
      </w:r>
      <w:proofErr w:type="spellStart"/>
      <w:r>
        <w:rPr>
          <w:color w:val="000000"/>
        </w:rPr>
        <w:t>Kolb’s</w:t>
      </w:r>
      <w:proofErr w:type="spellEnd"/>
      <w:r>
        <w:rPr>
          <w:color w:val="000000"/>
        </w:rPr>
        <w:t xml:space="preserve"> Experiential Learning Model</w:t>
      </w:r>
      <w:r w:rsidR="00722D0D">
        <w:rPr>
          <w:color w:val="000000"/>
        </w:rPr>
        <w:t xml:space="preserve"> (1984) </w:t>
      </w:r>
      <w:r>
        <w:rPr>
          <w:color w:val="000000"/>
        </w:rPr>
        <w:t>, offers a robust framework for understanding how students acquire skills through placements. By participating in concrete experiences, engaging in reflective processes, and applying newly gained knowledge, students can develop and refine their professional competencies. Additionally, theories like Leader-Member Exchange (</w:t>
      </w:r>
      <w:r w:rsidR="001A5F1E">
        <w:rPr>
          <w:color w:val="000000"/>
        </w:rPr>
        <w:t>Chadwick et al, 2017)</w:t>
      </w:r>
      <w:r>
        <w:rPr>
          <w:color w:val="000000"/>
        </w:rPr>
        <w:t xml:space="preserve"> underscore the critical role of effective supervisory relationships, </w:t>
      </w:r>
      <w:r w:rsidR="001C5AA4">
        <w:rPr>
          <w:color w:val="000000"/>
        </w:rPr>
        <w:t>emphasising</w:t>
      </w:r>
      <w:r>
        <w:rPr>
          <w:color w:val="000000"/>
        </w:rPr>
        <w:t xml:space="preserve"> mentorship and constructive feedback as vital components of student growth.</w:t>
      </w:r>
    </w:p>
    <w:p w14:paraId="065394AF" w14:textId="5914B4E0" w:rsidR="00A15B3F" w:rsidRDefault="00A15B3F">
      <w:pPr>
        <w:pStyle w:val="NormalWeb"/>
        <w:divId w:val="1551109657"/>
        <w:rPr>
          <w:color w:val="000000"/>
        </w:rPr>
      </w:pPr>
      <w:r>
        <w:rPr>
          <w:color w:val="000000"/>
        </w:rPr>
        <w:t>External opportunities, such as summer programs and international placements, further expand students’ horizons by immersing them in diverse cultural and professional environments</w:t>
      </w:r>
      <w:r w:rsidR="00B02B2F">
        <w:rPr>
          <w:color w:val="000000"/>
        </w:rPr>
        <w:t xml:space="preserve"> (Morris et al, 2017)</w:t>
      </w:r>
      <w:r>
        <w:rPr>
          <w:color w:val="000000"/>
        </w:rPr>
        <w:t xml:space="preserve">. These experiences help foster adaptability, intercultural skills, and a global outlook, making graduates more competitive in a </w:t>
      </w:r>
      <w:r w:rsidR="001C5AA4">
        <w:rPr>
          <w:color w:val="000000"/>
        </w:rPr>
        <w:t>globalised</w:t>
      </w:r>
      <w:r>
        <w:rPr>
          <w:color w:val="000000"/>
        </w:rPr>
        <w:t xml:space="preserve"> job market. However, financial barriers and logistical difficulties often limit access to these opportunities, </w:t>
      </w:r>
      <w:r>
        <w:rPr>
          <w:color w:val="000000"/>
        </w:rPr>
        <w:lastRenderedPageBreak/>
        <w:t>highlighting the importance of institutional initiatives to provide adequate support and funding.</w:t>
      </w:r>
    </w:p>
    <w:p w14:paraId="4F7BA13D" w14:textId="6384D550" w:rsidR="00A15B3F" w:rsidRDefault="00A15B3F">
      <w:pPr>
        <w:pStyle w:val="NormalWeb"/>
        <w:divId w:val="1551109657"/>
        <w:rPr>
          <w:color w:val="000000"/>
        </w:rPr>
      </w:pPr>
      <w:r>
        <w:rPr>
          <w:color w:val="000000"/>
        </w:rPr>
        <w:t>The integration of technology into placement processes has emerged as a pivotal development, offering innovative solutions to enhance accessibility, streamline operations, and provide tailored guidance. Digital platforms facilitate student engagement with opportunities, monitor progress, and offer tools for reflection to improve learning outcomes</w:t>
      </w:r>
      <w:r w:rsidR="00107AFD">
        <w:rPr>
          <w:color w:val="000000"/>
        </w:rPr>
        <w:t xml:space="preserve"> (Pierce and Foster, 2021)</w:t>
      </w:r>
      <w:r>
        <w:rPr>
          <w:color w:val="000000"/>
        </w:rPr>
        <w:t xml:space="preserve">. However, successful implementation requires educational institutions to invest in training and infrastructure to ensure these tools are effectively </w:t>
      </w:r>
      <w:r w:rsidR="001C5AA4">
        <w:rPr>
          <w:color w:val="000000"/>
        </w:rPr>
        <w:t>utilised</w:t>
      </w:r>
      <w:r>
        <w:rPr>
          <w:color w:val="000000"/>
        </w:rPr>
        <w:t>.</w:t>
      </w:r>
    </w:p>
    <w:p w14:paraId="54E58CAE" w14:textId="2A7241C0" w:rsidR="00A15B3F" w:rsidRDefault="00A15B3F">
      <w:pPr>
        <w:pStyle w:val="NormalWeb"/>
        <w:divId w:val="1551109657"/>
        <w:rPr>
          <w:color w:val="000000"/>
        </w:rPr>
      </w:pPr>
      <w:r>
        <w:rPr>
          <w:color w:val="000000"/>
        </w:rPr>
        <w:t xml:space="preserve">Addressing the existing barriers in placement accessibility, support mechanisms, and reflective frameworks is critical to </w:t>
      </w:r>
      <w:r w:rsidR="001C5AA4">
        <w:rPr>
          <w:color w:val="000000"/>
        </w:rPr>
        <w:t>maximising</w:t>
      </w:r>
      <w:r>
        <w:rPr>
          <w:color w:val="000000"/>
        </w:rPr>
        <w:t xml:space="preserve"> their impact. Higher education institutions must adopt a comprehensive approach that combines experiential learning principles, technological advancements, and strategic partnerships with industries. By doing so, they can better equip students with the skills and knowledge necessary to thrive in the complexities of today’s workforce, ensuring sustained career success.</w:t>
      </w:r>
    </w:p>
    <w:p w14:paraId="0C25A31B" w14:textId="77777777" w:rsidR="00CB659E" w:rsidRPr="005731B0" w:rsidRDefault="00CB659E" w:rsidP="005731B0">
      <w:pPr>
        <w:spacing w:before="100" w:beforeAutospacing="1" w:after="100" w:afterAutospacing="1" w:line="240" w:lineRule="auto"/>
        <w:divId w:val="35618459"/>
        <w:rPr>
          <w:rFonts w:ascii="Times New Roman" w:hAnsi="Times New Roman" w:cs="Times New Roman"/>
          <w:color w:val="000000"/>
          <w:kern w:val="0"/>
          <w14:ligatures w14:val="none"/>
        </w:rPr>
      </w:pPr>
    </w:p>
    <w:p w14:paraId="570BADA4" w14:textId="77777777" w:rsidR="00164386" w:rsidRDefault="00164386">
      <w:pPr>
        <w:rPr>
          <w:rFonts w:ascii="Times New Roman" w:eastAsia="Times New Roman" w:hAnsi="Symbol" w:cs="Times New Roman"/>
          <w:kern w:val="0"/>
          <w14:ligatures w14:val="none"/>
        </w:rPr>
      </w:pPr>
    </w:p>
    <w:p w14:paraId="10E99B7C" w14:textId="77777777" w:rsidR="00164386" w:rsidRPr="00164386" w:rsidRDefault="00164386">
      <w:pPr>
        <w:rPr>
          <w:rFonts w:ascii="Times New Roman" w:eastAsia="Times New Roman" w:hAnsi="Symbol" w:cs="Times New Roman"/>
          <w:kern w:val="0"/>
          <w:sz w:val="30"/>
          <w:szCs w:val="30"/>
          <w14:ligatures w14:val="none"/>
        </w:rPr>
      </w:pPr>
    </w:p>
    <w:p w14:paraId="58D4768F" w14:textId="5572E4C2" w:rsidR="0016348B" w:rsidRPr="002F1BD7" w:rsidRDefault="002F1BD7">
      <w:pPr>
        <w:rPr>
          <w:rFonts w:ascii="Arial" w:eastAsia="Times New Roman" w:hAnsi="Arial" w:cs="Arial"/>
          <w:color w:val="222222"/>
          <w:sz w:val="44"/>
          <w:szCs w:val="44"/>
          <w:shd w:val="clear" w:color="auto" w:fill="FFFFFF"/>
        </w:rPr>
      </w:pPr>
      <w:r>
        <w:rPr>
          <w:rFonts w:ascii="Times New Roman" w:eastAsia="Times New Roman" w:hAnsi="Symbol" w:cs="Times New Roman"/>
          <w:kern w:val="0"/>
          <w:sz w:val="44"/>
          <w:szCs w:val="44"/>
          <w14:ligatures w14:val="none"/>
        </w:rPr>
        <w:t>Reference List</w:t>
      </w:r>
    </w:p>
    <w:p w14:paraId="30C70BAD" w14:textId="77777777" w:rsidR="0016348B" w:rsidRDefault="0016348B">
      <w:pPr>
        <w:rPr>
          <w:rFonts w:ascii="Arial" w:eastAsia="Times New Roman" w:hAnsi="Arial" w:cs="Arial"/>
          <w:color w:val="222222"/>
          <w:sz w:val="20"/>
          <w:szCs w:val="20"/>
          <w:shd w:val="clear" w:color="auto" w:fill="FFFFFF"/>
        </w:rPr>
      </w:pPr>
    </w:p>
    <w:p w14:paraId="6CA30D1C"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Amos, C. (2013). </w:t>
      </w:r>
      <w:r w:rsidRPr="006D4B9C">
        <w:rPr>
          <w:rFonts w:ascii="Times New Roman" w:hAnsi="Times New Roman" w:cs="Times New Roman"/>
          <w:i/>
          <w:iCs/>
          <w:color w:val="000000"/>
          <w:kern w:val="0"/>
          <w14:ligatures w14:val="none"/>
        </w:rPr>
        <w:t>A quantitative analysis of collegiate athletic involvement and academic achievement among sport management students</w:t>
      </w:r>
      <w:r w:rsidRPr="006D4B9C">
        <w:rPr>
          <w:rFonts w:ascii="Times New Roman" w:hAnsi="Times New Roman" w:cs="Times New Roman"/>
          <w:color w:val="000000"/>
          <w:kern w:val="0"/>
          <w14:ligatures w14:val="none"/>
        </w:rPr>
        <w:t>. Liberty University. Available at: </w:t>
      </w:r>
      <w:hyperlink r:id="rId6" w:tgtFrame="_new" w:history="1">
        <w:r w:rsidRPr="006D4B9C">
          <w:rPr>
            <w:rFonts w:ascii="Times New Roman" w:hAnsi="Times New Roman" w:cs="Times New Roman"/>
            <w:color w:val="0000FF"/>
            <w:kern w:val="0"/>
            <w:u w:val="single"/>
            <w14:ligatures w14:val="none"/>
          </w:rPr>
          <w:t>https://digitalcommons.liberty.edu/masters/288</w:t>
        </w:r>
      </w:hyperlink>
      <w:r w:rsidRPr="006D4B9C">
        <w:rPr>
          <w:rFonts w:ascii="Times New Roman" w:hAnsi="Times New Roman" w:cs="Times New Roman"/>
          <w:color w:val="000000"/>
          <w:kern w:val="0"/>
          <w14:ligatures w14:val="none"/>
        </w:rPr>
        <w:t>.</w:t>
      </w:r>
    </w:p>
    <w:p w14:paraId="463AD62B"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Balinski</w:t>
      </w:r>
      <w:proofErr w:type="spellEnd"/>
      <w:r w:rsidRPr="006D4B9C">
        <w:rPr>
          <w:rFonts w:ascii="Times New Roman" w:hAnsi="Times New Roman" w:cs="Times New Roman"/>
          <w:color w:val="000000"/>
          <w:kern w:val="0"/>
          <w14:ligatures w14:val="none"/>
        </w:rPr>
        <w:t xml:space="preserve">, M. and </w:t>
      </w:r>
      <w:proofErr w:type="spellStart"/>
      <w:r w:rsidRPr="006D4B9C">
        <w:rPr>
          <w:rFonts w:ascii="Times New Roman" w:hAnsi="Times New Roman" w:cs="Times New Roman"/>
          <w:color w:val="000000"/>
          <w:kern w:val="0"/>
          <w14:ligatures w14:val="none"/>
        </w:rPr>
        <w:t>Sönmez</w:t>
      </w:r>
      <w:proofErr w:type="spellEnd"/>
      <w:r w:rsidRPr="006D4B9C">
        <w:rPr>
          <w:rFonts w:ascii="Times New Roman" w:hAnsi="Times New Roman" w:cs="Times New Roman"/>
          <w:color w:val="000000"/>
          <w:kern w:val="0"/>
          <w14:ligatures w14:val="none"/>
        </w:rPr>
        <w:t>, T. (1999). A tale of two mechanisms: student placement. </w:t>
      </w:r>
      <w:r w:rsidRPr="006D4B9C">
        <w:rPr>
          <w:rFonts w:ascii="Times New Roman" w:hAnsi="Times New Roman" w:cs="Times New Roman"/>
          <w:i/>
          <w:iCs/>
          <w:color w:val="000000"/>
          <w:kern w:val="0"/>
          <w14:ligatures w14:val="none"/>
        </w:rPr>
        <w:t>Journal of Economic Theory</w:t>
      </w:r>
      <w:r w:rsidRPr="006D4B9C">
        <w:rPr>
          <w:rFonts w:ascii="Times New Roman" w:hAnsi="Times New Roman" w:cs="Times New Roman"/>
          <w:color w:val="000000"/>
          <w:kern w:val="0"/>
          <w14:ligatures w14:val="none"/>
        </w:rPr>
        <w:t xml:space="preserve">, 84(1), pp.73–94.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7" w:tgtFrame="_new" w:history="1">
        <w:r w:rsidRPr="006D4B9C">
          <w:rPr>
            <w:rFonts w:ascii="Times New Roman" w:hAnsi="Times New Roman" w:cs="Times New Roman"/>
            <w:color w:val="0000FF"/>
            <w:kern w:val="0"/>
            <w:u w:val="single"/>
            <w14:ligatures w14:val="none"/>
          </w:rPr>
          <w:t>https://doi.org/10.1006/jeth.1998.2469</w:t>
        </w:r>
      </w:hyperlink>
      <w:r w:rsidRPr="006D4B9C">
        <w:rPr>
          <w:rFonts w:ascii="Times New Roman" w:hAnsi="Times New Roman" w:cs="Times New Roman"/>
          <w:color w:val="000000"/>
          <w:kern w:val="0"/>
          <w14:ligatures w14:val="none"/>
        </w:rPr>
        <w:t>.</w:t>
      </w:r>
    </w:p>
    <w:p w14:paraId="5A371825"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Beech, J.G. and Chadwick, S. (2013). </w:t>
      </w:r>
      <w:r w:rsidRPr="006D4B9C">
        <w:rPr>
          <w:rFonts w:ascii="Times New Roman" w:hAnsi="Times New Roman" w:cs="Times New Roman"/>
          <w:i/>
          <w:iCs/>
          <w:color w:val="000000"/>
          <w:kern w:val="0"/>
          <w14:ligatures w14:val="none"/>
        </w:rPr>
        <w:t>The Business of Sport Management</w:t>
      </w:r>
      <w:r w:rsidRPr="006D4B9C">
        <w:rPr>
          <w:rFonts w:ascii="Times New Roman" w:hAnsi="Times New Roman" w:cs="Times New Roman"/>
          <w:color w:val="000000"/>
          <w:kern w:val="0"/>
          <w14:ligatures w14:val="none"/>
        </w:rPr>
        <w:t>. 2nd ed. Harlow: Pearson.</w:t>
      </w:r>
    </w:p>
    <w:p w14:paraId="0EA62C32"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Bill, K. (2009). </w:t>
      </w:r>
      <w:r w:rsidRPr="006D4B9C">
        <w:rPr>
          <w:rFonts w:ascii="Times New Roman" w:hAnsi="Times New Roman" w:cs="Times New Roman"/>
          <w:i/>
          <w:iCs/>
          <w:color w:val="000000"/>
          <w:kern w:val="0"/>
          <w14:ligatures w14:val="none"/>
        </w:rPr>
        <w:t>Sport Management</w:t>
      </w:r>
      <w:r w:rsidRPr="006D4B9C">
        <w:rPr>
          <w:rFonts w:ascii="Times New Roman" w:hAnsi="Times New Roman" w:cs="Times New Roman"/>
          <w:color w:val="000000"/>
          <w:kern w:val="0"/>
          <w14:ligatures w14:val="none"/>
        </w:rPr>
        <w:t>. Exeter: Learning Matters.</w:t>
      </w:r>
    </w:p>
    <w:p w14:paraId="17FA2B18"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Board, L. (2014). The BASES position stand on curriculum-based work placements in sport and exercise sciences. </w:t>
      </w:r>
      <w:r w:rsidRPr="006D4B9C">
        <w:rPr>
          <w:rFonts w:ascii="Times New Roman" w:hAnsi="Times New Roman" w:cs="Times New Roman"/>
          <w:i/>
          <w:iCs/>
          <w:color w:val="000000"/>
          <w:kern w:val="0"/>
          <w14:ligatures w14:val="none"/>
        </w:rPr>
        <w:t>The Sport and Exercise Scientist</w:t>
      </w:r>
      <w:r w:rsidRPr="006D4B9C">
        <w:rPr>
          <w:rFonts w:ascii="Times New Roman" w:hAnsi="Times New Roman" w:cs="Times New Roman"/>
          <w:color w:val="000000"/>
          <w:kern w:val="0"/>
          <w14:ligatures w14:val="none"/>
        </w:rPr>
        <w:t>, (41), pp.24–25. Available at: </w:t>
      </w:r>
      <w:hyperlink r:id="rId8" w:tgtFrame="_new" w:history="1">
        <w:r w:rsidRPr="006D4B9C">
          <w:rPr>
            <w:rFonts w:ascii="Times New Roman" w:hAnsi="Times New Roman" w:cs="Times New Roman"/>
            <w:color w:val="0000FF"/>
            <w:kern w:val="0"/>
            <w:u w:val="single"/>
            <w14:ligatures w14:val="none"/>
          </w:rPr>
          <w:t>http://sure.sunderland.ac.uk/id/eprint/7525/1/TSandES-POSITION_STAND%20Work%20Placements.pdf</w:t>
        </w:r>
      </w:hyperlink>
      <w:r w:rsidRPr="006D4B9C">
        <w:rPr>
          <w:rFonts w:ascii="Times New Roman" w:hAnsi="Times New Roman" w:cs="Times New Roman"/>
          <w:color w:val="000000"/>
          <w:kern w:val="0"/>
          <w14:ligatures w14:val="none"/>
        </w:rPr>
        <w:t>.</w:t>
      </w:r>
    </w:p>
    <w:p w14:paraId="735402A5"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Bowers-Brown, T. and Harvey, L. (2004). Are there too many graduates in the UK? </w:t>
      </w:r>
      <w:r w:rsidRPr="006D4B9C">
        <w:rPr>
          <w:rFonts w:ascii="Times New Roman" w:hAnsi="Times New Roman" w:cs="Times New Roman"/>
          <w:i/>
          <w:iCs/>
          <w:color w:val="000000"/>
          <w:kern w:val="0"/>
          <w14:ligatures w14:val="none"/>
        </w:rPr>
        <w:t>Industry and Higher Education</w:t>
      </w:r>
      <w:r w:rsidRPr="006D4B9C">
        <w:rPr>
          <w:rFonts w:ascii="Times New Roman" w:hAnsi="Times New Roman" w:cs="Times New Roman"/>
          <w:color w:val="000000"/>
          <w:kern w:val="0"/>
          <w14:ligatures w14:val="none"/>
        </w:rPr>
        <w:t xml:space="preserve">, 18(4), pp.243–254.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9" w:tgtFrame="_new" w:history="1">
        <w:r w:rsidRPr="006D4B9C">
          <w:rPr>
            <w:rFonts w:ascii="Times New Roman" w:hAnsi="Times New Roman" w:cs="Times New Roman"/>
            <w:color w:val="0000FF"/>
            <w:kern w:val="0"/>
            <w:u w:val="single"/>
            <w14:ligatures w14:val="none"/>
          </w:rPr>
          <w:t>https://doi.org/10.5367/0000000041667538</w:t>
        </w:r>
      </w:hyperlink>
      <w:r w:rsidRPr="006D4B9C">
        <w:rPr>
          <w:rFonts w:ascii="Times New Roman" w:hAnsi="Times New Roman" w:cs="Times New Roman"/>
          <w:color w:val="000000"/>
          <w:kern w:val="0"/>
          <w14:ligatures w14:val="none"/>
        </w:rPr>
        <w:t>.</w:t>
      </w:r>
    </w:p>
    <w:p w14:paraId="78F6665B"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lastRenderedPageBreak/>
        <w:t xml:space="preserve">Cassidy, T., Jones, R.L. and </w:t>
      </w:r>
      <w:proofErr w:type="spellStart"/>
      <w:r w:rsidRPr="006D4B9C">
        <w:rPr>
          <w:rFonts w:ascii="Times New Roman" w:hAnsi="Times New Roman" w:cs="Times New Roman"/>
          <w:color w:val="000000"/>
          <w:kern w:val="0"/>
          <w14:ligatures w14:val="none"/>
        </w:rPr>
        <w:t>Potrac</w:t>
      </w:r>
      <w:proofErr w:type="spellEnd"/>
      <w:r w:rsidRPr="006D4B9C">
        <w:rPr>
          <w:rFonts w:ascii="Times New Roman" w:hAnsi="Times New Roman" w:cs="Times New Roman"/>
          <w:color w:val="000000"/>
          <w:kern w:val="0"/>
          <w14:ligatures w14:val="none"/>
        </w:rPr>
        <w:t>, P. (2009). </w:t>
      </w:r>
      <w:r w:rsidRPr="006D4B9C">
        <w:rPr>
          <w:rFonts w:ascii="Times New Roman" w:hAnsi="Times New Roman" w:cs="Times New Roman"/>
          <w:i/>
          <w:iCs/>
          <w:color w:val="000000"/>
          <w:kern w:val="0"/>
          <w14:ligatures w14:val="none"/>
        </w:rPr>
        <w:t>Understanding Sports Coaching: The Social, Cultural and Pedagogical Foundations of Coaching Practice</w:t>
      </w:r>
      <w:r w:rsidRPr="006D4B9C">
        <w:rPr>
          <w:rFonts w:ascii="Times New Roman" w:hAnsi="Times New Roman" w:cs="Times New Roman"/>
          <w:color w:val="000000"/>
          <w:kern w:val="0"/>
          <w14:ligatures w14:val="none"/>
        </w:rPr>
        <w:t xml:space="preserve">. 2nd ed. London; New York: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1FC198FD"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Chadwick, S., Arthur, D. and Beech, J.G. (2017). </w:t>
      </w:r>
      <w:r w:rsidRPr="006D4B9C">
        <w:rPr>
          <w:rFonts w:ascii="Times New Roman" w:hAnsi="Times New Roman" w:cs="Times New Roman"/>
          <w:i/>
          <w:iCs/>
          <w:color w:val="000000"/>
          <w:kern w:val="0"/>
          <w14:ligatures w14:val="none"/>
        </w:rPr>
        <w:t>International Cases in the Business of Sport</w:t>
      </w:r>
      <w:r w:rsidRPr="006D4B9C">
        <w:rPr>
          <w:rFonts w:ascii="Times New Roman" w:hAnsi="Times New Roman" w:cs="Times New Roman"/>
          <w:color w:val="000000"/>
          <w:kern w:val="0"/>
          <w14:ligatures w14:val="none"/>
        </w:rPr>
        <w:t xml:space="preserve">. 2nd ed. Abingdon, Oxon: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6116D2FD"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Crisp, P. (2020). Real-world coaching: student reflections on work-based placements and being in the ‘flow’. </w:t>
      </w:r>
      <w:r w:rsidRPr="006D4B9C">
        <w:rPr>
          <w:rFonts w:ascii="Times New Roman" w:hAnsi="Times New Roman" w:cs="Times New Roman"/>
          <w:i/>
          <w:iCs/>
          <w:color w:val="000000"/>
          <w:kern w:val="0"/>
          <w14:ligatures w14:val="none"/>
        </w:rPr>
        <w:t>Research in Post-Compulsory Education</w:t>
      </w:r>
      <w:r w:rsidRPr="006D4B9C">
        <w:rPr>
          <w:rFonts w:ascii="Times New Roman" w:hAnsi="Times New Roman" w:cs="Times New Roman"/>
          <w:color w:val="000000"/>
          <w:kern w:val="0"/>
          <w14:ligatures w14:val="none"/>
        </w:rPr>
        <w:t>, 25(3), pp.275–288. Available at: </w:t>
      </w:r>
      <w:hyperlink r:id="rId10" w:tgtFrame="_new" w:history="1">
        <w:r w:rsidRPr="006D4B9C">
          <w:rPr>
            <w:rFonts w:ascii="Times New Roman" w:hAnsi="Times New Roman" w:cs="Times New Roman"/>
            <w:color w:val="0000FF"/>
            <w:kern w:val="0"/>
            <w:u w:val="single"/>
            <w14:ligatures w14:val="none"/>
          </w:rPr>
          <w:t>https://www.tandfonline.com/doi/abs/10.1080/13596748.2020.1802943</w:t>
        </w:r>
      </w:hyperlink>
      <w:r w:rsidRPr="006D4B9C">
        <w:rPr>
          <w:rFonts w:ascii="Times New Roman" w:hAnsi="Times New Roman" w:cs="Times New Roman"/>
          <w:color w:val="000000"/>
          <w:kern w:val="0"/>
          <w14:ligatures w14:val="none"/>
        </w:rPr>
        <w:t>.</w:t>
      </w:r>
    </w:p>
    <w:p w14:paraId="43A90CC6"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Dinning, T. (2017). Embedding employability and enterprise skills in sport degrees through a focused work-based project: a student and employer viewpoint. </w:t>
      </w:r>
      <w:r w:rsidRPr="006D4B9C">
        <w:rPr>
          <w:rFonts w:ascii="Times New Roman" w:hAnsi="Times New Roman" w:cs="Times New Roman"/>
          <w:i/>
          <w:iCs/>
          <w:color w:val="000000"/>
          <w:kern w:val="0"/>
          <w14:ligatures w14:val="none"/>
        </w:rPr>
        <w:t>Cogent Education</w:t>
      </w:r>
      <w:r w:rsidRPr="006D4B9C">
        <w:rPr>
          <w:rFonts w:ascii="Times New Roman" w:hAnsi="Times New Roman" w:cs="Times New Roman"/>
          <w:color w:val="000000"/>
          <w:kern w:val="0"/>
          <w14:ligatures w14:val="none"/>
        </w:rPr>
        <w:t>, 4(1), p.1387085. Available at: </w:t>
      </w:r>
      <w:hyperlink r:id="rId11" w:tgtFrame="_new" w:history="1">
        <w:r w:rsidRPr="006D4B9C">
          <w:rPr>
            <w:rFonts w:ascii="Times New Roman" w:hAnsi="Times New Roman" w:cs="Times New Roman"/>
            <w:color w:val="0000FF"/>
            <w:kern w:val="0"/>
            <w:u w:val="single"/>
            <w14:ligatures w14:val="none"/>
          </w:rPr>
          <w:t>https://www.tandfonline.com/doi/pdf/10.1080/2331186X.2017.1387085</w:t>
        </w:r>
      </w:hyperlink>
      <w:r w:rsidRPr="006D4B9C">
        <w:rPr>
          <w:rFonts w:ascii="Times New Roman" w:hAnsi="Times New Roman" w:cs="Times New Roman"/>
          <w:color w:val="000000"/>
          <w:kern w:val="0"/>
          <w14:ligatures w14:val="none"/>
        </w:rPr>
        <w:t>.</w:t>
      </w:r>
    </w:p>
    <w:p w14:paraId="475BF21A"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Fahrnet</w:t>
      </w:r>
      <w:proofErr w:type="spellEnd"/>
      <w:r w:rsidRPr="006D4B9C">
        <w:rPr>
          <w:rFonts w:ascii="Times New Roman" w:hAnsi="Times New Roman" w:cs="Times New Roman"/>
          <w:color w:val="000000"/>
          <w:kern w:val="0"/>
          <w14:ligatures w14:val="none"/>
        </w:rPr>
        <w:t>, B. (2015). On your marks, get set, go!—lessons from the UK in enhancing employability of graduates and postgraduates: Graphical Abstract Figure. </w:t>
      </w:r>
      <w:r w:rsidRPr="006D4B9C">
        <w:rPr>
          <w:rFonts w:ascii="Times New Roman" w:hAnsi="Times New Roman" w:cs="Times New Roman"/>
          <w:i/>
          <w:iCs/>
          <w:color w:val="000000"/>
          <w:kern w:val="0"/>
          <w14:ligatures w14:val="none"/>
        </w:rPr>
        <w:t>FEMS Microbiology Letters</w:t>
      </w:r>
      <w:r w:rsidRPr="006D4B9C">
        <w:rPr>
          <w:rFonts w:ascii="Times New Roman" w:hAnsi="Times New Roman" w:cs="Times New Roman"/>
          <w:color w:val="000000"/>
          <w:kern w:val="0"/>
          <w14:ligatures w14:val="none"/>
        </w:rPr>
        <w:t xml:space="preserve">, 362(19), </w:t>
      </w:r>
      <w:proofErr w:type="spellStart"/>
      <w:r w:rsidRPr="006D4B9C">
        <w:rPr>
          <w:rFonts w:ascii="Times New Roman" w:hAnsi="Times New Roman" w:cs="Times New Roman"/>
          <w:color w:val="000000"/>
          <w:kern w:val="0"/>
          <w14:ligatures w14:val="none"/>
        </w:rPr>
        <w:t>p.fnv150</w:t>
      </w:r>
      <w:proofErr w:type="spellEnd"/>
      <w:r w:rsidRPr="006D4B9C">
        <w:rPr>
          <w:rFonts w:ascii="Times New Roman" w:hAnsi="Times New Roman" w:cs="Times New Roman"/>
          <w:color w:val="000000"/>
          <w:kern w:val="0"/>
          <w14:ligatures w14:val="none"/>
        </w:rPr>
        <w:t xml:space="preserve">.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12" w:tgtFrame="_new" w:history="1">
        <w:r w:rsidRPr="006D4B9C">
          <w:rPr>
            <w:rFonts w:ascii="Times New Roman" w:hAnsi="Times New Roman" w:cs="Times New Roman"/>
            <w:color w:val="0000FF"/>
            <w:kern w:val="0"/>
            <w:u w:val="single"/>
            <w14:ligatures w14:val="none"/>
          </w:rPr>
          <w:t>https://doi.org/10.1093/femsle/fnv150</w:t>
        </w:r>
      </w:hyperlink>
      <w:r w:rsidRPr="006D4B9C">
        <w:rPr>
          <w:rFonts w:ascii="Times New Roman" w:hAnsi="Times New Roman" w:cs="Times New Roman"/>
          <w:color w:val="000000"/>
          <w:kern w:val="0"/>
          <w14:ligatures w14:val="none"/>
        </w:rPr>
        <w:t>.</w:t>
      </w:r>
    </w:p>
    <w:p w14:paraId="2D63B80C"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 xml:space="preserve">Fleming, J., Martin, A.J., Hughes, H. and </w:t>
      </w:r>
      <w:proofErr w:type="spellStart"/>
      <w:r w:rsidRPr="006D4B9C">
        <w:rPr>
          <w:rFonts w:ascii="Times New Roman" w:hAnsi="Times New Roman" w:cs="Times New Roman"/>
          <w:color w:val="000000"/>
          <w:kern w:val="0"/>
          <w14:ligatures w14:val="none"/>
        </w:rPr>
        <w:t>Zinn</w:t>
      </w:r>
      <w:proofErr w:type="spellEnd"/>
      <w:r w:rsidRPr="006D4B9C">
        <w:rPr>
          <w:rFonts w:ascii="Times New Roman" w:hAnsi="Times New Roman" w:cs="Times New Roman"/>
          <w:color w:val="000000"/>
          <w:kern w:val="0"/>
          <w14:ligatures w14:val="none"/>
        </w:rPr>
        <w:t xml:space="preserve">, C. (2009). </w:t>
      </w:r>
      <w:proofErr w:type="spellStart"/>
      <w:r w:rsidRPr="006D4B9C">
        <w:rPr>
          <w:rFonts w:ascii="Times New Roman" w:hAnsi="Times New Roman" w:cs="Times New Roman"/>
          <w:color w:val="000000"/>
          <w:kern w:val="0"/>
          <w14:ligatures w14:val="none"/>
        </w:rPr>
        <w:t>Maximizing</w:t>
      </w:r>
      <w:proofErr w:type="spellEnd"/>
      <w:r w:rsidRPr="006D4B9C">
        <w:rPr>
          <w:rFonts w:ascii="Times New Roman" w:hAnsi="Times New Roman" w:cs="Times New Roman"/>
          <w:color w:val="000000"/>
          <w:kern w:val="0"/>
          <w14:ligatures w14:val="none"/>
        </w:rPr>
        <w:t xml:space="preserve"> work-integrated learning experiences through identifying graduate competencies for employability: a case study of sport studies in higher education. </w:t>
      </w:r>
      <w:r w:rsidRPr="006D4B9C">
        <w:rPr>
          <w:rFonts w:ascii="Times New Roman" w:hAnsi="Times New Roman" w:cs="Times New Roman"/>
          <w:i/>
          <w:iCs/>
          <w:color w:val="000000"/>
          <w:kern w:val="0"/>
          <w14:ligatures w14:val="none"/>
        </w:rPr>
        <w:t>Asia-Pacific Journal of Cooperative Education</w:t>
      </w:r>
      <w:r w:rsidRPr="006D4B9C">
        <w:rPr>
          <w:rFonts w:ascii="Times New Roman" w:hAnsi="Times New Roman" w:cs="Times New Roman"/>
          <w:color w:val="000000"/>
          <w:kern w:val="0"/>
          <w14:ligatures w14:val="none"/>
        </w:rPr>
        <w:t>, 10(3), pp.189–201. Available at: </w:t>
      </w:r>
      <w:hyperlink r:id="rId13" w:tgtFrame="_new" w:history="1">
        <w:r w:rsidRPr="006D4B9C">
          <w:rPr>
            <w:rFonts w:ascii="Times New Roman" w:hAnsi="Times New Roman" w:cs="Times New Roman"/>
            <w:color w:val="0000FF"/>
            <w:kern w:val="0"/>
            <w:u w:val="single"/>
            <w14:ligatures w14:val="none"/>
          </w:rPr>
          <w:t>https://www.ijwil.org/files/APJCE_10_3_189_201.pdf</w:t>
        </w:r>
      </w:hyperlink>
      <w:r w:rsidRPr="006D4B9C">
        <w:rPr>
          <w:rFonts w:ascii="Times New Roman" w:hAnsi="Times New Roman" w:cs="Times New Roman"/>
          <w:color w:val="000000"/>
          <w:kern w:val="0"/>
          <w14:ligatures w14:val="none"/>
        </w:rPr>
        <w:t>.</w:t>
      </w:r>
    </w:p>
    <w:p w14:paraId="65986DB6"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Flanagan, N. and Wilson, E. (2018). What makes a good placement? Findings of a social work student-to-student research study. </w:t>
      </w:r>
      <w:r w:rsidRPr="006D4B9C">
        <w:rPr>
          <w:rFonts w:ascii="Times New Roman" w:hAnsi="Times New Roman" w:cs="Times New Roman"/>
          <w:i/>
          <w:iCs/>
          <w:color w:val="000000"/>
          <w:kern w:val="0"/>
          <w14:ligatures w14:val="none"/>
        </w:rPr>
        <w:t>Social Work Education</w:t>
      </w:r>
      <w:r w:rsidRPr="006D4B9C">
        <w:rPr>
          <w:rFonts w:ascii="Times New Roman" w:hAnsi="Times New Roman" w:cs="Times New Roman"/>
          <w:color w:val="000000"/>
          <w:kern w:val="0"/>
          <w14:ligatures w14:val="none"/>
        </w:rPr>
        <w:t xml:space="preserve">, 37(5), pp.565–580.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14" w:tgtFrame="_new" w:history="1">
        <w:r w:rsidRPr="006D4B9C">
          <w:rPr>
            <w:rFonts w:ascii="Times New Roman" w:hAnsi="Times New Roman" w:cs="Times New Roman"/>
            <w:color w:val="0000FF"/>
            <w:kern w:val="0"/>
            <w:u w:val="single"/>
            <w14:ligatures w14:val="none"/>
          </w:rPr>
          <w:t>https://doi.org/10.1080/02615479.2018.1450373</w:t>
        </w:r>
      </w:hyperlink>
      <w:r w:rsidRPr="006D4B9C">
        <w:rPr>
          <w:rFonts w:ascii="Times New Roman" w:hAnsi="Times New Roman" w:cs="Times New Roman"/>
          <w:color w:val="000000"/>
          <w:kern w:val="0"/>
          <w14:ligatures w14:val="none"/>
        </w:rPr>
        <w:t>.</w:t>
      </w:r>
    </w:p>
    <w:p w14:paraId="23B5D8A7"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 xml:space="preserve">Foster, G., O'Reilly, N. and </w:t>
      </w:r>
      <w:proofErr w:type="spellStart"/>
      <w:r w:rsidRPr="006D4B9C">
        <w:rPr>
          <w:rFonts w:ascii="Times New Roman" w:hAnsi="Times New Roman" w:cs="Times New Roman"/>
          <w:color w:val="000000"/>
          <w:kern w:val="0"/>
          <w14:ligatures w14:val="none"/>
        </w:rPr>
        <w:t>Dávila</w:t>
      </w:r>
      <w:proofErr w:type="spellEnd"/>
      <w:r w:rsidRPr="006D4B9C">
        <w:rPr>
          <w:rFonts w:ascii="Times New Roman" w:hAnsi="Times New Roman" w:cs="Times New Roman"/>
          <w:color w:val="000000"/>
          <w:kern w:val="0"/>
          <w14:ligatures w14:val="none"/>
        </w:rPr>
        <w:t>, A. (2021). </w:t>
      </w:r>
      <w:r w:rsidRPr="006D4B9C">
        <w:rPr>
          <w:rFonts w:ascii="Times New Roman" w:hAnsi="Times New Roman" w:cs="Times New Roman"/>
          <w:i/>
          <w:iCs/>
          <w:color w:val="000000"/>
          <w:kern w:val="0"/>
          <w14:ligatures w14:val="none"/>
        </w:rPr>
        <w:t>Sports Business Management: Decision Making Around the Globe</w:t>
      </w:r>
      <w:r w:rsidRPr="006D4B9C">
        <w:rPr>
          <w:rFonts w:ascii="Times New Roman" w:hAnsi="Times New Roman" w:cs="Times New Roman"/>
          <w:color w:val="000000"/>
          <w:kern w:val="0"/>
          <w14:ligatures w14:val="none"/>
        </w:rPr>
        <w:t xml:space="preserve">. 2nd ed. London: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124549F9"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Girginov</w:t>
      </w:r>
      <w:proofErr w:type="spellEnd"/>
      <w:r w:rsidRPr="006D4B9C">
        <w:rPr>
          <w:rFonts w:ascii="Times New Roman" w:hAnsi="Times New Roman" w:cs="Times New Roman"/>
          <w:color w:val="000000"/>
          <w:kern w:val="0"/>
          <w14:ligatures w14:val="none"/>
        </w:rPr>
        <w:t>, V. (2008). </w:t>
      </w:r>
      <w:r w:rsidRPr="006D4B9C">
        <w:rPr>
          <w:rFonts w:ascii="Times New Roman" w:hAnsi="Times New Roman" w:cs="Times New Roman"/>
          <w:i/>
          <w:iCs/>
          <w:color w:val="000000"/>
          <w:kern w:val="0"/>
          <w14:ligatures w14:val="none"/>
        </w:rPr>
        <w:t>Management of Sports Development</w:t>
      </w:r>
      <w:r w:rsidRPr="006D4B9C">
        <w:rPr>
          <w:rFonts w:ascii="Times New Roman" w:hAnsi="Times New Roman" w:cs="Times New Roman"/>
          <w:color w:val="000000"/>
          <w:kern w:val="0"/>
          <w14:ligatures w14:val="none"/>
        </w:rPr>
        <w:t>. Amsterdam: Butterworth-Heinemann.</w:t>
      </w:r>
    </w:p>
    <w:p w14:paraId="07339DFE"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Hall, M., Pascoe, D. and Charity, M. (2017). The impact of work-integrated learning experiences on attaining graduate attributes for exercise and sports science students. </w:t>
      </w:r>
      <w:r w:rsidRPr="006D4B9C">
        <w:rPr>
          <w:rFonts w:ascii="Times New Roman" w:hAnsi="Times New Roman" w:cs="Times New Roman"/>
          <w:i/>
          <w:iCs/>
          <w:color w:val="000000"/>
          <w:kern w:val="0"/>
          <w14:ligatures w14:val="none"/>
        </w:rPr>
        <w:t>Asia-Pacific Journal of Cooperative Education</w:t>
      </w:r>
      <w:r w:rsidRPr="006D4B9C">
        <w:rPr>
          <w:rFonts w:ascii="Times New Roman" w:hAnsi="Times New Roman" w:cs="Times New Roman"/>
          <w:color w:val="000000"/>
          <w:kern w:val="0"/>
          <w14:ligatures w14:val="none"/>
        </w:rPr>
        <w:t>, 18(1), pp.15–25. Available at: </w:t>
      </w:r>
      <w:hyperlink r:id="rId15" w:tgtFrame="_new" w:history="1">
        <w:r w:rsidRPr="006D4B9C">
          <w:rPr>
            <w:rFonts w:ascii="Times New Roman" w:hAnsi="Times New Roman" w:cs="Times New Roman"/>
            <w:color w:val="0000FF"/>
            <w:kern w:val="0"/>
            <w:u w:val="single"/>
            <w14:ligatures w14:val="none"/>
          </w:rPr>
          <w:t>https://files.eric.ed.gov/fulltext/EJ1151149.pdf</w:t>
        </w:r>
      </w:hyperlink>
      <w:r w:rsidRPr="006D4B9C">
        <w:rPr>
          <w:rFonts w:ascii="Times New Roman" w:hAnsi="Times New Roman" w:cs="Times New Roman"/>
          <w:color w:val="000000"/>
          <w:kern w:val="0"/>
          <w14:ligatures w14:val="none"/>
        </w:rPr>
        <w:t>.</w:t>
      </w:r>
    </w:p>
    <w:p w14:paraId="6240C627"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Kell, C. and Owen, G. (2009). Approaches to learning on placement: the students’ perspective. </w:t>
      </w:r>
      <w:r w:rsidRPr="006D4B9C">
        <w:rPr>
          <w:rFonts w:ascii="Times New Roman" w:hAnsi="Times New Roman" w:cs="Times New Roman"/>
          <w:i/>
          <w:iCs/>
          <w:color w:val="000000"/>
          <w:kern w:val="0"/>
          <w14:ligatures w14:val="none"/>
        </w:rPr>
        <w:t>Physiotherapy Research International</w:t>
      </w:r>
      <w:r w:rsidRPr="006D4B9C">
        <w:rPr>
          <w:rFonts w:ascii="Times New Roman" w:hAnsi="Times New Roman" w:cs="Times New Roman"/>
          <w:color w:val="000000"/>
          <w:kern w:val="0"/>
          <w14:ligatures w14:val="none"/>
        </w:rPr>
        <w:t xml:space="preserve">, 14(2), pp.105–115.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16" w:tgtFrame="_new" w:history="1">
        <w:r w:rsidRPr="006D4B9C">
          <w:rPr>
            <w:rFonts w:ascii="Times New Roman" w:hAnsi="Times New Roman" w:cs="Times New Roman"/>
            <w:color w:val="0000FF"/>
            <w:kern w:val="0"/>
            <w:u w:val="single"/>
            <w14:ligatures w14:val="none"/>
          </w:rPr>
          <w:t>https://doi.org/10.1002/pri.422</w:t>
        </w:r>
      </w:hyperlink>
      <w:r w:rsidRPr="006D4B9C">
        <w:rPr>
          <w:rFonts w:ascii="Times New Roman" w:hAnsi="Times New Roman" w:cs="Times New Roman"/>
          <w:color w:val="000000"/>
          <w:kern w:val="0"/>
          <w14:ligatures w14:val="none"/>
        </w:rPr>
        <w:t>.</w:t>
      </w:r>
    </w:p>
    <w:p w14:paraId="69FEBECD"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Martin, A.J. and Fleming, J. (2022). Enhancing professional competencies through work-integrated learning: principles, practice, pedagogies, and partnerships. In: </w:t>
      </w:r>
      <w:r w:rsidRPr="006D4B9C">
        <w:rPr>
          <w:rFonts w:ascii="Times New Roman" w:hAnsi="Times New Roman" w:cs="Times New Roman"/>
          <w:i/>
          <w:iCs/>
          <w:color w:val="000000"/>
          <w:kern w:val="0"/>
          <w14:ligatures w14:val="none"/>
        </w:rPr>
        <w:t>Sport Management Education</w:t>
      </w:r>
      <w:r w:rsidRPr="006D4B9C">
        <w:rPr>
          <w:rFonts w:ascii="Times New Roman" w:hAnsi="Times New Roman" w:cs="Times New Roman"/>
          <w:color w:val="000000"/>
          <w:kern w:val="0"/>
          <w14:ligatures w14:val="none"/>
        </w:rPr>
        <w:t xml:space="preserve">.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 Available at: </w:t>
      </w:r>
      <w:hyperlink r:id="rId17" w:tgtFrame="_new" w:history="1">
        <w:r w:rsidRPr="006D4B9C">
          <w:rPr>
            <w:rFonts w:ascii="Times New Roman" w:hAnsi="Times New Roman" w:cs="Times New Roman"/>
            <w:color w:val="0000FF"/>
            <w:kern w:val="0"/>
            <w:u w:val="single"/>
            <w14:ligatures w14:val="none"/>
          </w:rPr>
          <w:t>https://api.taylorfrancis.com/content/chapters/edit/download?identifierName=doi&amp;identifierValue=10.4324/9781003140078-11&amp;type=chapterpdf</w:t>
        </w:r>
      </w:hyperlink>
      <w:r w:rsidRPr="006D4B9C">
        <w:rPr>
          <w:rFonts w:ascii="Times New Roman" w:hAnsi="Times New Roman" w:cs="Times New Roman"/>
          <w:color w:val="000000"/>
          <w:kern w:val="0"/>
          <w14:ligatures w14:val="none"/>
        </w:rPr>
        <w:t>.</w:t>
      </w:r>
    </w:p>
    <w:p w14:paraId="6CEAA93E"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lastRenderedPageBreak/>
        <w:t>Masterman</w:t>
      </w:r>
      <w:proofErr w:type="spellEnd"/>
      <w:r w:rsidRPr="006D4B9C">
        <w:rPr>
          <w:rFonts w:ascii="Times New Roman" w:hAnsi="Times New Roman" w:cs="Times New Roman"/>
          <w:color w:val="000000"/>
          <w:kern w:val="0"/>
          <w14:ligatures w14:val="none"/>
        </w:rPr>
        <w:t>, G. (2022). </w:t>
      </w:r>
      <w:r w:rsidRPr="006D4B9C">
        <w:rPr>
          <w:rFonts w:ascii="Times New Roman" w:hAnsi="Times New Roman" w:cs="Times New Roman"/>
          <w:i/>
          <w:iCs/>
          <w:color w:val="000000"/>
          <w:kern w:val="0"/>
          <w14:ligatures w14:val="none"/>
        </w:rPr>
        <w:t>Strategic Sports Event Management</w:t>
      </w:r>
      <w:r w:rsidRPr="006D4B9C">
        <w:rPr>
          <w:rFonts w:ascii="Times New Roman" w:hAnsi="Times New Roman" w:cs="Times New Roman"/>
          <w:color w:val="000000"/>
          <w:kern w:val="0"/>
          <w14:ligatures w14:val="none"/>
        </w:rPr>
        <w:t xml:space="preserve">. 4th ed. London; New York, NY: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016BA983"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Morris, L.M. (2017). Student-athletes: An exploration of subjective wellbeing. </w:t>
      </w:r>
      <w:r w:rsidRPr="006D4B9C">
        <w:rPr>
          <w:rFonts w:ascii="Times New Roman" w:hAnsi="Times New Roman" w:cs="Times New Roman"/>
          <w:i/>
          <w:iCs/>
          <w:color w:val="000000"/>
          <w:kern w:val="0"/>
          <w14:ligatures w14:val="none"/>
        </w:rPr>
        <w:t>The Sport Journal</w:t>
      </w:r>
      <w:r w:rsidRPr="006D4B9C">
        <w:rPr>
          <w:rFonts w:ascii="Times New Roman" w:hAnsi="Times New Roman" w:cs="Times New Roman"/>
          <w:color w:val="000000"/>
          <w:kern w:val="0"/>
          <w14:ligatures w14:val="none"/>
        </w:rPr>
        <w:t>. Available at: </w:t>
      </w:r>
      <w:hyperlink r:id="rId18" w:tgtFrame="_new" w:history="1">
        <w:r w:rsidRPr="006D4B9C">
          <w:rPr>
            <w:rFonts w:ascii="Times New Roman" w:hAnsi="Times New Roman" w:cs="Times New Roman"/>
            <w:color w:val="0000FF"/>
            <w:kern w:val="0"/>
            <w:u w:val="single"/>
            <w14:ligatures w14:val="none"/>
          </w:rPr>
          <w:t>https://thesportjournal.org/article/student-athletes-an-exploration-of-subjective-wellbeing/</w:t>
        </w:r>
      </w:hyperlink>
      <w:r w:rsidRPr="006D4B9C">
        <w:rPr>
          <w:rFonts w:ascii="Times New Roman" w:hAnsi="Times New Roman" w:cs="Times New Roman"/>
          <w:color w:val="000000"/>
          <w:kern w:val="0"/>
          <w14:ligatures w14:val="none"/>
        </w:rPr>
        <w:t>.</w:t>
      </w:r>
    </w:p>
    <w:p w14:paraId="1A52AEFB"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Ngo</w:t>
      </w:r>
      <w:proofErr w:type="spellEnd"/>
      <w:r w:rsidRPr="006D4B9C">
        <w:rPr>
          <w:rFonts w:ascii="Times New Roman" w:hAnsi="Times New Roman" w:cs="Times New Roman"/>
          <w:color w:val="000000"/>
          <w:kern w:val="0"/>
          <w14:ligatures w14:val="none"/>
        </w:rPr>
        <w:t>, J.K. and Weldon, A. (2019). The effects of work-integrated learning on undergraduate sports coaching students' perceived self-efficacy. </w:t>
      </w:r>
      <w:r w:rsidRPr="006D4B9C">
        <w:rPr>
          <w:rFonts w:ascii="Times New Roman" w:hAnsi="Times New Roman" w:cs="Times New Roman"/>
          <w:i/>
          <w:iCs/>
          <w:color w:val="000000"/>
          <w:kern w:val="0"/>
          <w14:ligatures w14:val="none"/>
        </w:rPr>
        <w:t>Journal of Work Integrated Learning</w:t>
      </w:r>
      <w:r w:rsidRPr="006D4B9C">
        <w:rPr>
          <w:rFonts w:ascii="Times New Roman" w:hAnsi="Times New Roman" w:cs="Times New Roman"/>
          <w:color w:val="000000"/>
          <w:kern w:val="0"/>
          <w14:ligatures w14:val="none"/>
        </w:rPr>
        <w:t>, 20(2), pp.1–15. Available at: </w:t>
      </w:r>
      <w:hyperlink r:id="rId19" w:tgtFrame="_new" w:history="1">
        <w:r w:rsidRPr="006D4B9C">
          <w:rPr>
            <w:rFonts w:ascii="Times New Roman" w:hAnsi="Times New Roman" w:cs="Times New Roman"/>
            <w:color w:val="0000FF"/>
            <w:kern w:val="0"/>
            <w:u w:val="single"/>
            <w14:ligatures w14:val="none"/>
          </w:rPr>
          <w:t>https://repository.vtc.edu.hk/cgi/viewcontent.cgi?article=1124&amp;context=thei-fac-man-hos-sp</w:t>
        </w:r>
      </w:hyperlink>
      <w:r w:rsidRPr="006D4B9C">
        <w:rPr>
          <w:rFonts w:ascii="Times New Roman" w:hAnsi="Times New Roman" w:cs="Times New Roman"/>
          <w:color w:val="000000"/>
          <w:kern w:val="0"/>
          <w14:ligatures w14:val="none"/>
        </w:rPr>
        <w:t>.</w:t>
      </w:r>
    </w:p>
    <w:p w14:paraId="710F82FD"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O’Donovan, D. (2018). Bilateral benefits: student experiences of work-based learning during work placement. </w:t>
      </w:r>
      <w:r w:rsidRPr="006D4B9C">
        <w:rPr>
          <w:rFonts w:ascii="Times New Roman" w:hAnsi="Times New Roman" w:cs="Times New Roman"/>
          <w:i/>
          <w:iCs/>
          <w:color w:val="000000"/>
          <w:kern w:val="0"/>
          <w14:ligatures w14:val="none"/>
        </w:rPr>
        <w:t>Industry and Higher Education</w:t>
      </w:r>
      <w:r w:rsidRPr="006D4B9C">
        <w:rPr>
          <w:rFonts w:ascii="Times New Roman" w:hAnsi="Times New Roman" w:cs="Times New Roman"/>
          <w:color w:val="000000"/>
          <w:kern w:val="0"/>
          <w14:ligatures w14:val="none"/>
        </w:rPr>
        <w:t xml:space="preserve">, 32(2), pp.119–128.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20" w:tgtFrame="_new" w:history="1">
        <w:r w:rsidRPr="006D4B9C">
          <w:rPr>
            <w:rFonts w:ascii="Times New Roman" w:hAnsi="Times New Roman" w:cs="Times New Roman"/>
            <w:color w:val="0000FF"/>
            <w:kern w:val="0"/>
            <w:u w:val="single"/>
            <w14:ligatures w14:val="none"/>
          </w:rPr>
          <w:t>https://doi.org/10.1177/0950422218761273</w:t>
        </w:r>
      </w:hyperlink>
      <w:r w:rsidRPr="006D4B9C">
        <w:rPr>
          <w:rFonts w:ascii="Times New Roman" w:hAnsi="Times New Roman" w:cs="Times New Roman"/>
          <w:color w:val="000000"/>
          <w:kern w:val="0"/>
          <w14:ligatures w14:val="none"/>
        </w:rPr>
        <w:t>.</w:t>
      </w:r>
    </w:p>
    <w:p w14:paraId="7B2104E7"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O’Shea, M. and Watson, G. (2007). Academic learning for sport management students: learning through engaged practice. </w:t>
      </w:r>
      <w:r w:rsidRPr="006D4B9C">
        <w:rPr>
          <w:rFonts w:ascii="Times New Roman" w:hAnsi="Times New Roman" w:cs="Times New Roman"/>
          <w:i/>
          <w:iCs/>
          <w:color w:val="000000"/>
          <w:kern w:val="0"/>
          <w14:ligatures w14:val="none"/>
        </w:rPr>
        <w:t>Asia-Pacific Journal of Cooperative Education</w:t>
      </w:r>
      <w:r w:rsidRPr="006D4B9C">
        <w:rPr>
          <w:rFonts w:ascii="Times New Roman" w:hAnsi="Times New Roman" w:cs="Times New Roman"/>
          <w:color w:val="000000"/>
          <w:kern w:val="0"/>
          <w14:ligatures w14:val="none"/>
        </w:rPr>
        <w:t>, 8(1), pp.53–65. Available at: </w:t>
      </w:r>
      <w:hyperlink r:id="rId21" w:tgtFrame="_new" w:history="1">
        <w:r w:rsidRPr="006D4B9C">
          <w:rPr>
            <w:rFonts w:ascii="Times New Roman" w:hAnsi="Times New Roman" w:cs="Times New Roman"/>
            <w:color w:val="0000FF"/>
            <w:kern w:val="0"/>
            <w:u w:val="single"/>
            <w14:ligatures w14:val="none"/>
          </w:rPr>
          <w:t>https://www.academia.edu/download/80030172/APJCE_08_1_53_65.pdf</w:t>
        </w:r>
      </w:hyperlink>
      <w:r w:rsidRPr="006D4B9C">
        <w:rPr>
          <w:rFonts w:ascii="Times New Roman" w:hAnsi="Times New Roman" w:cs="Times New Roman"/>
          <w:color w:val="000000"/>
          <w:kern w:val="0"/>
          <w14:ligatures w14:val="none"/>
        </w:rPr>
        <w:t>.</w:t>
      </w:r>
    </w:p>
    <w:p w14:paraId="3CC60409"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Pierce, D.A. and Foster, S.B. (2021). Improving experiential learning in sport management through work-integrated learning. </w:t>
      </w:r>
      <w:r w:rsidRPr="006D4B9C">
        <w:rPr>
          <w:rFonts w:ascii="Times New Roman" w:hAnsi="Times New Roman" w:cs="Times New Roman"/>
          <w:i/>
          <w:iCs/>
          <w:color w:val="000000"/>
          <w:kern w:val="0"/>
          <w14:ligatures w14:val="none"/>
        </w:rPr>
        <w:t>Sport Management Education Journal</w:t>
      </w:r>
      <w:r w:rsidRPr="006D4B9C">
        <w:rPr>
          <w:rFonts w:ascii="Times New Roman" w:hAnsi="Times New Roman" w:cs="Times New Roman"/>
          <w:color w:val="000000"/>
          <w:kern w:val="0"/>
          <w14:ligatures w14:val="none"/>
        </w:rPr>
        <w:t>, 15(2), pp.117–131. Available at: </w:t>
      </w:r>
      <w:hyperlink r:id="rId22" w:tgtFrame="_new" w:history="1">
        <w:r w:rsidRPr="006D4B9C">
          <w:rPr>
            <w:rFonts w:ascii="Times New Roman" w:hAnsi="Times New Roman" w:cs="Times New Roman"/>
            <w:color w:val="0000FF"/>
            <w:kern w:val="0"/>
            <w:u w:val="single"/>
            <w14:ligatures w14:val="none"/>
          </w:rPr>
          <w:t>https://journals.humankinetics.com/view/journals/smej/15/2/article-p117.xml</w:t>
        </w:r>
      </w:hyperlink>
      <w:r w:rsidRPr="006D4B9C">
        <w:rPr>
          <w:rFonts w:ascii="Times New Roman" w:hAnsi="Times New Roman" w:cs="Times New Roman"/>
          <w:color w:val="000000"/>
          <w:kern w:val="0"/>
          <w14:ligatures w14:val="none"/>
        </w:rPr>
        <w:t>.</w:t>
      </w:r>
    </w:p>
    <w:p w14:paraId="13959953"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 xml:space="preserve">Schwartz, E.C., </w:t>
      </w:r>
      <w:proofErr w:type="spellStart"/>
      <w:r w:rsidRPr="006D4B9C">
        <w:rPr>
          <w:rFonts w:ascii="Times New Roman" w:hAnsi="Times New Roman" w:cs="Times New Roman"/>
          <w:color w:val="000000"/>
          <w:kern w:val="0"/>
          <w14:ligatures w14:val="none"/>
        </w:rPr>
        <w:t>Shibli</w:t>
      </w:r>
      <w:proofErr w:type="spellEnd"/>
      <w:r w:rsidRPr="006D4B9C">
        <w:rPr>
          <w:rFonts w:ascii="Times New Roman" w:hAnsi="Times New Roman" w:cs="Times New Roman"/>
          <w:color w:val="000000"/>
          <w:kern w:val="0"/>
          <w14:ligatures w14:val="none"/>
        </w:rPr>
        <w:t>, S. and Hall, S.A. (2020). </w:t>
      </w:r>
      <w:r w:rsidRPr="006D4B9C">
        <w:rPr>
          <w:rFonts w:ascii="Times New Roman" w:hAnsi="Times New Roman" w:cs="Times New Roman"/>
          <w:i/>
          <w:iCs/>
          <w:color w:val="000000"/>
          <w:kern w:val="0"/>
          <w14:ligatures w14:val="none"/>
        </w:rPr>
        <w:t>Sport Facility Operations Management: A Global Perspective</w:t>
      </w:r>
      <w:r w:rsidRPr="006D4B9C">
        <w:rPr>
          <w:rFonts w:ascii="Times New Roman" w:hAnsi="Times New Roman" w:cs="Times New Roman"/>
          <w:color w:val="000000"/>
          <w:kern w:val="0"/>
          <w14:ligatures w14:val="none"/>
        </w:rPr>
        <w:t xml:space="preserve">. 3rd ed. London; New York, NY: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6D27C6A3"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Struyven</w:t>
      </w:r>
      <w:proofErr w:type="spellEnd"/>
      <w:r w:rsidRPr="006D4B9C">
        <w:rPr>
          <w:rFonts w:ascii="Times New Roman" w:hAnsi="Times New Roman" w:cs="Times New Roman"/>
          <w:color w:val="000000"/>
          <w:kern w:val="0"/>
          <w14:ligatures w14:val="none"/>
        </w:rPr>
        <w:t xml:space="preserve">, K., </w:t>
      </w:r>
      <w:proofErr w:type="spellStart"/>
      <w:r w:rsidRPr="006D4B9C">
        <w:rPr>
          <w:rFonts w:ascii="Times New Roman" w:hAnsi="Times New Roman" w:cs="Times New Roman"/>
          <w:color w:val="000000"/>
          <w:kern w:val="0"/>
          <w14:ligatures w14:val="none"/>
        </w:rPr>
        <w:t>Dochy</w:t>
      </w:r>
      <w:proofErr w:type="spellEnd"/>
      <w:r w:rsidRPr="006D4B9C">
        <w:rPr>
          <w:rFonts w:ascii="Times New Roman" w:hAnsi="Times New Roman" w:cs="Times New Roman"/>
          <w:color w:val="000000"/>
          <w:kern w:val="0"/>
          <w14:ligatures w14:val="none"/>
        </w:rPr>
        <w:t>, F. and Janssens, S. (2008). The effects of hands-on experience on students' preferences for assessment methods. </w:t>
      </w:r>
      <w:r w:rsidRPr="006D4B9C">
        <w:rPr>
          <w:rFonts w:ascii="Times New Roman" w:hAnsi="Times New Roman" w:cs="Times New Roman"/>
          <w:i/>
          <w:iCs/>
          <w:color w:val="000000"/>
          <w:kern w:val="0"/>
          <w14:ligatures w14:val="none"/>
        </w:rPr>
        <w:t>Journal of Teacher Education</w:t>
      </w:r>
      <w:r w:rsidRPr="006D4B9C">
        <w:rPr>
          <w:rFonts w:ascii="Times New Roman" w:hAnsi="Times New Roman" w:cs="Times New Roman"/>
          <w:color w:val="000000"/>
          <w:kern w:val="0"/>
          <w14:ligatures w14:val="none"/>
        </w:rPr>
        <w:t xml:space="preserve">, 59(1), pp.69–88.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23" w:tgtFrame="_new" w:history="1">
        <w:r w:rsidRPr="006D4B9C">
          <w:rPr>
            <w:rFonts w:ascii="Times New Roman" w:hAnsi="Times New Roman" w:cs="Times New Roman"/>
            <w:color w:val="0000FF"/>
            <w:kern w:val="0"/>
            <w:u w:val="single"/>
            <w14:ligatures w14:val="none"/>
          </w:rPr>
          <w:t>https://doi.org/10.1177/0022487107313355</w:t>
        </w:r>
      </w:hyperlink>
      <w:r w:rsidRPr="006D4B9C">
        <w:rPr>
          <w:rFonts w:ascii="Times New Roman" w:hAnsi="Times New Roman" w:cs="Times New Roman"/>
          <w:color w:val="000000"/>
          <w:kern w:val="0"/>
          <w14:ligatures w14:val="none"/>
        </w:rPr>
        <w:t>.</w:t>
      </w:r>
    </w:p>
    <w:p w14:paraId="29FC51FA"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proofErr w:type="spellStart"/>
      <w:r w:rsidRPr="006D4B9C">
        <w:rPr>
          <w:rFonts w:ascii="Times New Roman" w:hAnsi="Times New Roman" w:cs="Times New Roman"/>
          <w:color w:val="000000"/>
          <w:kern w:val="0"/>
          <w14:ligatures w14:val="none"/>
        </w:rPr>
        <w:t>Tortora</w:t>
      </w:r>
      <w:proofErr w:type="spellEnd"/>
      <w:r w:rsidRPr="006D4B9C">
        <w:rPr>
          <w:rFonts w:ascii="Times New Roman" w:hAnsi="Times New Roman" w:cs="Times New Roman"/>
          <w:color w:val="000000"/>
          <w:kern w:val="0"/>
          <w14:ligatures w14:val="none"/>
        </w:rPr>
        <w:t>, M. (2018). </w:t>
      </w:r>
      <w:r w:rsidRPr="006D4B9C">
        <w:rPr>
          <w:rFonts w:ascii="Times New Roman" w:hAnsi="Times New Roman" w:cs="Times New Roman"/>
          <w:i/>
          <w:iCs/>
          <w:color w:val="000000"/>
          <w:kern w:val="0"/>
          <w14:ligatures w14:val="none"/>
        </w:rPr>
        <w:t>Grassroots Sustainability Innovations in Sports Management: Emerging Research and Opportunities</w:t>
      </w:r>
      <w:r w:rsidRPr="006D4B9C">
        <w:rPr>
          <w:rFonts w:ascii="Times New Roman" w:hAnsi="Times New Roman" w:cs="Times New Roman"/>
          <w:color w:val="000000"/>
          <w:kern w:val="0"/>
          <w14:ligatures w14:val="none"/>
        </w:rPr>
        <w:t>. Hershey, Pennsylvania: Business Science Reference.</w:t>
      </w:r>
    </w:p>
    <w:p w14:paraId="4FE1B9EA"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 xml:space="preserve">Wand, T. and </w:t>
      </w:r>
      <w:proofErr w:type="spellStart"/>
      <w:r w:rsidRPr="006D4B9C">
        <w:rPr>
          <w:rFonts w:ascii="Times New Roman" w:hAnsi="Times New Roman" w:cs="Times New Roman"/>
          <w:color w:val="000000"/>
          <w:kern w:val="0"/>
          <w14:ligatures w14:val="none"/>
        </w:rPr>
        <w:t>Rambukwella</w:t>
      </w:r>
      <w:proofErr w:type="spellEnd"/>
      <w:r w:rsidRPr="006D4B9C">
        <w:rPr>
          <w:rFonts w:ascii="Times New Roman" w:hAnsi="Times New Roman" w:cs="Times New Roman"/>
          <w:color w:val="000000"/>
          <w:kern w:val="0"/>
          <w14:ligatures w14:val="none"/>
        </w:rPr>
        <w:t>, S. (2018). Measuring the value of placements to employers. </w:t>
      </w:r>
      <w:r w:rsidRPr="006D4B9C">
        <w:rPr>
          <w:rFonts w:ascii="Times New Roman" w:hAnsi="Times New Roman" w:cs="Times New Roman"/>
          <w:i/>
          <w:iCs/>
          <w:color w:val="000000"/>
          <w:kern w:val="0"/>
          <w14:ligatures w14:val="none"/>
        </w:rPr>
        <w:t>Industry and Higher Education</w:t>
      </w:r>
      <w:r w:rsidRPr="006D4B9C">
        <w:rPr>
          <w:rFonts w:ascii="Times New Roman" w:hAnsi="Times New Roman" w:cs="Times New Roman"/>
          <w:color w:val="000000"/>
          <w:kern w:val="0"/>
          <w14:ligatures w14:val="none"/>
        </w:rPr>
        <w:t xml:space="preserve">, 32(2), pp.93–107.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24" w:tgtFrame="_new" w:history="1">
        <w:r w:rsidRPr="006D4B9C">
          <w:rPr>
            <w:rFonts w:ascii="Times New Roman" w:hAnsi="Times New Roman" w:cs="Times New Roman"/>
            <w:color w:val="0000FF"/>
            <w:kern w:val="0"/>
            <w:u w:val="single"/>
            <w14:ligatures w14:val="none"/>
          </w:rPr>
          <w:t>https://doi.org/10.1177/0950422218759726</w:t>
        </w:r>
      </w:hyperlink>
      <w:r w:rsidRPr="006D4B9C">
        <w:rPr>
          <w:rFonts w:ascii="Times New Roman" w:hAnsi="Times New Roman" w:cs="Times New Roman"/>
          <w:color w:val="000000"/>
          <w:kern w:val="0"/>
          <w14:ligatures w14:val="none"/>
        </w:rPr>
        <w:t>.</w:t>
      </w:r>
    </w:p>
    <w:p w14:paraId="21A61489"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Wang, Z. and Crawford, I. (2018). Who are gaining the highly paid elite placements in UK higher education? </w:t>
      </w:r>
      <w:r w:rsidRPr="006D4B9C">
        <w:rPr>
          <w:rFonts w:ascii="Times New Roman" w:hAnsi="Times New Roman" w:cs="Times New Roman"/>
          <w:i/>
          <w:iCs/>
          <w:color w:val="000000"/>
          <w:kern w:val="0"/>
          <w14:ligatures w14:val="none"/>
        </w:rPr>
        <w:t>Studies in Higher Education</w:t>
      </w:r>
      <w:r w:rsidRPr="006D4B9C">
        <w:rPr>
          <w:rFonts w:ascii="Times New Roman" w:hAnsi="Times New Roman" w:cs="Times New Roman"/>
          <w:color w:val="000000"/>
          <w:kern w:val="0"/>
          <w14:ligatures w14:val="none"/>
        </w:rPr>
        <w:t xml:space="preserve">, 44(11), pp.1960–1974. </w:t>
      </w:r>
      <w:proofErr w:type="spellStart"/>
      <w:r w:rsidRPr="006D4B9C">
        <w:rPr>
          <w:rFonts w:ascii="Times New Roman" w:hAnsi="Times New Roman" w:cs="Times New Roman"/>
          <w:color w:val="000000"/>
          <w:kern w:val="0"/>
          <w14:ligatures w14:val="none"/>
        </w:rPr>
        <w:t>doi</w:t>
      </w:r>
      <w:proofErr w:type="spellEnd"/>
      <w:r w:rsidRPr="006D4B9C">
        <w:rPr>
          <w:rFonts w:ascii="Times New Roman" w:hAnsi="Times New Roman" w:cs="Times New Roman"/>
          <w:color w:val="000000"/>
          <w:kern w:val="0"/>
          <w14:ligatures w14:val="none"/>
        </w:rPr>
        <w:t>: </w:t>
      </w:r>
      <w:hyperlink r:id="rId25" w:tgtFrame="_new" w:history="1">
        <w:r w:rsidRPr="006D4B9C">
          <w:rPr>
            <w:rFonts w:ascii="Times New Roman" w:hAnsi="Times New Roman" w:cs="Times New Roman"/>
            <w:color w:val="0000FF"/>
            <w:kern w:val="0"/>
            <w:u w:val="single"/>
            <w14:ligatures w14:val="none"/>
          </w:rPr>
          <w:t>https://doi.org/10.1080/03075079.2018.1476482</w:t>
        </w:r>
      </w:hyperlink>
      <w:r w:rsidRPr="006D4B9C">
        <w:rPr>
          <w:rFonts w:ascii="Times New Roman" w:hAnsi="Times New Roman" w:cs="Times New Roman"/>
          <w:color w:val="000000"/>
          <w:kern w:val="0"/>
          <w14:ligatures w14:val="none"/>
        </w:rPr>
        <w:t>.</w:t>
      </w:r>
    </w:p>
    <w:p w14:paraId="7B6E8D07" w14:textId="77777777" w:rsidR="006D4B9C" w:rsidRPr="006D4B9C" w:rsidRDefault="006D4B9C" w:rsidP="006D4B9C">
      <w:pPr>
        <w:spacing w:before="100" w:beforeAutospacing="1" w:after="100" w:afterAutospacing="1" w:line="240" w:lineRule="auto"/>
        <w:divId w:val="1925793766"/>
        <w:rPr>
          <w:rFonts w:ascii="Times New Roman" w:hAnsi="Times New Roman" w:cs="Times New Roman"/>
          <w:color w:val="000000"/>
          <w:kern w:val="0"/>
          <w14:ligatures w14:val="none"/>
        </w:rPr>
      </w:pPr>
      <w:r w:rsidRPr="006D4B9C">
        <w:rPr>
          <w:rFonts w:ascii="Times New Roman" w:hAnsi="Times New Roman" w:cs="Times New Roman"/>
          <w:color w:val="000000"/>
          <w:kern w:val="0"/>
          <w14:ligatures w14:val="none"/>
        </w:rPr>
        <w:t xml:space="preserve">Wolsey, C., Abrams, J. and </w:t>
      </w:r>
      <w:proofErr w:type="spellStart"/>
      <w:r w:rsidRPr="006D4B9C">
        <w:rPr>
          <w:rFonts w:ascii="Times New Roman" w:hAnsi="Times New Roman" w:cs="Times New Roman"/>
          <w:color w:val="000000"/>
          <w:kern w:val="0"/>
          <w14:ligatures w14:val="none"/>
        </w:rPr>
        <w:t>Minten</w:t>
      </w:r>
      <w:proofErr w:type="spellEnd"/>
      <w:r w:rsidRPr="006D4B9C">
        <w:rPr>
          <w:rFonts w:ascii="Times New Roman" w:hAnsi="Times New Roman" w:cs="Times New Roman"/>
          <w:color w:val="000000"/>
          <w:kern w:val="0"/>
          <w14:ligatures w14:val="none"/>
        </w:rPr>
        <w:t>, S. (2012). </w:t>
      </w:r>
      <w:r w:rsidRPr="006D4B9C">
        <w:rPr>
          <w:rFonts w:ascii="Times New Roman" w:hAnsi="Times New Roman" w:cs="Times New Roman"/>
          <w:i/>
          <w:iCs/>
          <w:color w:val="000000"/>
          <w:kern w:val="0"/>
          <w14:ligatures w14:val="none"/>
        </w:rPr>
        <w:t>Human Resource Management in the Sport and Leisure Industry</w:t>
      </w:r>
      <w:r w:rsidRPr="006D4B9C">
        <w:rPr>
          <w:rFonts w:ascii="Times New Roman" w:hAnsi="Times New Roman" w:cs="Times New Roman"/>
          <w:color w:val="000000"/>
          <w:kern w:val="0"/>
          <w14:ligatures w14:val="none"/>
        </w:rPr>
        <w:t xml:space="preserve">. Abingdon, Oxon: </w:t>
      </w:r>
      <w:proofErr w:type="spellStart"/>
      <w:r w:rsidRPr="006D4B9C">
        <w:rPr>
          <w:rFonts w:ascii="Times New Roman" w:hAnsi="Times New Roman" w:cs="Times New Roman"/>
          <w:color w:val="000000"/>
          <w:kern w:val="0"/>
          <w14:ligatures w14:val="none"/>
        </w:rPr>
        <w:t>Routledge</w:t>
      </w:r>
      <w:proofErr w:type="spellEnd"/>
      <w:r w:rsidRPr="006D4B9C">
        <w:rPr>
          <w:rFonts w:ascii="Times New Roman" w:hAnsi="Times New Roman" w:cs="Times New Roman"/>
          <w:color w:val="000000"/>
          <w:kern w:val="0"/>
          <w14:ligatures w14:val="none"/>
        </w:rPr>
        <w:t>.</w:t>
      </w:r>
    </w:p>
    <w:p w14:paraId="4F5F1AB0" w14:textId="77777777" w:rsidR="003F24AB" w:rsidRDefault="003F24AB"/>
    <w:sectPr w:rsidR="003F2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tRZwiOWc" int2:invalidationBookmarkName="" int2:hashCode="gRg+Ewpr1g5/o3" int2:id="pFTjHJI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224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0571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AE9"/>
    <w:rsid w:val="000007D0"/>
    <w:rsid w:val="00003F0C"/>
    <w:rsid w:val="00014CAA"/>
    <w:rsid w:val="0003412B"/>
    <w:rsid w:val="00094580"/>
    <w:rsid w:val="000D2687"/>
    <w:rsid w:val="000D314D"/>
    <w:rsid w:val="000E6EBB"/>
    <w:rsid w:val="000F471C"/>
    <w:rsid w:val="00107AFD"/>
    <w:rsid w:val="00112446"/>
    <w:rsid w:val="00114475"/>
    <w:rsid w:val="00114B57"/>
    <w:rsid w:val="00122EDF"/>
    <w:rsid w:val="00133B4D"/>
    <w:rsid w:val="0016348B"/>
    <w:rsid w:val="00163D4E"/>
    <w:rsid w:val="00164386"/>
    <w:rsid w:val="00171C84"/>
    <w:rsid w:val="0018339E"/>
    <w:rsid w:val="001972B7"/>
    <w:rsid w:val="001A5F1E"/>
    <w:rsid w:val="001A78CE"/>
    <w:rsid w:val="001B7069"/>
    <w:rsid w:val="001C5AA4"/>
    <w:rsid w:val="001F491B"/>
    <w:rsid w:val="001F5789"/>
    <w:rsid w:val="00241201"/>
    <w:rsid w:val="0027513B"/>
    <w:rsid w:val="002D610A"/>
    <w:rsid w:val="002F1BD7"/>
    <w:rsid w:val="002F2291"/>
    <w:rsid w:val="003107B6"/>
    <w:rsid w:val="00327747"/>
    <w:rsid w:val="00357CCE"/>
    <w:rsid w:val="00367990"/>
    <w:rsid w:val="0038623C"/>
    <w:rsid w:val="00392D74"/>
    <w:rsid w:val="003B0418"/>
    <w:rsid w:val="003B47C2"/>
    <w:rsid w:val="003D2B09"/>
    <w:rsid w:val="003F24AB"/>
    <w:rsid w:val="00401C67"/>
    <w:rsid w:val="00442DB3"/>
    <w:rsid w:val="00452D5E"/>
    <w:rsid w:val="00464E8B"/>
    <w:rsid w:val="00495B04"/>
    <w:rsid w:val="004F0EA9"/>
    <w:rsid w:val="00523757"/>
    <w:rsid w:val="005731B0"/>
    <w:rsid w:val="00576F10"/>
    <w:rsid w:val="00577B94"/>
    <w:rsid w:val="00577F40"/>
    <w:rsid w:val="00587069"/>
    <w:rsid w:val="005A3FFC"/>
    <w:rsid w:val="005C4A7B"/>
    <w:rsid w:val="005F05CC"/>
    <w:rsid w:val="0062433F"/>
    <w:rsid w:val="00633E14"/>
    <w:rsid w:val="00667D3D"/>
    <w:rsid w:val="006777A6"/>
    <w:rsid w:val="00690A12"/>
    <w:rsid w:val="006D34E0"/>
    <w:rsid w:val="006D4B9C"/>
    <w:rsid w:val="006E2C48"/>
    <w:rsid w:val="006F333C"/>
    <w:rsid w:val="00722D0D"/>
    <w:rsid w:val="00776B3F"/>
    <w:rsid w:val="007D02DE"/>
    <w:rsid w:val="00805A07"/>
    <w:rsid w:val="00817A64"/>
    <w:rsid w:val="008234CE"/>
    <w:rsid w:val="008239B4"/>
    <w:rsid w:val="008558F0"/>
    <w:rsid w:val="00866BB7"/>
    <w:rsid w:val="008A07D0"/>
    <w:rsid w:val="008A5BB9"/>
    <w:rsid w:val="008A7143"/>
    <w:rsid w:val="008D17B0"/>
    <w:rsid w:val="00924AE9"/>
    <w:rsid w:val="009414EA"/>
    <w:rsid w:val="00943B53"/>
    <w:rsid w:val="00951AA2"/>
    <w:rsid w:val="00953D5B"/>
    <w:rsid w:val="00964EC2"/>
    <w:rsid w:val="0099176E"/>
    <w:rsid w:val="00992898"/>
    <w:rsid w:val="00996A75"/>
    <w:rsid w:val="009A0E64"/>
    <w:rsid w:val="009B7645"/>
    <w:rsid w:val="009C13BD"/>
    <w:rsid w:val="009C2E67"/>
    <w:rsid w:val="009D5ABC"/>
    <w:rsid w:val="00A01CB8"/>
    <w:rsid w:val="00A1165A"/>
    <w:rsid w:val="00A15B3F"/>
    <w:rsid w:val="00A33F25"/>
    <w:rsid w:val="00A570EB"/>
    <w:rsid w:val="00AC47CE"/>
    <w:rsid w:val="00AD58E5"/>
    <w:rsid w:val="00AF1D2E"/>
    <w:rsid w:val="00AF52B9"/>
    <w:rsid w:val="00B02B2F"/>
    <w:rsid w:val="00B03A43"/>
    <w:rsid w:val="00B10604"/>
    <w:rsid w:val="00B61721"/>
    <w:rsid w:val="00B65666"/>
    <w:rsid w:val="00B9747D"/>
    <w:rsid w:val="00BD01F0"/>
    <w:rsid w:val="00BE0B92"/>
    <w:rsid w:val="00BE0BB5"/>
    <w:rsid w:val="00BF535F"/>
    <w:rsid w:val="00C00C44"/>
    <w:rsid w:val="00C32142"/>
    <w:rsid w:val="00C361B2"/>
    <w:rsid w:val="00C40BA8"/>
    <w:rsid w:val="00C8287F"/>
    <w:rsid w:val="00C973BF"/>
    <w:rsid w:val="00CA1BE5"/>
    <w:rsid w:val="00CA7CD2"/>
    <w:rsid w:val="00CB659E"/>
    <w:rsid w:val="00CD7795"/>
    <w:rsid w:val="00CF77BA"/>
    <w:rsid w:val="00D05347"/>
    <w:rsid w:val="00D11942"/>
    <w:rsid w:val="00D227AB"/>
    <w:rsid w:val="00D301D8"/>
    <w:rsid w:val="00D4792D"/>
    <w:rsid w:val="00D529AE"/>
    <w:rsid w:val="00D65568"/>
    <w:rsid w:val="00D67B9C"/>
    <w:rsid w:val="00D71B2F"/>
    <w:rsid w:val="00D762A2"/>
    <w:rsid w:val="00D80201"/>
    <w:rsid w:val="00DA3A0B"/>
    <w:rsid w:val="00DA6F30"/>
    <w:rsid w:val="00DD1EB2"/>
    <w:rsid w:val="00DF04B7"/>
    <w:rsid w:val="00E015B1"/>
    <w:rsid w:val="00E20B3C"/>
    <w:rsid w:val="00E26F4B"/>
    <w:rsid w:val="00E47279"/>
    <w:rsid w:val="00E578B7"/>
    <w:rsid w:val="00E61182"/>
    <w:rsid w:val="00E92CBE"/>
    <w:rsid w:val="00E95DB8"/>
    <w:rsid w:val="00EB52FD"/>
    <w:rsid w:val="00EE3D04"/>
    <w:rsid w:val="00EF62D1"/>
    <w:rsid w:val="00F03C7E"/>
    <w:rsid w:val="00F241AA"/>
    <w:rsid w:val="00F36FAA"/>
    <w:rsid w:val="00F47EBF"/>
    <w:rsid w:val="00F60088"/>
    <w:rsid w:val="00F80272"/>
    <w:rsid w:val="00FA11E5"/>
    <w:rsid w:val="00FC4E4D"/>
    <w:rsid w:val="00FE5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7A6F05"/>
  <w15:chartTrackingRefBased/>
  <w15:docId w15:val="{F14B1F47-6AFD-224D-950A-F233A3DE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4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AE9"/>
    <w:rPr>
      <w:rFonts w:eastAsiaTheme="majorEastAsia" w:cstheme="majorBidi"/>
      <w:color w:val="272727" w:themeColor="text1" w:themeTint="D8"/>
    </w:rPr>
  </w:style>
  <w:style w:type="paragraph" w:styleId="Title">
    <w:name w:val="Title"/>
    <w:basedOn w:val="Normal"/>
    <w:next w:val="Normal"/>
    <w:link w:val="TitleChar"/>
    <w:uiPriority w:val="10"/>
    <w:qFormat/>
    <w:rsid w:val="00924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AE9"/>
    <w:pPr>
      <w:spacing w:before="160"/>
      <w:jc w:val="center"/>
    </w:pPr>
    <w:rPr>
      <w:i/>
      <w:iCs/>
      <w:color w:val="404040" w:themeColor="text1" w:themeTint="BF"/>
    </w:rPr>
  </w:style>
  <w:style w:type="character" w:customStyle="1" w:styleId="QuoteChar">
    <w:name w:val="Quote Char"/>
    <w:basedOn w:val="DefaultParagraphFont"/>
    <w:link w:val="Quote"/>
    <w:uiPriority w:val="29"/>
    <w:rsid w:val="00924AE9"/>
    <w:rPr>
      <w:i/>
      <w:iCs/>
      <w:color w:val="404040" w:themeColor="text1" w:themeTint="BF"/>
    </w:rPr>
  </w:style>
  <w:style w:type="paragraph" w:styleId="ListParagraph">
    <w:name w:val="List Paragraph"/>
    <w:basedOn w:val="Normal"/>
    <w:uiPriority w:val="34"/>
    <w:qFormat/>
    <w:rsid w:val="00924AE9"/>
    <w:pPr>
      <w:ind w:left="720"/>
      <w:contextualSpacing/>
    </w:pPr>
  </w:style>
  <w:style w:type="character" w:styleId="IntenseEmphasis">
    <w:name w:val="Intense Emphasis"/>
    <w:basedOn w:val="DefaultParagraphFont"/>
    <w:uiPriority w:val="21"/>
    <w:qFormat/>
    <w:rsid w:val="00924AE9"/>
    <w:rPr>
      <w:i/>
      <w:iCs/>
      <w:color w:val="0F4761" w:themeColor="accent1" w:themeShade="BF"/>
    </w:rPr>
  </w:style>
  <w:style w:type="paragraph" w:styleId="IntenseQuote">
    <w:name w:val="Intense Quote"/>
    <w:basedOn w:val="Normal"/>
    <w:next w:val="Normal"/>
    <w:link w:val="IntenseQuoteChar"/>
    <w:uiPriority w:val="30"/>
    <w:qFormat/>
    <w:rsid w:val="00924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AE9"/>
    <w:rPr>
      <w:i/>
      <w:iCs/>
      <w:color w:val="0F4761" w:themeColor="accent1" w:themeShade="BF"/>
    </w:rPr>
  </w:style>
  <w:style w:type="character" w:styleId="IntenseReference">
    <w:name w:val="Intense Reference"/>
    <w:basedOn w:val="DefaultParagraphFont"/>
    <w:uiPriority w:val="32"/>
    <w:qFormat/>
    <w:rsid w:val="00924AE9"/>
    <w:rPr>
      <w:b/>
      <w:bCs/>
      <w:smallCaps/>
      <w:color w:val="0F4761" w:themeColor="accent1" w:themeShade="BF"/>
      <w:spacing w:val="5"/>
    </w:rPr>
  </w:style>
  <w:style w:type="character" w:styleId="Strong">
    <w:name w:val="Strong"/>
    <w:basedOn w:val="DefaultParagraphFont"/>
    <w:uiPriority w:val="22"/>
    <w:qFormat/>
    <w:rsid w:val="00495B04"/>
    <w:rPr>
      <w:b/>
      <w:bCs/>
    </w:rPr>
  </w:style>
  <w:style w:type="character" w:customStyle="1" w:styleId="apple-converted-space">
    <w:name w:val="apple-converted-space"/>
    <w:basedOn w:val="DefaultParagraphFont"/>
    <w:rsid w:val="00495B04"/>
  </w:style>
  <w:style w:type="paragraph" w:styleId="NormalWeb">
    <w:name w:val="Normal (Web)"/>
    <w:basedOn w:val="Normal"/>
    <w:uiPriority w:val="99"/>
    <w:semiHidden/>
    <w:unhideWhenUsed/>
    <w:rsid w:val="00464E8B"/>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464E8B"/>
    <w:rPr>
      <w:i/>
      <w:iCs/>
    </w:rPr>
  </w:style>
  <w:style w:type="character" w:styleId="Hyperlink">
    <w:name w:val="Hyperlink"/>
    <w:basedOn w:val="DefaultParagraphFont"/>
    <w:uiPriority w:val="99"/>
    <w:semiHidden/>
    <w:unhideWhenUsed/>
    <w:rsid w:val="00464E8B"/>
    <w:rPr>
      <w:color w:val="0000FF"/>
      <w:u w:val="single"/>
    </w:rPr>
  </w:style>
  <w:style w:type="character" w:styleId="FollowedHyperlink">
    <w:name w:val="FollowedHyperlink"/>
    <w:basedOn w:val="DefaultParagraphFont"/>
    <w:uiPriority w:val="99"/>
    <w:semiHidden/>
    <w:unhideWhenUsed/>
    <w:rsid w:val="00367990"/>
    <w:rPr>
      <w:color w:val="96607D" w:themeColor="followedHyperlink"/>
      <w:u w:val="single"/>
    </w:rPr>
  </w:style>
  <w:style w:type="character" w:customStyle="1" w:styleId="oypena">
    <w:name w:val="oypena"/>
    <w:basedOn w:val="DefaultParagraphFont"/>
    <w:rsid w:val="005C4A7B"/>
  </w:style>
  <w:style w:type="paragraph" w:customStyle="1" w:styleId="p1">
    <w:name w:val="p1"/>
    <w:basedOn w:val="Normal"/>
    <w:rsid w:val="00241201"/>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241201"/>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8459">
      <w:bodyDiv w:val="1"/>
      <w:marLeft w:val="0"/>
      <w:marRight w:val="0"/>
      <w:marTop w:val="0"/>
      <w:marBottom w:val="0"/>
      <w:divBdr>
        <w:top w:val="none" w:sz="0" w:space="0" w:color="auto"/>
        <w:left w:val="none" w:sz="0" w:space="0" w:color="auto"/>
        <w:bottom w:val="none" w:sz="0" w:space="0" w:color="auto"/>
        <w:right w:val="none" w:sz="0" w:space="0" w:color="auto"/>
      </w:divBdr>
      <w:divsChild>
        <w:div w:id="635646320">
          <w:marLeft w:val="0"/>
          <w:marRight w:val="0"/>
          <w:marTop w:val="0"/>
          <w:marBottom w:val="0"/>
          <w:divBdr>
            <w:top w:val="none" w:sz="0" w:space="0" w:color="auto"/>
            <w:left w:val="none" w:sz="0" w:space="0" w:color="auto"/>
            <w:bottom w:val="none" w:sz="0" w:space="0" w:color="auto"/>
            <w:right w:val="none" w:sz="0" w:space="0" w:color="auto"/>
          </w:divBdr>
        </w:div>
        <w:div w:id="1692493151">
          <w:marLeft w:val="0"/>
          <w:marRight w:val="0"/>
          <w:marTop w:val="0"/>
          <w:marBottom w:val="0"/>
          <w:divBdr>
            <w:top w:val="none" w:sz="0" w:space="0" w:color="auto"/>
            <w:left w:val="none" w:sz="0" w:space="0" w:color="auto"/>
            <w:bottom w:val="none" w:sz="0" w:space="0" w:color="auto"/>
            <w:right w:val="none" w:sz="0" w:space="0" w:color="auto"/>
          </w:divBdr>
        </w:div>
        <w:div w:id="105931279">
          <w:marLeft w:val="0"/>
          <w:marRight w:val="0"/>
          <w:marTop w:val="0"/>
          <w:marBottom w:val="0"/>
          <w:divBdr>
            <w:top w:val="none" w:sz="0" w:space="0" w:color="auto"/>
            <w:left w:val="none" w:sz="0" w:space="0" w:color="auto"/>
            <w:bottom w:val="none" w:sz="0" w:space="0" w:color="auto"/>
            <w:right w:val="none" w:sz="0" w:space="0" w:color="auto"/>
          </w:divBdr>
        </w:div>
        <w:div w:id="1551109657">
          <w:marLeft w:val="0"/>
          <w:marRight w:val="0"/>
          <w:marTop w:val="0"/>
          <w:marBottom w:val="0"/>
          <w:divBdr>
            <w:top w:val="none" w:sz="0" w:space="0" w:color="auto"/>
            <w:left w:val="none" w:sz="0" w:space="0" w:color="auto"/>
            <w:bottom w:val="none" w:sz="0" w:space="0" w:color="auto"/>
            <w:right w:val="none" w:sz="0" w:space="0" w:color="auto"/>
          </w:divBdr>
        </w:div>
      </w:divsChild>
    </w:div>
    <w:div w:id="346830622">
      <w:marLeft w:val="0"/>
      <w:marRight w:val="0"/>
      <w:marTop w:val="0"/>
      <w:marBottom w:val="0"/>
      <w:divBdr>
        <w:top w:val="none" w:sz="0" w:space="0" w:color="auto"/>
        <w:left w:val="none" w:sz="0" w:space="0" w:color="auto"/>
        <w:bottom w:val="none" w:sz="0" w:space="0" w:color="auto"/>
        <w:right w:val="none" w:sz="0" w:space="0" w:color="auto"/>
      </w:divBdr>
      <w:divsChild>
        <w:div w:id="1875121377">
          <w:marLeft w:val="0"/>
          <w:marRight w:val="0"/>
          <w:marTop w:val="0"/>
          <w:marBottom w:val="0"/>
          <w:divBdr>
            <w:top w:val="none" w:sz="0" w:space="0" w:color="auto"/>
            <w:left w:val="none" w:sz="0" w:space="0" w:color="auto"/>
            <w:bottom w:val="none" w:sz="0" w:space="0" w:color="auto"/>
            <w:right w:val="none" w:sz="0" w:space="0" w:color="auto"/>
          </w:divBdr>
        </w:div>
        <w:div w:id="2019889498">
          <w:marLeft w:val="0"/>
          <w:marRight w:val="0"/>
          <w:marTop w:val="0"/>
          <w:marBottom w:val="0"/>
          <w:divBdr>
            <w:top w:val="none" w:sz="0" w:space="0" w:color="auto"/>
            <w:left w:val="none" w:sz="0" w:space="0" w:color="auto"/>
            <w:bottom w:val="none" w:sz="0" w:space="0" w:color="auto"/>
            <w:right w:val="none" w:sz="0" w:space="0" w:color="auto"/>
          </w:divBdr>
        </w:div>
      </w:divsChild>
    </w:div>
    <w:div w:id="857625366">
      <w:bodyDiv w:val="1"/>
      <w:marLeft w:val="0"/>
      <w:marRight w:val="0"/>
      <w:marTop w:val="0"/>
      <w:marBottom w:val="0"/>
      <w:divBdr>
        <w:top w:val="none" w:sz="0" w:space="0" w:color="auto"/>
        <w:left w:val="none" w:sz="0" w:space="0" w:color="auto"/>
        <w:bottom w:val="none" w:sz="0" w:space="0" w:color="auto"/>
        <w:right w:val="none" w:sz="0" w:space="0" w:color="auto"/>
      </w:divBdr>
    </w:div>
    <w:div w:id="926113598">
      <w:bodyDiv w:val="1"/>
      <w:marLeft w:val="0"/>
      <w:marRight w:val="0"/>
      <w:marTop w:val="0"/>
      <w:marBottom w:val="0"/>
      <w:divBdr>
        <w:top w:val="none" w:sz="0" w:space="0" w:color="auto"/>
        <w:left w:val="none" w:sz="0" w:space="0" w:color="auto"/>
        <w:bottom w:val="none" w:sz="0" w:space="0" w:color="auto"/>
        <w:right w:val="none" w:sz="0" w:space="0" w:color="auto"/>
      </w:divBdr>
    </w:div>
    <w:div w:id="1328364742">
      <w:bodyDiv w:val="1"/>
      <w:marLeft w:val="0"/>
      <w:marRight w:val="0"/>
      <w:marTop w:val="0"/>
      <w:marBottom w:val="0"/>
      <w:divBdr>
        <w:top w:val="none" w:sz="0" w:space="0" w:color="auto"/>
        <w:left w:val="none" w:sz="0" w:space="0" w:color="auto"/>
        <w:bottom w:val="none" w:sz="0" w:space="0" w:color="auto"/>
        <w:right w:val="none" w:sz="0" w:space="0" w:color="auto"/>
      </w:divBdr>
    </w:div>
    <w:div w:id="1445425257">
      <w:bodyDiv w:val="1"/>
      <w:marLeft w:val="0"/>
      <w:marRight w:val="0"/>
      <w:marTop w:val="0"/>
      <w:marBottom w:val="0"/>
      <w:divBdr>
        <w:top w:val="none" w:sz="0" w:space="0" w:color="auto"/>
        <w:left w:val="none" w:sz="0" w:space="0" w:color="auto"/>
        <w:bottom w:val="none" w:sz="0" w:space="0" w:color="auto"/>
        <w:right w:val="none" w:sz="0" w:space="0" w:color="auto"/>
      </w:divBdr>
    </w:div>
    <w:div w:id="1837913093">
      <w:bodyDiv w:val="1"/>
      <w:marLeft w:val="0"/>
      <w:marRight w:val="0"/>
      <w:marTop w:val="0"/>
      <w:marBottom w:val="0"/>
      <w:divBdr>
        <w:top w:val="none" w:sz="0" w:space="0" w:color="auto"/>
        <w:left w:val="none" w:sz="0" w:space="0" w:color="auto"/>
        <w:bottom w:val="none" w:sz="0" w:space="0" w:color="auto"/>
        <w:right w:val="none" w:sz="0" w:space="0" w:color="auto"/>
      </w:divBdr>
    </w:div>
    <w:div w:id="1925793766">
      <w:bodyDiv w:val="1"/>
      <w:marLeft w:val="0"/>
      <w:marRight w:val="0"/>
      <w:marTop w:val="0"/>
      <w:marBottom w:val="0"/>
      <w:divBdr>
        <w:top w:val="none" w:sz="0" w:space="0" w:color="auto"/>
        <w:left w:val="none" w:sz="0" w:space="0" w:color="auto"/>
        <w:bottom w:val="none" w:sz="0" w:space="0" w:color="auto"/>
        <w:right w:val="none" w:sz="0" w:space="0" w:color="auto"/>
      </w:divBdr>
    </w:div>
    <w:div w:id="1940021728">
      <w:bodyDiv w:val="1"/>
      <w:marLeft w:val="0"/>
      <w:marRight w:val="0"/>
      <w:marTop w:val="0"/>
      <w:marBottom w:val="0"/>
      <w:divBdr>
        <w:top w:val="none" w:sz="0" w:space="0" w:color="auto"/>
        <w:left w:val="none" w:sz="0" w:space="0" w:color="auto"/>
        <w:bottom w:val="none" w:sz="0" w:space="0" w:color="auto"/>
        <w:right w:val="none" w:sz="0" w:space="0" w:color="auto"/>
      </w:divBdr>
      <w:divsChild>
        <w:div w:id="1347292755">
          <w:marLeft w:val="0"/>
          <w:marRight w:val="0"/>
          <w:marTop w:val="0"/>
          <w:marBottom w:val="0"/>
          <w:divBdr>
            <w:top w:val="none" w:sz="0" w:space="0" w:color="auto"/>
            <w:left w:val="none" w:sz="0" w:space="0" w:color="auto"/>
            <w:bottom w:val="none" w:sz="0" w:space="0" w:color="auto"/>
            <w:right w:val="none" w:sz="0" w:space="0" w:color="auto"/>
          </w:divBdr>
        </w:div>
      </w:divsChild>
    </w:div>
    <w:div w:id="207670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e.sunderland.ac.uk/id/eprint/7525/1/TSandES-POSITION_STAND%20Work%20Placements.pdf" TargetMode="External"/><Relationship Id="rId13" Type="http://schemas.openxmlformats.org/officeDocument/2006/relationships/hyperlink" Target="https://www.ijwil.org/files/APJCE_10_3_189_201.pdf" TargetMode="External"/><Relationship Id="rId18" Type="http://schemas.openxmlformats.org/officeDocument/2006/relationships/hyperlink" Target="https://thesportjournal.org/article/student-athletes-an-exploration-of-subjective-wellbe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cademia.edu/download/80030172/APJCE_08_1_53_65.pdf" TargetMode="External"/><Relationship Id="rId7" Type="http://schemas.openxmlformats.org/officeDocument/2006/relationships/hyperlink" Target="https://doi.org/10.1006/jeth.1998.2469" TargetMode="External"/><Relationship Id="rId12" Type="http://schemas.openxmlformats.org/officeDocument/2006/relationships/hyperlink" Target="https://doi.org/10.1093/femsle/fnv150" TargetMode="External"/><Relationship Id="rId17" Type="http://schemas.openxmlformats.org/officeDocument/2006/relationships/hyperlink" Target="https://api.taylorfrancis.com/content/chapters/edit/download?identifierName=doi&amp;identifierValue=10.4324/9781003140078-11&amp;type=chapterpdf" TargetMode="External"/><Relationship Id="rId25" Type="http://schemas.openxmlformats.org/officeDocument/2006/relationships/hyperlink" Target="https://doi.org/10.1080/03075079.2018.1476482" TargetMode="External"/><Relationship Id="rId2" Type="http://schemas.openxmlformats.org/officeDocument/2006/relationships/styles" Target="styles.xml"/><Relationship Id="rId16" Type="http://schemas.openxmlformats.org/officeDocument/2006/relationships/hyperlink" Target="https://doi.org/10.1002/pri.422" TargetMode="External"/><Relationship Id="rId20" Type="http://schemas.openxmlformats.org/officeDocument/2006/relationships/hyperlink" Target="https://doi.org/10.1177/0950422218761273" TargetMode="External"/><Relationship Id="rId1" Type="http://schemas.openxmlformats.org/officeDocument/2006/relationships/numbering" Target="numbering.xml"/><Relationship Id="rId6" Type="http://schemas.openxmlformats.org/officeDocument/2006/relationships/hyperlink" Target="https://digitalcommons.liberty.edu/masters/288" TargetMode="External"/><Relationship Id="rId11" Type="http://schemas.openxmlformats.org/officeDocument/2006/relationships/hyperlink" Target="https://www.tandfonline.com/doi/pdf/10.1080/2331186X.2017.1387085" TargetMode="External"/><Relationship Id="rId24" Type="http://schemas.openxmlformats.org/officeDocument/2006/relationships/hyperlink" Target="https://doi.org/10.1177/0950422218759726" TargetMode="External"/><Relationship Id="rId5" Type="http://schemas.openxmlformats.org/officeDocument/2006/relationships/image" Target="media/image1.png"/><Relationship Id="rId15" Type="http://schemas.openxmlformats.org/officeDocument/2006/relationships/hyperlink" Target="https://files.eric.ed.gov/fulltext/EJ1151149.pdf" TargetMode="External"/><Relationship Id="rId23" Type="http://schemas.openxmlformats.org/officeDocument/2006/relationships/hyperlink" Target="https://doi.org/10.1177/0022487107313355" TargetMode="External"/><Relationship Id="rId28" Type="http://schemas.microsoft.com/office/2020/10/relationships/intelligence" Target="intelligence2.xml"/><Relationship Id="rId10" Type="http://schemas.openxmlformats.org/officeDocument/2006/relationships/hyperlink" Target="https://www.tandfonline.com/doi/abs/10.1080/13596748.2020.1802943" TargetMode="External"/><Relationship Id="rId19" Type="http://schemas.openxmlformats.org/officeDocument/2006/relationships/hyperlink" Target="https://repository.vtc.edu.hk/cgi/viewcontent.cgi?article=1124&amp;context=thei-fac-man-hos-sp" TargetMode="External"/><Relationship Id="rId4" Type="http://schemas.openxmlformats.org/officeDocument/2006/relationships/webSettings" Target="webSettings.xml"/><Relationship Id="rId9" Type="http://schemas.openxmlformats.org/officeDocument/2006/relationships/hyperlink" Target="https://doi.org/10.5367/0000000041667538" TargetMode="External"/><Relationship Id="rId14" Type="http://schemas.openxmlformats.org/officeDocument/2006/relationships/hyperlink" Target="https://doi.org/10.1080/02615479.2018.1450373" TargetMode="External"/><Relationship Id="rId22" Type="http://schemas.openxmlformats.org/officeDocument/2006/relationships/hyperlink" Target="https://journals.humankinetics.com/view/journals/smej/15/2/article-p117.x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5672</TotalTime>
  <Pages>12</Pages>
  <Words>5296</Words>
  <Characters>30190</Characters>
  <Application>Microsoft Office Word</Application>
  <DocSecurity>0</DocSecurity>
  <Lines>251</Lines>
  <Paragraphs>70</Paragraphs>
  <ScaleCrop>false</ScaleCrop>
  <Company/>
  <LinksUpToDate>false</LinksUpToDate>
  <CharactersWithSpaces>35416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Mcgrath (2215276)</dc:creator>
  <cp:keywords/>
  <dc:description/>
  <cp:lastModifiedBy>Finley Mcgrath (2215276)</cp:lastModifiedBy>
  <cp:revision>153</cp:revision>
  <dcterms:created xsi:type="dcterms:W3CDTF">2025-01-13T14:23:00Z</dcterms:created>
  <dcterms:modified xsi:type="dcterms:W3CDTF">2025-02-27T13:03:00Z</dcterms:modified>
</cp:coreProperties>
</file>