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2A9" w:rsidRDefault="00D772A9">
      <w:pPr>
        <w:rPr>
          <w:rFonts w:cs="Arial"/>
          <w:b/>
          <w:bCs/>
          <w:szCs w:val="24"/>
        </w:rPr>
      </w:pPr>
    </w:p>
    <w:p w:rsidR="0085536F" w:rsidRPr="009B78E1" w:rsidRDefault="0085536F" w:rsidP="0085536F">
      <w:pPr>
        <w:jc w:val="center"/>
        <w:rPr>
          <w:b/>
          <w:sz w:val="32"/>
          <w:szCs w:val="32"/>
        </w:rPr>
      </w:pPr>
      <w:r w:rsidRPr="009B78E1">
        <w:rPr>
          <w:b/>
          <w:sz w:val="32"/>
          <w:szCs w:val="32"/>
        </w:rPr>
        <w:t>Student Name: P</w:t>
      </w:r>
      <w:r>
        <w:rPr>
          <w:b/>
          <w:sz w:val="32"/>
          <w:szCs w:val="32"/>
        </w:rPr>
        <w:t>r</w:t>
      </w:r>
      <w:r w:rsidRPr="009B78E1">
        <w:rPr>
          <w:b/>
          <w:sz w:val="32"/>
          <w:szCs w:val="32"/>
        </w:rPr>
        <w:t>isca Kiongo</w:t>
      </w:r>
    </w:p>
    <w:p w:rsidR="0085536F" w:rsidRPr="009B78E1" w:rsidRDefault="0085536F" w:rsidP="0085536F">
      <w:pPr>
        <w:jc w:val="center"/>
        <w:rPr>
          <w:b/>
          <w:sz w:val="32"/>
          <w:szCs w:val="32"/>
        </w:rPr>
      </w:pPr>
    </w:p>
    <w:p w:rsidR="0085536F" w:rsidRPr="009B78E1" w:rsidRDefault="0085536F" w:rsidP="0085536F">
      <w:pPr>
        <w:jc w:val="center"/>
        <w:rPr>
          <w:b/>
          <w:sz w:val="32"/>
          <w:szCs w:val="32"/>
        </w:rPr>
      </w:pPr>
      <w:r w:rsidRPr="009B78E1">
        <w:rPr>
          <w:b/>
          <w:sz w:val="32"/>
          <w:szCs w:val="32"/>
        </w:rPr>
        <w:t>Student Number : 1908199</w:t>
      </w:r>
    </w:p>
    <w:p w:rsidR="0085536F" w:rsidRPr="009B78E1" w:rsidRDefault="0085536F" w:rsidP="0085536F">
      <w:pPr>
        <w:jc w:val="center"/>
        <w:rPr>
          <w:b/>
          <w:sz w:val="32"/>
          <w:szCs w:val="32"/>
        </w:rPr>
      </w:pPr>
    </w:p>
    <w:p w:rsidR="0085536F" w:rsidRPr="009B78E1" w:rsidRDefault="0085536F" w:rsidP="0085536F">
      <w:pPr>
        <w:jc w:val="center"/>
        <w:rPr>
          <w:b/>
          <w:sz w:val="32"/>
          <w:szCs w:val="32"/>
        </w:rPr>
      </w:pPr>
      <w:r w:rsidRPr="009B78E1">
        <w:rPr>
          <w:b/>
          <w:sz w:val="32"/>
          <w:szCs w:val="32"/>
        </w:rPr>
        <w:t>Institution: UWTSD</w:t>
      </w:r>
    </w:p>
    <w:p w:rsidR="0085536F" w:rsidRPr="009B78E1" w:rsidRDefault="0085536F" w:rsidP="0085536F">
      <w:pPr>
        <w:jc w:val="center"/>
        <w:rPr>
          <w:b/>
          <w:sz w:val="32"/>
          <w:szCs w:val="32"/>
        </w:rPr>
      </w:pPr>
    </w:p>
    <w:p w:rsidR="0085536F" w:rsidRPr="009B78E1" w:rsidRDefault="0085536F" w:rsidP="0085536F">
      <w:pPr>
        <w:jc w:val="center"/>
        <w:rPr>
          <w:b/>
          <w:sz w:val="32"/>
          <w:szCs w:val="32"/>
        </w:rPr>
      </w:pPr>
      <w:r w:rsidRPr="009B78E1">
        <w:rPr>
          <w:b/>
          <w:sz w:val="32"/>
          <w:szCs w:val="32"/>
        </w:rPr>
        <w:t>Module Title: Marketing Management</w:t>
      </w:r>
      <w:r>
        <w:rPr>
          <w:b/>
          <w:sz w:val="32"/>
          <w:szCs w:val="32"/>
        </w:rPr>
        <w:t xml:space="preserve"> A2</w:t>
      </w:r>
      <w:r w:rsidRPr="009B78E1">
        <w:rPr>
          <w:b/>
          <w:sz w:val="32"/>
          <w:szCs w:val="32"/>
        </w:rPr>
        <w:t xml:space="preserve"> (LCMB7001)</w:t>
      </w:r>
    </w:p>
    <w:p w:rsidR="0085536F" w:rsidRPr="009B78E1" w:rsidRDefault="0085536F" w:rsidP="0085536F">
      <w:pPr>
        <w:jc w:val="center"/>
        <w:rPr>
          <w:b/>
          <w:sz w:val="32"/>
          <w:szCs w:val="32"/>
        </w:rPr>
      </w:pPr>
    </w:p>
    <w:p w:rsidR="0085536F" w:rsidRPr="009B78E1" w:rsidRDefault="0085536F" w:rsidP="0085536F">
      <w:pPr>
        <w:jc w:val="center"/>
        <w:rPr>
          <w:b/>
          <w:sz w:val="32"/>
          <w:szCs w:val="32"/>
        </w:rPr>
      </w:pPr>
      <w:r w:rsidRPr="009B78E1">
        <w:rPr>
          <w:b/>
          <w:sz w:val="32"/>
          <w:szCs w:val="32"/>
        </w:rPr>
        <w:t>Instructor : Hossein Shokri</w:t>
      </w:r>
    </w:p>
    <w:p w:rsidR="0085536F" w:rsidRPr="009B78E1" w:rsidRDefault="0085536F" w:rsidP="0085536F">
      <w:pPr>
        <w:jc w:val="center"/>
        <w:rPr>
          <w:b/>
          <w:sz w:val="32"/>
          <w:szCs w:val="32"/>
        </w:rPr>
      </w:pPr>
    </w:p>
    <w:p w:rsidR="0085536F" w:rsidRPr="009B78E1" w:rsidRDefault="0085536F" w:rsidP="0085536F">
      <w:pPr>
        <w:jc w:val="center"/>
        <w:rPr>
          <w:b/>
          <w:sz w:val="32"/>
          <w:szCs w:val="32"/>
        </w:rPr>
      </w:pPr>
      <w:r w:rsidRPr="009B78E1">
        <w:rPr>
          <w:b/>
          <w:sz w:val="32"/>
          <w:szCs w:val="32"/>
        </w:rPr>
        <w:t>Submission Date: 10/09/2020</w:t>
      </w:r>
    </w:p>
    <w:p w:rsidR="0085536F" w:rsidRDefault="0085536F" w:rsidP="0085536F"/>
    <w:p w:rsidR="00D772A9" w:rsidRDefault="00D772A9" w:rsidP="0085536F">
      <w:pPr>
        <w:jc w:val="center"/>
        <w:rPr>
          <w:rFonts w:cs="Arial"/>
          <w:b/>
          <w:bCs/>
          <w:szCs w:val="24"/>
        </w:rPr>
        <w:sectPr w:rsidR="00D772A9">
          <w:headerReference w:type="default" r:id="rId8"/>
          <w:footerReference w:type="default" r:id="rId9"/>
          <w:pgSz w:w="11906" w:h="16838"/>
          <w:pgMar w:top="1440" w:right="1440" w:bottom="1440" w:left="1440" w:header="708" w:footer="708" w:gutter="0"/>
          <w:cols w:space="708"/>
          <w:docGrid w:linePitch="360"/>
        </w:sectPr>
      </w:pPr>
    </w:p>
    <w:p w:rsidR="00D212DD" w:rsidRDefault="00D772A9" w:rsidP="00D772A9">
      <w:pPr>
        <w:pStyle w:val="Heading1"/>
      </w:pPr>
      <w:bookmarkStart w:id="0" w:name="_Toc50649030"/>
      <w:r w:rsidRPr="00D772A9">
        <w:lastRenderedPageBreak/>
        <w:t>Executive Summary</w:t>
      </w:r>
      <w:bookmarkEnd w:id="0"/>
    </w:p>
    <w:p w:rsidR="00D772A9" w:rsidRDefault="00711C1A" w:rsidP="006810C0">
      <w:r>
        <w:rPr>
          <w:rFonts w:cs="Arial"/>
          <w:szCs w:val="24"/>
        </w:rPr>
        <w:t>Th</w:t>
      </w:r>
      <w:r w:rsidR="006810C0">
        <w:rPr>
          <w:rFonts w:cs="Arial"/>
          <w:szCs w:val="24"/>
        </w:rPr>
        <w:t>e purpose of this</w:t>
      </w:r>
      <w:r w:rsidRPr="002A0280">
        <w:rPr>
          <w:rFonts w:cs="Arial"/>
          <w:szCs w:val="24"/>
        </w:rPr>
        <w:t xml:space="preserve"> report </w:t>
      </w:r>
      <w:r w:rsidR="0085536F">
        <w:rPr>
          <w:rFonts w:cs="Arial"/>
          <w:szCs w:val="24"/>
        </w:rPr>
        <w:t>is</w:t>
      </w:r>
      <w:r w:rsidR="006810C0">
        <w:rPr>
          <w:rFonts w:cs="Arial"/>
          <w:szCs w:val="24"/>
        </w:rPr>
        <w:t xml:space="preserve"> to  analyse and </w:t>
      </w:r>
      <w:r w:rsidRPr="002A0280">
        <w:rPr>
          <w:rFonts w:cs="Arial"/>
          <w:szCs w:val="24"/>
        </w:rPr>
        <w:t>critically appraise Coca-Cola</w:t>
      </w:r>
      <w:r>
        <w:rPr>
          <w:rFonts w:cs="Arial"/>
          <w:szCs w:val="24"/>
        </w:rPr>
        <w:t>’s</w:t>
      </w:r>
      <w:r w:rsidR="006810C0">
        <w:rPr>
          <w:rFonts w:cs="Arial"/>
          <w:szCs w:val="24"/>
        </w:rPr>
        <w:t>marketing operations by applying several standard models: PESTLE, Five Forces and SWOT analysis. Th</w:t>
      </w:r>
      <w:r w:rsidR="005F1D4E">
        <w:rPr>
          <w:rFonts w:cs="Arial"/>
          <w:szCs w:val="24"/>
        </w:rPr>
        <w:t>e current marketing strategy and then</w:t>
      </w:r>
      <w:r w:rsidR="006810C0">
        <w:rPr>
          <w:rFonts w:cs="Arial"/>
          <w:szCs w:val="24"/>
        </w:rPr>
        <w:t xml:space="preserve"> evaluated in order to make recommendations for future marketing strategies that would sustain its competitive advantage. </w:t>
      </w:r>
      <w:r w:rsidR="005F1D4E">
        <w:rPr>
          <w:rFonts w:cs="Arial"/>
          <w:szCs w:val="24"/>
        </w:rPr>
        <w:t>The main conclusions is</w:t>
      </w:r>
      <w:r w:rsidRPr="002A0280">
        <w:rPr>
          <w:rFonts w:cs="Arial"/>
          <w:szCs w:val="24"/>
        </w:rPr>
        <w:t xml:space="preserve"> that the company </w:t>
      </w:r>
      <w:r w:rsidR="006810C0">
        <w:rPr>
          <w:rFonts w:cs="Arial"/>
          <w:szCs w:val="24"/>
        </w:rPr>
        <w:t>had made</w:t>
      </w:r>
      <w:r w:rsidRPr="002A0280">
        <w:rPr>
          <w:rFonts w:cs="Arial"/>
          <w:szCs w:val="24"/>
        </w:rPr>
        <w:t xml:space="preserve"> substantial progress in repositioning its brand as a total beverage company</w:t>
      </w:r>
      <w:r w:rsidR="006810C0">
        <w:rPr>
          <w:rFonts w:cs="Arial"/>
          <w:szCs w:val="24"/>
        </w:rPr>
        <w:t xml:space="preserve"> and made some strategic changes to protect revenues and profits in the anticipated, damaging continuation of Coronavirus pandemic. The weaknesses that were more evident were its</w:t>
      </w:r>
      <w:r>
        <w:rPr>
          <w:rFonts w:cs="Arial"/>
          <w:szCs w:val="24"/>
        </w:rPr>
        <w:t xml:space="preserve"> poor reputation </w:t>
      </w:r>
      <w:r w:rsidR="006810C0">
        <w:rPr>
          <w:rFonts w:cs="Arial"/>
          <w:szCs w:val="24"/>
        </w:rPr>
        <w:t>for</w:t>
      </w:r>
      <w:r>
        <w:rPr>
          <w:rFonts w:cs="Arial"/>
          <w:szCs w:val="24"/>
        </w:rPr>
        <w:t xml:space="preserve"> sustainable practice, </w:t>
      </w:r>
      <w:r w:rsidR="006810C0">
        <w:rPr>
          <w:rFonts w:cs="Arial"/>
          <w:szCs w:val="24"/>
        </w:rPr>
        <w:t>a</w:t>
      </w:r>
      <w:r>
        <w:rPr>
          <w:rFonts w:cs="Arial"/>
          <w:szCs w:val="24"/>
        </w:rPr>
        <w:t xml:space="preserve">ssociation with obesity, and insufficient exploitation of technologies. Therefore the major recommendations </w:t>
      </w:r>
      <w:r w:rsidR="006810C0">
        <w:rPr>
          <w:rFonts w:cs="Arial"/>
          <w:szCs w:val="24"/>
        </w:rPr>
        <w:t xml:space="preserve">included continuing to increase </w:t>
      </w:r>
      <w:r w:rsidRPr="006F10D1">
        <w:rPr>
          <w:rFonts w:cs="Arial"/>
          <w:szCs w:val="24"/>
        </w:rPr>
        <w:t>product diversity</w:t>
      </w:r>
      <w:r>
        <w:rPr>
          <w:rFonts w:cs="Arial"/>
          <w:szCs w:val="24"/>
        </w:rPr>
        <w:t xml:space="preserve"> with strongest brands</w:t>
      </w:r>
      <w:r w:rsidRPr="006F10D1">
        <w:rPr>
          <w:rFonts w:cs="Arial"/>
          <w:szCs w:val="24"/>
        </w:rPr>
        <w:t>, investments in acquisition/alliance with sustainable brands</w:t>
      </w:r>
      <w:r>
        <w:rPr>
          <w:rFonts w:cs="Arial"/>
          <w:szCs w:val="24"/>
        </w:rPr>
        <w:t>,</w:t>
      </w:r>
      <w:r w:rsidRPr="006F10D1">
        <w:rPr>
          <w:rFonts w:cs="Arial"/>
          <w:szCs w:val="24"/>
        </w:rPr>
        <w:t xml:space="preserve"> and new consumer preferences</w:t>
      </w:r>
      <w:r>
        <w:rPr>
          <w:rFonts w:cs="Arial"/>
          <w:szCs w:val="24"/>
        </w:rPr>
        <w:t xml:space="preserve"> to  protect profits</w:t>
      </w:r>
      <w:r w:rsidR="006810C0">
        <w:rPr>
          <w:rFonts w:cs="Arial"/>
          <w:szCs w:val="24"/>
        </w:rPr>
        <w:t xml:space="preserve"> and reputation and to innovate with new technologies to develop </w:t>
      </w:r>
      <w:r w:rsidRPr="005965FF">
        <w:rPr>
          <w:rFonts w:cs="Arial"/>
          <w:szCs w:val="24"/>
        </w:rPr>
        <w:t xml:space="preserve"> synthetic ingredient</w:t>
      </w:r>
      <w:r w:rsidR="006810C0">
        <w:rPr>
          <w:rFonts w:cs="Arial"/>
          <w:szCs w:val="24"/>
        </w:rPr>
        <w:t xml:space="preserve">s that would </w:t>
      </w:r>
      <w:r w:rsidRPr="005965FF">
        <w:rPr>
          <w:rFonts w:cs="Arial"/>
          <w:szCs w:val="24"/>
        </w:rPr>
        <w:t xml:space="preserve">mitigate possible future ingredient shortages </w:t>
      </w:r>
      <w:r w:rsidR="006810C0">
        <w:rPr>
          <w:rFonts w:cs="Arial"/>
          <w:szCs w:val="24"/>
        </w:rPr>
        <w:t>and enhance reputation as a</w:t>
      </w:r>
      <w:r w:rsidRPr="005965FF">
        <w:rPr>
          <w:rFonts w:cs="Arial"/>
          <w:szCs w:val="24"/>
        </w:rPr>
        <w:t xml:space="preserve"> sustainable </w:t>
      </w:r>
      <w:r w:rsidR="006810C0">
        <w:rPr>
          <w:rFonts w:cs="Arial"/>
          <w:szCs w:val="24"/>
        </w:rPr>
        <w:t xml:space="preserve">company. </w:t>
      </w:r>
    </w:p>
    <w:p w:rsidR="00D772A9" w:rsidRDefault="00D772A9" w:rsidP="00D772A9"/>
    <w:p w:rsidR="00D772A9" w:rsidRDefault="00D772A9" w:rsidP="00D772A9"/>
    <w:p w:rsidR="00D772A9" w:rsidRDefault="00D772A9" w:rsidP="00D772A9"/>
    <w:p w:rsidR="00D772A9" w:rsidRDefault="00D772A9" w:rsidP="00D772A9"/>
    <w:p w:rsidR="00D772A9" w:rsidRDefault="00D772A9" w:rsidP="00D772A9"/>
    <w:p w:rsidR="00D772A9" w:rsidRDefault="00D772A9" w:rsidP="00D772A9"/>
    <w:p w:rsidR="00D772A9" w:rsidRDefault="00D772A9" w:rsidP="00D772A9"/>
    <w:p w:rsidR="00D772A9" w:rsidRDefault="00D772A9" w:rsidP="00D772A9"/>
    <w:p w:rsidR="00D772A9" w:rsidRDefault="00D772A9" w:rsidP="00D772A9"/>
    <w:p w:rsidR="00D772A9" w:rsidRDefault="00D772A9" w:rsidP="00D772A9"/>
    <w:p w:rsidR="00D772A9" w:rsidRDefault="00D772A9" w:rsidP="00D772A9"/>
    <w:p w:rsidR="00D772A9" w:rsidRDefault="00D772A9" w:rsidP="00D772A9"/>
    <w:p w:rsidR="00D772A9" w:rsidRDefault="00D772A9" w:rsidP="00D772A9"/>
    <w:p w:rsidR="00D772A9" w:rsidRDefault="00D772A9" w:rsidP="00D772A9"/>
    <w:p w:rsidR="00D772A9" w:rsidRDefault="00D772A9" w:rsidP="00D772A9"/>
    <w:sdt>
      <w:sdtPr>
        <w:rPr>
          <w:rFonts w:ascii="Arial" w:eastAsiaTheme="minorHAnsi" w:hAnsi="Arial" w:cstheme="minorBidi"/>
          <w:color w:val="auto"/>
          <w:sz w:val="24"/>
          <w:szCs w:val="22"/>
          <w:lang w:val="en-GB"/>
        </w:rPr>
        <w:id w:val="-1560312979"/>
        <w:docPartObj>
          <w:docPartGallery w:val="Table of Contents"/>
          <w:docPartUnique/>
        </w:docPartObj>
      </w:sdtPr>
      <w:sdtEndPr>
        <w:rPr>
          <w:b/>
          <w:bCs/>
          <w:noProof/>
        </w:rPr>
      </w:sdtEndPr>
      <w:sdtContent>
        <w:p w:rsidR="00D772A9" w:rsidRPr="00D772A9" w:rsidRDefault="00D772A9" w:rsidP="00D772A9">
          <w:pPr>
            <w:pStyle w:val="TOCHeading"/>
            <w:jc w:val="center"/>
            <w:rPr>
              <w:rFonts w:ascii="Arial" w:hAnsi="Arial" w:cs="Arial"/>
              <w:b/>
              <w:bCs/>
              <w:color w:val="auto"/>
              <w:sz w:val="24"/>
              <w:szCs w:val="24"/>
            </w:rPr>
          </w:pPr>
          <w:r w:rsidRPr="00D772A9">
            <w:rPr>
              <w:rFonts w:ascii="Arial" w:hAnsi="Arial" w:cs="Arial"/>
              <w:b/>
              <w:bCs/>
              <w:color w:val="auto"/>
              <w:sz w:val="24"/>
              <w:szCs w:val="24"/>
            </w:rPr>
            <w:t>Table of Contents</w:t>
          </w:r>
        </w:p>
        <w:p w:rsidR="004B105D" w:rsidRDefault="00D85FE6">
          <w:pPr>
            <w:pStyle w:val="TOC1"/>
            <w:tabs>
              <w:tab w:val="right" w:leader="dot" w:pos="9016"/>
            </w:tabs>
            <w:rPr>
              <w:rFonts w:asciiTheme="minorHAnsi" w:eastAsiaTheme="minorEastAsia" w:hAnsiTheme="minorHAnsi"/>
              <w:noProof/>
              <w:sz w:val="22"/>
              <w:lang w:eastAsia="en-GB"/>
            </w:rPr>
          </w:pPr>
          <w:r w:rsidRPr="00D85FE6">
            <w:fldChar w:fldCharType="begin"/>
          </w:r>
          <w:r w:rsidR="00D772A9">
            <w:instrText xml:space="preserve"> TOC \o "1-3" \h \z \u </w:instrText>
          </w:r>
          <w:r w:rsidRPr="00D85FE6">
            <w:fldChar w:fldCharType="separate"/>
          </w:r>
          <w:hyperlink w:anchor="_Toc50649030" w:history="1">
            <w:r w:rsidR="004B105D" w:rsidRPr="000A6219">
              <w:rPr>
                <w:rStyle w:val="Hyperlink"/>
                <w:noProof/>
              </w:rPr>
              <w:t>Executive Summary</w:t>
            </w:r>
            <w:r w:rsidR="004B105D">
              <w:rPr>
                <w:noProof/>
                <w:webHidden/>
              </w:rPr>
              <w:tab/>
            </w:r>
            <w:r>
              <w:rPr>
                <w:noProof/>
                <w:webHidden/>
              </w:rPr>
              <w:fldChar w:fldCharType="begin"/>
            </w:r>
            <w:r w:rsidR="004B105D">
              <w:rPr>
                <w:noProof/>
                <w:webHidden/>
              </w:rPr>
              <w:instrText xml:space="preserve"> PAGEREF _Toc50649030 \h </w:instrText>
            </w:r>
            <w:r>
              <w:rPr>
                <w:noProof/>
                <w:webHidden/>
              </w:rPr>
            </w:r>
            <w:r>
              <w:rPr>
                <w:noProof/>
                <w:webHidden/>
              </w:rPr>
              <w:fldChar w:fldCharType="separate"/>
            </w:r>
            <w:r w:rsidR="0085536F">
              <w:rPr>
                <w:noProof/>
                <w:webHidden/>
              </w:rPr>
              <w:t>1</w:t>
            </w:r>
            <w:r>
              <w:rPr>
                <w:noProof/>
                <w:webHidden/>
              </w:rPr>
              <w:fldChar w:fldCharType="end"/>
            </w:r>
          </w:hyperlink>
        </w:p>
        <w:p w:rsidR="004B105D" w:rsidRDefault="00D85FE6">
          <w:pPr>
            <w:pStyle w:val="TOC1"/>
            <w:tabs>
              <w:tab w:val="right" w:leader="dot" w:pos="9016"/>
            </w:tabs>
            <w:rPr>
              <w:rFonts w:asciiTheme="minorHAnsi" w:eastAsiaTheme="minorEastAsia" w:hAnsiTheme="minorHAnsi"/>
              <w:noProof/>
              <w:sz w:val="22"/>
              <w:lang w:eastAsia="en-GB"/>
            </w:rPr>
          </w:pPr>
          <w:hyperlink w:anchor="_Toc50649031" w:history="1">
            <w:r w:rsidR="004B105D" w:rsidRPr="000A6219">
              <w:rPr>
                <w:rStyle w:val="Hyperlink"/>
                <w:noProof/>
              </w:rPr>
              <w:t>Introduction</w:t>
            </w:r>
            <w:r w:rsidR="004B105D">
              <w:rPr>
                <w:noProof/>
                <w:webHidden/>
              </w:rPr>
              <w:tab/>
            </w:r>
            <w:r>
              <w:rPr>
                <w:noProof/>
                <w:webHidden/>
              </w:rPr>
              <w:fldChar w:fldCharType="begin"/>
            </w:r>
            <w:r w:rsidR="004B105D">
              <w:rPr>
                <w:noProof/>
                <w:webHidden/>
              </w:rPr>
              <w:instrText xml:space="preserve"> PAGEREF _Toc50649031 \h </w:instrText>
            </w:r>
            <w:r>
              <w:rPr>
                <w:noProof/>
                <w:webHidden/>
              </w:rPr>
            </w:r>
            <w:r>
              <w:rPr>
                <w:noProof/>
                <w:webHidden/>
              </w:rPr>
              <w:fldChar w:fldCharType="separate"/>
            </w:r>
            <w:r w:rsidR="0085536F">
              <w:rPr>
                <w:noProof/>
                <w:webHidden/>
              </w:rPr>
              <w:t>3</w:t>
            </w:r>
            <w:r>
              <w:rPr>
                <w:noProof/>
                <w:webHidden/>
              </w:rPr>
              <w:fldChar w:fldCharType="end"/>
            </w:r>
          </w:hyperlink>
        </w:p>
        <w:p w:rsidR="004B105D" w:rsidRDefault="00D85FE6">
          <w:pPr>
            <w:pStyle w:val="TOC1"/>
            <w:tabs>
              <w:tab w:val="right" w:leader="dot" w:pos="9016"/>
            </w:tabs>
            <w:rPr>
              <w:rFonts w:asciiTheme="minorHAnsi" w:eastAsiaTheme="minorEastAsia" w:hAnsiTheme="minorHAnsi"/>
              <w:noProof/>
              <w:sz w:val="22"/>
              <w:lang w:eastAsia="en-GB"/>
            </w:rPr>
          </w:pPr>
          <w:hyperlink w:anchor="_Toc50649032" w:history="1">
            <w:r w:rsidR="004B105D" w:rsidRPr="000A6219">
              <w:rPr>
                <w:rStyle w:val="Hyperlink"/>
                <w:noProof/>
              </w:rPr>
              <w:t>Marketing Analysis</w:t>
            </w:r>
            <w:r w:rsidR="004B105D">
              <w:rPr>
                <w:noProof/>
                <w:webHidden/>
              </w:rPr>
              <w:tab/>
            </w:r>
            <w:r>
              <w:rPr>
                <w:noProof/>
                <w:webHidden/>
              </w:rPr>
              <w:fldChar w:fldCharType="begin"/>
            </w:r>
            <w:r w:rsidR="004B105D">
              <w:rPr>
                <w:noProof/>
                <w:webHidden/>
              </w:rPr>
              <w:instrText xml:space="preserve"> PAGEREF _Toc50649032 \h </w:instrText>
            </w:r>
            <w:r>
              <w:rPr>
                <w:noProof/>
                <w:webHidden/>
              </w:rPr>
            </w:r>
            <w:r>
              <w:rPr>
                <w:noProof/>
                <w:webHidden/>
              </w:rPr>
              <w:fldChar w:fldCharType="separate"/>
            </w:r>
            <w:r w:rsidR="0085536F">
              <w:rPr>
                <w:noProof/>
                <w:webHidden/>
              </w:rPr>
              <w:t>3</w:t>
            </w:r>
            <w:r>
              <w:rPr>
                <w:noProof/>
                <w:webHidden/>
              </w:rPr>
              <w:fldChar w:fldCharType="end"/>
            </w:r>
          </w:hyperlink>
        </w:p>
        <w:p w:rsidR="004B105D" w:rsidRDefault="00D85FE6">
          <w:pPr>
            <w:pStyle w:val="TOC2"/>
            <w:tabs>
              <w:tab w:val="right" w:leader="dot" w:pos="9016"/>
            </w:tabs>
            <w:rPr>
              <w:rFonts w:asciiTheme="minorHAnsi" w:eastAsiaTheme="minorEastAsia" w:hAnsiTheme="minorHAnsi"/>
              <w:noProof/>
              <w:sz w:val="22"/>
              <w:lang w:eastAsia="en-GB"/>
            </w:rPr>
          </w:pPr>
          <w:hyperlink w:anchor="_Toc50649033" w:history="1">
            <w:r w:rsidR="004B105D" w:rsidRPr="000A6219">
              <w:rPr>
                <w:rStyle w:val="Hyperlink"/>
                <w:noProof/>
              </w:rPr>
              <w:t>Company Overview</w:t>
            </w:r>
            <w:r w:rsidR="004B105D">
              <w:rPr>
                <w:noProof/>
                <w:webHidden/>
              </w:rPr>
              <w:tab/>
            </w:r>
            <w:r>
              <w:rPr>
                <w:noProof/>
                <w:webHidden/>
              </w:rPr>
              <w:fldChar w:fldCharType="begin"/>
            </w:r>
            <w:r w:rsidR="004B105D">
              <w:rPr>
                <w:noProof/>
                <w:webHidden/>
              </w:rPr>
              <w:instrText xml:space="preserve"> PAGEREF _Toc50649033 \h </w:instrText>
            </w:r>
            <w:r>
              <w:rPr>
                <w:noProof/>
                <w:webHidden/>
              </w:rPr>
            </w:r>
            <w:r>
              <w:rPr>
                <w:noProof/>
                <w:webHidden/>
              </w:rPr>
              <w:fldChar w:fldCharType="separate"/>
            </w:r>
            <w:r w:rsidR="0085536F">
              <w:rPr>
                <w:noProof/>
                <w:webHidden/>
              </w:rPr>
              <w:t>3</w:t>
            </w:r>
            <w:r>
              <w:rPr>
                <w:noProof/>
                <w:webHidden/>
              </w:rPr>
              <w:fldChar w:fldCharType="end"/>
            </w:r>
          </w:hyperlink>
        </w:p>
        <w:p w:rsidR="004B105D" w:rsidRDefault="00D85FE6">
          <w:pPr>
            <w:pStyle w:val="TOC2"/>
            <w:tabs>
              <w:tab w:val="right" w:leader="dot" w:pos="9016"/>
            </w:tabs>
            <w:rPr>
              <w:rFonts w:asciiTheme="minorHAnsi" w:eastAsiaTheme="minorEastAsia" w:hAnsiTheme="minorHAnsi"/>
              <w:noProof/>
              <w:sz w:val="22"/>
              <w:lang w:eastAsia="en-GB"/>
            </w:rPr>
          </w:pPr>
          <w:hyperlink w:anchor="_Toc50649034" w:history="1">
            <w:r w:rsidR="004B105D" w:rsidRPr="000A6219">
              <w:rPr>
                <w:rStyle w:val="Hyperlink"/>
                <w:noProof/>
              </w:rPr>
              <w:t>Macroeconomic Analysis</w:t>
            </w:r>
            <w:r w:rsidR="004B105D">
              <w:rPr>
                <w:noProof/>
                <w:webHidden/>
              </w:rPr>
              <w:tab/>
            </w:r>
            <w:r>
              <w:rPr>
                <w:noProof/>
                <w:webHidden/>
              </w:rPr>
              <w:fldChar w:fldCharType="begin"/>
            </w:r>
            <w:r w:rsidR="004B105D">
              <w:rPr>
                <w:noProof/>
                <w:webHidden/>
              </w:rPr>
              <w:instrText xml:space="preserve"> PAGEREF _Toc50649034 \h </w:instrText>
            </w:r>
            <w:r>
              <w:rPr>
                <w:noProof/>
                <w:webHidden/>
              </w:rPr>
            </w:r>
            <w:r>
              <w:rPr>
                <w:noProof/>
                <w:webHidden/>
              </w:rPr>
              <w:fldChar w:fldCharType="separate"/>
            </w:r>
            <w:r w:rsidR="0085536F">
              <w:rPr>
                <w:noProof/>
                <w:webHidden/>
              </w:rPr>
              <w:t>3</w:t>
            </w:r>
            <w:r>
              <w:rPr>
                <w:noProof/>
                <w:webHidden/>
              </w:rPr>
              <w:fldChar w:fldCharType="end"/>
            </w:r>
          </w:hyperlink>
        </w:p>
        <w:p w:rsidR="004B105D" w:rsidRDefault="00D85FE6">
          <w:pPr>
            <w:pStyle w:val="TOC3"/>
            <w:tabs>
              <w:tab w:val="right" w:leader="dot" w:pos="9016"/>
            </w:tabs>
            <w:rPr>
              <w:rFonts w:asciiTheme="minorHAnsi" w:eastAsiaTheme="minorEastAsia" w:hAnsiTheme="minorHAnsi"/>
              <w:noProof/>
              <w:sz w:val="22"/>
              <w:lang w:eastAsia="en-GB"/>
            </w:rPr>
          </w:pPr>
          <w:hyperlink w:anchor="_Toc50649035" w:history="1">
            <w:r w:rsidR="004B105D" w:rsidRPr="000A6219">
              <w:rPr>
                <w:rStyle w:val="Hyperlink"/>
                <w:noProof/>
              </w:rPr>
              <w:t>Political/Legal</w:t>
            </w:r>
            <w:r w:rsidR="004B105D">
              <w:rPr>
                <w:noProof/>
                <w:webHidden/>
              </w:rPr>
              <w:tab/>
            </w:r>
            <w:r>
              <w:rPr>
                <w:noProof/>
                <w:webHidden/>
              </w:rPr>
              <w:fldChar w:fldCharType="begin"/>
            </w:r>
            <w:r w:rsidR="004B105D">
              <w:rPr>
                <w:noProof/>
                <w:webHidden/>
              </w:rPr>
              <w:instrText xml:space="preserve"> PAGEREF _Toc50649035 \h </w:instrText>
            </w:r>
            <w:r>
              <w:rPr>
                <w:noProof/>
                <w:webHidden/>
              </w:rPr>
            </w:r>
            <w:r>
              <w:rPr>
                <w:noProof/>
                <w:webHidden/>
              </w:rPr>
              <w:fldChar w:fldCharType="separate"/>
            </w:r>
            <w:r w:rsidR="0085536F">
              <w:rPr>
                <w:noProof/>
                <w:webHidden/>
              </w:rPr>
              <w:t>4</w:t>
            </w:r>
            <w:r>
              <w:rPr>
                <w:noProof/>
                <w:webHidden/>
              </w:rPr>
              <w:fldChar w:fldCharType="end"/>
            </w:r>
          </w:hyperlink>
        </w:p>
        <w:p w:rsidR="004B105D" w:rsidRDefault="00D85FE6">
          <w:pPr>
            <w:pStyle w:val="TOC3"/>
            <w:tabs>
              <w:tab w:val="right" w:leader="dot" w:pos="9016"/>
            </w:tabs>
            <w:rPr>
              <w:rFonts w:asciiTheme="minorHAnsi" w:eastAsiaTheme="minorEastAsia" w:hAnsiTheme="minorHAnsi"/>
              <w:noProof/>
              <w:sz w:val="22"/>
              <w:lang w:eastAsia="en-GB"/>
            </w:rPr>
          </w:pPr>
          <w:hyperlink w:anchor="_Toc50649036" w:history="1">
            <w:r w:rsidR="004B105D" w:rsidRPr="000A6219">
              <w:rPr>
                <w:rStyle w:val="Hyperlink"/>
                <w:noProof/>
              </w:rPr>
              <w:t>Economic</w:t>
            </w:r>
            <w:r w:rsidR="004B105D">
              <w:rPr>
                <w:noProof/>
                <w:webHidden/>
              </w:rPr>
              <w:tab/>
            </w:r>
            <w:r>
              <w:rPr>
                <w:noProof/>
                <w:webHidden/>
              </w:rPr>
              <w:fldChar w:fldCharType="begin"/>
            </w:r>
            <w:r w:rsidR="004B105D">
              <w:rPr>
                <w:noProof/>
                <w:webHidden/>
              </w:rPr>
              <w:instrText xml:space="preserve"> PAGEREF _Toc50649036 \h </w:instrText>
            </w:r>
            <w:r>
              <w:rPr>
                <w:noProof/>
                <w:webHidden/>
              </w:rPr>
            </w:r>
            <w:r>
              <w:rPr>
                <w:noProof/>
                <w:webHidden/>
              </w:rPr>
              <w:fldChar w:fldCharType="separate"/>
            </w:r>
            <w:r w:rsidR="0085536F">
              <w:rPr>
                <w:noProof/>
                <w:webHidden/>
              </w:rPr>
              <w:t>4</w:t>
            </w:r>
            <w:r>
              <w:rPr>
                <w:noProof/>
                <w:webHidden/>
              </w:rPr>
              <w:fldChar w:fldCharType="end"/>
            </w:r>
          </w:hyperlink>
        </w:p>
        <w:p w:rsidR="004B105D" w:rsidRDefault="00D85FE6">
          <w:pPr>
            <w:pStyle w:val="TOC3"/>
            <w:tabs>
              <w:tab w:val="right" w:leader="dot" w:pos="9016"/>
            </w:tabs>
            <w:rPr>
              <w:rFonts w:asciiTheme="minorHAnsi" w:eastAsiaTheme="minorEastAsia" w:hAnsiTheme="minorHAnsi"/>
              <w:noProof/>
              <w:sz w:val="22"/>
              <w:lang w:eastAsia="en-GB"/>
            </w:rPr>
          </w:pPr>
          <w:hyperlink w:anchor="_Toc50649037" w:history="1">
            <w:r w:rsidR="004B105D" w:rsidRPr="000A6219">
              <w:rPr>
                <w:rStyle w:val="Hyperlink"/>
                <w:noProof/>
              </w:rPr>
              <w:t>Social</w:t>
            </w:r>
            <w:r w:rsidR="004B105D">
              <w:rPr>
                <w:noProof/>
                <w:webHidden/>
              </w:rPr>
              <w:tab/>
            </w:r>
            <w:r>
              <w:rPr>
                <w:noProof/>
                <w:webHidden/>
              </w:rPr>
              <w:fldChar w:fldCharType="begin"/>
            </w:r>
            <w:r w:rsidR="004B105D">
              <w:rPr>
                <w:noProof/>
                <w:webHidden/>
              </w:rPr>
              <w:instrText xml:space="preserve"> PAGEREF _Toc50649037 \h </w:instrText>
            </w:r>
            <w:r>
              <w:rPr>
                <w:noProof/>
                <w:webHidden/>
              </w:rPr>
            </w:r>
            <w:r>
              <w:rPr>
                <w:noProof/>
                <w:webHidden/>
              </w:rPr>
              <w:fldChar w:fldCharType="separate"/>
            </w:r>
            <w:r w:rsidR="0085536F">
              <w:rPr>
                <w:noProof/>
                <w:webHidden/>
              </w:rPr>
              <w:t>5</w:t>
            </w:r>
            <w:r>
              <w:rPr>
                <w:noProof/>
                <w:webHidden/>
              </w:rPr>
              <w:fldChar w:fldCharType="end"/>
            </w:r>
          </w:hyperlink>
        </w:p>
        <w:p w:rsidR="004B105D" w:rsidRDefault="00D85FE6">
          <w:pPr>
            <w:pStyle w:val="TOC3"/>
            <w:tabs>
              <w:tab w:val="right" w:leader="dot" w:pos="9016"/>
            </w:tabs>
            <w:rPr>
              <w:rFonts w:asciiTheme="minorHAnsi" w:eastAsiaTheme="minorEastAsia" w:hAnsiTheme="minorHAnsi"/>
              <w:noProof/>
              <w:sz w:val="22"/>
              <w:lang w:eastAsia="en-GB"/>
            </w:rPr>
          </w:pPr>
          <w:hyperlink w:anchor="_Toc50649038" w:history="1">
            <w:r w:rsidR="004B105D" w:rsidRPr="000A6219">
              <w:rPr>
                <w:rStyle w:val="Hyperlink"/>
                <w:noProof/>
              </w:rPr>
              <w:t>Technological</w:t>
            </w:r>
            <w:r w:rsidR="004B105D">
              <w:rPr>
                <w:noProof/>
                <w:webHidden/>
              </w:rPr>
              <w:tab/>
            </w:r>
            <w:r>
              <w:rPr>
                <w:noProof/>
                <w:webHidden/>
              </w:rPr>
              <w:fldChar w:fldCharType="begin"/>
            </w:r>
            <w:r w:rsidR="004B105D">
              <w:rPr>
                <w:noProof/>
                <w:webHidden/>
              </w:rPr>
              <w:instrText xml:space="preserve"> PAGEREF _Toc50649038 \h </w:instrText>
            </w:r>
            <w:r>
              <w:rPr>
                <w:noProof/>
                <w:webHidden/>
              </w:rPr>
            </w:r>
            <w:r>
              <w:rPr>
                <w:noProof/>
                <w:webHidden/>
              </w:rPr>
              <w:fldChar w:fldCharType="separate"/>
            </w:r>
            <w:r w:rsidR="0085536F">
              <w:rPr>
                <w:noProof/>
                <w:webHidden/>
              </w:rPr>
              <w:t>5</w:t>
            </w:r>
            <w:r>
              <w:rPr>
                <w:noProof/>
                <w:webHidden/>
              </w:rPr>
              <w:fldChar w:fldCharType="end"/>
            </w:r>
          </w:hyperlink>
        </w:p>
        <w:p w:rsidR="004B105D" w:rsidRDefault="00D85FE6">
          <w:pPr>
            <w:pStyle w:val="TOC3"/>
            <w:tabs>
              <w:tab w:val="right" w:leader="dot" w:pos="9016"/>
            </w:tabs>
            <w:rPr>
              <w:rFonts w:asciiTheme="minorHAnsi" w:eastAsiaTheme="minorEastAsia" w:hAnsiTheme="minorHAnsi"/>
              <w:noProof/>
              <w:sz w:val="22"/>
              <w:lang w:eastAsia="en-GB"/>
            </w:rPr>
          </w:pPr>
          <w:hyperlink w:anchor="_Toc50649039" w:history="1">
            <w:r w:rsidR="004B105D" w:rsidRPr="000A6219">
              <w:rPr>
                <w:rStyle w:val="Hyperlink"/>
                <w:noProof/>
              </w:rPr>
              <w:t>Ethical/Environmental</w:t>
            </w:r>
            <w:r w:rsidR="004B105D">
              <w:rPr>
                <w:noProof/>
                <w:webHidden/>
              </w:rPr>
              <w:tab/>
            </w:r>
            <w:r>
              <w:rPr>
                <w:noProof/>
                <w:webHidden/>
              </w:rPr>
              <w:fldChar w:fldCharType="begin"/>
            </w:r>
            <w:r w:rsidR="004B105D">
              <w:rPr>
                <w:noProof/>
                <w:webHidden/>
              </w:rPr>
              <w:instrText xml:space="preserve"> PAGEREF _Toc50649039 \h </w:instrText>
            </w:r>
            <w:r>
              <w:rPr>
                <w:noProof/>
                <w:webHidden/>
              </w:rPr>
            </w:r>
            <w:r>
              <w:rPr>
                <w:noProof/>
                <w:webHidden/>
              </w:rPr>
              <w:fldChar w:fldCharType="separate"/>
            </w:r>
            <w:r w:rsidR="0085536F">
              <w:rPr>
                <w:noProof/>
                <w:webHidden/>
              </w:rPr>
              <w:t>6</w:t>
            </w:r>
            <w:r>
              <w:rPr>
                <w:noProof/>
                <w:webHidden/>
              </w:rPr>
              <w:fldChar w:fldCharType="end"/>
            </w:r>
          </w:hyperlink>
        </w:p>
        <w:p w:rsidR="004B105D" w:rsidRDefault="00D85FE6">
          <w:pPr>
            <w:pStyle w:val="TOC2"/>
            <w:tabs>
              <w:tab w:val="right" w:leader="dot" w:pos="9016"/>
            </w:tabs>
            <w:rPr>
              <w:rFonts w:asciiTheme="minorHAnsi" w:eastAsiaTheme="minorEastAsia" w:hAnsiTheme="minorHAnsi"/>
              <w:noProof/>
              <w:sz w:val="22"/>
              <w:lang w:eastAsia="en-GB"/>
            </w:rPr>
          </w:pPr>
          <w:hyperlink w:anchor="_Toc50649040" w:history="1">
            <w:r w:rsidR="004B105D" w:rsidRPr="000A6219">
              <w:rPr>
                <w:rStyle w:val="Hyperlink"/>
                <w:noProof/>
              </w:rPr>
              <w:t>Five Forces Analysis</w:t>
            </w:r>
            <w:r w:rsidR="004B105D">
              <w:rPr>
                <w:noProof/>
                <w:webHidden/>
              </w:rPr>
              <w:tab/>
            </w:r>
            <w:r>
              <w:rPr>
                <w:noProof/>
                <w:webHidden/>
              </w:rPr>
              <w:fldChar w:fldCharType="begin"/>
            </w:r>
            <w:r w:rsidR="004B105D">
              <w:rPr>
                <w:noProof/>
                <w:webHidden/>
              </w:rPr>
              <w:instrText xml:space="preserve"> PAGEREF _Toc50649040 \h </w:instrText>
            </w:r>
            <w:r>
              <w:rPr>
                <w:noProof/>
                <w:webHidden/>
              </w:rPr>
            </w:r>
            <w:r>
              <w:rPr>
                <w:noProof/>
                <w:webHidden/>
              </w:rPr>
              <w:fldChar w:fldCharType="separate"/>
            </w:r>
            <w:r w:rsidR="0085536F">
              <w:rPr>
                <w:noProof/>
                <w:webHidden/>
              </w:rPr>
              <w:t>6</w:t>
            </w:r>
            <w:r>
              <w:rPr>
                <w:noProof/>
                <w:webHidden/>
              </w:rPr>
              <w:fldChar w:fldCharType="end"/>
            </w:r>
          </w:hyperlink>
        </w:p>
        <w:p w:rsidR="004B105D" w:rsidRDefault="00D85FE6">
          <w:pPr>
            <w:pStyle w:val="TOC1"/>
            <w:tabs>
              <w:tab w:val="right" w:leader="dot" w:pos="9016"/>
            </w:tabs>
            <w:rPr>
              <w:rFonts w:asciiTheme="minorHAnsi" w:eastAsiaTheme="minorEastAsia" w:hAnsiTheme="minorHAnsi"/>
              <w:noProof/>
              <w:sz w:val="22"/>
              <w:lang w:eastAsia="en-GB"/>
            </w:rPr>
          </w:pPr>
          <w:hyperlink w:anchor="_Toc50649041" w:history="1">
            <w:r w:rsidR="004B105D" w:rsidRPr="000A6219">
              <w:rPr>
                <w:rStyle w:val="Hyperlink"/>
                <w:noProof/>
              </w:rPr>
              <w:t>SWOT Analysis</w:t>
            </w:r>
            <w:r w:rsidR="004B105D">
              <w:rPr>
                <w:noProof/>
                <w:webHidden/>
              </w:rPr>
              <w:tab/>
            </w:r>
            <w:r>
              <w:rPr>
                <w:noProof/>
                <w:webHidden/>
              </w:rPr>
              <w:fldChar w:fldCharType="begin"/>
            </w:r>
            <w:r w:rsidR="004B105D">
              <w:rPr>
                <w:noProof/>
                <w:webHidden/>
              </w:rPr>
              <w:instrText xml:space="preserve"> PAGEREF _Toc50649041 \h </w:instrText>
            </w:r>
            <w:r>
              <w:rPr>
                <w:noProof/>
                <w:webHidden/>
              </w:rPr>
            </w:r>
            <w:r>
              <w:rPr>
                <w:noProof/>
                <w:webHidden/>
              </w:rPr>
              <w:fldChar w:fldCharType="separate"/>
            </w:r>
            <w:r w:rsidR="0085536F">
              <w:rPr>
                <w:noProof/>
                <w:webHidden/>
              </w:rPr>
              <w:t>8</w:t>
            </w:r>
            <w:r>
              <w:rPr>
                <w:noProof/>
                <w:webHidden/>
              </w:rPr>
              <w:fldChar w:fldCharType="end"/>
            </w:r>
          </w:hyperlink>
        </w:p>
        <w:p w:rsidR="004B105D" w:rsidRDefault="00D85FE6">
          <w:pPr>
            <w:pStyle w:val="TOC1"/>
            <w:tabs>
              <w:tab w:val="right" w:leader="dot" w:pos="9016"/>
            </w:tabs>
            <w:rPr>
              <w:rFonts w:asciiTheme="minorHAnsi" w:eastAsiaTheme="minorEastAsia" w:hAnsiTheme="minorHAnsi"/>
              <w:noProof/>
              <w:sz w:val="22"/>
              <w:lang w:eastAsia="en-GB"/>
            </w:rPr>
          </w:pPr>
          <w:hyperlink w:anchor="_Toc50649042" w:history="1">
            <w:r w:rsidR="004B105D" w:rsidRPr="000A6219">
              <w:rPr>
                <w:rStyle w:val="Hyperlink"/>
                <w:noProof/>
              </w:rPr>
              <w:t>Coca-Cola Marketing</w:t>
            </w:r>
            <w:r w:rsidR="004B105D">
              <w:rPr>
                <w:noProof/>
                <w:webHidden/>
              </w:rPr>
              <w:tab/>
            </w:r>
            <w:r>
              <w:rPr>
                <w:noProof/>
                <w:webHidden/>
              </w:rPr>
              <w:fldChar w:fldCharType="begin"/>
            </w:r>
            <w:r w:rsidR="004B105D">
              <w:rPr>
                <w:noProof/>
                <w:webHidden/>
              </w:rPr>
              <w:instrText xml:space="preserve"> PAGEREF _Toc50649042 \h </w:instrText>
            </w:r>
            <w:r>
              <w:rPr>
                <w:noProof/>
                <w:webHidden/>
              </w:rPr>
            </w:r>
            <w:r>
              <w:rPr>
                <w:noProof/>
                <w:webHidden/>
              </w:rPr>
              <w:fldChar w:fldCharType="separate"/>
            </w:r>
            <w:r w:rsidR="0085536F">
              <w:rPr>
                <w:noProof/>
                <w:webHidden/>
              </w:rPr>
              <w:t>9</w:t>
            </w:r>
            <w:r>
              <w:rPr>
                <w:noProof/>
                <w:webHidden/>
              </w:rPr>
              <w:fldChar w:fldCharType="end"/>
            </w:r>
          </w:hyperlink>
        </w:p>
        <w:p w:rsidR="004B105D" w:rsidRDefault="00D85FE6">
          <w:pPr>
            <w:pStyle w:val="TOC1"/>
            <w:tabs>
              <w:tab w:val="right" w:leader="dot" w:pos="9016"/>
            </w:tabs>
            <w:rPr>
              <w:rFonts w:asciiTheme="minorHAnsi" w:eastAsiaTheme="minorEastAsia" w:hAnsiTheme="minorHAnsi"/>
              <w:noProof/>
              <w:sz w:val="22"/>
              <w:lang w:eastAsia="en-GB"/>
            </w:rPr>
          </w:pPr>
          <w:hyperlink w:anchor="_Toc50649043" w:history="1">
            <w:r w:rsidR="004B105D" w:rsidRPr="000A6219">
              <w:rPr>
                <w:rStyle w:val="Hyperlink"/>
                <w:noProof/>
              </w:rPr>
              <w:t>Conclusion</w:t>
            </w:r>
            <w:r w:rsidR="004B105D">
              <w:rPr>
                <w:noProof/>
                <w:webHidden/>
              </w:rPr>
              <w:tab/>
            </w:r>
            <w:r>
              <w:rPr>
                <w:noProof/>
                <w:webHidden/>
              </w:rPr>
              <w:fldChar w:fldCharType="begin"/>
            </w:r>
            <w:r w:rsidR="004B105D">
              <w:rPr>
                <w:noProof/>
                <w:webHidden/>
              </w:rPr>
              <w:instrText xml:space="preserve"> PAGEREF _Toc50649043 \h </w:instrText>
            </w:r>
            <w:r>
              <w:rPr>
                <w:noProof/>
                <w:webHidden/>
              </w:rPr>
            </w:r>
            <w:r>
              <w:rPr>
                <w:noProof/>
                <w:webHidden/>
              </w:rPr>
              <w:fldChar w:fldCharType="separate"/>
            </w:r>
            <w:r w:rsidR="0085536F">
              <w:rPr>
                <w:noProof/>
                <w:webHidden/>
              </w:rPr>
              <w:t>10</w:t>
            </w:r>
            <w:r>
              <w:rPr>
                <w:noProof/>
                <w:webHidden/>
              </w:rPr>
              <w:fldChar w:fldCharType="end"/>
            </w:r>
          </w:hyperlink>
        </w:p>
        <w:p w:rsidR="004B105D" w:rsidRDefault="00D85FE6">
          <w:pPr>
            <w:pStyle w:val="TOC1"/>
            <w:tabs>
              <w:tab w:val="right" w:leader="dot" w:pos="9016"/>
            </w:tabs>
            <w:rPr>
              <w:rFonts w:asciiTheme="minorHAnsi" w:eastAsiaTheme="minorEastAsia" w:hAnsiTheme="minorHAnsi"/>
              <w:noProof/>
              <w:sz w:val="22"/>
              <w:lang w:eastAsia="en-GB"/>
            </w:rPr>
          </w:pPr>
          <w:hyperlink w:anchor="_Toc50649044" w:history="1">
            <w:r w:rsidR="004B105D" w:rsidRPr="000A6219">
              <w:rPr>
                <w:rStyle w:val="Hyperlink"/>
                <w:noProof/>
              </w:rPr>
              <w:t>REFERENCES</w:t>
            </w:r>
            <w:r w:rsidR="004B105D">
              <w:rPr>
                <w:noProof/>
                <w:webHidden/>
              </w:rPr>
              <w:tab/>
            </w:r>
            <w:r>
              <w:rPr>
                <w:noProof/>
                <w:webHidden/>
              </w:rPr>
              <w:fldChar w:fldCharType="begin"/>
            </w:r>
            <w:r w:rsidR="004B105D">
              <w:rPr>
                <w:noProof/>
                <w:webHidden/>
              </w:rPr>
              <w:instrText xml:space="preserve"> PAGEREF _Toc50649044 \h </w:instrText>
            </w:r>
            <w:r>
              <w:rPr>
                <w:noProof/>
                <w:webHidden/>
              </w:rPr>
            </w:r>
            <w:r>
              <w:rPr>
                <w:noProof/>
                <w:webHidden/>
              </w:rPr>
              <w:fldChar w:fldCharType="separate"/>
            </w:r>
            <w:r w:rsidR="0085536F">
              <w:rPr>
                <w:noProof/>
                <w:webHidden/>
              </w:rPr>
              <w:t>12</w:t>
            </w:r>
            <w:r>
              <w:rPr>
                <w:noProof/>
                <w:webHidden/>
              </w:rPr>
              <w:fldChar w:fldCharType="end"/>
            </w:r>
          </w:hyperlink>
        </w:p>
        <w:p w:rsidR="00D772A9" w:rsidRDefault="00D85FE6">
          <w:r>
            <w:rPr>
              <w:b/>
              <w:bCs/>
              <w:noProof/>
            </w:rPr>
            <w:fldChar w:fldCharType="end"/>
          </w:r>
        </w:p>
      </w:sdtContent>
    </w:sdt>
    <w:p w:rsidR="00D772A9" w:rsidRDefault="00D772A9" w:rsidP="00D772A9"/>
    <w:p w:rsidR="00D772A9" w:rsidRDefault="00D772A9" w:rsidP="00D772A9"/>
    <w:p w:rsidR="00D772A9" w:rsidRDefault="00D772A9" w:rsidP="00D772A9"/>
    <w:p w:rsidR="00D772A9" w:rsidRDefault="00D772A9" w:rsidP="00D772A9"/>
    <w:p w:rsidR="00D772A9" w:rsidRDefault="00D772A9" w:rsidP="00D772A9"/>
    <w:p w:rsidR="00D772A9" w:rsidRDefault="00D772A9" w:rsidP="00D772A9"/>
    <w:p w:rsidR="00D772A9" w:rsidRDefault="00D772A9" w:rsidP="00D772A9">
      <w:pPr>
        <w:pStyle w:val="Heading1"/>
      </w:pPr>
      <w:bookmarkStart w:id="1" w:name="_Toc50649031"/>
      <w:r w:rsidRPr="00D772A9">
        <w:lastRenderedPageBreak/>
        <w:t>Introduction</w:t>
      </w:r>
      <w:bookmarkEnd w:id="1"/>
    </w:p>
    <w:p w:rsidR="00E95D36" w:rsidRDefault="00601222" w:rsidP="009968A3">
      <w:r>
        <w:t xml:space="preserve">This marketing analysis </w:t>
      </w:r>
      <w:r w:rsidR="004B105D">
        <w:t xml:space="preserve">was </w:t>
      </w:r>
      <w:r>
        <w:t xml:space="preserve">commissioned by </w:t>
      </w:r>
      <w:r w:rsidR="00B47135">
        <w:t xml:space="preserve">Coca-Cola </w:t>
      </w:r>
      <w:bookmarkStart w:id="2" w:name="_Hlk50631866"/>
      <w:r w:rsidR="004B105D">
        <w:t>to inform</w:t>
      </w:r>
      <w:r>
        <w:t xml:space="preserve"> appropriate future marketing strategies </w:t>
      </w:r>
      <w:r w:rsidR="00A6679B">
        <w:t>and</w:t>
      </w:r>
      <w:r>
        <w:t xml:space="preserve"> sustainable competitive advantage. </w:t>
      </w:r>
      <w:bookmarkEnd w:id="2"/>
      <w:r>
        <w:t xml:space="preserve">The report </w:t>
      </w:r>
      <w:r w:rsidR="00A6679B">
        <w:t xml:space="preserve">comprises: </w:t>
      </w:r>
      <w:r>
        <w:t>company</w:t>
      </w:r>
      <w:r w:rsidR="00A6679B">
        <w:t xml:space="preserve"> overview; </w:t>
      </w:r>
      <w:r>
        <w:t xml:space="preserve">macro </w:t>
      </w:r>
      <w:r w:rsidR="00A6679B">
        <w:t>analysis</w:t>
      </w:r>
      <w:r>
        <w:t xml:space="preserve"> using </w:t>
      </w:r>
      <w:r w:rsidR="00A6679B">
        <w:t>the</w:t>
      </w:r>
      <w:r>
        <w:t xml:space="preserve"> Political, Environmental, Social, Technological, Legal</w:t>
      </w:r>
      <w:r w:rsidR="004B105D">
        <w:t>,</w:t>
      </w:r>
      <w:r>
        <w:t xml:space="preserve"> Ethical/Environmental (PESTLE) </w:t>
      </w:r>
      <w:r w:rsidR="00A6679B">
        <w:t>model</w:t>
      </w:r>
      <w:r>
        <w:t xml:space="preserve"> (Whittington, Regner, Angwin, Johnson. and Scholes,2019)</w:t>
      </w:r>
      <w:r w:rsidR="00A6679B">
        <w:t xml:space="preserve">; </w:t>
      </w:r>
      <w:r>
        <w:t xml:space="preserve">sector </w:t>
      </w:r>
      <w:r w:rsidR="00A6679B">
        <w:t>position indicated by</w:t>
      </w:r>
      <w:r>
        <w:t xml:space="preserve"> Five Forces</w:t>
      </w:r>
      <w:r w:rsidR="00A6679B">
        <w:t xml:space="preserve"> model</w:t>
      </w:r>
      <w:r>
        <w:t xml:space="preserve"> (Porter,2008)</w:t>
      </w:r>
      <w:r w:rsidR="00A6679B">
        <w:t xml:space="preserve">; </w:t>
      </w:r>
      <w:r w:rsidR="0036559A">
        <w:t>Strengths, Weaknesses, Opportunities</w:t>
      </w:r>
      <w:r w:rsidR="004B105D">
        <w:t xml:space="preserve">, </w:t>
      </w:r>
      <w:r w:rsidR="0036559A">
        <w:t xml:space="preserve">Threats (SWOT) analysis </w:t>
      </w:r>
      <w:r w:rsidR="00182AA4">
        <w:t>apprais</w:t>
      </w:r>
      <w:r w:rsidR="00A6679B">
        <w:t xml:space="preserve">ing </w:t>
      </w:r>
      <w:r w:rsidR="00182AA4">
        <w:t>internal strengths and weaknesses determin</w:t>
      </w:r>
      <w:r w:rsidR="00A6679B">
        <w:t>ing</w:t>
      </w:r>
      <w:r w:rsidR="00182AA4">
        <w:t xml:space="preserve"> strategy to exploit external opportunities and minimise threats(Whittington et al.,2019)</w:t>
      </w:r>
      <w:r w:rsidR="00A6679B">
        <w:t xml:space="preserve">. The </w:t>
      </w:r>
      <w:r w:rsidR="00984951">
        <w:t xml:space="preserve">current marketing strategy </w:t>
      </w:r>
      <w:r w:rsidR="00A6679B">
        <w:t xml:space="preserve">is </w:t>
      </w:r>
      <w:r w:rsidR="00984951">
        <w:t>appraised so that conclusions can be drawn and recommendations made</w:t>
      </w:r>
      <w:r w:rsidR="00A6679B">
        <w:t>.</w:t>
      </w:r>
    </w:p>
    <w:p w:rsidR="009968A3" w:rsidRPr="009968A3" w:rsidRDefault="009968A3" w:rsidP="009968A3">
      <w:pPr>
        <w:pStyle w:val="Heading1"/>
      </w:pPr>
      <w:bookmarkStart w:id="3" w:name="_Hlk50559790"/>
      <w:bookmarkStart w:id="4" w:name="_Toc50649032"/>
      <w:bookmarkEnd w:id="3"/>
      <w:r w:rsidRPr="009968A3">
        <w:t>Marketing Analysis</w:t>
      </w:r>
      <w:bookmarkEnd w:id="4"/>
    </w:p>
    <w:p w:rsidR="009968A3" w:rsidRPr="009968A3" w:rsidRDefault="009968A3" w:rsidP="009968A3">
      <w:pPr>
        <w:pStyle w:val="Heading2"/>
      </w:pPr>
      <w:bookmarkStart w:id="5" w:name="_Toc50649033"/>
      <w:r w:rsidRPr="009968A3">
        <w:t>Company Overview</w:t>
      </w:r>
      <w:bookmarkEnd w:id="5"/>
    </w:p>
    <w:p w:rsidR="009968A3" w:rsidRDefault="009968A3" w:rsidP="009968A3">
      <w:pPr>
        <w:rPr>
          <w:rFonts w:cs="Arial"/>
          <w:szCs w:val="24"/>
        </w:rPr>
      </w:pPr>
      <w:r w:rsidRPr="00827844">
        <w:rPr>
          <w:rFonts w:cs="Arial"/>
          <w:szCs w:val="24"/>
        </w:rPr>
        <w:t>The Coca-Cola Company founded in 1886 in Atlanta, Georgia</w:t>
      </w:r>
      <w:r w:rsidRPr="00827844">
        <w:rPr>
          <w:rFonts w:eastAsia="Times New Roman" w:cs="Arial"/>
          <w:szCs w:val="24"/>
          <w:lang w:eastAsia="en-GB"/>
        </w:rPr>
        <w:t xml:space="preserve"> is a global company, operating as six divisions</w:t>
      </w:r>
      <w:r w:rsidR="0065361B">
        <w:rPr>
          <w:rFonts w:eastAsia="Times New Roman" w:cs="Arial"/>
          <w:szCs w:val="24"/>
          <w:lang w:eastAsia="en-GB"/>
        </w:rPr>
        <w:t>;</w:t>
      </w:r>
      <w:r w:rsidRPr="00827844">
        <w:rPr>
          <w:rFonts w:eastAsia="Times New Roman" w:cs="Arial"/>
          <w:szCs w:val="24"/>
          <w:lang w:eastAsia="en-GB"/>
        </w:rPr>
        <w:t xml:space="preserve"> four regional networks</w:t>
      </w:r>
      <w:r w:rsidR="0065361B">
        <w:rPr>
          <w:rFonts w:eastAsia="Times New Roman" w:cs="Arial"/>
          <w:szCs w:val="24"/>
          <w:lang w:eastAsia="en-GB"/>
        </w:rPr>
        <w:t>,</w:t>
      </w:r>
      <w:r w:rsidRPr="00827844">
        <w:rPr>
          <w:rFonts w:eastAsia="Times New Roman" w:cs="Arial"/>
          <w:szCs w:val="24"/>
          <w:lang w:eastAsia="en-GB"/>
        </w:rPr>
        <w:t xml:space="preserve"> North America, Latin America, Asia Pacific, </w:t>
      </w:r>
      <w:r w:rsidRPr="00827844">
        <w:rPr>
          <w:rFonts w:cs="Arial"/>
          <w:szCs w:val="24"/>
        </w:rPr>
        <w:t>Europe, the Middle East and Africa, Global Ventures and Bottling Investments (Marketline,2020;CC,2020a). Its global reach extends to more than 200 countries, offering 4,700</w:t>
      </w:r>
      <w:r w:rsidR="004B105D">
        <w:rPr>
          <w:rFonts w:cs="Arial"/>
          <w:szCs w:val="24"/>
        </w:rPr>
        <w:t>+</w:t>
      </w:r>
      <w:r w:rsidRPr="00827844">
        <w:rPr>
          <w:rFonts w:cs="Arial"/>
          <w:szCs w:val="24"/>
        </w:rPr>
        <w:t xml:space="preserve"> products in 30 million retail outlets (CC,2020b) served by 225 bottling partners and 700,000 people (CC,2020a)</w:t>
      </w:r>
      <w:r>
        <w:rPr>
          <w:rFonts w:cs="Arial"/>
          <w:szCs w:val="24"/>
        </w:rPr>
        <w:t xml:space="preserve">. The company </w:t>
      </w:r>
      <w:r w:rsidRPr="00827844">
        <w:rPr>
          <w:rFonts w:cs="Arial"/>
          <w:szCs w:val="24"/>
        </w:rPr>
        <w:t xml:space="preserve">had 86,200 direct employees in 2019, </w:t>
      </w:r>
      <w:r w:rsidR="0065361B">
        <w:rPr>
          <w:rFonts w:cs="Arial"/>
          <w:szCs w:val="24"/>
        </w:rPr>
        <w:t>in contrast to</w:t>
      </w:r>
      <w:r w:rsidRPr="00827844">
        <w:rPr>
          <w:rFonts w:cs="Arial"/>
          <w:szCs w:val="24"/>
        </w:rPr>
        <w:t xml:space="preserve"> 100,000 in 2015 (Macrotrends</w:t>
      </w:r>
      <w:r w:rsidR="007B0D99">
        <w:rPr>
          <w:rFonts w:cs="Arial"/>
          <w:szCs w:val="24"/>
        </w:rPr>
        <w:t>,</w:t>
      </w:r>
      <w:r w:rsidRPr="00827844">
        <w:rPr>
          <w:rFonts w:cs="Arial"/>
          <w:szCs w:val="24"/>
        </w:rPr>
        <w:t>2020), reflecti</w:t>
      </w:r>
      <w:r w:rsidR="004B105D">
        <w:rPr>
          <w:rFonts w:cs="Arial"/>
          <w:szCs w:val="24"/>
        </w:rPr>
        <w:t>ng</w:t>
      </w:r>
      <w:r w:rsidRPr="00827844">
        <w:rPr>
          <w:rFonts w:cs="Arial"/>
          <w:szCs w:val="24"/>
        </w:rPr>
        <w:t xml:space="preserve"> its falling revenues (Marketwatch,2020).  </w:t>
      </w:r>
      <w:r>
        <w:rPr>
          <w:rFonts w:eastAsia="Times New Roman" w:cs="Arial"/>
          <w:szCs w:val="24"/>
          <w:lang w:eastAsia="en-GB"/>
        </w:rPr>
        <w:t xml:space="preserve">Coca-Cola’s mission is </w:t>
      </w:r>
      <w:r w:rsidRPr="00F90FEB">
        <w:rPr>
          <w:rFonts w:cs="Arial"/>
          <w:szCs w:val="24"/>
        </w:rPr>
        <w:t>“to refresh the world” (Coca-Cola,2020a,p.1)</w:t>
      </w:r>
      <w:r>
        <w:rPr>
          <w:rFonts w:cs="Arial"/>
          <w:szCs w:val="24"/>
        </w:rPr>
        <w:t xml:space="preserve"> and to make a difference. Its associated vision it to </w:t>
      </w:r>
      <w:r w:rsidRPr="005F1D4E">
        <w:rPr>
          <w:rFonts w:cs="Arial"/>
          <w:color w:val="000000" w:themeColor="text1"/>
          <w:szCs w:val="24"/>
        </w:rPr>
        <w:t>produc</w:t>
      </w:r>
      <w:r w:rsidR="004B105D" w:rsidRPr="005F1D4E">
        <w:rPr>
          <w:rFonts w:cs="Arial"/>
          <w:color w:val="000000" w:themeColor="text1"/>
          <w:szCs w:val="24"/>
        </w:rPr>
        <w:t>e</w:t>
      </w:r>
      <w:r w:rsidRPr="005F1D4E">
        <w:rPr>
          <w:rFonts w:cs="Arial"/>
          <w:color w:val="000000" w:themeColor="text1"/>
          <w:szCs w:val="24"/>
        </w:rPr>
        <w:t xml:space="preserve"> a balanced range of beverage brands to match consumer preferences</w:t>
      </w:r>
      <w:r w:rsidR="0065361B" w:rsidRPr="005F1D4E">
        <w:rPr>
          <w:rFonts w:cs="Arial"/>
          <w:color w:val="000000" w:themeColor="text1"/>
          <w:szCs w:val="24"/>
        </w:rPr>
        <w:t xml:space="preserve">, </w:t>
      </w:r>
      <w:r w:rsidR="00FB17E2" w:rsidRPr="005F1D4E">
        <w:rPr>
          <w:rFonts w:cs="Arial"/>
          <w:color w:val="000000" w:themeColor="text1"/>
          <w:szCs w:val="24"/>
        </w:rPr>
        <w:t>at the same time</w:t>
      </w:r>
      <w:r w:rsidRPr="005F1D4E">
        <w:rPr>
          <w:rFonts w:cs="Arial"/>
          <w:color w:val="000000" w:themeColor="text1"/>
          <w:szCs w:val="24"/>
        </w:rPr>
        <w:t xml:space="preserve"> increasing</w:t>
      </w:r>
      <w:r>
        <w:rPr>
          <w:rFonts w:cs="Arial"/>
          <w:szCs w:val="24"/>
        </w:rPr>
        <w:t xml:space="preserve"> their energy </w:t>
      </w:r>
      <w:r w:rsidR="004B105D">
        <w:rPr>
          <w:rFonts w:cs="Arial"/>
          <w:szCs w:val="24"/>
        </w:rPr>
        <w:t xml:space="preserve">levels </w:t>
      </w:r>
      <w:r>
        <w:rPr>
          <w:rFonts w:cs="Arial"/>
          <w:szCs w:val="24"/>
        </w:rPr>
        <w:t xml:space="preserve">and sense of well-being (CC,2020c). The company aims for profitable but sustainable business, and to respect people, profit and planet (CC,2020a). </w:t>
      </w:r>
    </w:p>
    <w:p w:rsidR="009968A3" w:rsidRPr="007B0D99" w:rsidRDefault="009968A3" w:rsidP="007B0D99">
      <w:pPr>
        <w:pStyle w:val="Heading2"/>
      </w:pPr>
      <w:bookmarkStart w:id="6" w:name="_Toc50649034"/>
      <w:r w:rsidRPr="007B0D99">
        <w:t>Macroeconomic Analysis</w:t>
      </w:r>
      <w:bookmarkEnd w:id="6"/>
    </w:p>
    <w:p w:rsidR="009968A3" w:rsidRPr="00F90FEB" w:rsidRDefault="009968A3" w:rsidP="009968A3">
      <w:pPr>
        <w:rPr>
          <w:rFonts w:cs="Arial"/>
          <w:szCs w:val="24"/>
        </w:rPr>
      </w:pPr>
      <w:r>
        <w:rPr>
          <w:rFonts w:cs="Arial"/>
          <w:szCs w:val="24"/>
        </w:rPr>
        <w:t>A</w:t>
      </w:r>
      <w:r w:rsidRPr="00F90FEB">
        <w:rPr>
          <w:rFonts w:cs="Arial"/>
          <w:szCs w:val="24"/>
        </w:rPr>
        <w:t xml:space="preserve"> PESTLE analysis </w:t>
      </w:r>
      <w:r>
        <w:rPr>
          <w:rFonts w:cs="Arial"/>
          <w:szCs w:val="24"/>
        </w:rPr>
        <w:t>determine</w:t>
      </w:r>
      <w:r w:rsidR="00C27109">
        <w:rPr>
          <w:rFonts w:cs="Arial"/>
          <w:szCs w:val="24"/>
        </w:rPr>
        <w:t>s</w:t>
      </w:r>
      <w:r>
        <w:rPr>
          <w:rFonts w:cs="Arial"/>
          <w:szCs w:val="24"/>
        </w:rPr>
        <w:t xml:space="preserve"> the major opportunities and threats acting on the non-alcoholic beverage sector </w:t>
      </w:r>
      <w:r w:rsidR="00C27109">
        <w:rPr>
          <w:rFonts w:cs="Arial"/>
          <w:szCs w:val="24"/>
        </w:rPr>
        <w:t xml:space="preserve">owing to </w:t>
      </w:r>
      <w:r>
        <w:rPr>
          <w:rFonts w:cs="Arial"/>
          <w:szCs w:val="24"/>
        </w:rPr>
        <w:t>changes in the external environmental.  These opportunitie</w:t>
      </w:r>
      <w:r w:rsidR="00C27109">
        <w:rPr>
          <w:rFonts w:cs="Arial"/>
          <w:szCs w:val="24"/>
        </w:rPr>
        <w:t>s/</w:t>
      </w:r>
      <w:r>
        <w:rPr>
          <w:rFonts w:cs="Arial"/>
          <w:szCs w:val="24"/>
        </w:rPr>
        <w:t xml:space="preserve">threats are relevant to Coca-Cola and its competitors, </w:t>
      </w:r>
      <w:r w:rsidR="009B3539">
        <w:rPr>
          <w:rFonts w:cs="Arial"/>
          <w:szCs w:val="24"/>
        </w:rPr>
        <w:t>because how</w:t>
      </w:r>
      <w:r>
        <w:rPr>
          <w:rFonts w:cs="Arial"/>
          <w:szCs w:val="24"/>
        </w:rPr>
        <w:t xml:space="preserve"> it employs its internal organisational strengths to exploit the opportunities and minimise the threats determines the</w:t>
      </w:r>
      <w:r w:rsidR="009B3539">
        <w:rPr>
          <w:rFonts w:cs="Arial"/>
          <w:szCs w:val="24"/>
        </w:rPr>
        <w:t xml:space="preserve"> extent of </w:t>
      </w:r>
      <w:r>
        <w:rPr>
          <w:rFonts w:cs="Arial"/>
          <w:szCs w:val="24"/>
        </w:rPr>
        <w:t xml:space="preserve">competitive advantage.   Coca-Cola’s </w:t>
      </w:r>
      <w:r>
        <w:rPr>
          <w:rFonts w:cs="Arial"/>
          <w:szCs w:val="24"/>
        </w:rPr>
        <w:lastRenderedPageBreak/>
        <w:t>internal weaknesses may also limit its capability to manage the macroenvironmental changes (Whittington et al.,2019). The internal forces are appraised later in this report. Since each e</w:t>
      </w:r>
      <w:r w:rsidRPr="00F90FEB">
        <w:rPr>
          <w:rFonts w:cs="Arial"/>
          <w:szCs w:val="24"/>
        </w:rPr>
        <w:t xml:space="preserve">nvironmental factor </w:t>
      </w:r>
      <w:r>
        <w:rPr>
          <w:rFonts w:cs="Arial"/>
          <w:szCs w:val="24"/>
        </w:rPr>
        <w:t xml:space="preserve">is often relevant to </w:t>
      </w:r>
      <w:r w:rsidR="009B3539">
        <w:rPr>
          <w:rFonts w:cs="Arial"/>
          <w:szCs w:val="24"/>
        </w:rPr>
        <w:t>multiple</w:t>
      </w:r>
      <w:r>
        <w:rPr>
          <w:rFonts w:cs="Arial"/>
          <w:szCs w:val="24"/>
        </w:rPr>
        <w:t xml:space="preserve"> categor</w:t>
      </w:r>
      <w:r w:rsidR="009B3539">
        <w:rPr>
          <w:rFonts w:cs="Arial"/>
          <w:szCs w:val="24"/>
        </w:rPr>
        <w:t>ies</w:t>
      </w:r>
      <w:r>
        <w:rPr>
          <w:rFonts w:cs="Arial"/>
          <w:szCs w:val="24"/>
        </w:rPr>
        <w:t>, the most common ones are combined to reduce repetition</w:t>
      </w:r>
      <w:r w:rsidR="00C27109">
        <w:rPr>
          <w:rFonts w:cs="Arial"/>
          <w:szCs w:val="24"/>
        </w:rPr>
        <w:t>.</w:t>
      </w:r>
    </w:p>
    <w:p w:rsidR="009968A3" w:rsidRPr="0085536F" w:rsidRDefault="009968A3" w:rsidP="007B0D99">
      <w:pPr>
        <w:pStyle w:val="Heading3"/>
        <w:rPr>
          <w:b/>
        </w:rPr>
      </w:pPr>
      <w:bookmarkStart w:id="7" w:name="_Toc35366214"/>
      <w:bookmarkStart w:id="8" w:name="_Toc50649035"/>
      <w:r w:rsidRPr="0085536F">
        <w:rPr>
          <w:b/>
        </w:rPr>
        <w:t>Political/Legal</w:t>
      </w:r>
      <w:bookmarkEnd w:id="7"/>
      <w:bookmarkEnd w:id="8"/>
    </w:p>
    <w:p w:rsidR="009968A3" w:rsidRDefault="00C27109" w:rsidP="009968A3">
      <w:pPr>
        <w:rPr>
          <w:rFonts w:cs="Arial"/>
        </w:rPr>
      </w:pPr>
      <w:r>
        <w:rPr>
          <w:rFonts w:cs="Arial"/>
        </w:rPr>
        <w:t>This</w:t>
      </w:r>
      <w:r w:rsidR="009968A3" w:rsidRPr="0034687A">
        <w:rPr>
          <w:rFonts w:cs="Arial"/>
        </w:rPr>
        <w:t xml:space="preserve"> sector has</w:t>
      </w:r>
      <w:r>
        <w:rPr>
          <w:rFonts w:cs="Arial"/>
        </w:rPr>
        <w:t xml:space="preserve"> recently</w:t>
      </w:r>
      <w:r w:rsidR="009968A3" w:rsidRPr="0034687A">
        <w:rPr>
          <w:rFonts w:cs="Arial"/>
        </w:rPr>
        <w:t xml:space="preserve"> been</w:t>
      </w:r>
      <w:r w:rsidR="009968A3">
        <w:rPr>
          <w:rFonts w:cs="Arial"/>
        </w:rPr>
        <w:t xml:space="preserve"> subject to</w:t>
      </w:r>
      <w:r w:rsidR="009968A3" w:rsidRPr="005F1D4E">
        <w:rPr>
          <w:rFonts w:cs="Arial"/>
          <w:color w:val="000000" w:themeColor="text1"/>
        </w:rPr>
        <w:t xml:space="preserve"> </w:t>
      </w:r>
      <w:r w:rsidR="00DF540A" w:rsidRPr="005F1D4E">
        <w:rPr>
          <w:rFonts w:cs="Arial"/>
          <w:color w:val="000000" w:themeColor="text1"/>
        </w:rPr>
        <w:t>inspection</w:t>
      </w:r>
      <w:r w:rsidR="009968A3">
        <w:rPr>
          <w:rFonts w:cs="Arial"/>
        </w:rPr>
        <w:t xml:space="preserve"> by global health institutions and governments owing to the link between carbonated drink consumption and obesity. </w:t>
      </w:r>
      <w:r>
        <w:rPr>
          <w:rFonts w:cs="Arial"/>
        </w:rPr>
        <w:t>I</w:t>
      </w:r>
      <w:r w:rsidR="009968A3">
        <w:rPr>
          <w:rFonts w:cs="Arial"/>
        </w:rPr>
        <w:t xml:space="preserve">ncrease in obesity </w:t>
      </w:r>
      <w:r>
        <w:rPr>
          <w:rFonts w:cs="Arial"/>
        </w:rPr>
        <w:t>is associated with</w:t>
      </w:r>
      <w:r w:rsidR="009968A3">
        <w:rPr>
          <w:rFonts w:cs="Arial"/>
        </w:rPr>
        <w:t xml:space="preserve"> life-threatening diseases,  for instance diabetes and heart disease. </w:t>
      </w:r>
      <w:r>
        <w:rPr>
          <w:rFonts w:cs="Arial"/>
        </w:rPr>
        <w:t>Consequently</w:t>
      </w:r>
      <w:r w:rsidR="009968A3">
        <w:rPr>
          <w:rFonts w:cs="Arial"/>
        </w:rPr>
        <w:t xml:space="preserve"> governments have taken </w:t>
      </w:r>
      <w:r w:rsidR="009B3539">
        <w:rPr>
          <w:rFonts w:cs="Arial"/>
        </w:rPr>
        <w:t>various</w:t>
      </w:r>
      <w:r w:rsidR="009968A3">
        <w:rPr>
          <w:rFonts w:cs="Arial"/>
        </w:rPr>
        <w:t xml:space="preserve"> measures from imposing sugar tax, which increases the price of sugar</w:t>
      </w:r>
      <w:r>
        <w:rPr>
          <w:rFonts w:cs="Arial"/>
        </w:rPr>
        <w:t>-</w:t>
      </w:r>
      <w:r w:rsidR="009968A3">
        <w:rPr>
          <w:rFonts w:cs="Arial"/>
        </w:rPr>
        <w:t>sweetened drinks, limiting advertising</w:t>
      </w:r>
      <w:r>
        <w:rPr>
          <w:rFonts w:cs="Arial"/>
        </w:rPr>
        <w:t>,</w:t>
      </w:r>
      <w:r w:rsidR="009968A3">
        <w:rPr>
          <w:rFonts w:cs="Arial"/>
        </w:rPr>
        <w:t xml:space="preserve"> and banning sale to certain groups (Arthur,2019). The increasing concern regarding sugar is a serious threat to businesses in this sector (CC,2020a). However, developing sugar</w:t>
      </w:r>
      <w:r>
        <w:rPr>
          <w:rFonts w:cs="Arial"/>
        </w:rPr>
        <w:t>-</w:t>
      </w:r>
      <w:r w:rsidR="009968A3">
        <w:rPr>
          <w:rFonts w:cs="Arial"/>
        </w:rPr>
        <w:t>free</w:t>
      </w:r>
      <w:r>
        <w:rPr>
          <w:rFonts w:cs="Arial"/>
        </w:rPr>
        <w:t xml:space="preserve">,healthier options </w:t>
      </w:r>
      <w:r w:rsidR="009968A3">
        <w:rPr>
          <w:rFonts w:cs="Arial"/>
        </w:rPr>
        <w:t xml:space="preserve">beverages is an opportunity to gain market share </w:t>
      </w:r>
      <w:r w:rsidR="009968A3" w:rsidRPr="00F90FEB">
        <w:rPr>
          <w:rFonts w:cs="Arial"/>
          <w:szCs w:val="24"/>
        </w:rPr>
        <w:t>(AMR,2020).</w:t>
      </w:r>
    </w:p>
    <w:p w:rsidR="009968A3" w:rsidRDefault="009968A3" w:rsidP="009968A3">
      <w:pPr>
        <w:rPr>
          <w:rFonts w:cs="Arial"/>
        </w:rPr>
      </w:pPr>
      <w:r>
        <w:rPr>
          <w:rFonts w:cs="Arial"/>
        </w:rPr>
        <w:t xml:space="preserve">Government legislation also varies regarding which ingredients are unhealthy or </w:t>
      </w:r>
      <w:r w:rsidR="00C27109">
        <w:rPr>
          <w:rFonts w:cs="Arial"/>
        </w:rPr>
        <w:t>harmful. This</w:t>
      </w:r>
      <w:r>
        <w:rPr>
          <w:rFonts w:cs="Arial"/>
        </w:rPr>
        <w:t xml:space="preserve"> variation is a threat to profits for two reasons: using standard ingredients may limit the countries </w:t>
      </w:r>
      <w:r w:rsidR="00C27109">
        <w:rPr>
          <w:rFonts w:cs="Arial"/>
        </w:rPr>
        <w:t>where</w:t>
      </w:r>
      <w:r>
        <w:rPr>
          <w:rFonts w:cs="Arial"/>
        </w:rPr>
        <w:t xml:space="preserve"> specific beverages can be sold</w:t>
      </w:r>
      <w:r w:rsidR="00C27109">
        <w:rPr>
          <w:rFonts w:cs="Arial"/>
        </w:rPr>
        <w:t>,</w:t>
      </w:r>
      <w:r>
        <w:rPr>
          <w:rFonts w:cs="Arial"/>
        </w:rPr>
        <w:t xml:space="preserve"> and changing ingredients to comply with each countr</w:t>
      </w:r>
      <w:r w:rsidR="00C27109">
        <w:rPr>
          <w:rFonts w:cs="Arial"/>
        </w:rPr>
        <w:t>y</w:t>
      </w:r>
      <w:r>
        <w:rPr>
          <w:rFonts w:cs="Arial"/>
        </w:rPr>
        <w:t xml:space="preserve"> raises costs. </w:t>
      </w:r>
      <w:r w:rsidR="00C27109">
        <w:rPr>
          <w:rFonts w:cs="Arial"/>
        </w:rPr>
        <w:t>Lo</w:t>
      </w:r>
      <w:r>
        <w:rPr>
          <w:rFonts w:cs="Arial"/>
        </w:rPr>
        <w:t>ss of reputation if the manufacturer is fined for adding banned ingredients</w:t>
      </w:r>
      <w:r w:rsidR="00C27109">
        <w:rPr>
          <w:rFonts w:cs="Arial"/>
        </w:rPr>
        <w:t xml:space="preserve"> is another threat</w:t>
      </w:r>
      <w:r>
        <w:rPr>
          <w:rFonts w:cs="Arial"/>
        </w:rPr>
        <w:t xml:space="preserve">. However, companies can label the packaging carefully and accurately, which is an opportunity to gain consumer confidence and government approval </w:t>
      </w:r>
      <w:r w:rsidRPr="00F90FEB">
        <w:rPr>
          <w:rFonts w:cs="Arial"/>
          <w:szCs w:val="24"/>
        </w:rPr>
        <w:t>(Prvast and Kusar,2020;TMR,2020).</w:t>
      </w:r>
    </w:p>
    <w:p w:rsidR="009968A3" w:rsidRPr="0085536F" w:rsidRDefault="009968A3" w:rsidP="00F329EB">
      <w:pPr>
        <w:rPr>
          <w:b/>
        </w:rPr>
      </w:pPr>
      <w:bookmarkStart w:id="9" w:name="_Toc35366215"/>
      <w:bookmarkStart w:id="10" w:name="_Toc50649036"/>
      <w:r w:rsidRPr="0085536F">
        <w:rPr>
          <w:b/>
        </w:rPr>
        <w:t>Economic</w:t>
      </w:r>
      <w:bookmarkEnd w:id="9"/>
      <w:bookmarkEnd w:id="10"/>
    </w:p>
    <w:p w:rsidR="009968A3" w:rsidRPr="001B1C97" w:rsidRDefault="009968A3" w:rsidP="009968A3">
      <w:pPr>
        <w:rPr>
          <w:rFonts w:cs="Arial"/>
          <w:shd w:val="clear" w:color="auto" w:fill="FFFFFF"/>
        </w:rPr>
      </w:pPr>
      <w:r w:rsidRPr="001B1C97">
        <w:rPr>
          <w:rFonts w:cs="Arial"/>
        </w:rPr>
        <w:t>The most recent economic threat is the Coronavirus pandemic, but Fortune Insights (FI,2020) suggest that producers o</w:t>
      </w:r>
      <w:r w:rsidR="00D23915">
        <w:rPr>
          <w:rFonts w:cs="Arial"/>
        </w:rPr>
        <w:t>f</w:t>
      </w:r>
      <w:r w:rsidRPr="001B1C97">
        <w:rPr>
          <w:rFonts w:cs="Arial"/>
        </w:rPr>
        <w:t xml:space="preserve"> non-alcoholic beverage</w:t>
      </w:r>
      <w:r w:rsidR="00D23915">
        <w:rPr>
          <w:rFonts w:cs="Arial"/>
        </w:rPr>
        <w:t>s</w:t>
      </w:r>
      <w:r w:rsidRPr="001B1C97">
        <w:rPr>
          <w:rFonts w:cs="Arial"/>
        </w:rPr>
        <w:t xml:space="preserve"> are likely to experience a significant opportunity to increase </w:t>
      </w:r>
      <w:r w:rsidR="00D23915">
        <w:rPr>
          <w:rFonts w:cs="Arial"/>
        </w:rPr>
        <w:t>growth at a rate higher</w:t>
      </w:r>
      <w:r w:rsidRPr="001B1C97">
        <w:rPr>
          <w:rFonts w:cs="Arial"/>
        </w:rPr>
        <w:t xml:space="preserve"> than forecast</w:t>
      </w:r>
      <w:r w:rsidR="003801D4">
        <w:rPr>
          <w:rFonts w:cs="Arial"/>
        </w:rPr>
        <w:t>,</w:t>
      </w:r>
      <w:r w:rsidRPr="001B1C97">
        <w:rPr>
          <w:rFonts w:cs="Arial"/>
        </w:rPr>
        <w:t xml:space="preserve"> owing to the increased consumer concern for fitness and health. An average annual increase</w:t>
      </w:r>
      <w:r w:rsidR="00D23915">
        <w:rPr>
          <w:rFonts w:cs="Arial"/>
        </w:rPr>
        <w:t xml:space="preserve"> in sales</w:t>
      </w:r>
      <w:r w:rsidRPr="001B1C97">
        <w:rPr>
          <w:rFonts w:cs="Arial"/>
        </w:rPr>
        <w:t xml:space="preserve"> of 8.2% is forecast until 2027, when the market </w:t>
      </w:r>
      <w:r w:rsidR="00D23915">
        <w:rPr>
          <w:rFonts w:cs="Arial"/>
        </w:rPr>
        <w:t>value will reach</w:t>
      </w:r>
      <w:r w:rsidRPr="001B1C97">
        <w:rPr>
          <w:rFonts w:cs="Arial"/>
          <w:shd w:val="clear" w:color="auto" w:fill="FFFFFF"/>
        </w:rPr>
        <w:t>$US1,257.77 billion (FI,2020) compared with 4.7%</w:t>
      </w:r>
      <w:r w:rsidR="00D23915">
        <w:rPr>
          <w:rFonts w:cs="Arial"/>
          <w:shd w:val="clear" w:color="auto" w:fill="FFFFFF"/>
        </w:rPr>
        <w:t xml:space="preserve"> growth previously suggested</w:t>
      </w:r>
      <w:r w:rsidRPr="001B1C97">
        <w:rPr>
          <w:rFonts w:cs="Arial"/>
          <w:shd w:val="clear" w:color="auto" w:fill="FFFFFF"/>
        </w:rPr>
        <w:t xml:space="preserve"> (AMR,2020). However, a potentially serious threat is volatility in raw material</w:t>
      </w:r>
      <w:r w:rsidR="00A50322">
        <w:rPr>
          <w:rFonts w:cs="Arial"/>
          <w:shd w:val="clear" w:color="auto" w:fill="FFFFFF"/>
        </w:rPr>
        <w:t xml:space="preserve"> prices</w:t>
      </w:r>
      <w:r w:rsidRPr="001B1C97">
        <w:rPr>
          <w:rFonts w:cs="Arial"/>
          <w:shd w:val="clear" w:color="auto" w:fill="FFFFFF"/>
        </w:rPr>
        <w:t xml:space="preserve"> for several years (FI,2020), particularly seasonal fruits. Euromonitor (2020) reports that production and distribution networks have been impacted by the pandemic, some </w:t>
      </w:r>
      <w:r w:rsidRPr="001B1C97">
        <w:rPr>
          <w:rFonts w:cs="Arial"/>
          <w:shd w:val="clear" w:color="auto" w:fill="FFFFFF"/>
        </w:rPr>
        <w:lastRenderedPageBreak/>
        <w:t>firms experiencing temporary closures and others remaining cautious of employee and customer safety; uncertainty of supply being a potential threat to revenues</w:t>
      </w:r>
      <w:r w:rsidR="00A50322">
        <w:rPr>
          <w:rFonts w:cs="Arial"/>
          <w:shd w:val="clear" w:color="auto" w:fill="FFFFFF"/>
        </w:rPr>
        <w:t>/</w:t>
      </w:r>
      <w:r w:rsidRPr="001B1C97">
        <w:rPr>
          <w:rFonts w:cs="Arial"/>
          <w:shd w:val="clear" w:color="auto" w:fill="FFFFFF"/>
        </w:rPr>
        <w:t>profits. Whilst customers stockpiled beverages during the pandemic, continuing closures of restaurants and bars are also a serious threat  to revenues.</w:t>
      </w:r>
    </w:p>
    <w:p w:rsidR="009968A3" w:rsidRPr="0085536F" w:rsidRDefault="009968A3" w:rsidP="007B0D99">
      <w:pPr>
        <w:pStyle w:val="Heading3"/>
        <w:rPr>
          <w:b/>
        </w:rPr>
      </w:pPr>
      <w:bookmarkStart w:id="11" w:name="_Toc35366216"/>
      <w:bookmarkStart w:id="12" w:name="_Toc50649037"/>
      <w:r w:rsidRPr="0085536F">
        <w:rPr>
          <w:b/>
        </w:rPr>
        <w:t>Social</w:t>
      </w:r>
      <w:bookmarkEnd w:id="11"/>
      <w:bookmarkEnd w:id="12"/>
    </w:p>
    <w:p w:rsidR="009968A3" w:rsidRPr="002977DD" w:rsidRDefault="009968A3" w:rsidP="009968A3">
      <w:pPr>
        <w:rPr>
          <w:rFonts w:eastAsia="Times New Roman" w:cs="Arial"/>
          <w:szCs w:val="24"/>
          <w:lang w:eastAsia="en-GB"/>
        </w:rPr>
      </w:pPr>
      <w:r w:rsidRPr="007B0D99">
        <w:rPr>
          <w:rFonts w:cs="Arial"/>
          <w:shd w:val="clear" w:color="auto" w:fill="FFFFFF"/>
        </w:rPr>
        <w:t xml:space="preserve">In addition </w:t>
      </w:r>
      <w:r w:rsidR="004B66F8">
        <w:rPr>
          <w:rFonts w:cs="Arial"/>
          <w:shd w:val="clear" w:color="auto" w:fill="FFFFFF"/>
        </w:rPr>
        <w:t>to</w:t>
      </w:r>
      <w:r w:rsidRPr="007B0D99">
        <w:rPr>
          <w:rFonts w:cs="Arial"/>
          <w:shd w:val="clear" w:color="auto" w:fill="FFFFFF"/>
        </w:rPr>
        <w:t xml:space="preserve"> continually increasing concern about health, the non-alcoholic beverage industry will benefit from consumer interest in innovative flavours forecast to increase volumes consumed (FI,2020). This trend </w:t>
      </w:r>
      <w:r w:rsidR="004B66F8">
        <w:rPr>
          <w:rFonts w:cs="Arial"/>
          <w:shd w:val="clear" w:color="auto" w:fill="FFFFFF"/>
        </w:rPr>
        <w:t>was</w:t>
      </w:r>
      <w:r w:rsidRPr="007B0D99">
        <w:rPr>
          <w:rFonts w:cs="Arial"/>
          <w:shd w:val="clear" w:color="auto" w:fill="FFFFFF"/>
        </w:rPr>
        <w:t xml:space="preserve"> evident in </w:t>
      </w:r>
      <w:r>
        <w:rPr>
          <w:rFonts w:cs="Arial"/>
          <w:color w:val="535D60"/>
          <w:shd w:val="clear" w:color="auto" w:fill="FFFFFF"/>
        </w:rPr>
        <w:t>the</w:t>
      </w:r>
      <w:r w:rsidRPr="00F90FEB">
        <w:rPr>
          <w:rFonts w:cs="Arial"/>
          <w:szCs w:val="24"/>
        </w:rPr>
        <w:t>16 to 24 year</w:t>
      </w:r>
      <w:r w:rsidR="004B66F8">
        <w:rPr>
          <w:rFonts w:cs="Arial"/>
          <w:szCs w:val="24"/>
        </w:rPr>
        <w:t>s</w:t>
      </w:r>
      <w:r>
        <w:rPr>
          <w:rFonts w:cs="Arial"/>
          <w:szCs w:val="24"/>
        </w:rPr>
        <w:t>and</w:t>
      </w:r>
      <w:r w:rsidRPr="00F90FEB">
        <w:rPr>
          <w:rFonts w:cs="Arial"/>
          <w:szCs w:val="24"/>
        </w:rPr>
        <w:t xml:space="preserve"> Millennial</w:t>
      </w:r>
      <w:r>
        <w:rPr>
          <w:rFonts w:cs="Arial"/>
          <w:szCs w:val="24"/>
        </w:rPr>
        <w:t>age group</w:t>
      </w:r>
      <w:r w:rsidR="004B66F8">
        <w:rPr>
          <w:rFonts w:cs="Arial"/>
          <w:szCs w:val="24"/>
        </w:rPr>
        <w:t>s</w:t>
      </w:r>
      <w:r>
        <w:rPr>
          <w:rFonts w:cs="Arial"/>
          <w:szCs w:val="24"/>
        </w:rPr>
        <w:t>, who favoured non-alcoholic beverages</w:t>
      </w:r>
      <w:r w:rsidR="004B66F8">
        <w:rPr>
          <w:rFonts w:cs="Arial"/>
          <w:szCs w:val="24"/>
        </w:rPr>
        <w:t xml:space="preserve">. It is </w:t>
      </w:r>
      <w:r>
        <w:rPr>
          <w:rFonts w:cs="Arial"/>
          <w:szCs w:val="24"/>
        </w:rPr>
        <w:t>a particular opportunity for</w:t>
      </w:r>
      <w:r w:rsidRPr="00F90FEB">
        <w:rPr>
          <w:rFonts w:cs="Arial"/>
          <w:szCs w:val="24"/>
        </w:rPr>
        <w:t xml:space="preserve"> manufacturers to</w:t>
      </w:r>
      <w:r>
        <w:rPr>
          <w:rFonts w:cs="Arial"/>
          <w:szCs w:val="24"/>
        </w:rPr>
        <w:t xml:space="preserve"> widen current customer segmentsand to gain market share by introducing new products regular</w:t>
      </w:r>
      <w:r w:rsidR="004B66F8">
        <w:rPr>
          <w:rFonts w:cs="Arial"/>
          <w:szCs w:val="24"/>
        </w:rPr>
        <w:t xml:space="preserve">ly </w:t>
      </w:r>
      <w:r w:rsidRPr="00F90FEB">
        <w:rPr>
          <w:rFonts w:cs="Arial"/>
          <w:szCs w:val="24"/>
        </w:rPr>
        <w:t>(Burrellon,2019</w:t>
      </w:r>
      <w:r w:rsidR="004B66F8">
        <w:rPr>
          <w:rFonts w:cs="Arial"/>
          <w:szCs w:val="24"/>
        </w:rPr>
        <w:t>;</w:t>
      </w:r>
      <w:r>
        <w:rPr>
          <w:rFonts w:cs="Arial"/>
          <w:szCs w:val="24"/>
        </w:rPr>
        <w:t>AMR,2020). The Coronavirus lockdown reinforced this</w:t>
      </w:r>
      <w:r w:rsidR="004B66F8">
        <w:rPr>
          <w:rFonts w:cs="Arial"/>
          <w:szCs w:val="24"/>
        </w:rPr>
        <w:t xml:space="preserve"> trend,</w:t>
      </w:r>
      <w:r>
        <w:rPr>
          <w:rFonts w:cs="Arial"/>
          <w:szCs w:val="24"/>
        </w:rPr>
        <w:t xml:space="preserve"> and new products such as non-alcoholic cocktails and grape infused water bec</w:t>
      </w:r>
      <w:r w:rsidR="004B66F8">
        <w:rPr>
          <w:rFonts w:cs="Arial"/>
          <w:szCs w:val="24"/>
        </w:rPr>
        <w:t>a</w:t>
      </w:r>
      <w:r>
        <w:rPr>
          <w:rFonts w:cs="Arial"/>
          <w:szCs w:val="24"/>
        </w:rPr>
        <w:t>me extremely popular</w:t>
      </w:r>
      <w:r w:rsidR="004B66F8">
        <w:rPr>
          <w:rFonts w:cs="Arial"/>
          <w:szCs w:val="24"/>
        </w:rPr>
        <w:t xml:space="preserve">, </w:t>
      </w:r>
      <w:r>
        <w:rPr>
          <w:rFonts w:cs="Arial"/>
          <w:szCs w:val="24"/>
        </w:rPr>
        <w:t>Food-Bev (2020) highligh</w:t>
      </w:r>
      <w:r w:rsidR="004B66F8">
        <w:rPr>
          <w:rFonts w:cs="Arial"/>
          <w:szCs w:val="24"/>
        </w:rPr>
        <w:t>ted</w:t>
      </w:r>
      <w:r>
        <w:rPr>
          <w:rFonts w:cs="Arial"/>
          <w:szCs w:val="24"/>
        </w:rPr>
        <w:t xml:space="preserve"> this as a substantial growth opportunity. Teas and coffees are also significant growth opportunities owing to their  high anti-oxidant levels (AMR,2020)</w:t>
      </w:r>
      <w:r w:rsidR="004B66F8">
        <w:rPr>
          <w:rFonts w:cs="Arial"/>
          <w:szCs w:val="24"/>
        </w:rPr>
        <w:t>,</w:t>
      </w:r>
      <w:r>
        <w:rPr>
          <w:rFonts w:cs="Arial"/>
          <w:szCs w:val="24"/>
        </w:rPr>
        <w:t xml:space="preserve"> and Mintel (2020) found that teas which improve mood by integrating natural ingredients, for instance valerian root</w:t>
      </w:r>
      <w:r w:rsidR="004B66F8">
        <w:rPr>
          <w:rFonts w:cs="Arial"/>
          <w:szCs w:val="24"/>
        </w:rPr>
        <w:t>,</w:t>
      </w:r>
      <w:r>
        <w:rPr>
          <w:rFonts w:cs="Arial"/>
          <w:szCs w:val="24"/>
        </w:rPr>
        <w:t xml:space="preserve"> were very popular. Exclusive coffee brands and premium mixers were popular and attracted premium prices and profits (Colberg, 2019).A range of other natural ingredients infused into non-alcoholic beverages were increasingly demanded as consumers linked health with environmental sustainability (Mintel</w:t>
      </w:r>
      <w:r w:rsidR="003801D4">
        <w:rPr>
          <w:rFonts w:cs="Arial"/>
          <w:szCs w:val="24"/>
        </w:rPr>
        <w:t>,</w:t>
      </w:r>
      <w:r>
        <w:rPr>
          <w:rFonts w:cs="Arial"/>
          <w:szCs w:val="24"/>
        </w:rPr>
        <w:t xml:space="preserve">2020).  </w:t>
      </w:r>
      <w:r w:rsidRPr="002977DD">
        <w:rPr>
          <w:rFonts w:cs="Arial"/>
          <w:szCs w:val="24"/>
          <w:shd w:val="clear" w:color="auto" w:fill="FFFFFF"/>
        </w:rPr>
        <w:t>Cannabidiol</w:t>
      </w:r>
      <w:r w:rsidR="004B66F8">
        <w:rPr>
          <w:rFonts w:cs="Arial"/>
          <w:szCs w:val="24"/>
          <w:shd w:val="clear" w:color="auto" w:fill="FFFFFF"/>
        </w:rPr>
        <w:t xml:space="preserve">, </w:t>
      </w:r>
      <w:r w:rsidRPr="002977DD">
        <w:rPr>
          <w:rFonts w:cs="Arial"/>
          <w:szCs w:val="24"/>
          <w:shd w:val="clear" w:color="auto" w:fill="FFFFFF"/>
        </w:rPr>
        <w:t>an active ingredient in cannabis</w:t>
      </w:r>
      <w:r w:rsidR="004B66F8">
        <w:rPr>
          <w:rFonts w:cs="Arial"/>
          <w:szCs w:val="24"/>
          <w:shd w:val="clear" w:color="auto" w:fill="FFFFFF"/>
        </w:rPr>
        <w:t>,</w:t>
      </w:r>
      <w:r w:rsidRPr="002977DD">
        <w:rPr>
          <w:rFonts w:cs="Arial"/>
          <w:szCs w:val="24"/>
          <w:shd w:val="clear" w:color="auto" w:fill="FFFFFF"/>
        </w:rPr>
        <w:t xml:space="preserve"> infused into beverages to reduce pain and stress is also increasingly demanded </w:t>
      </w:r>
      <w:r w:rsidRPr="002977DD">
        <w:rPr>
          <w:rFonts w:cs="Arial"/>
          <w:szCs w:val="24"/>
        </w:rPr>
        <w:t xml:space="preserve"> (Burrellon,2019).  </w:t>
      </w:r>
    </w:p>
    <w:p w:rsidR="009968A3" w:rsidRPr="00F90FEB" w:rsidRDefault="004B66F8" w:rsidP="009968A3">
      <w:pPr>
        <w:rPr>
          <w:rFonts w:cs="Arial"/>
          <w:szCs w:val="24"/>
        </w:rPr>
      </w:pPr>
      <w:r>
        <w:rPr>
          <w:rFonts w:cs="Arial"/>
          <w:szCs w:val="24"/>
        </w:rPr>
        <w:t>T</w:t>
      </w:r>
      <w:r w:rsidR="009968A3" w:rsidRPr="00F90FEB">
        <w:rPr>
          <w:rFonts w:cs="Arial"/>
          <w:szCs w:val="24"/>
        </w:rPr>
        <w:t xml:space="preserve">he online channel is </w:t>
      </w:r>
      <w:r w:rsidR="00845DCE">
        <w:rPr>
          <w:rFonts w:cs="Arial"/>
          <w:szCs w:val="24"/>
        </w:rPr>
        <w:t>gaining</w:t>
      </w:r>
      <w:r w:rsidR="009968A3" w:rsidRPr="00F90FEB">
        <w:rPr>
          <w:rFonts w:cs="Arial"/>
          <w:szCs w:val="24"/>
        </w:rPr>
        <w:t xml:space="preserve"> popular</w:t>
      </w:r>
      <w:r w:rsidR="00845DCE">
        <w:rPr>
          <w:rFonts w:cs="Arial"/>
          <w:szCs w:val="24"/>
        </w:rPr>
        <w:t>ity</w:t>
      </w:r>
      <w:r w:rsidR="009968A3" w:rsidRPr="00F90FEB">
        <w:rPr>
          <w:rFonts w:cs="Arial"/>
          <w:szCs w:val="24"/>
        </w:rPr>
        <w:t xml:space="preserve"> f</w:t>
      </w:r>
      <w:r w:rsidR="00845DCE">
        <w:rPr>
          <w:rFonts w:cs="Arial"/>
          <w:szCs w:val="24"/>
        </w:rPr>
        <w:t>or</w:t>
      </w:r>
      <w:r w:rsidR="009968A3" w:rsidRPr="00F90FEB">
        <w:rPr>
          <w:rFonts w:cs="Arial"/>
          <w:szCs w:val="24"/>
        </w:rPr>
        <w:t xml:space="preserve"> purchas</w:t>
      </w:r>
      <w:r w:rsidR="00845DCE">
        <w:rPr>
          <w:rFonts w:cs="Arial"/>
          <w:szCs w:val="24"/>
        </w:rPr>
        <w:t>ing</w:t>
      </w:r>
      <w:r w:rsidR="009968A3" w:rsidRPr="00F90FEB">
        <w:rPr>
          <w:rFonts w:cs="Arial"/>
          <w:szCs w:val="24"/>
        </w:rPr>
        <w:t xml:space="preserve"> non-alcoholic beverages, and subscription boxes (Colbert,2019)</w:t>
      </w:r>
      <w:r w:rsidR="00845DCE">
        <w:rPr>
          <w:rFonts w:cs="Arial"/>
          <w:szCs w:val="24"/>
        </w:rPr>
        <w:t xml:space="preserve">; these direct sales are an </w:t>
      </w:r>
      <w:r w:rsidR="009968A3" w:rsidRPr="00F90FEB">
        <w:rPr>
          <w:rFonts w:cs="Arial"/>
          <w:szCs w:val="24"/>
        </w:rPr>
        <w:t xml:space="preserve">additional sales </w:t>
      </w:r>
      <w:r w:rsidR="00845DCE">
        <w:rPr>
          <w:rFonts w:cs="Arial"/>
          <w:szCs w:val="24"/>
        </w:rPr>
        <w:t xml:space="preserve">opportunity for </w:t>
      </w:r>
      <w:r w:rsidR="009968A3" w:rsidRPr="00F90FEB">
        <w:rPr>
          <w:rFonts w:cs="Arial"/>
          <w:szCs w:val="24"/>
        </w:rPr>
        <w:t>manufacturer</w:t>
      </w:r>
      <w:r w:rsidR="00845DCE">
        <w:rPr>
          <w:rFonts w:cs="Arial"/>
          <w:szCs w:val="24"/>
        </w:rPr>
        <w:t>s and enhance</w:t>
      </w:r>
      <w:r w:rsidR="009968A3" w:rsidRPr="00F90FEB">
        <w:rPr>
          <w:rFonts w:cs="Arial"/>
          <w:szCs w:val="24"/>
        </w:rPr>
        <w:t xml:space="preserve"> consumer </w:t>
      </w:r>
      <w:r w:rsidR="00845DCE">
        <w:rPr>
          <w:rFonts w:cs="Arial"/>
          <w:szCs w:val="24"/>
        </w:rPr>
        <w:t>value/loyalty</w:t>
      </w:r>
      <w:r w:rsidR="009968A3" w:rsidRPr="00F90FEB">
        <w:rPr>
          <w:rFonts w:cs="Arial"/>
          <w:szCs w:val="24"/>
        </w:rPr>
        <w:t>.</w:t>
      </w:r>
    </w:p>
    <w:p w:rsidR="009968A3" w:rsidRPr="0085536F" w:rsidRDefault="009968A3" w:rsidP="007B0D99">
      <w:pPr>
        <w:pStyle w:val="Heading3"/>
        <w:rPr>
          <w:b/>
        </w:rPr>
      </w:pPr>
      <w:bookmarkStart w:id="13" w:name="_Toc35366217"/>
      <w:bookmarkStart w:id="14" w:name="_Toc50649038"/>
      <w:r w:rsidRPr="0085536F">
        <w:rPr>
          <w:b/>
        </w:rPr>
        <w:t>Technological</w:t>
      </w:r>
      <w:bookmarkEnd w:id="13"/>
      <w:bookmarkEnd w:id="14"/>
    </w:p>
    <w:p w:rsidR="009968A3" w:rsidRPr="00F90FEB" w:rsidRDefault="009968A3" w:rsidP="009968A3">
      <w:pPr>
        <w:pStyle w:val="NormalWeb"/>
        <w:shd w:val="clear" w:color="auto" w:fill="FFFFFF"/>
        <w:spacing w:line="360" w:lineRule="auto"/>
        <w:jc w:val="both"/>
        <w:rPr>
          <w:rFonts w:ascii="Arial" w:hAnsi="Arial" w:cs="Arial"/>
        </w:rPr>
      </w:pPr>
      <w:r w:rsidRPr="00E85FC7">
        <w:rPr>
          <w:rFonts w:ascii="Arial" w:hAnsi="Arial" w:cs="Arial"/>
        </w:rPr>
        <w:t>Advances in technology, particularly e-commerce platform development and leaner manufacturing techniques, are an opportunity for non-alcoholic beverage firms to obtain significant market growth</w:t>
      </w:r>
      <w:r>
        <w:rPr>
          <w:rFonts w:ascii="Arial" w:hAnsi="Arial" w:cs="Arial"/>
        </w:rPr>
        <w:t>, including more online sales</w:t>
      </w:r>
      <w:r w:rsidRPr="00E85FC7">
        <w:rPr>
          <w:rFonts w:ascii="Arial" w:hAnsi="Arial" w:cs="Arial"/>
        </w:rPr>
        <w:t xml:space="preserve"> (FI,2020</w:t>
      </w:r>
      <w:r>
        <w:rPr>
          <w:rFonts w:ascii="Arial" w:hAnsi="Arial" w:cs="Arial"/>
        </w:rPr>
        <w:t>;Colber</w:t>
      </w:r>
      <w:r w:rsidR="008C0044">
        <w:rPr>
          <w:rFonts w:ascii="Arial" w:hAnsi="Arial" w:cs="Arial"/>
        </w:rPr>
        <w:t>t</w:t>
      </w:r>
      <w:r>
        <w:rPr>
          <w:rFonts w:ascii="Arial" w:hAnsi="Arial" w:cs="Arial"/>
        </w:rPr>
        <w:t>,2019</w:t>
      </w:r>
      <w:r w:rsidRPr="00E85FC7">
        <w:rPr>
          <w:rFonts w:ascii="Arial" w:hAnsi="Arial" w:cs="Arial"/>
        </w:rPr>
        <w:t>).</w:t>
      </w:r>
      <w:r>
        <w:rPr>
          <w:rFonts w:ascii="Arial" w:hAnsi="Arial" w:cs="Arial"/>
        </w:rPr>
        <w:t xml:space="preserve"> They will also facilitate new </w:t>
      </w:r>
      <w:r w:rsidRPr="008C0044">
        <w:rPr>
          <w:rFonts w:ascii="Arial" w:hAnsi="Arial" w:cs="Arial"/>
        </w:rPr>
        <w:t xml:space="preserve">packaging initiatives </w:t>
      </w:r>
      <w:r w:rsidR="008C0044" w:rsidRPr="008C0044">
        <w:rPr>
          <w:rFonts w:ascii="Arial" w:hAnsi="Arial" w:cs="Arial"/>
        </w:rPr>
        <w:t>to</w:t>
      </w:r>
      <w:r w:rsidRPr="008C0044">
        <w:rPr>
          <w:rFonts w:ascii="Arial" w:hAnsi="Arial" w:cs="Arial"/>
        </w:rPr>
        <w:t xml:space="preserve"> improve environmental sustainability and </w:t>
      </w:r>
      <w:r w:rsidR="008C0044" w:rsidRPr="008C0044">
        <w:rPr>
          <w:rFonts w:ascii="Arial" w:hAnsi="Arial" w:cs="Arial"/>
        </w:rPr>
        <w:t>enhance</w:t>
      </w:r>
      <w:r w:rsidRPr="008C0044">
        <w:rPr>
          <w:rFonts w:ascii="Arial" w:hAnsi="Arial" w:cs="Arial"/>
        </w:rPr>
        <w:t xml:space="preserve"> consumer loyalty (Ardnt,2019). The advances in data </w:t>
      </w:r>
      <w:r w:rsidRPr="008C0044">
        <w:rPr>
          <w:rFonts w:ascii="Arial" w:hAnsi="Arial" w:cs="Arial"/>
        </w:rPr>
        <w:lastRenderedPageBreak/>
        <w:t>gathering and analysis are an opportunity for high customisation of</w:t>
      </w:r>
      <w:r>
        <w:rPr>
          <w:rFonts w:ascii="Arial" w:hAnsi="Arial" w:cs="Arial"/>
        </w:rPr>
        <w:t xml:space="preserve"> products aimed at enhancing mental, </w:t>
      </w:r>
      <w:r w:rsidRPr="00F90FEB">
        <w:rPr>
          <w:rFonts w:ascii="Arial" w:hAnsi="Arial" w:cs="Arial"/>
        </w:rPr>
        <w:t>physical and emotional</w:t>
      </w:r>
      <w:r>
        <w:rPr>
          <w:rFonts w:ascii="Arial" w:hAnsi="Arial" w:cs="Arial"/>
        </w:rPr>
        <w:t xml:space="preserve"> health </w:t>
      </w:r>
      <w:r w:rsidRPr="00F90FEB">
        <w:rPr>
          <w:rFonts w:ascii="Arial" w:hAnsi="Arial" w:cs="Arial"/>
        </w:rPr>
        <w:t xml:space="preserve">(Mintel,2020). </w:t>
      </w:r>
    </w:p>
    <w:p w:rsidR="009968A3" w:rsidRPr="0085536F" w:rsidRDefault="009968A3" w:rsidP="007B0D99">
      <w:pPr>
        <w:pStyle w:val="Heading3"/>
        <w:rPr>
          <w:b/>
        </w:rPr>
      </w:pPr>
      <w:bookmarkStart w:id="15" w:name="_Toc35366218"/>
      <w:bookmarkStart w:id="16" w:name="_Toc50649039"/>
      <w:r w:rsidRPr="0085536F">
        <w:rPr>
          <w:b/>
        </w:rPr>
        <w:t>Ethical/Environmental</w:t>
      </w:r>
      <w:bookmarkEnd w:id="15"/>
      <w:bookmarkEnd w:id="16"/>
    </w:p>
    <w:p w:rsidR="009968A3" w:rsidRDefault="009968A3" w:rsidP="009968A3">
      <w:pPr>
        <w:rPr>
          <w:rFonts w:cs="Arial"/>
          <w:szCs w:val="24"/>
        </w:rPr>
      </w:pPr>
      <w:r>
        <w:t>Packaging is a major concern</w:t>
      </w:r>
      <w:r w:rsidR="008C0044">
        <w:t>,</w:t>
      </w:r>
      <w:r>
        <w:t xml:space="preserve"> particularly single</w:t>
      </w:r>
      <w:r w:rsidR="008C0044">
        <w:t>-</w:t>
      </w:r>
      <w:r>
        <w:t xml:space="preserve">use plastic and its effect on ecosystems such as oceans </w:t>
      </w:r>
      <w:r w:rsidRPr="00F90FEB">
        <w:rPr>
          <w:rFonts w:cs="Arial"/>
          <w:szCs w:val="24"/>
        </w:rPr>
        <w:t>(Ardnt,2019)</w:t>
      </w:r>
      <w:r>
        <w:rPr>
          <w:rFonts w:cs="Arial"/>
          <w:szCs w:val="24"/>
        </w:rPr>
        <w:t>. The threat is that consumers will reject companies</w:t>
      </w:r>
      <w:r w:rsidR="008C0044">
        <w:rPr>
          <w:rFonts w:cs="Arial"/>
          <w:szCs w:val="24"/>
        </w:rPr>
        <w:t>, which</w:t>
      </w:r>
      <w:r>
        <w:rPr>
          <w:rFonts w:cs="Arial"/>
          <w:szCs w:val="24"/>
        </w:rPr>
        <w:t xml:space="preserve"> fail to use ecologically friendly packaging</w:t>
      </w:r>
      <w:r w:rsidR="008C0044">
        <w:rPr>
          <w:rFonts w:cs="Arial"/>
          <w:szCs w:val="24"/>
        </w:rPr>
        <w:t>,</w:t>
      </w:r>
      <w:r>
        <w:rPr>
          <w:rFonts w:cs="Arial"/>
          <w:szCs w:val="24"/>
        </w:rPr>
        <w:t xml:space="preserve"> leading to decline in sales, whilst use of aluminium cans and paper boxes are approved. The consumer expects firms to continuously increase sustainability </w:t>
      </w:r>
      <w:r w:rsidR="008C0044">
        <w:rPr>
          <w:rFonts w:cs="Arial"/>
          <w:szCs w:val="24"/>
        </w:rPr>
        <w:t>throughout</w:t>
      </w:r>
      <w:r>
        <w:rPr>
          <w:rFonts w:cs="Arial"/>
          <w:szCs w:val="24"/>
        </w:rPr>
        <w:t xml:space="preserve"> the supply chain so that every activity is traceable. Laboratory grown synthetic ingredients are also being developed. All potential opportunities for competitive advantage  (Mintel,2020).</w:t>
      </w:r>
    </w:p>
    <w:p w:rsidR="00F178DC" w:rsidRDefault="007B0D99" w:rsidP="007B0D99">
      <w:pPr>
        <w:pStyle w:val="Heading2"/>
      </w:pPr>
      <w:bookmarkStart w:id="17" w:name="_Toc50649040"/>
      <w:r>
        <w:t>Five Forces Analysis</w:t>
      </w:r>
      <w:bookmarkEnd w:id="17"/>
    </w:p>
    <w:p w:rsidR="00F178DC" w:rsidRDefault="008C0044" w:rsidP="00601222">
      <w:r>
        <w:t>This model indicates</w:t>
      </w:r>
      <w:r w:rsidR="007B0D99">
        <w:t xml:space="preserve"> how the company can optimise profitability by assessing how the five forcesimpact on costs and revenues</w:t>
      </w:r>
      <w:r>
        <w:t>, figure 1</w:t>
      </w:r>
      <w:r w:rsidR="007B0D99">
        <w:t>.</w:t>
      </w:r>
    </w:p>
    <w:p w:rsidR="00F178DC" w:rsidRPr="00F178DC" w:rsidRDefault="00F178DC" w:rsidP="00F178DC">
      <w:pPr>
        <w:jc w:val="center"/>
        <w:rPr>
          <w:b/>
          <w:bCs/>
        </w:rPr>
      </w:pPr>
      <w:r w:rsidRPr="00F178DC">
        <w:rPr>
          <w:b/>
          <w:bCs/>
        </w:rPr>
        <w:t xml:space="preserve">Figure </w:t>
      </w:r>
      <w:r w:rsidR="008C0044">
        <w:rPr>
          <w:b/>
          <w:bCs/>
        </w:rPr>
        <w:t>1</w:t>
      </w:r>
      <w:r w:rsidRPr="00F178DC">
        <w:rPr>
          <w:b/>
          <w:bCs/>
        </w:rPr>
        <w:t>: Five Forces Model</w:t>
      </w:r>
    </w:p>
    <w:p w:rsidR="00F178DC" w:rsidRDefault="00F178DC" w:rsidP="00D72688">
      <w:pPr>
        <w:jc w:val="center"/>
      </w:pPr>
      <w:r>
        <w:rPr>
          <w:noProof/>
          <w:lang w:eastAsia="en-GB"/>
        </w:rPr>
        <w:drawing>
          <wp:inline distT="0" distB="0" distL="0" distR="0">
            <wp:extent cx="3392431" cy="2350013"/>
            <wp:effectExtent l="0" t="0" r="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ortersfive forces.pn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392431" cy="2350013"/>
                    </a:xfrm>
                    <a:prstGeom prst="rect">
                      <a:avLst/>
                    </a:prstGeom>
                  </pic:spPr>
                </pic:pic>
              </a:graphicData>
            </a:graphic>
          </wp:inline>
        </w:drawing>
      </w:r>
    </w:p>
    <w:p w:rsidR="007B0D99" w:rsidRDefault="00F178DC" w:rsidP="007B0D99">
      <w:pPr>
        <w:jc w:val="right"/>
      </w:pPr>
      <w:r>
        <w:t>Source: Porter (2008,p.4)</w:t>
      </w:r>
    </w:p>
    <w:p w:rsidR="007B0D99" w:rsidRDefault="007B0D99" w:rsidP="007B0D99">
      <w:pPr>
        <w:rPr>
          <w:rFonts w:cs="Arial"/>
          <w:szCs w:val="24"/>
        </w:rPr>
      </w:pPr>
      <w:r>
        <w:rPr>
          <w:rFonts w:cs="Arial"/>
          <w:szCs w:val="24"/>
        </w:rPr>
        <w:t>Industry competition is represented by the market share of the top ten non-alcoholic brands, demonstra</w:t>
      </w:r>
      <w:r w:rsidR="008C0044">
        <w:rPr>
          <w:rFonts w:cs="Arial"/>
          <w:szCs w:val="24"/>
        </w:rPr>
        <w:t>tes</w:t>
      </w:r>
      <w:r>
        <w:rPr>
          <w:rFonts w:cs="Arial"/>
          <w:szCs w:val="24"/>
        </w:rPr>
        <w:t xml:space="preserve"> high market competition and Coca-Cola</w:t>
      </w:r>
      <w:r w:rsidR="008C0044">
        <w:rPr>
          <w:rFonts w:cs="Arial"/>
          <w:szCs w:val="24"/>
        </w:rPr>
        <w:t xml:space="preserve">’ssector </w:t>
      </w:r>
      <w:r>
        <w:rPr>
          <w:rFonts w:cs="Arial"/>
          <w:szCs w:val="24"/>
        </w:rPr>
        <w:t>dominati</w:t>
      </w:r>
      <w:r w:rsidR="008C0044">
        <w:rPr>
          <w:rFonts w:cs="Arial"/>
          <w:szCs w:val="24"/>
        </w:rPr>
        <w:t>on</w:t>
      </w:r>
      <w:r w:rsidR="00A7132B">
        <w:rPr>
          <w:rFonts w:cs="Arial"/>
          <w:szCs w:val="24"/>
        </w:rPr>
        <w:t>.</w:t>
      </w:r>
    </w:p>
    <w:p w:rsidR="00AD76AB" w:rsidRDefault="00AD76AB" w:rsidP="007B0D99">
      <w:pPr>
        <w:rPr>
          <w:rFonts w:cs="Arial"/>
          <w:szCs w:val="24"/>
        </w:rPr>
      </w:pPr>
    </w:p>
    <w:p w:rsidR="00AD76AB" w:rsidRDefault="00AD76AB" w:rsidP="007B0D99">
      <w:pPr>
        <w:rPr>
          <w:rFonts w:cs="Arial"/>
          <w:szCs w:val="24"/>
        </w:rPr>
      </w:pPr>
    </w:p>
    <w:p w:rsidR="00AD76AB" w:rsidRDefault="00AD76AB" w:rsidP="007B0D99">
      <w:pPr>
        <w:rPr>
          <w:rFonts w:cs="Arial"/>
          <w:szCs w:val="24"/>
        </w:rPr>
      </w:pPr>
    </w:p>
    <w:p w:rsidR="00AD76AB" w:rsidRDefault="00AD76AB" w:rsidP="007B0D99">
      <w:pPr>
        <w:rPr>
          <w:rFonts w:cs="Arial"/>
          <w:szCs w:val="24"/>
        </w:rPr>
      </w:pPr>
    </w:p>
    <w:p w:rsidR="00AD76AB" w:rsidRDefault="00AD76AB" w:rsidP="007B0D99">
      <w:pPr>
        <w:rPr>
          <w:rFonts w:cs="Arial"/>
          <w:szCs w:val="24"/>
        </w:rPr>
      </w:pPr>
    </w:p>
    <w:p w:rsidR="007B0D99" w:rsidRPr="007B0D99" w:rsidRDefault="007B0D99" w:rsidP="007B0D99">
      <w:pPr>
        <w:spacing w:after="75" w:line="240" w:lineRule="auto"/>
        <w:jc w:val="center"/>
        <w:rPr>
          <w:rFonts w:eastAsia="Times New Roman" w:cs="Arial"/>
          <w:b/>
          <w:bCs/>
          <w:szCs w:val="24"/>
          <w:lang w:eastAsia="en-GB"/>
        </w:rPr>
      </w:pPr>
      <w:r w:rsidRPr="007B0D99">
        <w:rPr>
          <w:rFonts w:eastAsia="Times New Roman" w:cs="Arial"/>
          <w:b/>
          <w:bCs/>
          <w:szCs w:val="24"/>
          <w:lang w:eastAsia="en-GB"/>
        </w:rPr>
        <w:t>Table 1:  Non-Alcoholic Beverage Market Share 2013-2017</w:t>
      </w:r>
    </w:p>
    <w:p w:rsidR="007B0D99" w:rsidRDefault="007B0D99" w:rsidP="007B0D99">
      <w:pPr>
        <w:spacing w:after="75" w:line="240" w:lineRule="auto"/>
        <w:jc w:val="center"/>
        <w:rPr>
          <w:rFonts w:eastAsia="Times New Roman" w:cs="Arial"/>
          <w:b/>
          <w:bCs/>
          <w:color w:val="696969"/>
          <w:szCs w:val="24"/>
          <w:lang w:eastAsia="en-GB"/>
        </w:rPr>
      </w:pPr>
      <w:r w:rsidRPr="007B0D99">
        <w:rPr>
          <w:rFonts w:eastAsia="Times New Roman" w:cs="Arial"/>
          <w:b/>
          <w:bCs/>
          <w:noProof/>
          <w:color w:val="696969"/>
          <w:szCs w:val="24"/>
          <w:lang w:eastAsia="en-GB"/>
        </w:rPr>
        <w:drawing>
          <wp:inline distT="0" distB="0" distL="0" distR="0">
            <wp:extent cx="5238698" cy="3211373"/>
            <wp:effectExtent l="0" t="0" r="63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7670" t="14475" r="28864" b="16918"/>
                    <a:stretch/>
                  </pic:blipFill>
                  <pic:spPr bwMode="auto">
                    <a:xfrm>
                      <a:off x="0" y="0"/>
                      <a:ext cx="5310213" cy="3255212"/>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7B0D99" w:rsidRPr="00E47B8D" w:rsidRDefault="007B0D99" w:rsidP="007B0D99">
      <w:pPr>
        <w:spacing w:before="100" w:beforeAutospacing="1" w:after="100" w:afterAutospacing="1" w:line="240" w:lineRule="auto"/>
        <w:ind w:left="3600" w:firstLine="720"/>
        <w:jc w:val="right"/>
        <w:rPr>
          <w:rFonts w:eastAsia="Times New Roman" w:cs="Arial"/>
          <w:szCs w:val="24"/>
          <w:lang w:eastAsia="en-GB"/>
        </w:rPr>
      </w:pPr>
      <w:r w:rsidRPr="00E47B8D">
        <w:rPr>
          <w:rFonts w:eastAsia="Times New Roman" w:cs="Arial"/>
          <w:szCs w:val="24"/>
          <w:lang w:eastAsia="en-GB"/>
        </w:rPr>
        <w:t>Source: Jacobsen (2019,p.</w:t>
      </w:r>
      <w:r w:rsidR="00AD76AB">
        <w:rPr>
          <w:rFonts w:eastAsia="Times New Roman" w:cs="Arial"/>
          <w:szCs w:val="24"/>
          <w:lang w:eastAsia="en-GB"/>
        </w:rPr>
        <w:t>1</w:t>
      </w:r>
      <w:r w:rsidRPr="00E47B8D">
        <w:rPr>
          <w:rFonts w:eastAsia="Times New Roman" w:cs="Arial"/>
          <w:szCs w:val="24"/>
          <w:lang w:eastAsia="en-GB"/>
        </w:rPr>
        <w:t>)</w:t>
      </w:r>
    </w:p>
    <w:p w:rsidR="007B0D99" w:rsidRDefault="007B0D99" w:rsidP="007B0D99">
      <w:pPr>
        <w:rPr>
          <w:rFonts w:cs="Arial"/>
          <w:szCs w:val="24"/>
        </w:rPr>
      </w:pPr>
    </w:p>
    <w:p w:rsidR="00A6679B" w:rsidRPr="008751C6" w:rsidRDefault="00A6679B" w:rsidP="008C0044">
      <w:pPr>
        <w:spacing w:before="240"/>
        <w:rPr>
          <w:rFonts w:eastAsia="Times New Roman" w:cs="Arial"/>
          <w:szCs w:val="24"/>
          <w:lang w:eastAsia="en-GB"/>
        </w:rPr>
      </w:pPr>
      <w:r w:rsidRPr="008751C6">
        <w:rPr>
          <w:rFonts w:cs="Arial"/>
          <w:szCs w:val="24"/>
        </w:rPr>
        <w:t xml:space="preserve">The sector is highly competitive because it is attractive to </w:t>
      </w:r>
      <w:r w:rsidR="008C0044">
        <w:rPr>
          <w:rFonts w:cs="Arial"/>
          <w:szCs w:val="24"/>
        </w:rPr>
        <w:t>firms,</w:t>
      </w:r>
      <w:r w:rsidRPr="008751C6">
        <w:rPr>
          <w:rFonts w:cs="Arial"/>
          <w:szCs w:val="24"/>
        </w:rPr>
        <w:t xml:space="preserve"> owing to forecast revenues of </w:t>
      </w:r>
      <w:r w:rsidRPr="008751C6">
        <w:rPr>
          <w:rFonts w:cs="Arial"/>
          <w:shd w:val="clear" w:color="auto" w:fill="FFFFFF"/>
        </w:rPr>
        <w:t>$US1,257.77 billion  by 2027 (FI,2020). The major companies are Coca-Cola, Pepsico</w:t>
      </w:r>
      <w:r w:rsidR="008C0044">
        <w:rPr>
          <w:rFonts w:cs="Arial"/>
          <w:shd w:val="clear" w:color="auto" w:fill="FFFFFF"/>
        </w:rPr>
        <w:t xml:space="preserve"> and</w:t>
      </w:r>
      <w:r w:rsidRPr="008751C6">
        <w:rPr>
          <w:rFonts w:cs="Arial"/>
          <w:shd w:val="clear" w:color="auto" w:fill="FFFFFF"/>
        </w:rPr>
        <w:t xml:space="preserve"> Dr Pepper but Coca-Cola has the highest market share, 17.8% compared with Pepsico’s 8.4% </w:t>
      </w:r>
      <w:r w:rsidRPr="008751C6">
        <w:rPr>
          <w:rFonts w:cs="Arial"/>
        </w:rPr>
        <w:t>(CNN,2018).  Small companies with niche operations are able to profit in this market (TMR,2020)</w:t>
      </w:r>
      <w:r w:rsidR="008C0044">
        <w:rPr>
          <w:rFonts w:cs="Arial"/>
        </w:rPr>
        <w:t>.</w:t>
      </w:r>
      <w:r w:rsidRPr="008751C6">
        <w:rPr>
          <w:rFonts w:cs="Arial"/>
        </w:rPr>
        <w:t xml:space="preserve"> The threat of new entrants is high owing to attractiveness of high profits, but</w:t>
      </w:r>
      <w:r w:rsidR="008C0044">
        <w:rPr>
          <w:rFonts w:cs="Arial"/>
        </w:rPr>
        <w:t xml:space="preserve"> also because</w:t>
      </w:r>
      <w:r w:rsidRPr="008751C6">
        <w:rPr>
          <w:rFonts w:cs="Arial"/>
        </w:rPr>
        <w:t xml:space="preserve"> there are substantial barriers to entry, such as high set</w:t>
      </w:r>
      <w:r w:rsidR="008C0044">
        <w:rPr>
          <w:rFonts w:cs="Arial"/>
        </w:rPr>
        <w:t>-</w:t>
      </w:r>
      <w:r w:rsidRPr="008751C6">
        <w:rPr>
          <w:rFonts w:cs="Arial"/>
        </w:rPr>
        <w:t>up costs, the marketing strength</w:t>
      </w:r>
      <w:r w:rsidR="008C0044">
        <w:rPr>
          <w:rFonts w:cs="Arial"/>
        </w:rPr>
        <w:t xml:space="preserve"> and</w:t>
      </w:r>
      <w:r w:rsidRPr="008751C6">
        <w:rPr>
          <w:rFonts w:cs="Arial"/>
        </w:rPr>
        <w:t xml:space="preserve"> customer loyalty of the major companies and </w:t>
      </w:r>
      <w:r w:rsidR="008C0044">
        <w:rPr>
          <w:rFonts w:cs="Arial"/>
        </w:rPr>
        <w:t>restrictive</w:t>
      </w:r>
      <w:r w:rsidRPr="008751C6">
        <w:rPr>
          <w:rFonts w:cs="Arial"/>
        </w:rPr>
        <w:t xml:space="preserve"> regulation</w:t>
      </w:r>
      <w:r w:rsidR="008C0044">
        <w:rPr>
          <w:rFonts w:cs="Arial"/>
        </w:rPr>
        <w:t xml:space="preserve"> (Arthur,2019</w:t>
      </w:r>
      <w:r w:rsidR="003801D4">
        <w:rPr>
          <w:rFonts w:cs="Arial"/>
        </w:rPr>
        <w:t>)</w:t>
      </w:r>
      <w:r w:rsidRPr="008751C6">
        <w:rPr>
          <w:rFonts w:cs="Arial"/>
        </w:rPr>
        <w:t>. Small companies able to differentiate their products can enter and be successful so that overall threat is moderate</w:t>
      </w:r>
      <w:r w:rsidR="008C0044">
        <w:rPr>
          <w:rFonts w:cs="Arial"/>
        </w:rPr>
        <w:t>/</w:t>
      </w:r>
      <w:r w:rsidRPr="008751C6">
        <w:rPr>
          <w:rFonts w:cs="Arial"/>
        </w:rPr>
        <w:t xml:space="preserve">low (Porter,2008). </w:t>
      </w:r>
      <w:r w:rsidRPr="008751C6">
        <w:rPr>
          <w:rFonts w:eastAsia="Times New Roman" w:cs="Arial"/>
          <w:szCs w:val="24"/>
          <w:lang w:eastAsia="en-GB"/>
        </w:rPr>
        <w:t>The Bargaining Power of Buyers is moderate because although large buying groups can force manufacturers to reduce prices, their customers demand certain bran</w:t>
      </w:r>
      <w:r w:rsidR="008C0044">
        <w:rPr>
          <w:rFonts w:eastAsia="Times New Roman" w:cs="Arial"/>
          <w:szCs w:val="24"/>
          <w:lang w:eastAsia="en-GB"/>
        </w:rPr>
        <w:t>d</w:t>
      </w:r>
      <w:r w:rsidRPr="008751C6">
        <w:rPr>
          <w:rFonts w:eastAsia="Times New Roman" w:cs="Arial"/>
          <w:szCs w:val="24"/>
          <w:lang w:eastAsia="en-GB"/>
        </w:rPr>
        <w:t>s</w:t>
      </w:r>
      <w:r w:rsidR="008C0044">
        <w:rPr>
          <w:rFonts w:eastAsia="Times New Roman" w:cs="Arial"/>
          <w:szCs w:val="24"/>
          <w:lang w:eastAsia="en-GB"/>
        </w:rPr>
        <w:t>,</w:t>
      </w:r>
      <w:r w:rsidRPr="008751C6">
        <w:rPr>
          <w:rFonts w:eastAsia="Times New Roman" w:cs="Arial"/>
          <w:szCs w:val="24"/>
          <w:lang w:eastAsia="en-GB"/>
        </w:rPr>
        <w:t xml:space="preserve"> which they </w:t>
      </w:r>
      <w:r w:rsidR="008C0044">
        <w:rPr>
          <w:rFonts w:eastAsia="Times New Roman" w:cs="Arial"/>
          <w:szCs w:val="24"/>
          <w:lang w:eastAsia="en-GB"/>
        </w:rPr>
        <w:t>must</w:t>
      </w:r>
      <w:r w:rsidRPr="008751C6">
        <w:rPr>
          <w:rFonts w:eastAsia="Times New Roman" w:cs="Arial"/>
          <w:szCs w:val="24"/>
          <w:lang w:eastAsia="en-GB"/>
        </w:rPr>
        <w:t xml:space="preserve"> purchase to retain them (Porter, 2008). Similarly </w:t>
      </w:r>
      <w:r w:rsidR="008C0044">
        <w:rPr>
          <w:rFonts w:eastAsia="Times New Roman" w:cs="Arial"/>
          <w:szCs w:val="24"/>
          <w:lang w:eastAsia="en-GB"/>
        </w:rPr>
        <w:t>s</w:t>
      </w:r>
      <w:r w:rsidRPr="008751C6">
        <w:rPr>
          <w:rFonts w:eastAsia="Times New Roman" w:cs="Arial"/>
          <w:szCs w:val="24"/>
          <w:lang w:eastAsia="en-GB"/>
        </w:rPr>
        <w:t xml:space="preserve">uppliers  have substantial </w:t>
      </w:r>
      <w:r w:rsidR="008C0044">
        <w:rPr>
          <w:rFonts w:eastAsia="Times New Roman" w:cs="Arial"/>
          <w:szCs w:val="24"/>
          <w:lang w:eastAsia="en-GB"/>
        </w:rPr>
        <w:t xml:space="preserve">bargaining </w:t>
      </w:r>
      <w:r w:rsidRPr="008751C6">
        <w:rPr>
          <w:rFonts w:eastAsia="Times New Roman" w:cs="Arial"/>
          <w:szCs w:val="24"/>
          <w:lang w:eastAsia="en-GB"/>
        </w:rPr>
        <w:t>power because manufactures require sustainability</w:t>
      </w:r>
      <w:r w:rsidR="008C0044">
        <w:rPr>
          <w:rFonts w:eastAsia="Times New Roman" w:cs="Arial"/>
          <w:szCs w:val="24"/>
          <w:lang w:eastAsia="en-GB"/>
        </w:rPr>
        <w:t>-</w:t>
      </w:r>
      <w:r w:rsidRPr="008751C6">
        <w:rPr>
          <w:rFonts w:eastAsia="Times New Roman" w:cs="Arial"/>
          <w:szCs w:val="24"/>
          <w:lang w:eastAsia="en-GB"/>
        </w:rPr>
        <w:t>produced</w:t>
      </w:r>
      <w:r w:rsidR="008C0044">
        <w:rPr>
          <w:rFonts w:eastAsia="Times New Roman" w:cs="Arial"/>
          <w:szCs w:val="24"/>
          <w:lang w:eastAsia="en-GB"/>
        </w:rPr>
        <w:t>,</w:t>
      </w:r>
      <w:r w:rsidRPr="008751C6">
        <w:rPr>
          <w:rFonts w:eastAsia="Times New Roman" w:cs="Arial"/>
          <w:szCs w:val="24"/>
          <w:lang w:eastAsia="en-GB"/>
        </w:rPr>
        <w:t xml:space="preserve"> quality ingredients</w:t>
      </w:r>
      <w:r w:rsidR="008C0044">
        <w:rPr>
          <w:rFonts w:eastAsia="Times New Roman" w:cs="Arial"/>
          <w:szCs w:val="24"/>
          <w:lang w:eastAsia="en-GB"/>
        </w:rPr>
        <w:t>. However</w:t>
      </w:r>
      <w:r w:rsidR="00193E0A">
        <w:rPr>
          <w:rFonts w:eastAsia="Times New Roman" w:cs="Arial"/>
          <w:szCs w:val="24"/>
          <w:lang w:eastAsia="en-GB"/>
        </w:rPr>
        <w:t>,</w:t>
      </w:r>
      <w:r w:rsidRPr="008751C6">
        <w:rPr>
          <w:rFonts w:eastAsia="Times New Roman" w:cs="Arial"/>
          <w:szCs w:val="24"/>
          <w:lang w:eastAsia="en-GB"/>
        </w:rPr>
        <w:t xml:space="preserve"> suppliers </w:t>
      </w:r>
      <w:r w:rsidR="00193E0A">
        <w:rPr>
          <w:rFonts w:eastAsia="Times New Roman" w:cs="Arial"/>
          <w:szCs w:val="24"/>
          <w:lang w:eastAsia="en-GB"/>
        </w:rPr>
        <w:t>need</w:t>
      </w:r>
      <w:r w:rsidRPr="008751C6">
        <w:rPr>
          <w:rFonts w:eastAsia="Times New Roman" w:cs="Arial"/>
          <w:szCs w:val="24"/>
          <w:lang w:eastAsia="en-GB"/>
        </w:rPr>
        <w:t xml:space="preserve"> security </w:t>
      </w:r>
      <w:r w:rsidRPr="008751C6">
        <w:rPr>
          <w:rFonts w:eastAsia="Times New Roman" w:cs="Arial"/>
          <w:szCs w:val="24"/>
          <w:lang w:eastAsia="en-GB"/>
        </w:rPr>
        <w:lastRenderedPageBreak/>
        <w:t>of on-going purchase of their products</w:t>
      </w:r>
      <w:r w:rsidR="00193E0A">
        <w:rPr>
          <w:rFonts w:eastAsia="Times New Roman" w:cs="Arial"/>
          <w:szCs w:val="24"/>
          <w:lang w:eastAsia="en-GB"/>
        </w:rPr>
        <w:t xml:space="preserve"> and </w:t>
      </w:r>
      <w:r w:rsidRPr="008751C6">
        <w:rPr>
          <w:rFonts w:eastAsia="Times New Roman" w:cs="Arial"/>
          <w:szCs w:val="24"/>
          <w:lang w:eastAsia="en-GB"/>
        </w:rPr>
        <w:t xml:space="preserve">tend to agree long term contracts which </w:t>
      </w:r>
      <w:r w:rsidR="00193E0A">
        <w:rPr>
          <w:rFonts w:eastAsia="Times New Roman" w:cs="Arial"/>
          <w:szCs w:val="24"/>
          <w:lang w:eastAsia="en-GB"/>
        </w:rPr>
        <w:t>lowers</w:t>
      </w:r>
      <w:r w:rsidRPr="008751C6">
        <w:rPr>
          <w:rFonts w:eastAsia="Times New Roman" w:cs="Arial"/>
          <w:szCs w:val="24"/>
          <w:lang w:eastAsia="en-GB"/>
        </w:rPr>
        <w:t xml:space="preserve"> their negotiating position (Mintel,2020;Porter,2008).</w:t>
      </w:r>
    </w:p>
    <w:p w:rsidR="00A6679B" w:rsidRPr="008751C6" w:rsidRDefault="00A6679B" w:rsidP="00A6679B">
      <w:pPr>
        <w:rPr>
          <w:rFonts w:eastAsia="Times New Roman" w:cs="Arial"/>
          <w:szCs w:val="24"/>
          <w:lang w:eastAsia="en-GB"/>
        </w:rPr>
      </w:pPr>
      <w:r w:rsidRPr="008751C6">
        <w:rPr>
          <w:rFonts w:eastAsia="Times New Roman" w:cs="Arial"/>
          <w:szCs w:val="24"/>
          <w:lang w:eastAsia="en-GB"/>
        </w:rPr>
        <w:t>Threat of Substitutes comes predominantly from home-made drinks including fruit and vegetable smoothies and tap water</w:t>
      </w:r>
      <w:r w:rsidR="00193E0A">
        <w:rPr>
          <w:rFonts w:eastAsia="Times New Roman" w:cs="Arial"/>
          <w:szCs w:val="24"/>
          <w:lang w:eastAsia="en-GB"/>
        </w:rPr>
        <w:t>,</w:t>
      </w:r>
      <w:r w:rsidRPr="008751C6">
        <w:rPr>
          <w:rFonts w:eastAsia="Times New Roman" w:cs="Arial"/>
          <w:szCs w:val="24"/>
          <w:lang w:eastAsia="en-GB"/>
        </w:rPr>
        <w:t xml:space="preserve"> but their threat is low owing to </w:t>
      </w:r>
      <w:r w:rsidR="00193E0A">
        <w:rPr>
          <w:rFonts w:eastAsia="Times New Roman" w:cs="Arial"/>
          <w:szCs w:val="24"/>
          <w:lang w:eastAsia="en-GB"/>
        </w:rPr>
        <w:t>small</w:t>
      </w:r>
      <w:r w:rsidRPr="008751C6">
        <w:rPr>
          <w:rFonts w:eastAsia="Times New Roman" w:cs="Arial"/>
          <w:szCs w:val="24"/>
          <w:lang w:eastAsia="en-GB"/>
        </w:rPr>
        <w:t xml:space="preserve"> volumes produced and relatively low prices of commercial beverages (Mintel,2020;Porter, 2008). Therefore the market is attractive</w:t>
      </w:r>
      <w:r w:rsidR="00193E0A">
        <w:rPr>
          <w:rFonts w:eastAsia="Times New Roman" w:cs="Arial"/>
          <w:szCs w:val="24"/>
          <w:lang w:eastAsia="en-GB"/>
        </w:rPr>
        <w:t>,</w:t>
      </w:r>
      <w:r w:rsidRPr="008751C6">
        <w:rPr>
          <w:rFonts w:eastAsia="Times New Roman" w:cs="Arial"/>
          <w:szCs w:val="24"/>
          <w:lang w:eastAsia="en-GB"/>
        </w:rPr>
        <w:t xml:space="preserve"> relatively profitable</w:t>
      </w:r>
      <w:r w:rsidR="00193E0A">
        <w:rPr>
          <w:rFonts w:eastAsia="Times New Roman" w:cs="Arial"/>
          <w:szCs w:val="24"/>
          <w:lang w:eastAsia="en-GB"/>
        </w:rPr>
        <w:t xml:space="preserve"> with moderate forces</w:t>
      </w:r>
      <w:r w:rsidRPr="008751C6">
        <w:rPr>
          <w:rFonts w:eastAsia="Times New Roman" w:cs="Arial"/>
          <w:szCs w:val="24"/>
          <w:lang w:eastAsia="en-GB"/>
        </w:rPr>
        <w:t xml:space="preserve">. </w:t>
      </w:r>
      <w:r w:rsidR="00193E0A">
        <w:rPr>
          <w:rFonts w:eastAsia="Times New Roman" w:cs="Arial"/>
          <w:szCs w:val="24"/>
          <w:lang w:eastAsia="en-GB"/>
        </w:rPr>
        <w:t>The</w:t>
      </w:r>
      <w:r w:rsidRPr="008751C6">
        <w:rPr>
          <w:rFonts w:eastAsia="Times New Roman" w:cs="Arial"/>
          <w:szCs w:val="24"/>
          <w:lang w:eastAsia="en-GB"/>
        </w:rPr>
        <w:t xml:space="preserve"> main criticism of these models is that they consider historic facts, and the impact of forces varies (Grundy,2006)</w:t>
      </w:r>
      <w:r w:rsidR="00193E0A">
        <w:rPr>
          <w:rFonts w:eastAsia="Times New Roman" w:cs="Arial"/>
          <w:szCs w:val="24"/>
          <w:lang w:eastAsia="en-GB"/>
        </w:rPr>
        <w:t>.</w:t>
      </w:r>
    </w:p>
    <w:p w:rsidR="00A6679B" w:rsidRDefault="00A6679B" w:rsidP="00711C1A">
      <w:pPr>
        <w:pStyle w:val="Heading1"/>
      </w:pPr>
      <w:bookmarkStart w:id="18" w:name="_Toc50649041"/>
      <w:r>
        <w:t>SWOT Analysis</w:t>
      </w:r>
      <w:bookmarkEnd w:id="18"/>
    </w:p>
    <w:p w:rsidR="00A6679B" w:rsidRPr="00F90FEB" w:rsidRDefault="00193E0A" w:rsidP="00A6679B">
      <w:pPr>
        <w:rPr>
          <w:rFonts w:cs="Arial"/>
          <w:szCs w:val="24"/>
        </w:rPr>
      </w:pPr>
      <w:r>
        <w:rPr>
          <w:rFonts w:cs="Arial"/>
          <w:szCs w:val="24"/>
        </w:rPr>
        <w:t>Coca-Cola’s</w:t>
      </w:r>
      <w:r w:rsidR="00A6679B">
        <w:rPr>
          <w:rFonts w:cs="Arial"/>
          <w:szCs w:val="24"/>
        </w:rPr>
        <w:t xml:space="preserve"> major internal strengths include substantial product and geographical diversification supported by </w:t>
      </w:r>
      <w:r>
        <w:rPr>
          <w:rFonts w:cs="Arial"/>
          <w:szCs w:val="24"/>
        </w:rPr>
        <w:t xml:space="preserve">the </w:t>
      </w:r>
      <w:r w:rsidR="00A6679B">
        <w:rPr>
          <w:rFonts w:cs="Arial"/>
          <w:szCs w:val="24"/>
        </w:rPr>
        <w:t>225 bottler distribution network</w:t>
      </w:r>
      <w:r>
        <w:rPr>
          <w:rFonts w:cs="Arial"/>
          <w:szCs w:val="24"/>
        </w:rPr>
        <w:t>,</w:t>
      </w:r>
      <w:r w:rsidR="00A6679B">
        <w:rPr>
          <w:rFonts w:cs="Arial"/>
          <w:szCs w:val="24"/>
        </w:rPr>
        <w:t xml:space="preserve"> with quality control by Bottling Investments</w:t>
      </w:r>
      <w:r>
        <w:rPr>
          <w:rFonts w:cs="Arial"/>
          <w:szCs w:val="24"/>
        </w:rPr>
        <w:t>,</w:t>
      </w:r>
      <w:r w:rsidR="00A6679B">
        <w:rPr>
          <w:rFonts w:cs="Arial"/>
          <w:szCs w:val="24"/>
        </w:rPr>
        <w:t xml:space="preserve"> and identification and development of new opportunities by Global Ventures division </w:t>
      </w:r>
      <w:r w:rsidR="00A6679B" w:rsidRPr="00193E0A">
        <w:rPr>
          <w:rFonts w:cs="Arial"/>
          <w:szCs w:val="24"/>
        </w:rPr>
        <w:t xml:space="preserve">(Thompson,2017;CC,2020a). </w:t>
      </w:r>
      <w:r w:rsidR="00A6679B">
        <w:rPr>
          <w:rFonts w:cs="Arial"/>
          <w:szCs w:val="24"/>
        </w:rPr>
        <w:t>C</w:t>
      </w:r>
      <w:r w:rsidR="00A6679B" w:rsidRPr="00042280">
        <w:rPr>
          <w:rFonts w:cs="Arial"/>
          <w:szCs w:val="24"/>
        </w:rPr>
        <w:t xml:space="preserve">oca-Cola brand </w:t>
      </w:r>
      <w:r>
        <w:rPr>
          <w:rFonts w:cs="Arial"/>
          <w:szCs w:val="24"/>
        </w:rPr>
        <w:t>strength</w:t>
      </w:r>
      <w:r w:rsidR="00A6679B" w:rsidRPr="00042280">
        <w:rPr>
          <w:rFonts w:cs="Arial"/>
          <w:szCs w:val="24"/>
        </w:rPr>
        <w:t>/customer lo</w:t>
      </w:r>
      <w:r w:rsidR="00A6679B">
        <w:rPr>
          <w:rFonts w:cs="Arial"/>
          <w:szCs w:val="24"/>
        </w:rPr>
        <w:t>yalty</w:t>
      </w:r>
      <w:r>
        <w:rPr>
          <w:rFonts w:cs="Arial"/>
          <w:szCs w:val="24"/>
        </w:rPr>
        <w:t xml:space="preserve"> isvalued at </w:t>
      </w:r>
      <w:r w:rsidR="00A6679B">
        <w:rPr>
          <w:rFonts w:cs="Arial"/>
          <w:szCs w:val="24"/>
        </w:rPr>
        <w:t>$US 64 million (Forbes,2020) and</w:t>
      </w:r>
      <w:r>
        <w:rPr>
          <w:rFonts w:cs="Arial"/>
          <w:szCs w:val="24"/>
        </w:rPr>
        <w:t xml:space="preserve"> it owns</w:t>
      </w:r>
      <w:r w:rsidR="00A6679B">
        <w:rPr>
          <w:rFonts w:cs="Arial"/>
          <w:szCs w:val="24"/>
        </w:rPr>
        <w:t xml:space="preserve"> other valuable top brands </w:t>
      </w:r>
      <w:r w:rsidR="00A6679B" w:rsidRPr="00115111">
        <w:rPr>
          <w:rFonts w:cs="Arial"/>
          <w:szCs w:val="24"/>
        </w:rPr>
        <w:t xml:space="preserve">including Sprite, Fanta and Powerade (Marketline,2020;Keller and </w:t>
      </w:r>
      <w:r w:rsidR="00A6679B" w:rsidRPr="00115111">
        <w:rPr>
          <w:rFonts w:cs="Arial"/>
          <w:szCs w:val="24"/>
          <w:shd w:val="clear" w:color="auto" w:fill="FFFFFF"/>
        </w:rPr>
        <w:t>Swaminathan</w:t>
      </w:r>
      <w:r w:rsidR="00A6679B" w:rsidRPr="00115111">
        <w:rPr>
          <w:rFonts w:cs="Arial"/>
          <w:szCs w:val="24"/>
        </w:rPr>
        <w:t xml:space="preserve">,2019). </w:t>
      </w:r>
      <w:r w:rsidR="00A6679B" w:rsidRPr="00115111">
        <w:rPr>
          <w:rFonts w:cs="Arial"/>
          <w:szCs w:val="24"/>
          <w:shd w:val="clear" w:color="auto" w:fill="FFFFFF"/>
        </w:rPr>
        <w:t>Financial strength represented by market capitalisation is $US 202,329 billion</w:t>
      </w:r>
      <w:r w:rsidR="00A6679B">
        <w:rPr>
          <w:rFonts w:cs="Arial"/>
          <w:szCs w:val="24"/>
          <w:shd w:val="clear" w:color="auto" w:fill="FFFFFF"/>
        </w:rPr>
        <w:t xml:space="preserve"> (TMR,2020)</w:t>
      </w:r>
      <w:r>
        <w:rPr>
          <w:rFonts w:cs="Arial"/>
          <w:szCs w:val="24"/>
          <w:shd w:val="clear" w:color="auto" w:fill="FFFFFF"/>
        </w:rPr>
        <w:t>,</w:t>
      </w:r>
      <w:r w:rsidR="00A6679B">
        <w:rPr>
          <w:rFonts w:cs="Arial"/>
          <w:szCs w:val="24"/>
          <w:shd w:val="clear" w:color="auto" w:fill="FFFFFF"/>
        </w:rPr>
        <w:t xml:space="preserve"> and considerable innovation and marketing expertise </w:t>
      </w:r>
      <w:r>
        <w:rPr>
          <w:rFonts w:cs="Arial"/>
          <w:szCs w:val="24"/>
          <w:shd w:val="clear" w:color="auto" w:fill="FFFFFF"/>
        </w:rPr>
        <w:t xml:space="preserve">is </w:t>
      </w:r>
      <w:r w:rsidR="00A6679B">
        <w:rPr>
          <w:rFonts w:cs="Arial"/>
          <w:szCs w:val="24"/>
          <w:shd w:val="clear" w:color="auto" w:fill="FFFFFF"/>
        </w:rPr>
        <w:t>exemplified by development</w:t>
      </w:r>
      <w:r>
        <w:rPr>
          <w:rFonts w:cs="Arial"/>
          <w:szCs w:val="24"/>
          <w:shd w:val="clear" w:color="auto" w:fill="FFFFFF"/>
        </w:rPr>
        <w:t xml:space="preserve"> of</w:t>
      </w:r>
      <w:r w:rsidR="00A6679B">
        <w:rPr>
          <w:rFonts w:cs="Arial"/>
          <w:szCs w:val="24"/>
          <w:shd w:val="clear" w:color="auto" w:fill="FFFFFF"/>
        </w:rPr>
        <w:t xml:space="preserve"> plant-based bottles and beverages </w:t>
      </w:r>
      <w:r w:rsidR="00A6679B" w:rsidRPr="00F90FEB">
        <w:rPr>
          <w:rFonts w:cs="Arial"/>
          <w:szCs w:val="24"/>
        </w:rPr>
        <w:t>(Coca-Cola,2020</w:t>
      </w:r>
      <w:r w:rsidR="00A6679B">
        <w:rPr>
          <w:rFonts w:cs="Arial"/>
          <w:szCs w:val="24"/>
        </w:rPr>
        <w:t>d</w:t>
      </w:r>
      <w:r w:rsidR="00A6679B" w:rsidRPr="00F90FEB">
        <w:rPr>
          <w:rFonts w:cs="Arial"/>
          <w:szCs w:val="24"/>
        </w:rPr>
        <w:t>, p.4).</w:t>
      </w:r>
      <w:r w:rsidR="00A6679B">
        <w:rPr>
          <w:rFonts w:cs="Arial"/>
          <w:szCs w:val="24"/>
        </w:rPr>
        <w:t xml:space="preserve"> Recent agility to quickly adapt to changes in market post-Covid</w:t>
      </w:r>
      <w:r>
        <w:rPr>
          <w:rFonts w:cs="Arial"/>
          <w:szCs w:val="24"/>
        </w:rPr>
        <w:t xml:space="preserve"> reinforces strong competences,</w:t>
      </w:r>
      <w:r w:rsidR="00A6679B">
        <w:rPr>
          <w:rFonts w:cs="Arial"/>
          <w:szCs w:val="24"/>
        </w:rPr>
        <w:t xml:space="preserve"> new focus on: investment in extension of biggest strongest, most profitable brands; recognition that 50% brands sold returned just 2%</w:t>
      </w:r>
      <w:r>
        <w:rPr>
          <w:rFonts w:cs="Arial"/>
          <w:szCs w:val="24"/>
        </w:rPr>
        <w:t xml:space="preserve"> total</w:t>
      </w:r>
      <w:r w:rsidR="00A6679B">
        <w:rPr>
          <w:rFonts w:cs="Arial"/>
          <w:szCs w:val="24"/>
        </w:rPr>
        <w:t xml:space="preserve"> revenues; adjustment of distribution network to</w:t>
      </w:r>
      <w:r>
        <w:rPr>
          <w:rFonts w:cs="Arial"/>
          <w:szCs w:val="24"/>
        </w:rPr>
        <w:t xml:space="preserve">  concentrate on</w:t>
      </w:r>
      <w:r w:rsidR="00A6679B">
        <w:rPr>
          <w:rFonts w:cs="Arial"/>
          <w:szCs w:val="24"/>
        </w:rPr>
        <w:t xml:space="preserve"> highest demand and supply</w:t>
      </w:r>
      <w:r>
        <w:rPr>
          <w:rFonts w:cs="Arial"/>
          <w:szCs w:val="24"/>
        </w:rPr>
        <w:t>,</w:t>
      </w:r>
      <w:r w:rsidR="00A6679B">
        <w:rPr>
          <w:rFonts w:cs="Arial"/>
          <w:szCs w:val="24"/>
        </w:rPr>
        <w:t xml:space="preserve"> and greater collaboration with all distribution levels; innovation in distribution</w:t>
      </w:r>
      <w:r>
        <w:rPr>
          <w:rFonts w:cs="Arial"/>
          <w:szCs w:val="24"/>
        </w:rPr>
        <w:t>, for example</w:t>
      </w:r>
      <w:r w:rsidR="00A6679B">
        <w:rPr>
          <w:rFonts w:cs="Arial"/>
          <w:szCs w:val="24"/>
        </w:rPr>
        <w:t xml:space="preserve"> contactless fountain dispensers</w:t>
      </w:r>
      <w:r>
        <w:rPr>
          <w:rFonts w:cs="Arial"/>
          <w:szCs w:val="24"/>
        </w:rPr>
        <w:t xml:space="preserve"> with disposable cupsand</w:t>
      </w:r>
      <w:r w:rsidR="00A6679B">
        <w:rPr>
          <w:rFonts w:cs="Arial"/>
          <w:szCs w:val="24"/>
        </w:rPr>
        <w:t xml:space="preserve"> pre-order from mobile phones; bundling beverages and meal items to suit different tastes and budgets; strengthen</w:t>
      </w:r>
      <w:r>
        <w:rPr>
          <w:rFonts w:cs="Arial"/>
          <w:szCs w:val="24"/>
        </w:rPr>
        <w:t>ing</w:t>
      </w:r>
      <w:r w:rsidR="00A6679B">
        <w:rPr>
          <w:rFonts w:cs="Arial"/>
          <w:szCs w:val="24"/>
        </w:rPr>
        <w:t xml:space="preserve"> digitalisation competence</w:t>
      </w:r>
      <w:r w:rsidR="00156DC6">
        <w:rPr>
          <w:rFonts w:cs="Arial"/>
          <w:szCs w:val="24"/>
        </w:rPr>
        <w:t xml:space="preserve">; </w:t>
      </w:r>
      <w:r w:rsidR="00A6679B">
        <w:rPr>
          <w:rFonts w:cs="Arial"/>
          <w:szCs w:val="24"/>
        </w:rPr>
        <w:t xml:space="preserve">acquisitions for diversification including </w:t>
      </w:r>
      <w:r w:rsidR="00A6679B" w:rsidRPr="00F90FEB">
        <w:rPr>
          <w:rFonts w:cs="Arial"/>
          <w:szCs w:val="24"/>
        </w:rPr>
        <w:t>Costa Coffee Chain</w:t>
      </w:r>
      <w:r w:rsidR="00A6679B">
        <w:rPr>
          <w:rFonts w:cs="Arial"/>
          <w:szCs w:val="24"/>
        </w:rPr>
        <w:t>,</w:t>
      </w:r>
      <w:r w:rsidR="00A6679B" w:rsidRPr="00F90FEB">
        <w:rPr>
          <w:rFonts w:cs="Arial"/>
          <w:szCs w:val="24"/>
        </w:rPr>
        <w:t xml:space="preserve"> kombucha manufacturer</w:t>
      </w:r>
      <w:r w:rsidR="00A6679B">
        <w:rPr>
          <w:rFonts w:cs="Arial"/>
          <w:szCs w:val="24"/>
        </w:rPr>
        <w:t xml:space="preserve"> and</w:t>
      </w:r>
      <w:r w:rsidR="00A6679B" w:rsidRPr="00F90FEB">
        <w:rPr>
          <w:rFonts w:cs="Arial"/>
          <w:szCs w:val="24"/>
        </w:rPr>
        <w:t xml:space="preserve"> Organic &amp; Raw Trading Co</w:t>
      </w:r>
      <w:r w:rsidR="00A6679B">
        <w:rPr>
          <w:rFonts w:cs="Arial"/>
          <w:szCs w:val="24"/>
        </w:rPr>
        <w:t xml:space="preserve"> for production of </w:t>
      </w:r>
      <w:r w:rsidR="00A6679B" w:rsidRPr="00F90FEB">
        <w:rPr>
          <w:rFonts w:cs="Arial"/>
          <w:szCs w:val="24"/>
        </w:rPr>
        <w:t xml:space="preserve">alcoholic and energy drinks </w:t>
      </w:r>
      <w:r w:rsidR="00156DC6">
        <w:rPr>
          <w:rFonts w:cs="Arial"/>
          <w:szCs w:val="24"/>
        </w:rPr>
        <w:t>(Quincy,2020;</w:t>
      </w:r>
      <w:r w:rsidR="00A6679B" w:rsidRPr="00F90FEB">
        <w:rPr>
          <w:rFonts w:cs="Arial"/>
          <w:szCs w:val="24"/>
        </w:rPr>
        <w:t>BF,2019).</w:t>
      </w:r>
    </w:p>
    <w:p w:rsidR="00A6679B" w:rsidRPr="00EA67E1" w:rsidRDefault="00A6679B" w:rsidP="00A6679B">
      <w:pPr>
        <w:rPr>
          <w:rFonts w:cs="Arial"/>
          <w:szCs w:val="24"/>
        </w:rPr>
      </w:pPr>
      <w:r w:rsidRPr="00EA67E1">
        <w:rPr>
          <w:rFonts w:cs="Arial"/>
          <w:szCs w:val="24"/>
        </w:rPr>
        <w:t>Major weakness include continued dependence on original Coca-Cola as cash cow for investment in innovation (</w:t>
      </w:r>
      <w:r>
        <w:rPr>
          <w:rFonts w:cs="Arial"/>
          <w:szCs w:val="24"/>
        </w:rPr>
        <w:t>Lussier,2008:Kotler et.al.,2012</w:t>
      </w:r>
      <w:r w:rsidRPr="00EA67E1">
        <w:rPr>
          <w:rFonts w:cs="Arial"/>
          <w:szCs w:val="24"/>
        </w:rPr>
        <w:t xml:space="preserve">) and brand association with obesity. Hence revenues continue to be threatened </w:t>
      </w:r>
      <w:r w:rsidR="00156DC6">
        <w:rPr>
          <w:rFonts w:cs="Arial"/>
          <w:szCs w:val="24"/>
        </w:rPr>
        <w:t>by</w:t>
      </w:r>
      <w:r w:rsidRPr="00EA67E1">
        <w:rPr>
          <w:rFonts w:cs="Arial"/>
          <w:szCs w:val="24"/>
        </w:rPr>
        <w:t xml:space="preserve"> declining demand for </w:t>
      </w:r>
      <w:r w:rsidRPr="00EA67E1">
        <w:rPr>
          <w:rFonts w:cs="Arial"/>
          <w:szCs w:val="24"/>
        </w:rPr>
        <w:lastRenderedPageBreak/>
        <w:t>sugary beverages (PMR,2019</w:t>
      </w:r>
      <w:r w:rsidR="00156DC6">
        <w:rPr>
          <w:rFonts w:cs="Arial"/>
          <w:szCs w:val="24"/>
        </w:rPr>
        <w:t>)</w:t>
      </w:r>
      <w:r w:rsidRPr="00EA67E1">
        <w:rPr>
          <w:rFonts w:cs="Arial"/>
          <w:szCs w:val="24"/>
        </w:rPr>
        <w:t xml:space="preserve"> despite recovering recently (TMR,2020), figure </w:t>
      </w:r>
      <w:r w:rsidR="00156DC6">
        <w:rPr>
          <w:rFonts w:cs="Arial"/>
          <w:szCs w:val="24"/>
        </w:rPr>
        <w:t>2</w:t>
      </w:r>
      <w:r w:rsidRPr="00EA67E1">
        <w:rPr>
          <w:rFonts w:cs="Arial"/>
          <w:szCs w:val="24"/>
        </w:rPr>
        <w:t xml:space="preserve">,  especially </w:t>
      </w:r>
      <w:r w:rsidR="00156DC6">
        <w:rPr>
          <w:rFonts w:cs="Arial"/>
          <w:szCs w:val="24"/>
        </w:rPr>
        <w:t>considering</w:t>
      </w:r>
      <w:r w:rsidRPr="00EA67E1">
        <w:rPr>
          <w:rFonts w:cs="Arial"/>
          <w:szCs w:val="24"/>
        </w:rPr>
        <w:t xml:space="preserve"> post-Covid recession(Quincy,2020).</w:t>
      </w:r>
    </w:p>
    <w:p w:rsidR="00A6679B" w:rsidRPr="00F90FEB" w:rsidRDefault="00A6679B" w:rsidP="00A6679B">
      <w:pPr>
        <w:jc w:val="center"/>
        <w:rPr>
          <w:rFonts w:cs="Arial"/>
          <w:b/>
          <w:bCs/>
          <w:szCs w:val="24"/>
          <w:shd w:val="clear" w:color="auto" w:fill="FFFFFF"/>
        </w:rPr>
      </w:pPr>
      <w:r w:rsidRPr="00F90FEB">
        <w:rPr>
          <w:rFonts w:cs="Arial"/>
          <w:b/>
          <w:bCs/>
          <w:szCs w:val="24"/>
          <w:shd w:val="clear" w:color="auto" w:fill="FFFFFF"/>
        </w:rPr>
        <w:t xml:space="preserve">Figure </w:t>
      </w:r>
      <w:r w:rsidR="00156DC6">
        <w:rPr>
          <w:rFonts w:cs="Arial"/>
          <w:b/>
          <w:bCs/>
          <w:szCs w:val="24"/>
          <w:shd w:val="clear" w:color="auto" w:fill="FFFFFF"/>
        </w:rPr>
        <w:t>3</w:t>
      </w:r>
      <w:r w:rsidRPr="00F90FEB">
        <w:rPr>
          <w:rFonts w:cs="Arial"/>
          <w:b/>
          <w:bCs/>
          <w:szCs w:val="24"/>
          <w:shd w:val="clear" w:color="auto" w:fill="FFFFFF"/>
        </w:rPr>
        <w:t>:  Revenue</w:t>
      </w:r>
      <w:r>
        <w:rPr>
          <w:rFonts w:cs="Arial"/>
          <w:b/>
          <w:bCs/>
          <w:szCs w:val="24"/>
          <w:shd w:val="clear" w:color="auto" w:fill="FFFFFF"/>
        </w:rPr>
        <w:t>s</w:t>
      </w:r>
      <w:r w:rsidRPr="00F90FEB">
        <w:rPr>
          <w:rFonts w:cs="Arial"/>
          <w:b/>
          <w:bCs/>
          <w:szCs w:val="24"/>
          <w:shd w:val="clear" w:color="auto" w:fill="FFFFFF"/>
        </w:rPr>
        <w:t xml:space="preserve"> 2015</w:t>
      </w:r>
      <w:r w:rsidR="00156DC6">
        <w:rPr>
          <w:rFonts w:cs="Arial"/>
          <w:b/>
          <w:bCs/>
          <w:szCs w:val="24"/>
          <w:shd w:val="clear" w:color="auto" w:fill="FFFFFF"/>
        </w:rPr>
        <w:t>-</w:t>
      </w:r>
      <w:r w:rsidRPr="00F90FEB">
        <w:rPr>
          <w:rFonts w:cs="Arial"/>
          <w:b/>
          <w:bCs/>
          <w:szCs w:val="24"/>
          <w:shd w:val="clear" w:color="auto" w:fill="FFFFFF"/>
        </w:rPr>
        <w:t>2019</w:t>
      </w:r>
    </w:p>
    <w:p w:rsidR="00A6679B" w:rsidRPr="00F90FEB" w:rsidRDefault="00A6679B" w:rsidP="00A6679B">
      <w:pPr>
        <w:jc w:val="center"/>
        <w:rPr>
          <w:rFonts w:cs="Arial"/>
          <w:szCs w:val="24"/>
        </w:rPr>
      </w:pPr>
      <w:r w:rsidRPr="00F90FEB">
        <w:rPr>
          <w:rFonts w:cs="Arial"/>
          <w:noProof/>
          <w:szCs w:val="24"/>
          <w:lang w:eastAsia="en-GB"/>
        </w:rPr>
        <w:drawing>
          <wp:inline distT="0" distB="0" distL="0" distR="0">
            <wp:extent cx="3877056" cy="2494483"/>
            <wp:effectExtent l="0" t="0" r="9525" b="1270"/>
            <wp:docPr id="3" name="Chart 3">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02E01262-635A-4591-A96A-93FF5F92F4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A6679B" w:rsidRDefault="00A6679B" w:rsidP="00A6679B">
      <w:pPr>
        <w:jc w:val="right"/>
        <w:rPr>
          <w:rFonts w:cs="Arial"/>
          <w:szCs w:val="24"/>
        </w:rPr>
      </w:pPr>
      <w:r w:rsidRPr="00F90FEB">
        <w:rPr>
          <w:rFonts w:cs="Arial"/>
          <w:szCs w:val="24"/>
        </w:rPr>
        <w:t>Source</w:t>
      </w:r>
      <w:r w:rsidR="00156DC6">
        <w:rPr>
          <w:rFonts w:cs="Arial"/>
          <w:szCs w:val="24"/>
        </w:rPr>
        <w:t xml:space="preserve">: </w:t>
      </w:r>
      <w:r w:rsidRPr="00F90FEB">
        <w:rPr>
          <w:rFonts w:cs="Arial"/>
          <w:szCs w:val="24"/>
        </w:rPr>
        <w:t>Marketwatch</w:t>
      </w:r>
      <w:r w:rsidR="00156DC6">
        <w:rPr>
          <w:rFonts w:cs="Arial"/>
          <w:szCs w:val="24"/>
        </w:rPr>
        <w:t>(</w:t>
      </w:r>
      <w:r w:rsidRPr="00F90FEB">
        <w:rPr>
          <w:rFonts w:cs="Arial"/>
          <w:szCs w:val="24"/>
        </w:rPr>
        <w:t>2020)</w:t>
      </w:r>
    </w:p>
    <w:p w:rsidR="00A6679B" w:rsidRPr="009A4A6D" w:rsidRDefault="00156DC6" w:rsidP="00A6679B">
      <w:pPr>
        <w:rPr>
          <w:rFonts w:cs="Arial"/>
          <w:szCs w:val="24"/>
          <w:shd w:val="clear" w:color="auto" w:fill="FFFFFF"/>
        </w:rPr>
      </w:pPr>
      <w:r>
        <w:rPr>
          <w:rFonts w:cs="Arial"/>
          <w:szCs w:val="24"/>
          <w:shd w:val="clear" w:color="auto" w:fill="FFFFFF"/>
        </w:rPr>
        <w:t>Other weaknesses include; poor</w:t>
      </w:r>
      <w:r w:rsidR="00A6679B" w:rsidRPr="009A4A6D">
        <w:rPr>
          <w:rFonts w:cs="Arial"/>
          <w:szCs w:val="24"/>
          <w:shd w:val="clear" w:color="auto" w:fill="FFFFFF"/>
        </w:rPr>
        <w:t xml:space="preserve"> transparency in supply chain sustainability especially </w:t>
      </w:r>
      <w:r>
        <w:rPr>
          <w:rFonts w:cs="Arial"/>
          <w:szCs w:val="24"/>
          <w:shd w:val="clear" w:color="auto" w:fill="FFFFFF"/>
        </w:rPr>
        <w:t>accurate</w:t>
      </w:r>
      <w:r w:rsidR="00A6679B" w:rsidRPr="009A4A6D">
        <w:rPr>
          <w:rFonts w:cs="Arial"/>
          <w:szCs w:val="24"/>
          <w:shd w:val="clear" w:color="auto" w:fill="FFFFFF"/>
        </w:rPr>
        <w:t xml:space="preserve"> water consumption (Arev,2016)</w:t>
      </w:r>
      <w:r>
        <w:rPr>
          <w:rFonts w:cs="Arial"/>
          <w:szCs w:val="24"/>
          <w:shd w:val="clear" w:color="auto" w:fill="FFFFFF"/>
        </w:rPr>
        <w:t xml:space="preserve">; </w:t>
      </w:r>
      <w:r w:rsidR="00A6679B" w:rsidRPr="009A4A6D">
        <w:rPr>
          <w:rFonts w:cs="Arial"/>
          <w:szCs w:val="24"/>
          <w:shd w:val="clear" w:color="auto" w:fill="FFFFFF"/>
        </w:rPr>
        <w:t>high cost of smaller portion traditional products associated with higher profit</w:t>
      </w:r>
      <w:r>
        <w:rPr>
          <w:rFonts w:cs="Arial"/>
          <w:szCs w:val="24"/>
          <w:shd w:val="clear" w:color="auto" w:fill="FFFFFF"/>
        </w:rPr>
        <w:t>s</w:t>
      </w:r>
      <w:r w:rsidR="00A6679B" w:rsidRPr="009A4A6D">
        <w:rPr>
          <w:rFonts w:cs="Arial"/>
          <w:szCs w:val="24"/>
          <w:shd w:val="clear" w:color="auto" w:fill="FFFFFF"/>
        </w:rPr>
        <w:t xml:space="preserve"> (</w:t>
      </w:r>
      <w:r w:rsidR="00A6679B" w:rsidRPr="009A4A6D">
        <w:rPr>
          <w:rFonts w:cs="Arial"/>
          <w:szCs w:val="24"/>
        </w:rPr>
        <w:t>Soundarya,2019</w:t>
      </w:r>
      <w:r w:rsidR="00A6679B" w:rsidRPr="009A4A6D">
        <w:rPr>
          <w:rFonts w:cs="Arial"/>
          <w:szCs w:val="24"/>
          <w:shd w:val="clear" w:color="auto" w:fill="FFFFFF"/>
        </w:rPr>
        <w:t>)</w:t>
      </w:r>
      <w:r>
        <w:rPr>
          <w:rFonts w:cs="Arial"/>
          <w:szCs w:val="24"/>
          <w:shd w:val="clear" w:color="auto" w:fill="FFFFFF"/>
        </w:rPr>
        <w:t xml:space="preserve">; </w:t>
      </w:r>
      <w:r w:rsidR="00A6679B">
        <w:rPr>
          <w:rFonts w:cs="Arial"/>
          <w:szCs w:val="24"/>
          <w:shd w:val="clear" w:color="auto" w:fill="FFFFFF"/>
        </w:rPr>
        <w:t>involvement in</w:t>
      </w:r>
      <w:r>
        <w:rPr>
          <w:rFonts w:cs="Arial"/>
          <w:szCs w:val="24"/>
          <w:shd w:val="clear" w:color="auto" w:fill="FFFFFF"/>
        </w:rPr>
        <w:t xml:space="preserve"> costly</w:t>
      </w:r>
      <w:r w:rsidR="00A6679B">
        <w:rPr>
          <w:rFonts w:cs="Arial"/>
          <w:szCs w:val="24"/>
          <w:shd w:val="clear" w:color="auto" w:fill="FFFFFF"/>
        </w:rPr>
        <w:t xml:space="preserve"> legal battles</w:t>
      </w:r>
      <w:r>
        <w:rPr>
          <w:rFonts w:cs="Arial"/>
          <w:szCs w:val="24"/>
          <w:shd w:val="clear" w:color="auto" w:fill="FFFFFF"/>
        </w:rPr>
        <w:t xml:space="preserve">, which </w:t>
      </w:r>
      <w:r w:rsidR="00A6679B">
        <w:rPr>
          <w:rFonts w:cs="Arial"/>
          <w:szCs w:val="24"/>
          <w:shd w:val="clear" w:color="auto" w:fill="FFFFFF"/>
        </w:rPr>
        <w:t>impact on reputation (Marketline,2020).</w:t>
      </w:r>
    </w:p>
    <w:p w:rsidR="00A6679B" w:rsidRDefault="00A6679B" w:rsidP="00A6679B">
      <w:pPr>
        <w:rPr>
          <w:rFonts w:cs="Arial"/>
          <w:szCs w:val="24"/>
        </w:rPr>
      </w:pPr>
      <w:r>
        <w:rPr>
          <w:rFonts w:cs="Arial"/>
          <w:szCs w:val="24"/>
        </w:rPr>
        <w:t>The major opportunities</w:t>
      </w:r>
      <w:r w:rsidR="00156DC6">
        <w:rPr>
          <w:rFonts w:cs="Arial"/>
          <w:szCs w:val="24"/>
        </w:rPr>
        <w:t>/</w:t>
      </w:r>
      <w:r>
        <w:rPr>
          <w:rFonts w:cs="Arial"/>
          <w:szCs w:val="24"/>
        </w:rPr>
        <w:t xml:space="preserve">threats were identified in the PESTLE analysis. Vital opportunities to be exploited: diversifying products and </w:t>
      </w:r>
      <w:r w:rsidR="00156DC6">
        <w:rPr>
          <w:rFonts w:cs="Arial"/>
          <w:szCs w:val="24"/>
        </w:rPr>
        <w:t>sat</w:t>
      </w:r>
      <w:r w:rsidR="003801D4">
        <w:rPr>
          <w:rFonts w:cs="Arial"/>
          <w:szCs w:val="24"/>
        </w:rPr>
        <w:t>is</w:t>
      </w:r>
      <w:r w:rsidR="00156DC6">
        <w:rPr>
          <w:rFonts w:cs="Arial"/>
          <w:szCs w:val="24"/>
        </w:rPr>
        <w:t>fying</w:t>
      </w:r>
      <w:r>
        <w:rPr>
          <w:rFonts w:cs="Arial"/>
          <w:szCs w:val="24"/>
        </w:rPr>
        <w:t xml:space="preserve"> forecast demand for innovative non-alcoholic beverages; increasing demand for healthy lifestyles and premium-priced drinks; enhancing sustainable practice, for instance laboratory created ingredients; optimising technology in distribution/production; customisation; online/direct sales. Substantial threats are: declin</w:t>
      </w:r>
      <w:r w:rsidR="00156DC6">
        <w:rPr>
          <w:rFonts w:cs="Arial"/>
          <w:szCs w:val="24"/>
        </w:rPr>
        <w:t>ing</w:t>
      </w:r>
      <w:r>
        <w:rPr>
          <w:rFonts w:cs="Arial"/>
          <w:szCs w:val="24"/>
        </w:rPr>
        <w:t xml:space="preserve"> demand owing to continu</w:t>
      </w:r>
      <w:r w:rsidR="00156DC6">
        <w:rPr>
          <w:rFonts w:cs="Arial"/>
          <w:szCs w:val="24"/>
        </w:rPr>
        <w:t>ing</w:t>
      </w:r>
      <w:r>
        <w:rPr>
          <w:rFonts w:cs="Arial"/>
          <w:szCs w:val="24"/>
        </w:rPr>
        <w:t xml:space="preserve"> coronavirus restrictions</w:t>
      </w:r>
      <w:r w:rsidR="00156DC6">
        <w:rPr>
          <w:rFonts w:cs="Arial"/>
          <w:szCs w:val="24"/>
        </w:rPr>
        <w:t>,</w:t>
      </w:r>
      <w:r>
        <w:rPr>
          <w:rFonts w:cs="Arial"/>
          <w:szCs w:val="24"/>
        </w:rPr>
        <w:t xml:space="preserve"> and impact on manufacturing</w:t>
      </w:r>
      <w:r w:rsidR="00156DC6">
        <w:rPr>
          <w:rFonts w:cs="Arial"/>
          <w:szCs w:val="24"/>
        </w:rPr>
        <w:t>/</w:t>
      </w:r>
      <w:r>
        <w:rPr>
          <w:rFonts w:cs="Arial"/>
          <w:szCs w:val="24"/>
        </w:rPr>
        <w:t>distribution; ingredient shortages; declining demand for traditional beverage products; poor reputation associated with sustainable practice.</w:t>
      </w:r>
    </w:p>
    <w:p w:rsidR="00A6679B" w:rsidRDefault="00A6679B" w:rsidP="00711C1A">
      <w:pPr>
        <w:pStyle w:val="Heading1"/>
      </w:pPr>
      <w:bookmarkStart w:id="19" w:name="_Toc50649042"/>
      <w:r w:rsidRPr="00964B2B">
        <w:t>Coca-Cola Marketing</w:t>
      </w:r>
      <w:bookmarkEnd w:id="19"/>
    </w:p>
    <w:p w:rsidR="00A6679B" w:rsidRPr="002A0280" w:rsidRDefault="00A6679B" w:rsidP="00A6679B">
      <w:pPr>
        <w:rPr>
          <w:rFonts w:cs="Arial"/>
          <w:szCs w:val="24"/>
        </w:rPr>
      </w:pPr>
      <w:r w:rsidRPr="002A0280">
        <w:rPr>
          <w:rFonts w:cs="Arial"/>
          <w:szCs w:val="24"/>
        </w:rPr>
        <w:t>The market analysis include</w:t>
      </w:r>
      <w:r w:rsidR="00156DC6">
        <w:rPr>
          <w:rFonts w:cs="Arial"/>
          <w:szCs w:val="24"/>
        </w:rPr>
        <w:t>s</w:t>
      </w:r>
      <w:r w:rsidRPr="002A0280">
        <w:rPr>
          <w:rFonts w:cs="Arial"/>
          <w:szCs w:val="24"/>
        </w:rPr>
        <w:t xml:space="preserve"> substantial information on Coca-Cola’s marketing strategy</w:t>
      </w:r>
      <w:r w:rsidR="00156DC6">
        <w:rPr>
          <w:rFonts w:cs="Arial"/>
          <w:szCs w:val="24"/>
        </w:rPr>
        <w:t>,therefore,</w:t>
      </w:r>
      <w:r w:rsidRPr="002A0280">
        <w:rPr>
          <w:rFonts w:cs="Arial"/>
          <w:szCs w:val="24"/>
        </w:rPr>
        <w:t xml:space="preserve"> this section of the report focuses on supplementing these facts with specific reference to positioning, segmenting and marketing mix. </w:t>
      </w:r>
    </w:p>
    <w:p w:rsidR="00A6679B" w:rsidRPr="0077789B" w:rsidRDefault="00A6679B" w:rsidP="00A6679B">
      <w:pPr>
        <w:shd w:val="clear" w:color="auto" w:fill="FFFFFF"/>
        <w:rPr>
          <w:rFonts w:cs="Arial"/>
        </w:rPr>
      </w:pPr>
      <w:r w:rsidRPr="00772100">
        <w:rPr>
          <w:rFonts w:cs="Arial"/>
          <w:szCs w:val="24"/>
        </w:rPr>
        <w:lastRenderedPageBreak/>
        <w:t xml:space="preserve">Coca-Cola overall </w:t>
      </w:r>
      <w:r>
        <w:rPr>
          <w:rFonts w:cs="Arial"/>
          <w:szCs w:val="24"/>
        </w:rPr>
        <w:t xml:space="preserve">marketing </w:t>
      </w:r>
      <w:r w:rsidRPr="00772100">
        <w:rPr>
          <w:rFonts w:cs="Arial"/>
          <w:szCs w:val="24"/>
        </w:rPr>
        <w:t xml:space="preserve">strategy is  brand repositioning (Keller and </w:t>
      </w:r>
      <w:r w:rsidRPr="00772100">
        <w:rPr>
          <w:rFonts w:cs="Arial"/>
          <w:szCs w:val="24"/>
          <w:shd w:val="clear" w:color="auto" w:fill="FFFFFF"/>
        </w:rPr>
        <w:t>Swaminathan</w:t>
      </w:r>
      <w:r w:rsidRPr="00772100">
        <w:rPr>
          <w:rFonts w:cs="Arial"/>
          <w:szCs w:val="24"/>
        </w:rPr>
        <w:t>, 2019)</w:t>
      </w:r>
      <w:r>
        <w:rPr>
          <w:rFonts w:cs="Arial"/>
          <w:szCs w:val="24"/>
        </w:rPr>
        <w:t xml:space="preserve"> as a total beverage company (CC,2020a) to mitigate association with obesity, An integrated marketing strategy, devised to generate a total customer journey comprising </w:t>
      </w:r>
      <w:r w:rsidR="00156DC6">
        <w:rPr>
          <w:rFonts w:cs="Arial"/>
          <w:szCs w:val="24"/>
        </w:rPr>
        <w:t>all</w:t>
      </w:r>
      <w:r>
        <w:rPr>
          <w:rFonts w:cs="Arial"/>
          <w:szCs w:val="24"/>
        </w:rPr>
        <w:t xml:space="preserve"> touchpoints, creating awareness across all channels, satisfaction throughout all segments, enabling decision making facilitated by consumer capacity to receive and to make product recommendations, constantly enhancing brand loyalty </w:t>
      </w:r>
      <w:bookmarkStart w:id="20" w:name="_Hlk50629576"/>
      <w:r w:rsidRPr="0077789B">
        <w:rPr>
          <w:rFonts w:cs="Arial"/>
          <w:szCs w:val="24"/>
        </w:rPr>
        <w:t>(</w:t>
      </w:r>
      <w:hyperlink r:id="rId13" w:history="1">
        <w:r w:rsidRPr="00A54DEF">
          <w:rPr>
            <w:rStyle w:val="Hyperlink"/>
            <w:rFonts w:cs="Arial"/>
            <w:color w:val="auto"/>
            <w:u w:val="none"/>
            <w:bdr w:val="none" w:sz="0" w:space="0" w:color="auto" w:frame="1"/>
          </w:rPr>
          <w:t>Maechler</w:t>
        </w:r>
      </w:hyperlink>
      <w:r w:rsidRPr="00A54DEF">
        <w:rPr>
          <w:rFonts w:cs="Arial"/>
        </w:rPr>
        <w:t>, </w:t>
      </w:r>
      <w:hyperlink r:id="rId14" w:history="1">
        <w:r w:rsidRPr="00A54DEF">
          <w:rPr>
            <w:rStyle w:val="Hyperlink"/>
            <w:rFonts w:cs="Arial"/>
            <w:color w:val="auto"/>
            <w:u w:val="none"/>
            <w:bdr w:val="none" w:sz="0" w:space="0" w:color="auto" w:frame="1"/>
          </w:rPr>
          <w:t xml:space="preserve"> Neher</w:t>
        </w:r>
      </w:hyperlink>
      <w:r w:rsidRPr="0077789B">
        <w:rPr>
          <w:rFonts w:cs="Arial"/>
        </w:rPr>
        <w:t>, and Park,2016).</w:t>
      </w:r>
      <w:r>
        <w:rPr>
          <w:rFonts w:cs="Arial"/>
        </w:rPr>
        <w:t xml:space="preserve"> It employs multiple segmentation approaches including geographical location, catering for global</w:t>
      </w:r>
      <w:r w:rsidR="00A54DEF">
        <w:rPr>
          <w:rFonts w:cs="Arial"/>
        </w:rPr>
        <w:t>/</w:t>
      </w:r>
      <w:r>
        <w:rPr>
          <w:rFonts w:cs="Arial"/>
        </w:rPr>
        <w:t>local tastes, psychographic and demographic age/lifestyle/income preferences (Kotler et al,2012).</w:t>
      </w:r>
    </w:p>
    <w:bookmarkEnd w:id="20"/>
    <w:p w:rsidR="00A6679B" w:rsidRDefault="00A6679B" w:rsidP="00A6679B">
      <w:pPr>
        <w:rPr>
          <w:rFonts w:cs="Arial"/>
          <w:szCs w:val="24"/>
        </w:rPr>
      </w:pPr>
      <w:r>
        <w:rPr>
          <w:rFonts w:cs="Arial"/>
          <w:szCs w:val="24"/>
        </w:rPr>
        <w:t xml:space="preserve">The 7P marketing mix has also been adapted to demonstrate product diversification with distinctive teas, coffees, dairy products, innovative premium products, waters and meal deals, and partnerships with premium brands such as Illycaffe. Price strategy is adjusted to the needs of all consumers, for instance through smaller portions, local pricing, diverse meal deals for different tastes/global locations. Promotion </w:t>
      </w:r>
      <w:r w:rsidR="00A54DEF">
        <w:rPr>
          <w:rFonts w:cs="Arial"/>
          <w:szCs w:val="24"/>
        </w:rPr>
        <w:t>comprises</w:t>
      </w:r>
      <w:r>
        <w:rPr>
          <w:rFonts w:cs="Arial"/>
          <w:szCs w:val="24"/>
        </w:rPr>
        <w:t xml:space="preserve"> consistent message reflecting </w:t>
      </w:r>
      <w:r w:rsidR="00A54DEF">
        <w:rPr>
          <w:rFonts w:cs="Arial"/>
          <w:szCs w:val="24"/>
        </w:rPr>
        <w:t>Coca-Cola’s</w:t>
      </w:r>
      <w:r>
        <w:rPr>
          <w:rFonts w:cs="Arial"/>
          <w:szCs w:val="24"/>
        </w:rPr>
        <w:t xml:space="preserve"> mission to refresh the world, incorporating all media, including print advertising, website, social media</w:t>
      </w:r>
      <w:r w:rsidR="00A54DEF">
        <w:rPr>
          <w:rFonts w:cs="Arial"/>
          <w:szCs w:val="24"/>
        </w:rPr>
        <w:t>,</w:t>
      </w:r>
      <w:r>
        <w:rPr>
          <w:rFonts w:cs="Arial"/>
          <w:szCs w:val="24"/>
        </w:rPr>
        <w:t xml:space="preserve"> mobile marketing plus special offers.  Distribution is generated directly and indirectly by means of Coca-Cola owned and franchised bottlers, wholesalers and retailers, intelligent automatic dispensing machines and online, with delivery included and voice ordering of further products at delivery points. Hence</w:t>
      </w:r>
      <w:r w:rsidR="00A54DEF">
        <w:rPr>
          <w:rFonts w:cs="Arial"/>
          <w:szCs w:val="24"/>
        </w:rPr>
        <w:t>,</w:t>
      </w:r>
      <w:r>
        <w:rPr>
          <w:rFonts w:cs="Arial"/>
          <w:szCs w:val="24"/>
        </w:rPr>
        <w:t xml:space="preserve"> it generates sales by combining push and pull strategies (CC,202bd;Quincy,2020;</w:t>
      </w:r>
      <w:bookmarkStart w:id="21" w:name="_Hlk50630606"/>
      <w:r>
        <w:rPr>
          <w:rFonts w:cs="Arial"/>
          <w:szCs w:val="24"/>
        </w:rPr>
        <w:t>Doerling,2017</w:t>
      </w:r>
      <w:bookmarkEnd w:id="21"/>
      <w:r>
        <w:rPr>
          <w:rFonts w:cs="Arial"/>
          <w:szCs w:val="24"/>
        </w:rPr>
        <w:t xml:space="preserve">;Keller and </w:t>
      </w:r>
      <w:r w:rsidRPr="00115111">
        <w:rPr>
          <w:rFonts w:cs="Arial"/>
          <w:szCs w:val="24"/>
          <w:shd w:val="clear" w:color="auto" w:fill="FFFFFF"/>
        </w:rPr>
        <w:t>Swaminathan</w:t>
      </w:r>
      <w:r w:rsidRPr="00115111">
        <w:rPr>
          <w:rFonts w:cs="Arial"/>
          <w:szCs w:val="24"/>
        </w:rPr>
        <w:t>,</w:t>
      </w:r>
      <w:r>
        <w:rPr>
          <w:rFonts w:cs="Arial"/>
          <w:szCs w:val="24"/>
        </w:rPr>
        <w:t>2019). These indicate integration of three soft Ps</w:t>
      </w:r>
      <w:r w:rsidR="00A54DEF">
        <w:rPr>
          <w:rFonts w:cs="Arial"/>
          <w:szCs w:val="24"/>
        </w:rPr>
        <w:t xml:space="preserve">: </w:t>
      </w:r>
      <w:r>
        <w:rPr>
          <w:rFonts w:cs="Arial"/>
          <w:szCs w:val="24"/>
        </w:rPr>
        <w:t>physical evidence</w:t>
      </w:r>
      <w:r w:rsidR="00A54DEF">
        <w:rPr>
          <w:rFonts w:cs="Arial"/>
          <w:szCs w:val="24"/>
        </w:rPr>
        <w:t xml:space="preserve"> through</w:t>
      </w:r>
      <w:r>
        <w:rPr>
          <w:rFonts w:cs="Arial"/>
          <w:szCs w:val="24"/>
        </w:rPr>
        <w:t xml:space="preserve"> visible</w:t>
      </w:r>
      <w:r w:rsidR="00A54DEF">
        <w:rPr>
          <w:rFonts w:cs="Arial"/>
          <w:szCs w:val="24"/>
        </w:rPr>
        <w:t xml:space="preserve"> global</w:t>
      </w:r>
      <w:r>
        <w:rPr>
          <w:rFonts w:cs="Arial"/>
          <w:szCs w:val="24"/>
        </w:rPr>
        <w:t xml:space="preserve"> company presence</w:t>
      </w:r>
      <w:r w:rsidR="00A54DEF">
        <w:rPr>
          <w:rFonts w:cs="Arial"/>
          <w:szCs w:val="24"/>
        </w:rPr>
        <w:t xml:space="preserve">, </w:t>
      </w:r>
      <w:r>
        <w:rPr>
          <w:rFonts w:cs="Arial"/>
          <w:szCs w:val="24"/>
        </w:rPr>
        <w:t xml:space="preserve">co-creation </w:t>
      </w:r>
      <w:r w:rsidR="00A54DEF">
        <w:rPr>
          <w:rFonts w:cs="Arial"/>
          <w:szCs w:val="24"/>
        </w:rPr>
        <w:t>facilitated by</w:t>
      </w:r>
      <w:r>
        <w:rPr>
          <w:rFonts w:cs="Arial"/>
          <w:szCs w:val="24"/>
        </w:rPr>
        <w:t xml:space="preserve"> constantdata feedback</w:t>
      </w:r>
      <w:r w:rsidR="00A54DEF">
        <w:rPr>
          <w:rFonts w:cs="Arial"/>
          <w:szCs w:val="24"/>
        </w:rPr>
        <w:t>;</w:t>
      </w:r>
      <w:r>
        <w:rPr>
          <w:rFonts w:cs="Arial"/>
          <w:szCs w:val="24"/>
        </w:rPr>
        <w:t xml:space="preserve"> process </w:t>
      </w:r>
      <w:r w:rsidR="00A54DEF">
        <w:rPr>
          <w:rFonts w:cs="Arial"/>
          <w:szCs w:val="24"/>
        </w:rPr>
        <w:t>indications include</w:t>
      </w:r>
      <w:r>
        <w:rPr>
          <w:rFonts w:cs="Arial"/>
          <w:szCs w:val="24"/>
        </w:rPr>
        <w:t xml:space="preserve"> self-service and delivery technologies</w:t>
      </w:r>
      <w:r w:rsidR="00A54DEF">
        <w:rPr>
          <w:rFonts w:cs="Arial"/>
          <w:szCs w:val="24"/>
        </w:rPr>
        <w:t>;</w:t>
      </w:r>
      <w:r>
        <w:rPr>
          <w:rFonts w:cs="Arial"/>
          <w:szCs w:val="24"/>
        </w:rPr>
        <w:t xml:space="preserve"> people </w:t>
      </w:r>
      <w:r w:rsidR="00A54DEF">
        <w:rPr>
          <w:rFonts w:cs="Arial"/>
          <w:szCs w:val="24"/>
        </w:rPr>
        <w:t>because</w:t>
      </w:r>
      <w:r>
        <w:rPr>
          <w:rFonts w:cs="Arial"/>
          <w:szCs w:val="24"/>
        </w:rPr>
        <w:t xml:space="preserve"> consumer</w:t>
      </w:r>
      <w:r w:rsidR="00A54DEF">
        <w:rPr>
          <w:rFonts w:cs="Arial"/>
          <w:szCs w:val="24"/>
        </w:rPr>
        <w:t>-</w:t>
      </w:r>
      <w:r>
        <w:rPr>
          <w:rFonts w:cs="Arial"/>
          <w:szCs w:val="24"/>
        </w:rPr>
        <w:t>to</w:t>
      </w:r>
      <w:r w:rsidR="00A54DEF">
        <w:rPr>
          <w:rFonts w:cs="Arial"/>
          <w:szCs w:val="24"/>
        </w:rPr>
        <w:t>-</w:t>
      </w:r>
      <w:r>
        <w:rPr>
          <w:rFonts w:cs="Arial"/>
          <w:szCs w:val="24"/>
        </w:rPr>
        <w:t>consumer</w:t>
      </w:r>
      <w:r w:rsidR="00A54DEF">
        <w:rPr>
          <w:rFonts w:cs="Arial"/>
          <w:szCs w:val="24"/>
        </w:rPr>
        <w:t>-</w:t>
      </w:r>
      <w:r>
        <w:rPr>
          <w:rFonts w:cs="Arial"/>
          <w:szCs w:val="24"/>
        </w:rPr>
        <w:t xml:space="preserve">company link is seamless (Kotler et al.,2012). </w:t>
      </w:r>
    </w:p>
    <w:p w:rsidR="00A6679B" w:rsidRDefault="00A6679B" w:rsidP="00711C1A">
      <w:pPr>
        <w:pStyle w:val="Heading1"/>
      </w:pPr>
      <w:bookmarkStart w:id="22" w:name="_Toc50649043"/>
      <w:r w:rsidRPr="00546D3A">
        <w:t>Conclusion</w:t>
      </w:r>
      <w:bookmarkEnd w:id="22"/>
    </w:p>
    <w:p w:rsidR="00A6679B" w:rsidRDefault="00A54DEF" w:rsidP="00A6679B">
      <w:pPr>
        <w:rPr>
          <w:rFonts w:cs="Arial"/>
          <w:szCs w:val="24"/>
        </w:rPr>
      </w:pPr>
      <w:r>
        <w:rPr>
          <w:rFonts w:cs="Arial"/>
          <w:szCs w:val="24"/>
        </w:rPr>
        <w:t>This</w:t>
      </w:r>
      <w:r w:rsidR="00A6679B" w:rsidRPr="002A0280">
        <w:rPr>
          <w:rFonts w:cs="Arial"/>
          <w:szCs w:val="24"/>
        </w:rPr>
        <w:t xml:space="preserve"> report critically appraise</w:t>
      </w:r>
      <w:r>
        <w:rPr>
          <w:rFonts w:cs="Arial"/>
          <w:szCs w:val="24"/>
        </w:rPr>
        <w:t>d</w:t>
      </w:r>
      <w:r w:rsidR="00A6679B" w:rsidRPr="002A0280">
        <w:rPr>
          <w:rFonts w:cs="Arial"/>
          <w:szCs w:val="24"/>
        </w:rPr>
        <w:t xml:space="preserve"> Coca-Cola</w:t>
      </w:r>
      <w:r>
        <w:rPr>
          <w:rFonts w:cs="Arial"/>
          <w:szCs w:val="24"/>
        </w:rPr>
        <w:t>’s</w:t>
      </w:r>
      <w:r w:rsidR="00A6679B" w:rsidRPr="002A0280">
        <w:rPr>
          <w:rFonts w:cs="Arial"/>
          <w:szCs w:val="24"/>
        </w:rPr>
        <w:t xml:space="preserve"> operations in the context of it</w:t>
      </w:r>
      <w:r>
        <w:rPr>
          <w:rFonts w:cs="Arial"/>
          <w:szCs w:val="24"/>
        </w:rPr>
        <w:t>s</w:t>
      </w:r>
      <w:r w:rsidR="00A6679B" w:rsidRPr="002A0280">
        <w:rPr>
          <w:rFonts w:cs="Arial"/>
          <w:szCs w:val="24"/>
        </w:rPr>
        <w:t xml:space="preserve"> external environmental</w:t>
      </w:r>
      <w:r>
        <w:rPr>
          <w:rFonts w:cs="Arial"/>
          <w:szCs w:val="24"/>
        </w:rPr>
        <w:t>,</w:t>
      </w:r>
      <w:r w:rsidR="00A6679B" w:rsidRPr="002A0280">
        <w:rPr>
          <w:rFonts w:cs="Arial"/>
          <w:szCs w:val="24"/>
        </w:rPr>
        <w:t xml:space="preserve"> industry sector andinternal capabilities so that recommendations could be made for future marketing strategies </w:t>
      </w:r>
      <w:r>
        <w:rPr>
          <w:rFonts w:cs="Arial"/>
          <w:szCs w:val="24"/>
        </w:rPr>
        <w:t>to</w:t>
      </w:r>
      <w:r w:rsidR="00A6679B" w:rsidRPr="002A0280">
        <w:rPr>
          <w:rFonts w:cs="Arial"/>
          <w:szCs w:val="24"/>
        </w:rPr>
        <w:t xml:space="preserve"> provide sustainable competitive advantage. The main conclusions are that the company has made substantial progress in repositioning its brand as a total beverage company</w:t>
      </w:r>
      <w:r w:rsidR="003801D4">
        <w:rPr>
          <w:rFonts w:cs="Arial"/>
          <w:szCs w:val="24"/>
        </w:rPr>
        <w:t>,</w:t>
      </w:r>
      <w:r w:rsidR="00A6679B" w:rsidRPr="002A0280">
        <w:rPr>
          <w:rFonts w:cs="Arial"/>
          <w:szCs w:val="24"/>
        </w:rPr>
        <w:t xml:space="preserve">  and </w:t>
      </w:r>
      <w:r w:rsidR="003801D4">
        <w:rPr>
          <w:rFonts w:cs="Arial"/>
          <w:szCs w:val="24"/>
        </w:rPr>
        <w:t xml:space="preserve"> was </w:t>
      </w:r>
      <w:r w:rsidR="00A6679B" w:rsidRPr="002A0280">
        <w:rPr>
          <w:rFonts w:cs="Arial"/>
          <w:szCs w:val="24"/>
        </w:rPr>
        <w:t xml:space="preserve">extremely </w:t>
      </w:r>
      <w:r w:rsidR="00A6679B" w:rsidRPr="002A0280">
        <w:rPr>
          <w:rFonts w:cs="Arial"/>
          <w:szCs w:val="24"/>
        </w:rPr>
        <w:lastRenderedPageBreak/>
        <w:t>agile in response to the Coronavirus pandemic and its on-going impact.</w:t>
      </w:r>
      <w:r w:rsidR="00A6679B">
        <w:rPr>
          <w:rFonts w:cs="Arial"/>
          <w:szCs w:val="24"/>
        </w:rPr>
        <w:t xml:space="preserve"> Coca-Cola has substantive innovative, marketing, financial and people capabilities to sustain its market leadership and competitive advantage. However, weaknesses remain such as its poor reputation </w:t>
      </w:r>
      <w:r w:rsidR="006810C0">
        <w:rPr>
          <w:rFonts w:cs="Arial"/>
          <w:szCs w:val="24"/>
        </w:rPr>
        <w:t>for</w:t>
      </w:r>
      <w:r w:rsidR="00A6679B">
        <w:rPr>
          <w:rFonts w:cs="Arial"/>
          <w:szCs w:val="24"/>
        </w:rPr>
        <w:t xml:space="preserve"> sustainable practice, brand association with obesity, and insufficient exploitation of technologies</w:t>
      </w:r>
      <w:r w:rsidR="003801D4">
        <w:rPr>
          <w:rFonts w:cs="Arial"/>
          <w:szCs w:val="24"/>
        </w:rPr>
        <w:t xml:space="preserve">. </w:t>
      </w:r>
      <w:r w:rsidR="00A6679B">
        <w:rPr>
          <w:rFonts w:cs="Arial"/>
          <w:szCs w:val="24"/>
        </w:rPr>
        <w:t>Therefore the major recommendations are to:</w:t>
      </w:r>
    </w:p>
    <w:p w:rsidR="00A6679B" w:rsidRPr="006F10D1" w:rsidRDefault="00A6679B" w:rsidP="00A6679B">
      <w:pPr>
        <w:pStyle w:val="ListParagraph"/>
        <w:numPr>
          <w:ilvl w:val="0"/>
          <w:numId w:val="4"/>
        </w:numPr>
        <w:rPr>
          <w:rFonts w:cs="Arial"/>
          <w:szCs w:val="24"/>
        </w:rPr>
      </w:pPr>
      <w:r w:rsidRPr="006F10D1">
        <w:rPr>
          <w:rFonts w:cs="Arial"/>
          <w:szCs w:val="24"/>
        </w:rPr>
        <w:t>Continue increasing  product diversity</w:t>
      </w:r>
      <w:r>
        <w:rPr>
          <w:rFonts w:cs="Arial"/>
          <w:szCs w:val="24"/>
        </w:rPr>
        <w:t xml:space="preserve"> with strongest brands</w:t>
      </w:r>
      <w:r w:rsidRPr="006F10D1">
        <w:rPr>
          <w:rFonts w:cs="Arial"/>
          <w:szCs w:val="24"/>
        </w:rPr>
        <w:t>, investments in acquisition/alliance with sustainable brands</w:t>
      </w:r>
      <w:r w:rsidR="003801D4">
        <w:rPr>
          <w:rFonts w:cs="Arial"/>
          <w:szCs w:val="24"/>
        </w:rPr>
        <w:t>,</w:t>
      </w:r>
      <w:r w:rsidRPr="006F10D1">
        <w:rPr>
          <w:rFonts w:cs="Arial"/>
          <w:szCs w:val="24"/>
        </w:rPr>
        <w:t xml:space="preserve"> and new consumer preferences</w:t>
      </w:r>
      <w:r>
        <w:rPr>
          <w:rFonts w:cs="Arial"/>
          <w:szCs w:val="24"/>
        </w:rPr>
        <w:t xml:space="preserve"> to diminish sugar image and protect profit</w:t>
      </w:r>
      <w:r w:rsidR="003801D4">
        <w:rPr>
          <w:rFonts w:cs="Arial"/>
          <w:szCs w:val="24"/>
        </w:rPr>
        <w:t>s</w:t>
      </w:r>
    </w:p>
    <w:p w:rsidR="00A6679B" w:rsidRPr="005965FF" w:rsidRDefault="00A6679B" w:rsidP="00A6679B">
      <w:pPr>
        <w:pStyle w:val="ListParagraph"/>
        <w:numPr>
          <w:ilvl w:val="0"/>
          <w:numId w:val="4"/>
        </w:numPr>
        <w:rPr>
          <w:szCs w:val="24"/>
        </w:rPr>
      </w:pPr>
      <w:r w:rsidRPr="005965FF">
        <w:rPr>
          <w:rFonts w:cs="Arial"/>
          <w:szCs w:val="24"/>
        </w:rPr>
        <w:t xml:space="preserve">Instigate synthetic ingredient development to mitigate possible future ingredient shortages </w:t>
      </w:r>
      <w:r w:rsidR="003801D4">
        <w:rPr>
          <w:rFonts w:cs="Arial"/>
          <w:szCs w:val="24"/>
        </w:rPr>
        <w:t>concurrently</w:t>
      </w:r>
      <w:r w:rsidRPr="005965FF">
        <w:rPr>
          <w:rFonts w:cs="Arial"/>
          <w:szCs w:val="24"/>
        </w:rPr>
        <w:t xml:space="preserve"> enhancing visible commitment to sustainable </w:t>
      </w:r>
      <w:r>
        <w:rPr>
          <w:rFonts w:cs="Arial"/>
          <w:szCs w:val="24"/>
        </w:rPr>
        <w:t>supply chain</w:t>
      </w:r>
    </w:p>
    <w:p w:rsidR="00A6679B" w:rsidRPr="005965FF" w:rsidRDefault="00A6679B" w:rsidP="00A6679B">
      <w:pPr>
        <w:pStyle w:val="ListParagraph"/>
        <w:numPr>
          <w:ilvl w:val="0"/>
          <w:numId w:val="4"/>
        </w:numPr>
        <w:rPr>
          <w:szCs w:val="24"/>
        </w:rPr>
      </w:pPr>
      <w:r>
        <w:rPr>
          <w:rFonts w:cs="Arial"/>
          <w:szCs w:val="24"/>
        </w:rPr>
        <w:t>Increase reporting transparency especially regarding water consumption to reduce accusation of greenwashing</w:t>
      </w:r>
    </w:p>
    <w:p w:rsidR="00A6679B" w:rsidRPr="005965FF" w:rsidRDefault="00A6679B" w:rsidP="00A6679B">
      <w:pPr>
        <w:pStyle w:val="ListParagraph"/>
        <w:numPr>
          <w:ilvl w:val="0"/>
          <w:numId w:val="4"/>
        </w:numPr>
        <w:rPr>
          <w:szCs w:val="24"/>
        </w:rPr>
      </w:pPr>
      <w:r w:rsidRPr="005965FF">
        <w:rPr>
          <w:rFonts w:cs="Arial"/>
          <w:szCs w:val="24"/>
        </w:rPr>
        <w:t xml:space="preserve">Further exploit new consumer preferences for innovative premium non-alcoholic beverages such as cocktails, wines and </w:t>
      </w:r>
      <w:r>
        <w:rPr>
          <w:rFonts w:cs="Arial"/>
          <w:szCs w:val="24"/>
        </w:rPr>
        <w:t xml:space="preserve">plant-based drinks to </w:t>
      </w:r>
      <w:r w:rsidR="003801D4">
        <w:rPr>
          <w:rFonts w:cs="Arial"/>
          <w:szCs w:val="24"/>
        </w:rPr>
        <w:t xml:space="preserve">diminish </w:t>
      </w:r>
      <w:r>
        <w:rPr>
          <w:rFonts w:cs="Arial"/>
          <w:szCs w:val="24"/>
        </w:rPr>
        <w:t>profi</w:t>
      </w:r>
      <w:r w:rsidR="003801D4">
        <w:rPr>
          <w:rFonts w:cs="Arial"/>
          <w:szCs w:val="24"/>
        </w:rPr>
        <w:t>t uncertainty</w:t>
      </w:r>
    </w:p>
    <w:p w:rsidR="00A6679B" w:rsidRPr="005965FF" w:rsidRDefault="00A6679B" w:rsidP="00A6679B">
      <w:pPr>
        <w:pStyle w:val="ListParagraph"/>
        <w:numPr>
          <w:ilvl w:val="0"/>
          <w:numId w:val="4"/>
        </w:numPr>
        <w:rPr>
          <w:szCs w:val="24"/>
        </w:rPr>
      </w:pPr>
      <w:r>
        <w:rPr>
          <w:rFonts w:cs="Arial"/>
          <w:szCs w:val="24"/>
        </w:rPr>
        <w:t>Instigate higher value  strategies on small portions of consumer preferred products</w:t>
      </w:r>
    </w:p>
    <w:p w:rsidR="00A6679B" w:rsidRPr="004B105D" w:rsidRDefault="00A6679B" w:rsidP="00A6679B">
      <w:pPr>
        <w:pStyle w:val="ListParagraph"/>
        <w:numPr>
          <w:ilvl w:val="0"/>
          <w:numId w:val="4"/>
        </w:numPr>
        <w:rPr>
          <w:szCs w:val="24"/>
        </w:rPr>
      </w:pPr>
      <w:r w:rsidRPr="005965FF">
        <w:rPr>
          <w:rFonts w:cs="Arial"/>
          <w:szCs w:val="24"/>
        </w:rPr>
        <w:t>Expand direct marketing capacityusing new technologies and distribution channels to manage demand and supply</w:t>
      </w:r>
      <w:r>
        <w:rPr>
          <w:rFonts w:cs="Arial"/>
          <w:szCs w:val="24"/>
        </w:rPr>
        <w:t>, exploiting strength of bottler network</w:t>
      </w:r>
    </w:p>
    <w:p w:rsidR="004B105D" w:rsidRDefault="004B105D">
      <w:pPr>
        <w:spacing w:line="259" w:lineRule="auto"/>
        <w:jc w:val="left"/>
        <w:rPr>
          <w:rFonts w:cs="Arial"/>
          <w:szCs w:val="24"/>
        </w:rPr>
      </w:pPr>
      <w:r>
        <w:rPr>
          <w:rFonts w:cs="Arial"/>
          <w:szCs w:val="24"/>
        </w:rPr>
        <w:br w:type="page"/>
      </w:r>
    </w:p>
    <w:p w:rsidR="00E95D36" w:rsidRDefault="00E95D36" w:rsidP="00E95D36">
      <w:pPr>
        <w:pStyle w:val="Heading1"/>
      </w:pPr>
      <w:bookmarkStart w:id="23" w:name="_Toc50649044"/>
      <w:r>
        <w:lastRenderedPageBreak/>
        <w:t>REFERENCES</w:t>
      </w:r>
      <w:bookmarkEnd w:id="23"/>
    </w:p>
    <w:p w:rsidR="00083038" w:rsidRDefault="00083038" w:rsidP="00083038">
      <w:pPr>
        <w:spacing w:line="240" w:lineRule="auto"/>
        <w:rPr>
          <w:rFonts w:cs="Arial"/>
          <w:szCs w:val="24"/>
        </w:rPr>
      </w:pPr>
      <w:r w:rsidRPr="00711F9F">
        <w:t xml:space="preserve">Arev, J., 2016. </w:t>
      </w:r>
      <w:r w:rsidRPr="00711F9F">
        <w:rPr>
          <w:i/>
          <w:iCs/>
        </w:rPr>
        <w:t>Coca-Cola and Water Scarcity: substantial progress or just another drop in the bucket?</w:t>
      </w:r>
      <w:r w:rsidRPr="00711F9F">
        <w:t xml:space="preserve">  Harvard Business School </w:t>
      </w:r>
      <w:r w:rsidRPr="00711F9F">
        <w:rPr>
          <w:rFonts w:cs="Arial"/>
        </w:rPr>
        <w:t>[</w:t>
      </w:r>
      <w:r w:rsidRPr="00711F9F">
        <w:rPr>
          <w:szCs w:val="24"/>
        </w:rPr>
        <w:t>online</w:t>
      </w:r>
      <w:r w:rsidRPr="00711F9F">
        <w:rPr>
          <w:rFonts w:cs="Arial"/>
          <w:szCs w:val="24"/>
        </w:rPr>
        <w:t xml:space="preserve">] </w:t>
      </w:r>
      <w:r w:rsidRPr="00711F9F">
        <w:rPr>
          <w:szCs w:val="24"/>
        </w:rPr>
        <w:t>Available at: &lt;</w:t>
      </w:r>
      <w:hyperlink r:id="rId15" w:history="1">
        <w:r w:rsidRPr="00083038">
          <w:rPr>
            <w:rStyle w:val="Hyperlink"/>
            <w:color w:val="auto"/>
            <w:u w:val="none"/>
          </w:rPr>
          <w:t>https://digital.hbs.edu/platform-rctom/submission/coca-cola-and-water-scarcity-substantial-progress-or-just-another-drop-in-the-bucket/</w:t>
        </w:r>
      </w:hyperlink>
      <w:r w:rsidRPr="00083038">
        <w:t>&gt;</w:t>
      </w:r>
      <w:r w:rsidRPr="00711F9F">
        <w:rPr>
          <w:rFonts w:cs="Arial"/>
          <w:szCs w:val="24"/>
        </w:rPr>
        <w:t>[</w:t>
      </w:r>
      <w:r w:rsidRPr="00711F9F">
        <w:rPr>
          <w:szCs w:val="24"/>
        </w:rPr>
        <w:t>Accessed 1</w:t>
      </w:r>
      <w:r>
        <w:rPr>
          <w:szCs w:val="24"/>
        </w:rPr>
        <w:t>0</w:t>
      </w:r>
      <w:r w:rsidRPr="00711F9F">
        <w:rPr>
          <w:szCs w:val="24"/>
        </w:rPr>
        <w:t xml:space="preserve"> September 2020</w:t>
      </w:r>
      <w:r w:rsidRPr="00711F9F">
        <w:rPr>
          <w:rFonts w:cs="Arial"/>
          <w:szCs w:val="24"/>
        </w:rPr>
        <w:t>].</w:t>
      </w:r>
    </w:p>
    <w:p w:rsidR="007F6937" w:rsidRDefault="007F6937" w:rsidP="007F6937">
      <w:pPr>
        <w:spacing w:line="240" w:lineRule="auto"/>
      </w:pPr>
      <w:r w:rsidRPr="00307F92">
        <w:t>AMR</w:t>
      </w:r>
      <w:r>
        <w:t xml:space="preserve">., </w:t>
      </w:r>
      <w:r w:rsidRPr="00307F92">
        <w:t xml:space="preserve">2020. Non Alcoholic Beverages Market by Product Type 2014 to 2022. </w:t>
      </w:r>
      <w:r w:rsidRPr="00307F92">
        <w:rPr>
          <w:rFonts w:cs="Arial"/>
          <w:szCs w:val="24"/>
        </w:rPr>
        <w:t>Available at</w:t>
      </w:r>
      <w:r>
        <w:rPr>
          <w:rFonts w:cs="Arial"/>
          <w:szCs w:val="24"/>
        </w:rPr>
        <w:t>:</w:t>
      </w:r>
      <w:r w:rsidRPr="00181608">
        <w:rPr>
          <w:rFonts w:cs="Arial"/>
          <w:szCs w:val="24"/>
        </w:rPr>
        <w:t>&lt;</w:t>
      </w:r>
      <w:hyperlink r:id="rId16" w:history="1">
        <w:r w:rsidRPr="00181608">
          <w:rPr>
            <w:rStyle w:val="Hyperlink"/>
            <w:color w:val="auto"/>
            <w:u w:val="none"/>
          </w:rPr>
          <w:t>https://www.alliedmarketresearch.com/non-alcoholic-drinks-market</w:t>
        </w:r>
      </w:hyperlink>
      <w:r w:rsidRPr="00307F92">
        <w:rPr>
          <w:rFonts w:cs="Arial"/>
          <w:szCs w:val="24"/>
        </w:rPr>
        <w:t>&gt;</w:t>
      </w:r>
      <w:r w:rsidRPr="00307F92">
        <w:rPr>
          <w:szCs w:val="24"/>
        </w:rPr>
        <w:t xml:space="preserve">[Accessed </w:t>
      </w:r>
      <w:r>
        <w:rPr>
          <w:szCs w:val="24"/>
        </w:rPr>
        <w:t>9 September</w:t>
      </w:r>
      <w:r w:rsidRPr="00307F92">
        <w:rPr>
          <w:szCs w:val="24"/>
        </w:rPr>
        <w:t xml:space="preserve"> 2020].</w:t>
      </w:r>
    </w:p>
    <w:p w:rsidR="0089126B" w:rsidRPr="0089126B" w:rsidRDefault="0089126B" w:rsidP="0089126B">
      <w:pPr>
        <w:spacing w:line="276" w:lineRule="auto"/>
        <w:rPr>
          <w:rFonts w:cs="Times New Roman"/>
          <w:szCs w:val="24"/>
        </w:rPr>
      </w:pPr>
      <w:r w:rsidRPr="0089126B">
        <w:rPr>
          <w:rFonts w:cs="Times New Roman"/>
          <w:szCs w:val="24"/>
        </w:rPr>
        <w:t xml:space="preserve">Ardnt, F., 2019 </w:t>
      </w:r>
      <w:r w:rsidRPr="0089126B">
        <w:rPr>
          <w:rFonts w:cs="Times New Roman"/>
          <w:i/>
          <w:iCs/>
          <w:spacing w:val="-15"/>
          <w:szCs w:val="24"/>
        </w:rPr>
        <w:t>Trends: The non-alcoholic beverage industry in 2038.</w:t>
      </w:r>
      <w:r w:rsidRPr="0089126B">
        <w:rPr>
          <w:rFonts w:cs="Times New Roman"/>
          <w:spacing w:val="-15"/>
          <w:szCs w:val="24"/>
        </w:rPr>
        <w:t xml:space="preserve">DrinkTec </w:t>
      </w:r>
      <w:r w:rsidRPr="0089126B">
        <w:rPr>
          <w:rFonts w:cs="Arial"/>
          <w:spacing w:val="-15"/>
          <w:szCs w:val="24"/>
        </w:rPr>
        <w:t>[</w:t>
      </w:r>
      <w:r w:rsidRPr="0089126B">
        <w:rPr>
          <w:rFonts w:cs="Times New Roman"/>
          <w:spacing w:val="-15"/>
          <w:szCs w:val="24"/>
        </w:rPr>
        <w:t>online</w:t>
      </w:r>
      <w:r w:rsidRPr="0089126B">
        <w:rPr>
          <w:rFonts w:cs="Arial"/>
          <w:spacing w:val="-15"/>
          <w:szCs w:val="24"/>
        </w:rPr>
        <w:t>]</w:t>
      </w:r>
      <w:r w:rsidRPr="0089126B">
        <w:rPr>
          <w:rFonts w:cs="Times New Roman"/>
          <w:szCs w:val="24"/>
        </w:rPr>
        <w:t>Available at: &lt;</w:t>
      </w:r>
      <w:hyperlink r:id="rId17" w:history="1">
        <w:r w:rsidRPr="0089126B">
          <w:rPr>
            <w:rStyle w:val="Hyperlink"/>
            <w:rFonts w:cs="Times New Roman"/>
            <w:color w:val="auto"/>
            <w:szCs w:val="24"/>
            <w:u w:val="none"/>
          </w:rPr>
          <w:t>https://blog.drinktec.com/non-alcoholic-beverages/trends-in-the-non-alcoholic-beverage-industry/</w:t>
        </w:r>
      </w:hyperlink>
      <w:r w:rsidRPr="0089126B">
        <w:rPr>
          <w:rFonts w:cs="Times New Roman"/>
          <w:szCs w:val="24"/>
        </w:rPr>
        <w:t xml:space="preserve">&gt; [Accessed 9 September 2020]. </w:t>
      </w:r>
    </w:p>
    <w:p w:rsidR="00D31DAA" w:rsidRDefault="00D31DAA" w:rsidP="00D31DAA">
      <w:pPr>
        <w:shd w:val="clear" w:color="auto" w:fill="FFFFFF"/>
        <w:spacing w:line="240" w:lineRule="auto"/>
        <w:rPr>
          <w:rFonts w:cs="Times New Roman"/>
          <w:szCs w:val="24"/>
        </w:rPr>
      </w:pPr>
      <w:r w:rsidRPr="00D31DAA">
        <w:t xml:space="preserve">Arthur, R., 2019. </w:t>
      </w:r>
      <w:hyperlink r:id="rId18" w:history="1">
        <w:r w:rsidRPr="00D31DAA">
          <w:rPr>
            <w:rStyle w:val="Hyperlink"/>
            <w:rFonts w:cs="Arial"/>
            <w:i/>
            <w:iCs/>
            <w:color w:val="auto"/>
            <w:u w:val="none"/>
          </w:rPr>
          <w:t>UK bans sale of energy drinks to U16s</w:t>
        </w:r>
      </w:hyperlink>
      <w:r w:rsidRPr="00D31DAA">
        <w:rPr>
          <w:rFonts w:cs="Arial"/>
        </w:rPr>
        <w:t xml:space="preserve">. Beverage Daily </w:t>
      </w:r>
      <w:r w:rsidRPr="00D31DAA">
        <w:rPr>
          <w:rFonts w:cs="Arial"/>
          <w:lang w:eastAsia="en-GB"/>
        </w:rPr>
        <w:t>[</w:t>
      </w:r>
      <w:r w:rsidRPr="00D31DAA">
        <w:rPr>
          <w:lang w:eastAsia="en-GB"/>
        </w:rPr>
        <w:t>online</w:t>
      </w:r>
      <w:r w:rsidRPr="00D31DAA">
        <w:rPr>
          <w:rFonts w:cs="Arial"/>
          <w:lang w:eastAsia="en-GB"/>
        </w:rPr>
        <w:t>]</w:t>
      </w:r>
      <w:r w:rsidRPr="00D31DAA">
        <w:rPr>
          <w:rFonts w:cs="Arial"/>
        </w:rPr>
        <w:t>Available at &lt;</w:t>
      </w:r>
      <w:hyperlink r:id="rId19" w:history="1">
        <w:r w:rsidRPr="00D31DAA">
          <w:rPr>
            <w:rStyle w:val="Hyperlink"/>
            <w:color w:val="auto"/>
            <w:u w:val="none"/>
          </w:rPr>
          <w:t>https://investors.coca-colacompany.com/strategy</w:t>
        </w:r>
      </w:hyperlink>
      <w:r w:rsidRPr="00D31DAA">
        <w:t>&gt;</w:t>
      </w:r>
      <w:r w:rsidRPr="00D31DAA">
        <w:rPr>
          <w:rFonts w:cs="Times New Roman"/>
          <w:szCs w:val="24"/>
        </w:rPr>
        <w:t xml:space="preserve">[Accessed 9 September 2020]. </w:t>
      </w:r>
    </w:p>
    <w:p w:rsidR="00DB78E2" w:rsidRPr="00BB731C" w:rsidRDefault="00DB78E2" w:rsidP="00DB78E2">
      <w:pPr>
        <w:spacing w:line="240" w:lineRule="auto"/>
      </w:pPr>
      <w:r w:rsidRPr="006F292C">
        <w:rPr>
          <w:rFonts w:cs="Times New Roman"/>
          <w:szCs w:val="24"/>
        </w:rPr>
        <w:t xml:space="preserve">BF.2019 </w:t>
      </w:r>
      <w:r w:rsidRPr="006F292C">
        <w:rPr>
          <w:rFonts w:cs="Times New Roman"/>
          <w:i/>
          <w:iCs/>
        </w:rPr>
        <w:t>Always Coca-Cola: World’s Favourite Soda</w:t>
      </w:r>
      <w:r w:rsidRPr="00BB731C">
        <w:rPr>
          <w:i/>
          <w:iCs/>
        </w:rPr>
        <w:t>Tops Brand Ranking</w:t>
      </w:r>
      <w:r w:rsidRPr="00BB731C">
        <w:t xml:space="preserve">. </w:t>
      </w:r>
      <w:r>
        <w:t xml:space="preserve">Brand Finance </w:t>
      </w:r>
      <w:r>
        <w:rPr>
          <w:rFonts w:cs="Arial"/>
        </w:rPr>
        <w:t>[</w:t>
      </w:r>
      <w:r>
        <w:t>online</w:t>
      </w:r>
      <w:r>
        <w:rPr>
          <w:rFonts w:cs="Arial"/>
        </w:rPr>
        <w:t>]</w:t>
      </w:r>
      <w:r w:rsidRPr="00BB731C">
        <w:rPr>
          <w:rFonts w:cs="Arial"/>
        </w:rPr>
        <w:t xml:space="preserve">Available at: </w:t>
      </w:r>
      <w:r>
        <w:rPr>
          <w:rFonts w:cs="Arial"/>
        </w:rPr>
        <w:t>&lt;</w:t>
      </w:r>
      <w:hyperlink r:id="rId20" w:history="1">
        <w:r w:rsidRPr="00DB78E2">
          <w:rPr>
            <w:rStyle w:val="Hyperlink"/>
            <w:color w:val="auto"/>
            <w:u w:val="none"/>
          </w:rPr>
          <w:t>https://brandfinance.com/news/press-releases/always-coca-cola-worlds-favourite-soda-tops-brand-ranking/</w:t>
        </w:r>
      </w:hyperlink>
      <w:r w:rsidRPr="00DB78E2">
        <w:rPr>
          <w:rFonts w:cs="Arial"/>
        </w:rPr>
        <w:t>&gt;</w:t>
      </w:r>
      <w:r w:rsidRPr="00BB731C">
        <w:rPr>
          <w:sz w:val="22"/>
        </w:rPr>
        <w:t xml:space="preserve">[Accessed </w:t>
      </w:r>
      <w:r>
        <w:rPr>
          <w:sz w:val="22"/>
        </w:rPr>
        <w:t>10 September</w:t>
      </w:r>
      <w:r w:rsidRPr="00BB731C">
        <w:rPr>
          <w:sz w:val="22"/>
        </w:rPr>
        <w:t xml:space="preserve"> 2020].</w:t>
      </w:r>
    </w:p>
    <w:p w:rsidR="00C321C3" w:rsidRDefault="00C321C3" w:rsidP="00C321C3">
      <w:pPr>
        <w:spacing w:line="240" w:lineRule="auto"/>
      </w:pPr>
      <w:r>
        <w:t xml:space="preserve">Burrellon, H., 2019 </w:t>
      </w:r>
      <w:r w:rsidRPr="00911743">
        <w:rPr>
          <w:i/>
          <w:iCs/>
          <w:lang w:eastAsia="en-GB"/>
        </w:rPr>
        <w:t>Five major trends for the non-alcoholic beverage industry in 2019</w:t>
      </w:r>
      <w:r w:rsidRPr="00234C51">
        <w:rPr>
          <w:i/>
          <w:iCs/>
        </w:rPr>
        <w:t>.</w:t>
      </w:r>
      <w:r w:rsidR="002E7A6A">
        <w:t xml:space="preserve">FoodBev </w:t>
      </w:r>
      <w:r w:rsidR="002E7A6A">
        <w:rPr>
          <w:rFonts w:cs="Arial"/>
        </w:rPr>
        <w:t>[</w:t>
      </w:r>
      <w:r w:rsidR="002E7A6A">
        <w:t>online</w:t>
      </w:r>
      <w:r w:rsidR="002E7A6A">
        <w:rPr>
          <w:rFonts w:cs="Arial"/>
        </w:rPr>
        <w:t>]</w:t>
      </w:r>
      <w:r w:rsidRPr="00942086">
        <w:rPr>
          <w:rFonts w:cs="Arial"/>
        </w:rPr>
        <w:t>Available at</w:t>
      </w:r>
      <w:r w:rsidRPr="00D91FB5">
        <w:rPr>
          <w:rFonts w:cs="Arial"/>
        </w:rPr>
        <w:t xml:space="preserve">:  </w:t>
      </w:r>
      <w:hyperlink r:id="rId21" w:history="1">
        <w:r w:rsidRPr="002E7A6A">
          <w:rPr>
            <w:rStyle w:val="Hyperlink"/>
            <w:color w:val="auto"/>
            <w:u w:val="none"/>
          </w:rPr>
          <w:t>https://www.foodbev.com/news/five-major-trends-for-the-non-alcoholic-beverage-industry-in-2019/</w:t>
        </w:r>
      </w:hyperlink>
      <w:r w:rsidRPr="00234C51">
        <w:rPr>
          <w:rFonts w:cs="Arial"/>
        </w:rPr>
        <w:t>&gt;</w:t>
      </w:r>
      <w:r w:rsidRPr="00D91FB5">
        <w:rPr>
          <w:sz w:val="22"/>
        </w:rPr>
        <w:t>[Acce</w:t>
      </w:r>
      <w:r w:rsidRPr="00942086">
        <w:rPr>
          <w:sz w:val="22"/>
        </w:rPr>
        <w:t xml:space="preserve">ssed </w:t>
      </w:r>
      <w:r w:rsidR="002E7A6A">
        <w:rPr>
          <w:sz w:val="22"/>
        </w:rPr>
        <w:t>9 September</w:t>
      </w:r>
      <w:r>
        <w:rPr>
          <w:sz w:val="22"/>
        </w:rPr>
        <w:t xml:space="preserve"> 2020</w:t>
      </w:r>
      <w:r w:rsidRPr="00942086">
        <w:rPr>
          <w:sz w:val="22"/>
        </w:rPr>
        <w:t>].</w:t>
      </w:r>
    </w:p>
    <w:p w:rsidR="00952ECA" w:rsidRPr="00952ECA" w:rsidRDefault="00952ECA" w:rsidP="00952ECA">
      <w:pPr>
        <w:spacing w:line="240" w:lineRule="auto"/>
      </w:pPr>
      <w:r>
        <w:t xml:space="preserve">CC., </w:t>
      </w:r>
      <w:r w:rsidRPr="00952ECA">
        <w:t xml:space="preserve">2020a. </w:t>
      </w:r>
      <w:r w:rsidRPr="00CC3485">
        <w:rPr>
          <w:i/>
          <w:iCs/>
        </w:rPr>
        <w:t>2019 Business &amp; Sustainability Report</w:t>
      </w:r>
      <w:r>
        <w:t xml:space="preserve">. </w:t>
      </w:r>
      <w:r w:rsidRPr="00952ECA">
        <w:t>Atlanta, GA: The Coca-Cola Company.</w:t>
      </w:r>
    </w:p>
    <w:p w:rsidR="00952ECA" w:rsidRDefault="00761B66" w:rsidP="00761B66">
      <w:pPr>
        <w:spacing w:line="240" w:lineRule="auto"/>
      </w:pPr>
      <w:r>
        <w:t xml:space="preserve">CC., 2020b. </w:t>
      </w:r>
      <w:r w:rsidRPr="00761B66">
        <w:rPr>
          <w:i/>
          <w:iCs/>
        </w:rPr>
        <w:t>About Us</w:t>
      </w:r>
      <w:r>
        <w:t xml:space="preserve">.  </w:t>
      </w:r>
      <w:r w:rsidRPr="00761B66">
        <w:t xml:space="preserve">Coca-Cola </w:t>
      </w:r>
      <w:r>
        <w:rPr>
          <w:rFonts w:cs="Arial"/>
          <w:lang w:eastAsia="en-GB"/>
        </w:rPr>
        <w:t>[</w:t>
      </w:r>
      <w:r>
        <w:rPr>
          <w:lang w:eastAsia="en-GB"/>
        </w:rPr>
        <w:t>online</w:t>
      </w:r>
      <w:r>
        <w:rPr>
          <w:rFonts w:cs="Arial"/>
          <w:lang w:eastAsia="en-GB"/>
        </w:rPr>
        <w:t>]</w:t>
      </w:r>
      <w:r w:rsidRPr="00AA521A">
        <w:rPr>
          <w:rFonts w:cs="Arial"/>
        </w:rPr>
        <w:t>Available at</w:t>
      </w:r>
      <w:r w:rsidR="00DB0E92">
        <w:rPr>
          <w:rFonts w:cs="Arial"/>
        </w:rPr>
        <w:t>:</w:t>
      </w:r>
      <w:r w:rsidRPr="00AA521A">
        <w:rPr>
          <w:rFonts w:cs="Arial"/>
        </w:rPr>
        <w:t>&lt;</w:t>
      </w:r>
      <w:r w:rsidRPr="00761B66">
        <w:t xml:space="preserve"> https://investors.coca-colacompany.com/about</w:t>
      </w:r>
      <w:r w:rsidRPr="00AA521A">
        <w:rPr>
          <w:rFonts w:cs="Arial"/>
        </w:rPr>
        <w:t>&gt;</w:t>
      </w:r>
      <w:r w:rsidRPr="00AA521A">
        <w:rPr>
          <w:sz w:val="22"/>
        </w:rPr>
        <w:t xml:space="preserve">[Accessed </w:t>
      </w:r>
      <w:r>
        <w:rPr>
          <w:sz w:val="22"/>
        </w:rPr>
        <w:t>9 September,</w:t>
      </w:r>
      <w:r w:rsidRPr="00AA521A">
        <w:rPr>
          <w:sz w:val="22"/>
        </w:rPr>
        <w:t xml:space="preserve"> 2020].</w:t>
      </w:r>
    </w:p>
    <w:p w:rsidR="00F07BA4" w:rsidRDefault="00F07BA4" w:rsidP="00F07BA4">
      <w:pPr>
        <w:shd w:val="clear" w:color="auto" w:fill="FFFFFF"/>
        <w:spacing w:line="240" w:lineRule="auto"/>
        <w:rPr>
          <w:rFonts w:cs="Times New Roman"/>
          <w:szCs w:val="24"/>
        </w:rPr>
      </w:pPr>
      <w:r w:rsidRPr="00DE3E9E">
        <w:t>C</w:t>
      </w:r>
      <w:r>
        <w:t xml:space="preserve">C., 2020c. </w:t>
      </w:r>
      <w:r w:rsidRPr="00DE3E9E">
        <w:rPr>
          <w:i/>
          <w:iCs/>
        </w:rPr>
        <w:t>Strategy</w:t>
      </w:r>
      <w:r w:rsidRPr="00DE3E9E">
        <w:t>.</w:t>
      </w:r>
      <w:r w:rsidRPr="00761B66">
        <w:t xml:space="preserve">Coca-Cola </w:t>
      </w:r>
      <w:r>
        <w:rPr>
          <w:rFonts w:cs="Arial"/>
          <w:lang w:eastAsia="en-GB"/>
        </w:rPr>
        <w:t>[</w:t>
      </w:r>
      <w:r>
        <w:rPr>
          <w:lang w:eastAsia="en-GB"/>
        </w:rPr>
        <w:t>online</w:t>
      </w:r>
      <w:r>
        <w:rPr>
          <w:rFonts w:cs="Arial"/>
          <w:lang w:eastAsia="en-GB"/>
        </w:rPr>
        <w:t>]</w:t>
      </w:r>
      <w:r w:rsidRPr="00DE3E9E">
        <w:rPr>
          <w:rFonts w:cs="Arial"/>
        </w:rPr>
        <w:t>Available at</w:t>
      </w:r>
      <w:r w:rsidR="00DB0E92">
        <w:rPr>
          <w:rFonts w:cs="Arial"/>
        </w:rPr>
        <w:t>:</w:t>
      </w:r>
      <w:r w:rsidRPr="00DE3E9E">
        <w:rPr>
          <w:rFonts w:cs="Arial"/>
        </w:rPr>
        <w:t>&lt;</w:t>
      </w:r>
      <w:hyperlink r:id="rId22" w:history="1">
        <w:r w:rsidRPr="00F07BA4">
          <w:rPr>
            <w:rStyle w:val="Hyperlink"/>
            <w:color w:val="auto"/>
            <w:u w:val="none"/>
          </w:rPr>
          <w:t>https://investors.coca-colacompany.com/strategy</w:t>
        </w:r>
      </w:hyperlink>
      <w:r w:rsidRPr="00F07BA4">
        <w:t>&gt;</w:t>
      </w:r>
      <w:r w:rsidRPr="00F07BA4">
        <w:rPr>
          <w:rFonts w:cs="Times New Roman"/>
          <w:szCs w:val="24"/>
        </w:rPr>
        <w:t xml:space="preserve">[Accessed 9 September 2020]. </w:t>
      </w:r>
    </w:p>
    <w:p w:rsidR="007B5B0A" w:rsidRDefault="007B5B0A" w:rsidP="007B5B0A">
      <w:pPr>
        <w:spacing w:line="240" w:lineRule="auto"/>
      </w:pPr>
      <w:r w:rsidRPr="007B5B0A">
        <w:t xml:space="preserve">CC. </w:t>
      </w:r>
      <w:r>
        <w:t>2020d.</w:t>
      </w:r>
      <w:r w:rsidRPr="007B5B0A">
        <w:rPr>
          <w:i/>
          <w:iCs/>
        </w:rPr>
        <w:t>Form 10K</w:t>
      </w:r>
      <w:r w:rsidRPr="007B5B0A">
        <w:t xml:space="preserve">. </w:t>
      </w:r>
      <w:r>
        <w:t xml:space="preserve">Atlanta, GA: The Coca-Cola Company. </w:t>
      </w:r>
    </w:p>
    <w:p w:rsidR="00CC65AD" w:rsidRPr="00CC65AD" w:rsidRDefault="00CC65AD" w:rsidP="00CC65AD">
      <w:pPr>
        <w:spacing w:line="240" w:lineRule="auto"/>
        <w:rPr>
          <w:rFonts w:cs="Times New Roman"/>
          <w:szCs w:val="24"/>
        </w:rPr>
      </w:pPr>
      <w:r w:rsidRPr="00CC65AD">
        <w:rPr>
          <w:rFonts w:cs="Times New Roman"/>
          <w:szCs w:val="24"/>
        </w:rPr>
        <w:t>CNN, 2018</w:t>
      </w:r>
      <w:r w:rsidRPr="00CC65AD">
        <w:rPr>
          <w:rStyle w:val="Strong"/>
          <w:rFonts w:cs="Times New Roman"/>
          <w:b w:val="0"/>
          <w:bCs w:val="0"/>
          <w:i/>
          <w:iCs/>
          <w:szCs w:val="24"/>
        </w:rPr>
        <w:t>Thinking outside the can</w:t>
      </w:r>
      <w:r w:rsidRPr="00CC65AD">
        <w:rPr>
          <w:rStyle w:val="Strong"/>
          <w:rFonts w:cs="Times New Roman"/>
          <w:b w:val="0"/>
          <w:bCs w:val="0"/>
          <w:szCs w:val="24"/>
        </w:rPr>
        <w:t xml:space="preserve">. CNN </w:t>
      </w:r>
      <w:r w:rsidRPr="00CC65AD">
        <w:rPr>
          <w:rFonts w:cs="Arial"/>
          <w:lang w:eastAsia="en-GB"/>
        </w:rPr>
        <w:t>[</w:t>
      </w:r>
      <w:r w:rsidRPr="00CC65AD">
        <w:rPr>
          <w:lang w:eastAsia="en-GB"/>
        </w:rPr>
        <w:t>online</w:t>
      </w:r>
      <w:r w:rsidRPr="00CC65AD">
        <w:rPr>
          <w:rFonts w:cs="Arial"/>
          <w:lang w:eastAsia="en-GB"/>
        </w:rPr>
        <w:t>]</w:t>
      </w:r>
      <w:r w:rsidRPr="00CC65AD">
        <w:rPr>
          <w:rFonts w:cs="Arial"/>
        </w:rPr>
        <w:t>Available at: &lt;</w:t>
      </w:r>
      <w:hyperlink r:id="rId23" w:history="1">
        <w:hyperlink r:id="rId24" w:history="1">
          <w:r w:rsidRPr="00CC65AD">
            <w:rPr>
              <w:rStyle w:val="Hyperlink"/>
              <w:rFonts w:cs="Times New Roman"/>
              <w:color w:val="auto"/>
              <w:szCs w:val="24"/>
              <w:u w:val="none"/>
            </w:rPr>
            <w:t>https://money.cnn.com/2018/02/20/news/companies/cola-wars-coke-pepsi/index.html</w:t>
          </w:r>
        </w:hyperlink>
      </w:hyperlink>
      <w:r w:rsidRPr="00CC65AD">
        <w:rPr>
          <w:rFonts w:cs="Times New Roman"/>
          <w:szCs w:val="24"/>
        </w:rPr>
        <w:t xml:space="preserve">&gt; [Accessed 9 September 2020]. </w:t>
      </w:r>
    </w:p>
    <w:p w:rsidR="00DB0E92" w:rsidRDefault="00DB0E92" w:rsidP="00DB0E92">
      <w:pPr>
        <w:shd w:val="clear" w:color="auto" w:fill="FFFFFF"/>
        <w:spacing w:line="240" w:lineRule="auto"/>
        <w:rPr>
          <w:rFonts w:cs="Times New Roman"/>
          <w:szCs w:val="24"/>
        </w:rPr>
      </w:pPr>
      <w:r w:rsidRPr="00B95D57">
        <w:rPr>
          <w:rFonts w:cs="Times New Roman"/>
          <w:szCs w:val="24"/>
        </w:rPr>
        <w:t>Colbert, R.</w:t>
      </w:r>
      <w:r>
        <w:rPr>
          <w:rFonts w:cs="Times New Roman"/>
          <w:szCs w:val="24"/>
        </w:rPr>
        <w:t xml:space="preserve">, </w:t>
      </w:r>
      <w:r w:rsidRPr="00B95D57">
        <w:rPr>
          <w:rFonts w:cs="Times New Roman"/>
          <w:szCs w:val="24"/>
        </w:rPr>
        <w:t>2019</w:t>
      </w:r>
      <w:r>
        <w:rPr>
          <w:rFonts w:cs="Times New Roman"/>
          <w:szCs w:val="24"/>
        </w:rPr>
        <w:t>.</w:t>
      </w:r>
      <w:r w:rsidRPr="00335828">
        <w:rPr>
          <w:rFonts w:eastAsia="Times New Roman" w:cs="Times New Roman"/>
          <w:i/>
          <w:iCs/>
          <w:szCs w:val="24"/>
          <w:bdr w:val="none" w:sz="0" w:space="0" w:color="auto" w:frame="1"/>
          <w:lang w:eastAsia="en-GB"/>
        </w:rPr>
        <w:t>5 trends transforming the beverage industry</w:t>
      </w:r>
      <w:r w:rsidRPr="00B95D57">
        <w:rPr>
          <w:rFonts w:eastAsia="Times New Roman" w:cs="Times New Roman"/>
          <w:i/>
          <w:iCs/>
          <w:szCs w:val="24"/>
          <w:bdr w:val="none" w:sz="0" w:space="0" w:color="auto" w:frame="1"/>
          <w:lang w:eastAsia="en-GB"/>
        </w:rPr>
        <w:t>.</w:t>
      </w:r>
      <w:r>
        <w:rPr>
          <w:rFonts w:eastAsia="Times New Roman" w:cs="Times New Roman"/>
          <w:szCs w:val="24"/>
          <w:bdr w:val="none" w:sz="0" w:space="0" w:color="auto" w:frame="1"/>
          <w:lang w:eastAsia="en-GB"/>
        </w:rPr>
        <w:t xml:space="preserve"> KPMG </w:t>
      </w:r>
      <w:r>
        <w:rPr>
          <w:rFonts w:cs="Arial"/>
          <w:lang w:eastAsia="en-GB"/>
        </w:rPr>
        <w:t>[</w:t>
      </w:r>
      <w:r>
        <w:rPr>
          <w:lang w:eastAsia="en-GB"/>
        </w:rPr>
        <w:t>online</w:t>
      </w:r>
      <w:r>
        <w:rPr>
          <w:rFonts w:cs="Arial"/>
          <w:lang w:eastAsia="en-GB"/>
        </w:rPr>
        <w:t>]</w:t>
      </w:r>
      <w:r w:rsidRPr="00DE3E9E">
        <w:rPr>
          <w:rFonts w:cs="Arial"/>
        </w:rPr>
        <w:t>Available at</w:t>
      </w:r>
      <w:r>
        <w:rPr>
          <w:rFonts w:cs="Arial"/>
        </w:rPr>
        <w:t>:</w:t>
      </w:r>
      <w:r w:rsidRPr="00DE3E9E">
        <w:rPr>
          <w:rFonts w:cs="Arial"/>
        </w:rPr>
        <w:t>&lt;</w:t>
      </w:r>
      <w:hyperlink r:id="rId25" w:history="1">
        <w:r w:rsidRPr="00DB0E92">
          <w:rPr>
            <w:rFonts w:cs="Times New Roman"/>
            <w:szCs w:val="24"/>
          </w:rPr>
          <w:t>https://home.kpmg/xx/en/blogs/home/posts/2019/08/five-trends-transforming-the-beverage-industry.html</w:t>
        </w:r>
      </w:hyperlink>
      <w:r w:rsidRPr="00F07BA4">
        <w:t>&gt;</w:t>
      </w:r>
      <w:r w:rsidRPr="00F07BA4">
        <w:rPr>
          <w:rFonts w:cs="Times New Roman"/>
          <w:szCs w:val="24"/>
        </w:rPr>
        <w:t xml:space="preserve">[Accessed 9 September 2020]. </w:t>
      </w:r>
    </w:p>
    <w:p w:rsidR="00C034D6" w:rsidRPr="00C034D6" w:rsidRDefault="00C034D6" w:rsidP="00C034D6">
      <w:pPr>
        <w:shd w:val="clear" w:color="auto" w:fill="FFFFFF"/>
        <w:spacing w:line="240" w:lineRule="auto"/>
        <w:rPr>
          <w:rFonts w:cs="Arial"/>
          <w:szCs w:val="24"/>
        </w:rPr>
      </w:pPr>
      <w:r w:rsidRPr="00C034D6">
        <w:rPr>
          <w:rFonts w:cs="Arial"/>
          <w:szCs w:val="24"/>
        </w:rPr>
        <w:t xml:space="preserve">Doerling, C. 2017. </w:t>
      </w:r>
      <w:r w:rsidRPr="00C034D6">
        <w:rPr>
          <w:rFonts w:cs="Arial"/>
          <w:i/>
          <w:iCs/>
          <w:color w:val="0A0A0A"/>
        </w:rPr>
        <w:t>Coca-Cola embraces a digital future as consumers move online</w:t>
      </w:r>
      <w:r w:rsidRPr="00C034D6">
        <w:rPr>
          <w:rFonts w:cs="Arial"/>
          <w:color w:val="0A0A0A"/>
        </w:rPr>
        <w:t xml:space="preserve">. Food Dive </w:t>
      </w:r>
      <w:r w:rsidRPr="00C034D6">
        <w:rPr>
          <w:rFonts w:cs="Arial"/>
          <w:szCs w:val="24"/>
          <w:lang w:eastAsia="en-GB"/>
        </w:rPr>
        <w:t xml:space="preserve">[online] </w:t>
      </w:r>
      <w:r w:rsidRPr="00C034D6">
        <w:rPr>
          <w:rFonts w:cs="Arial"/>
          <w:szCs w:val="24"/>
        </w:rPr>
        <w:t xml:space="preserve"> Available at &lt;https://www.fooddive.com/news/coca-cola-embraces-a-digital-future-as-consumers-move-online/511494/&gt; [Accessed 10 September 2020]. </w:t>
      </w:r>
    </w:p>
    <w:p w:rsidR="00773BCF" w:rsidRPr="00773BCF" w:rsidRDefault="007F6937" w:rsidP="00773BCF">
      <w:pPr>
        <w:shd w:val="clear" w:color="auto" w:fill="FFFFFF"/>
        <w:spacing w:line="240" w:lineRule="auto"/>
        <w:rPr>
          <w:rFonts w:cs="Times New Roman"/>
          <w:szCs w:val="24"/>
        </w:rPr>
      </w:pPr>
      <w:r>
        <w:rPr>
          <w:rFonts w:cs="Times New Roman"/>
          <w:szCs w:val="24"/>
        </w:rPr>
        <w:t xml:space="preserve">Euromonitor, 2020. </w:t>
      </w:r>
      <w:r w:rsidRPr="00773BCF">
        <w:rPr>
          <w:rFonts w:eastAsia="Times New Roman" w:cs="Arial"/>
          <w:i/>
          <w:iCs/>
          <w:color w:val="333333"/>
          <w:kern w:val="36"/>
          <w:szCs w:val="24"/>
          <w:lang w:eastAsia="en-GB"/>
        </w:rPr>
        <w:t>The Impact of Coronavirus on Soft Drinks.</w:t>
      </w:r>
      <w:r w:rsidRPr="00773BCF">
        <w:rPr>
          <w:rFonts w:eastAsia="Times New Roman" w:cs="Arial"/>
          <w:color w:val="333333"/>
          <w:kern w:val="36"/>
          <w:szCs w:val="24"/>
          <w:lang w:eastAsia="en-GB"/>
        </w:rPr>
        <w:t xml:space="preserve"> Euromonitor International </w:t>
      </w:r>
      <w:r w:rsidR="00773BCF" w:rsidRPr="00773BCF">
        <w:rPr>
          <w:rFonts w:cs="Arial"/>
          <w:szCs w:val="24"/>
          <w:lang w:eastAsia="en-GB"/>
        </w:rPr>
        <w:t>[</w:t>
      </w:r>
      <w:r w:rsidR="00773BCF" w:rsidRPr="00773BCF">
        <w:rPr>
          <w:szCs w:val="24"/>
          <w:lang w:eastAsia="en-GB"/>
        </w:rPr>
        <w:t>online</w:t>
      </w:r>
      <w:r w:rsidR="00773BCF" w:rsidRPr="00773BCF">
        <w:rPr>
          <w:rFonts w:cs="Arial"/>
          <w:szCs w:val="24"/>
          <w:lang w:eastAsia="en-GB"/>
        </w:rPr>
        <w:t>]</w:t>
      </w:r>
      <w:r w:rsidR="00773BCF" w:rsidRPr="00773BCF">
        <w:rPr>
          <w:rFonts w:cs="Arial"/>
          <w:szCs w:val="24"/>
        </w:rPr>
        <w:t>Available at &lt;</w:t>
      </w:r>
      <w:r w:rsidR="00773BCF" w:rsidRPr="00773BCF">
        <w:rPr>
          <w:szCs w:val="24"/>
        </w:rPr>
        <w:t>https://www.euromonitor.com/the-impact-of-coronavirus-on-soft-drinks/report&gt;</w:t>
      </w:r>
      <w:r w:rsidR="00773BCF" w:rsidRPr="00773BCF">
        <w:rPr>
          <w:rFonts w:cs="Times New Roman"/>
          <w:szCs w:val="24"/>
        </w:rPr>
        <w:t xml:space="preserve">[Accessed 9 September 2020]. </w:t>
      </w:r>
    </w:p>
    <w:p w:rsidR="007F6937" w:rsidRDefault="00C053FB" w:rsidP="007F6937">
      <w:pPr>
        <w:spacing w:after="0" w:line="240" w:lineRule="auto"/>
        <w:rPr>
          <w:rFonts w:cs="Arial"/>
          <w:szCs w:val="24"/>
        </w:rPr>
      </w:pPr>
      <w:r>
        <w:lastRenderedPageBreak/>
        <w:t xml:space="preserve">FI., 2020. </w:t>
      </w:r>
      <w:r w:rsidR="006810C0" w:rsidRPr="007F6937">
        <w:rPr>
          <w:rFonts w:cs="Arial"/>
          <w:i/>
          <w:iCs/>
          <w:color w:val="2F3435"/>
        </w:rPr>
        <w:t>Non-alcoholic</w:t>
      </w:r>
      <w:r w:rsidRPr="007F6937">
        <w:rPr>
          <w:rFonts w:cs="Arial"/>
          <w:i/>
          <w:iCs/>
          <w:color w:val="2F3435"/>
        </w:rPr>
        <w:t xml:space="preserve"> Beverages Market Size to Reach USD 1,257.77 Billion by 2027: Current Trend of Maintaining Health and Fitness to Boost Growth, says Fortune Business Insights</w:t>
      </w:r>
      <w:r w:rsidR="007F6937" w:rsidRPr="007F6937">
        <w:rPr>
          <w:rFonts w:cs="Arial"/>
          <w:i/>
          <w:iCs/>
          <w:color w:val="2F3435"/>
        </w:rPr>
        <w:t>.</w:t>
      </w:r>
      <w:r w:rsidR="007F6937">
        <w:rPr>
          <w:rFonts w:cs="Arial"/>
          <w:color w:val="2F3435"/>
        </w:rPr>
        <w:t xml:space="preserve"> Fortune Business Insights </w:t>
      </w:r>
      <w:r w:rsidR="007F6937" w:rsidRPr="00E95B9E">
        <w:rPr>
          <w:rFonts w:cs="Arial"/>
          <w:szCs w:val="24"/>
        </w:rPr>
        <w:t>[</w:t>
      </w:r>
      <w:r w:rsidR="007F6937" w:rsidRPr="00E95B9E">
        <w:rPr>
          <w:szCs w:val="24"/>
        </w:rPr>
        <w:t>online</w:t>
      </w:r>
      <w:r w:rsidR="007F6937" w:rsidRPr="00E95B9E">
        <w:rPr>
          <w:rFonts w:cs="Arial"/>
          <w:szCs w:val="24"/>
        </w:rPr>
        <w:t>]</w:t>
      </w:r>
      <w:r w:rsidR="007F6937" w:rsidRPr="00E95B9E">
        <w:rPr>
          <w:szCs w:val="24"/>
        </w:rPr>
        <w:t>Available at: &lt;</w:t>
      </w:r>
      <w:r w:rsidR="007F6937" w:rsidRPr="007F6937">
        <w:t>https://www.globenewswire.com/news-release/2020/08/11/2076635/0/en/Non-alcoholic-Beverages-Market-Size-to-Reach-USD-1-257-77-Billion-by-2027-Current-Trend-of-Maintaining-Health-and-Fitness-to-Boost-Growth-says-Fortune-Business-Insights.html</w:t>
      </w:r>
      <w:r w:rsidR="007F6937" w:rsidRPr="00D74ADF">
        <w:rPr>
          <w:szCs w:val="24"/>
        </w:rPr>
        <w:t>&gt;</w:t>
      </w:r>
      <w:r w:rsidR="007F6937" w:rsidRPr="00E95B9E">
        <w:rPr>
          <w:szCs w:val="24"/>
        </w:rPr>
        <w:t xml:space="preserve">Accessed </w:t>
      </w:r>
      <w:r w:rsidR="007F6937">
        <w:rPr>
          <w:szCs w:val="24"/>
        </w:rPr>
        <w:t>9 September</w:t>
      </w:r>
      <w:r w:rsidR="007F6937" w:rsidRPr="00E95B9E">
        <w:rPr>
          <w:szCs w:val="24"/>
        </w:rPr>
        <w:t xml:space="preserve"> 2020</w:t>
      </w:r>
      <w:r w:rsidR="007F6937" w:rsidRPr="00E95B9E">
        <w:rPr>
          <w:rFonts w:cs="Arial"/>
          <w:szCs w:val="24"/>
        </w:rPr>
        <w:t>].</w:t>
      </w:r>
    </w:p>
    <w:p w:rsidR="002E7A6A" w:rsidRDefault="002E7A6A" w:rsidP="007F6937">
      <w:pPr>
        <w:spacing w:after="0" w:line="240" w:lineRule="auto"/>
        <w:rPr>
          <w:rFonts w:cs="Arial"/>
          <w:szCs w:val="24"/>
        </w:rPr>
      </w:pPr>
    </w:p>
    <w:p w:rsidR="002E7A6A" w:rsidRPr="002E7A6A" w:rsidRDefault="002E7A6A" w:rsidP="002E7A6A">
      <w:pPr>
        <w:spacing w:line="240" w:lineRule="auto"/>
        <w:rPr>
          <w:rFonts w:cs="Arial"/>
          <w:szCs w:val="24"/>
        </w:rPr>
      </w:pPr>
      <w:r w:rsidRPr="002E7A6A">
        <w:rPr>
          <w:rFonts w:cs="Arial"/>
          <w:szCs w:val="24"/>
        </w:rPr>
        <w:t xml:space="preserve">FoodBev, 2020 </w:t>
      </w:r>
      <w:r w:rsidRPr="002E7A6A">
        <w:rPr>
          <w:rFonts w:eastAsia="Times New Roman" w:cs="Arial"/>
          <w:i/>
          <w:iCs/>
          <w:kern w:val="36"/>
          <w:szCs w:val="24"/>
          <w:lang w:eastAsia="en-GB"/>
        </w:rPr>
        <w:t>Top three no- and low-alcohol beverage trends for 2020. F</w:t>
      </w:r>
      <w:r w:rsidRPr="002E7A6A">
        <w:rPr>
          <w:rFonts w:cs="Arial"/>
          <w:szCs w:val="24"/>
        </w:rPr>
        <w:t xml:space="preserve">oodBev [online] Available at:  </w:t>
      </w:r>
      <w:hyperlink r:id="rId26" w:history="1">
        <w:r w:rsidRPr="002E7A6A">
          <w:rPr>
            <w:rStyle w:val="Hyperlink"/>
            <w:rFonts w:cs="Arial"/>
            <w:color w:val="auto"/>
            <w:szCs w:val="24"/>
            <w:u w:val="none"/>
          </w:rPr>
          <w:t>https://www.foodbev.com/news/five-major-trends-for-the-non-alcoholic-beverage-industry-in-2019/</w:t>
        </w:r>
      </w:hyperlink>
      <w:r w:rsidRPr="002E7A6A">
        <w:rPr>
          <w:rFonts w:cs="Arial"/>
          <w:szCs w:val="24"/>
        </w:rPr>
        <w:t xml:space="preserve">&gt; [Accessed 9 September 2020]. </w:t>
      </w:r>
    </w:p>
    <w:p w:rsidR="00D74ADF" w:rsidRDefault="00D74ADF" w:rsidP="00D74ADF">
      <w:pPr>
        <w:spacing w:after="0" w:line="240" w:lineRule="auto"/>
        <w:rPr>
          <w:rFonts w:cs="Arial"/>
          <w:szCs w:val="24"/>
        </w:rPr>
      </w:pPr>
      <w:r w:rsidRPr="00E95B9E">
        <w:rPr>
          <w:szCs w:val="24"/>
        </w:rPr>
        <w:t>Forbes, 2020.</w:t>
      </w:r>
      <w:r w:rsidRPr="00E95B9E">
        <w:rPr>
          <w:i/>
          <w:iCs/>
          <w:szCs w:val="24"/>
        </w:rPr>
        <w:t>The World’s Most Valuable Brands</w:t>
      </w:r>
      <w:r w:rsidRPr="00E95B9E">
        <w:rPr>
          <w:szCs w:val="24"/>
        </w:rPr>
        <w:t xml:space="preserve">. Forbes </w:t>
      </w:r>
      <w:r w:rsidRPr="00E95B9E">
        <w:rPr>
          <w:rFonts w:cs="Arial"/>
          <w:szCs w:val="24"/>
        </w:rPr>
        <w:t>[</w:t>
      </w:r>
      <w:r w:rsidRPr="00E95B9E">
        <w:rPr>
          <w:szCs w:val="24"/>
        </w:rPr>
        <w:t>online</w:t>
      </w:r>
      <w:r w:rsidRPr="00E95B9E">
        <w:rPr>
          <w:rFonts w:cs="Arial"/>
          <w:szCs w:val="24"/>
        </w:rPr>
        <w:t>]</w:t>
      </w:r>
      <w:r w:rsidRPr="00E95B9E">
        <w:rPr>
          <w:szCs w:val="24"/>
        </w:rPr>
        <w:t>Available at: &lt;</w:t>
      </w:r>
      <w:hyperlink r:id="rId27" w:anchor="4fefe17d119c" w:history="1">
        <w:r w:rsidRPr="00D74ADF">
          <w:rPr>
            <w:rStyle w:val="Hyperlink"/>
            <w:color w:val="auto"/>
            <w:szCs w:val="24"/>
            <w:u w:val="none"/>
          </w:rPr>
          <w:t>https://www.forbes.com/the-worlds-most-valuable-brands/#4fefe17d119c</w:t>
        </w:r>
      </w:hyperlink>
      <w:r w:rsidRPr="00D74ADF">
        <w:rPr>
          <w:szCs w:val="24"/>
        </w:rPr>
        <w:t>&gt;</w:t>
      </w:r>
      <w:r w:rsidRPr="00E95B9E">
        <w:rPr>
          <w:szCs w:val="24"/>
        </w:rPr>
        <w:t xml:space="preserve">Accessed </w:t>
      </w:r>
      <w:r>
        <w:rPr>
          <w:szCs w:val="24"/>
        </w:rPr>
        <w:t>9 September</w:t>
      </w:r>
      <w:r w:rsidRPr="00E95B9E">
        <w:rPr>
          <w:szCs w:val="24"/>
        </w:rPr>
        <w:t xml:space="preserve"> 2020</w:t>
      </w:r>
      <w:r w:rsidRPr="00E95B9E">
        <w:rPr>
          <w:rFonts w:cs="Arial"/>
          <w:szCs w:val="24"/>
        </w:rPr>
        <w:t>].</w:t>
      </w:r>
    </w:p>
    <w:p w:rsidR="00911EBD" w:rsidRDefault="00911EBD" w:rsidP="00D74ADF">
      <w:pPr>
        <w:spacing w:after="0" w:line="240" w:lineRule="auto"/>
        <w:rPr>
          <w:rFonts w:cs="Arial"/>
          <w:szCs w:val="24"/>
        </w:rPr>
      </w:pPr>
    </w:p>
    <w:p w:rsidR="00911EBD" w:rsidRDefault="00911EBD" w:rsidP="00911EBD">
      <w:pPr>
        <w:spacing w:line="240" w:lineRule="auto"/>
      </w:pPr>
      <w:r>
        <w:rPr>
          <w:rFonts w:cs="Arial"/>
          <w:szCs w:val="24"/>
        </w:rPr>
        <w:t>Grundy,</w:t>
      </w:r>
      <w:r>
        <w:t xml:space="preserve">T., 2006. Rethinking and Reinventing Michael Porter's Five Forces Model. </w:t>
      </w:r>
      <w:r w:rsidRPr="002B781F">
        <w:rPr>
          <w:i/>
          <w:iCs/>
        </w:rPr>
        <w:t>Strategic Change</w:t>
      </w:r>
      <w:r>
        <w:rPr>
          <w:i/>
          <w:iCs/>
        </w:rPr>
        <w:t>,</w:t>
      </w:r>
      <w:r w:rsidRPr="00911EBD">
        <w:t>15(5</w:t>
      </w:r>
      <w:r>
        <w:t>), pp. 213-229.</w:t>
      </w:r>
    </w:p>
    <w:p w:rsidR="007B5B0A" w:rsidRDefault="007B5B0A" w:rsidP="007B5B0A">
      <w:pPr>
        <w:spacing w:line="240" w:lineRule="auto"/>
        <w:rPr>
          <w:rFonts w:cs="Arial"/>
        </w:rPr>
      </w:pPr>
      <w:r w:rsidRPr="00B51A75">
        <w:rPr>
          <w:rFonts w:cs="Arial"/>
        </w:rPr>
        <w:t xml:space="preserve">Jacobsen, J., 2019. </w:t>
      </w:r>
      <w:r w:rsidRPr="00B51A75">
        <w:rPr>
          <w:rFonts w:cs="Arial"/>
          <w:i/>
          <w:iCs/>
          <w:color w:val="333333"/>
        </w:rPr>
        <w:t>2019 Soft Drink Report: Occasional consumer offers potential for market</w:t>
      </w:r>
      <w:r w:rsidRPr="00B51A75">
        <w:rPr>
          <w:rFonts w:cs="Arial"/>
          <w:color w:val="333333"/>
        </w:rPr>
        <w:t xml:space="preserve">. Beverage Industry </w:t>
      </w:r>
      <w:r w:rsidRPr="00B51A75">
        <w:rPr>
          <w:rFonts w:cs="Arial"/>
        </w:rPr>
        <w:t xml:space="preserve">[online] Available at: &lt;bevindustry.com/articles/92021-2019-soft-drink-report-occasional-consumer-offers-potential-for-market&gt; [Accessed </w:t>
      </w:r>
      <w:r>
        <w:rPr>
          <w:rFonts w:cs="Arial"/>
        </w:rPr>
        <w:t>9 September,</w:t>
      </w:r>
      <w:r w:rsidRPr="00B51A75">
        <w:rPr>
          <w:rFonts w:cs="Arial"/>
        </w:rPr>
        <w:t xml:space="preserve"> 2020</w:t>
      </w:r>
    </w:p>
    <w:p w:rsidR="00DD245C" w:rsidRPr="00B51A75" w:rsidRDefault="00DD245C" w:rsidP="007B5B0A">
      <w:pPr>
        <w:spacing w:line="240" w:lineRule="auto"/>
        <w:rPr>
          <w:rFonts w:cs="Arial"/>
          <w:szCs w:val="24"/>
        </w:rPr>
      </w:pPr>
      <w:r>
        <w:rPr>
          <w:rFonts w:cs="Arial"/>
        </w:rPr>
        <w:t>Keller, K.</w:t>
      </w:r>
      <w:r w:rsidR="001970F2">
        <w:rPr>
          <w:rFonts w:cs="Arial"/>
        </w:rPr>
        <w:t xml:space="preserve"> and </w:t>
      </w:r>
      <w:bookmarkStart w:id="24" w:name="_Hlk50627873"/>
      <w:r w:rsidR="001970F2" w:rsidRPr="001970F2">
        <w:rPr>
          <w:rFonts w:cs="Arial"/>
          <w:szCs w:val="24"/>
          <w:shd w:val="clear" w:color="auto" w:fill="FFFFFF"/>
        </w:rPr>
        <w:t>Swaminathan</w:t>
      </w:r>
      <w:bookmarkEnd w:id="24"/>
      <w:r w:rsidRPr="001970F2">
        <w:rPr>
          <w:rFonts w:cs="Arial"/>
          <w:szCs w:val="24"/>
        </w:rPr>
        <w:t>,</w:t>
      </w:r>
      <w:r w:rsidR="001970F2" w:rsidRPr="001970F2">
        <w:rPr>
          <w:rFonts w:cs="Arial"/>
          <w:szCs w:val="24"/>
        </w:rPr>
        <w:t xml:space="preserve"> V.,</w:t>
      </w:r>
      <w:r>
        <w:rPr>
          <w:rFonts w:cs="Arial"/>
        </w:rPr>
        <w:t xml:space="preserve">2019. </w:t>
      </w:r>
      <w:r w:rsidRPr="00DD245C">
        <w:rPr>
          <w:rFonts w:cs="Arial"/>
          <w:i/>
          <w:iCs/>
        </w:rPr>
        <w:t>Strategic Brand Management</w:t>
      </w:r>
      <w:r>
        <w:rPr>
          <w:rFonts w:cs="Arial"/>
        </w:rPr>
        <w:t>. 5</w:t>
      </w:r>
      <w:r w:rsidRPr="00DD245C">
        <w:rPr>
          <w:rFonts w:cs="Arial"/>
          <w:vertAlign w:val="superscript"/>
        </w:rPr>
        <w:t>th</w:t>
      </w:r>
      <w:r>
        <w:rPr>
          <w:rFonts w:cs="Arial"/>
        </w:rPr>
        <w:t xml:space="preserve"> ed. Harlow: Pearson.</w:t>
      </w:r>
    </w:p>
    <w:p w:rsidR="00D772A9" w:rsidRDefault="00984951" w:rsidP="00952ECA">
      <w:pPr>
        <w:spacing w:line="240" w:lineRule="auto"/>
      </w:pPr>
      <w:r>
        <w:t xml:space="preserve">Kotler, P., Keller, K., Brady, M., Goodman, M. and Hansen, T., 2012. </w:t>
      </w:r>
      <w:r w:rsidRPr="00984951">
        <w:rPr>
          <w:i/>
          <w:iCs/>
        </w:rPr>
        <w:t>Marketing Management.</w:t>
      </w:r>
      <w:r>
        <w:t xml:space="preserve"> 2</w:t>
      </w:r>
      <w:r w:rsidRPr="00984951">
        <w:rPr>
          <w:vertAlign w:val="superscript"/>
        </w:rPr>
        <w:t>nd</w:t>
      </w:r>
      <w:r>
        <w:t>. Ed. Harlow: Pearson.</w:t>
      </w:r>
    </w:p>
    <w:p w:rsidR="007B5B0A" w:rsidRDefault="007B5B0A" w:rsidP="00952ECA">
      <w:pPr>
        <w:spacing w:line="240" w:lineRule="auto"/>
      </w:pPr>
      <w:r w:rsidRPr="00951530">
        <w:rPr>
          <w:iCs/>
          <w:lang w:eastAsia="en-GB"/>
        </w:rPr>
        <w:t>Lussier, R</w:t>
      </w:r>
      <w:r>
        <w:rPr>
          <w:iCs/>
          <w:lang w:eastAsia="en-GB"/>
        </w:rPr>
        <w:t xml:space="preserve">., </w:t>
      </w:r>
      <w:r w:rsidRPr="00951530">
        <w:rPr>
          <w:iCs/>
          <w:lang w:eastAsia="en-GB"/>
        </w:rPr>
        <w:t>2008</w:t>
      </w:r>
      <w:r>
        <w:rPr>
          <w:iCs/>
          <w:lang w:eastAsia="en-GB"/>
        </w:rPr>
        <w:t xml:space="preserve">. </w:t>
      </w:r>
      <w:r w:rsidRPr="00951530">
        <w:rPr>
          <w:i/>
          <w:iCs/>
        </w:rPr>
        <w:t>Management Fundamentals: Concepts, Applications, Skill Development</w:t>
      </w:r>
      <w:r>
        <w:t>.</w:t>
      </w:r>
      <w:r w:rsidRPr="007B5B0A">
        <w:t>4</w:t>
      </w:r>
      <w:r w:rsidRPr="007B5B0A">
        <w:rPr>
          <w:vertAlign w:val="superscript"/>
        </w:rPr>
        <w:t>th</w:t>
      </w:r>
      <w:r>
        <w:t>ed.</w:t>
      </w:r>
      <w:r w:rsidRPr="00951530">
        <w:t xml:space="preserve"> Mason, OH: Cengage Learning</w:t>
      </w:r>
      <w:r w:rsidR="00D6357D">
        <w:t>.</w:t>
      </w:r>
    </w:p>
    <w:p w:rsidR="00D6357D" w:rsidRDefault="00D85FE6" w:rsidP="00D6357D">
      <w:pPr>
        <w:shd w:val="clear" w:color="auto" w:fill="FFFFFF"/>
        <w:spacing w:line="240" w:lineRule="auto"/>
        <w:jc w:val="left"/>
      </w:pPr>
      <w:hyperlink r:id="rId28" w:history="1">
        <w:r w:rsidR="00D6357D" w:rsidRPr="0077789B">
          <w:rPr>
            <w:rStyle w:val="Hyperlink"/>
            <w:rFonts w:cs="Arial"/>
            <w:color w:val="auto"/>
            <w:u w:val="none"/>
            <w:bdr w:val="none" w:sz="0" w:space="0" w:color="auto" w:frame="1"/>
          </w:rPr>
          <w:t>Maechler</w:t>
        </w:r>
      </w:hyperlink>
      <w:r w:rsidR="00D6357D" w:rsidRPr="0077789B">
        <w:rPr>
          <w:rFonts w:cs="Arial"/>
        </w:rPr>
        <w:t>, </w:t>
      </w:r>
      <w:r w:rsidR="00D6357D">
        <w:rPr>
          <w:rFonts w:cs="Arial"/>
        </w:rPr>
        <w:t>N.,</w:t>
      </w:r>
      <w:hyperlink r:id="rId29" w:history="1">
        <w:r w:rsidR="00D6357D" w:rsidRPr="0077789B">
          <w:rPr>
            <w:rStyle w:val="Hyperlink"/>
            <w:rFonts w:cs="Arial"/>
            <w:color w:val="auto"/>
            <w:u w:val="none"/>
            <w:bdr w:val="none" w:sz="0" w:space="0" w:color="auto" w:frame="1"/>
          </w:rPr>
          <w:t xml:space="preserve"> Neher</w:t>
        </w:r>
      </w:hyperlink>
      <w:r w:rsidR="00D6357D" w:rsidRPr="0077789B">
        <w:rPr>
          <w:rFonts w:cs="Arial"/>
        </w:rPr>
        <w:t xml:space="preserve">, </w:t>
      </w:r>
      <w:r w:rsidR="00D6357D">
        <w:rPr>
          <w:rFonts w:cs="Arial"/>
        </w:rPr>
        <w:t xml:space="preserve">K. </w:t>
      </w:r>
      <w:r w:rsidR="00D6357D" w:rsidRPr="0077789B">
        <w:rPr>
          <w:rFonts w:cs="Arial"/>
        </w:rPr>
        <w:t xml:space="preserve">and Park, </w:t>
      </w:r>
      <w:r w:rsidR="00D6357D">
        <w:rPr>
          <w:rFonts w:cs="Arial"/>
        </w:rPr>
        <w:t xml:space="preserve">P., </w:t>
      </w:r>
      <w:r w:rsidR="00D6357D" w:rsidRPr="0077789B">
        <w:rPr>
          <w:rFonts w:cs="Arial"/>
        </w:rPr>
        <w:t>201</w:t>
      </w:r>
      <w:r w:rsidR="00D6357D">
        <w:rPr>
          <w:rFonts w:cs="Arial"/>
        </w:rPr>
        <w:t>6</w:t>
      </w:r>
      <w:r w:rsidR="00D6357D" w:rsidRPr="0077789B">
        <w:rPr>
          <w:rFonts w:cs="Arial"/>
        </w:rPr>
        <w:t>.</w:t>
      </w:r>
      <w:r w:rsidR="00D6357D" w:rsidRPr="00D6357D">
        <w:rPr>
          <w:i/>
          <w:iCs/>
        </w:rPr>
        <w:t>From touchpoints to journeys: Seeing the world as customers do.</w:t>
      </w:r>
      <w:r w:rsidR="00D6357D">
        <w:t xml:space="preserve"> McKinsey &amp; Co, </w:t>
      </w:r>
    </w:p>
    <w:p w:rsidR="00952ECA" w:rsidRPr="00AA521A" w:rsidRDefault="00952ECA" w:rsidP="00952ECA">
      <w:pPr>
        <w:spacing w:line="240" w:lineRule="auto"/>
      </w:pPr>
      <w:r w:rsidRPr="00AA521A">
        <w:rPr>
          <w:lang w:eastAsia="en-GB"/>
        </w:rPr>
        <w:t xml:space="preserve">Macrotrends. (2020) </w:t>
      </w:r>
      <w:r w:rsidRPr="00AA521A">
        <w:rPr>
          <w:i/>
          <w:iCs/>
          <w:lang w:eastAsia="en-GB"/>
        </w:rPr>
        <w:t>Coca-Cola: Number of Employees 2006-2019 | KO</w:t>
      </w:r>
      <w:r w:rsidRPr="00AA521A">
        <w:rPr>
          <w:lang w:eastAsia="en-GB"/>
        </w:rPr>
        <w:t xml:space="preserve">. </w:t>
      </w:r>
      <w:r w:rsidR="00761B66">
        <w:rPr>
          <w:lang w:eastAsia="en-GB"/>
        </w:rPr>
        <w:t xml:space="preserve">Macrotrends </w:t>
      </w:r>
    </w:p>
    <w:p w:rsidR="007B5B0A" w:rsidRDefault="00952ECA" w:rsidP="007B5B0A">
      <w:pPr>
        <w:spacing w:line="240" w:lineRule="auto"/>
        <w:rPr>
          <w:rFonts w:cs="Arial"/>
          <w:szCs w:val="24"/>
        </w:rPr>
      </w:pPr>
      <w:r w:rsidRPr="00CC3485">
        <w:t xml:space="preserve">Marketline, 2020. </w:t>
      </w:r>
      <w:r w:rsidRPr="00CC3485">
        <w:rPr>
          <w:i/>
          <w:iCs/>
        </w:rPr>
        <w:t>Company Profile: The Coca-Cola Company</w:t>
      </w:r>
      <w:r>
        <w:t xml:space="preserve">. </w:t>
      </w:r>
      <w:r w:rsidRPr="00CC65AD">
        <w:t>Informa Inc.</w:t>
      </w:r>
    </w:p>
    <w:p w:rsidR="007B5B0A" w:rsidRPr="009F2255" w:rsidRDefault="007B5B0A" w:rsidP="007B5B0A">
      <w:pPr>
        <w:spacing w:line="240" w:lineRule="auto"/>
        <w:rPr>
          <w:rFonts w:cs="Arial"/>
          <w:szCs w:val="24"/>
        </w:rPr>
      </w:pPr>
      <w:r w:rsidRPr="009F2255">
        <w:rPr>
          <w:rFonts w:cs="Arial"/>
          <w:szCs w:val="24"/>
        </w:rPr>
        <w:t xml:space="preserve">Marketwatch., 2020. </w:t>
      </w:r>
      <w:r w:rsidRPr="009F2255">
        <w:rPr>
          <w:rFonts w:cs="Arial"/>
          <w:i/>
          <w:iCs/>
          <w:szCs w:val="24"/>
        </w:rPr>
        <w:t>Coca-Cola Co.</w:t>
      </w:r>
      <w:r w:rsidRPr="009F2255">
        <w:rPr>
          <w:rFonts w:cs="Arial"/>
          <w:i/>
          <w:iCs/>
          <w:caps/>
          <w:szCs w:val="24"/>
        </w:rPr>
        <w:t xml:space="preserve"> NYS: KO.</w:t>
      </w:r>
      <w:r w:rsidRPr="009F2255">
        <w:rPr>
          <w:rFonts w:cs="Arial"/>
          <w:szCs w:val="24"/>
        </w:rPr>
        <w:t>Coca-Cola [Online</w:t>
      </w:r>
      <w:r w:rsidRPr="009F2255">
        <w:rPr>
          <w:rFonts w:cs="Arial"/>
          <w:caps/>
          <w:szCs w:val="24"/>
        </w:rPr>
        <w:t xml:space="preserve">] </w:t>
      </w:r>
      <w:r w:rsidRPr="009F2255">
        <w:rPr>
          <w:rFonts w:cs="Arial"/>
          <w:szCs w:val="24"/>
        </w:rPr>
        <w:t xml:space="preserve">Available at </w:t>
      </w:r>
      <w:hyperlink r:id="rId30" w:history="1">
        <w:r w:rsidRPr="009F2255">
          <w:rPr>
            <w:rFonts w:cs="Arial"/>
            <w:szCs w:val="24"/>
          </w:rPr>
          <w:t>https://www.marketwatch.com/investing/stock/ko/financials</w:t>
        </w:r>
      </w:hyperlink>
      <w:r w:rsidRPr="009F2255">
        <w:rPr>
          <w:rFonts w:cs="Arial"/>
          <w:szCs w:val="24"/>
        </w:rPr>
        <w:t xml:space="preserve">&gt; [Accessed 9 September 2020]. </w:t>
      </w:r>
    </w:p>
    <w:p w:rsidR="00DB0E92" w:rsidRDefault="00DB0E92" w:rsidP="00DB0E92">
      <w:pPr>
        <w:spacing w:line="240" w:lineRule="auto"/>
      </w:pPr>
      <w:r w:rsidRPr="00951530">
        <w:t>Mintel</w:t>
      </w:r>
      <w:r>
        <w:t xml:space="preserve">, </w:t>
      </w:r>
      <w:r w:rsidRPr="00951530">
        <w:t>2020</w:t>
      </w:r>
      <w:r>
        <w:t xml:space="preserve">. </w:t>
      </w:r>
      <w:r w:rsidRPr="00951530">
        <w:rPr>
          <w:i/>
          <w:iCs/>
        </w:rPr>
        <w:t>Global Food and Drinks Trends 2030</w:t>
      </w:r>
      <w:r>
        <w:t>.</w:t>
      </w:r>
      <w:r w:rsidRPr="00951530">
        <w:t xml:space="preserve"> London: Mintel.</w:t>
      </w:r>
    </w:p>
    <w:p w:rsidR="004201CD" w:rsidRDefault="004201CD" w:rsidP="004201CD">
      <w:pPr>
        <w:shd w:val="clear" w:color="auto" w:fill="FFFFFF"/>
        <w:spacing w:line="240" w:lineRule="auto"/>
        <w:rPr>
          <w:rFonts w:cs="Times New Roman"/>
          <w:szCs w:val="24"/>
        </w:rPr>
      </w:pPr>
      <w:r w:rsidRPr="00B95D57">
        <w:rPr>
          <w:rFonts w:cs="Times New Roman"/>
          <w:szCs w:val="24"/>
        </w:rPr>
        <w:t>PMR</w:t>
      </w:r>
      <w:r>
        <w:rPr>
          <w:rFonts w:cs="Times New Roman"/>
          <w:szCs w:val="24"/>
        </w:rPr>
        <w:t>,</w:t>
      </w:r>
      <w:r w:rsidRPr="00B95D57">
        <w:rPr>
          <w:rFonts w:cs="Times New Roman"/>
          <w:szCs w:val="24"/>
        </w:rPr>
        <w:t xml:space="preserve"> 2019</w:t>
      </w:r>
      <w:r w:rsidRPr="008663FE">
        <w:rPr>
          <w:rFonts w:cs="Times New Roman"/>
          <w:i/>
          <w:iCs/>
          <w:szCs w:val="24"/>
        </w:rPr>
        <w:t>Global Market Study on Non-Alcoholic Beverages</w:t>
      </w:r>
      <w:r w:rsidRPr="00B95D57">
        <w:rPr>
          <w:rFonts w:cs="Times New Roman"/>
          <w:szCs w:val="24"/>
        </w:rPr>
        <w:t xml:space="preserve">. </w:t>
      </w:r>
      <w:r w:rsidRPr="004201CD">
        <w:rPr>
          <w:rFonts w:cs="Times New Roman"/>
          <w:szCs w:val="24"/>
        </w:rPr>
        <w:t>Persistence</w:t>
      </w:r>
      <w:r>
        <w:rPr>
          <w:rFonts w:cs="Times New Roman"/>
          <w:szCs w:val="24"/>
        </w:rPr>
        <w:t xml:space="preserve"> M</w:t>
      </w:r>
      <w:r w:rsidRPr="004201CD">
        <w:rPr>
          <w:rFonts w:cs="Times New Roman"/>
          <w:szCs w:val="24"/>
        </w:rPr>
        <w:t>arket</w:t>
      </w:r>
      <w:r>
        <w:rPr>
          <w:rFonts w:cs="Times New Roman"/>
          <w:szCs w:val="24"/>
        </w:rPr>
        <w:t xml:space="preserve"> R</w:t>
      </w:r>
      <w:r w:rsidRPr="004201CD">
        <w:rPr>
          <w:rFonts w:cs="Times New Roman"/>
          <w:szCs w:val="24"/>
        </w:rPr>
        <w:t>esearch</w:t>
      </w:r>
      <w:r>
        <w:rPr>
          <w:rFonts w:cs="Arial"/>
          <w:szCs w:val="24"/>
        </w:rPr>
        <w:t>[</w:t>
      </w:r>
      <w:r>
        <w:rPr>
          <w:rFonts w:cs="Times New Roman"/>
          <w:szCs w:val="24"/>
        </w:rPr>
        <w:t>online</w:t>
      </w:r>
      <w:r>
        <w:rPr>
          <w:rFonts w:cs="Arial"/>
          <w:szCs w:val="24"/>
        </w:rPr>
        <w:t>]</w:t>
      </w:r>
      <w:r w:rsidRPr="00B95D57">
        <w:rPr>
          <w:rFonts w:cs="Times New Roman"/>
          <w:szCs w:val="24"/>
        </w:rPr>
        <w:t xml:space="preserve">Available at:  </w:t>
      </w:r>
      <w:hyperlink r:id="rId31" w:history="1">
        <w:r w:rsidRPr="00B95D57">
          <w:rPr>
            <w:rStyle w:val="Hyperlink"/>
            <w:rFonts w:cs="Times New Roman"/>
            <w:szCs w:val="24"/>
          </w:rPr>
          <w:t>h</w:t>
        </w:r>
        <w:r w:rsidRPr="004201CD">
          <w:rPr>
            <w:rStyle w:val="Hyperlink"/>
            <w:rFonts w:cs="Times New Roman"/>
            <w:color w:val="auto"/>
            <w:szCs w:val="24"/>
            <w:u w:val="none"/>
          </w:rPr>
          <w:t>ttps://www.persistencemarketresearch.com/market-research/non-alcoholic-beverages-market.asp</w:t>
        </w:r>
      </w:hyperlink>
      <w:r w:rsidRPr="00B95D57">
        <w:rPr>
          <w:rFonts w:cs="Times New Roman"/>
          <w:szCs w:val="24"/>
        </w:rPr>
        <w:t>&gt; [Accessed 23 January 2020].</w:t>
      </w:r>
    </w:p>
    <w:p w:rsidR="00D772A9" w:rsidRDefault="00601222" w:rsidP="00A55721">
      <w:pPr>
        <w:spacing w:line="240" w:lineRule="auto"/>
      </w:pPr>
      <w:r w:rsidRPr="00CC65AD">
        <w:t xml:space="preserve">Porter, M.E., 2008. </w:t>
      </w:r>
      <w:r w:rsidRPr="00601222">
        <w:rPr>
          <w:i/>
          <w:iCs/>
        </w:rPr>
        <w:t>On Competition</w:t>
      </w:r>
      <w:r>
        <w:t>, Boston, MA: Harvard Business Press.</w:t>
      </w:r>
    </w:p>
    <w:p w:rsidR="00A55721" w:rsidRPr="00A55721" w:rsidRDefault="00A55721" w:rsidP="00A55721">
      <w:pPr>
        <w:spacing w:line="240" w:lineRule="auto"/>
        <w:rPr>
          <w:rFonts w:cs="Times New Roman"/>
        </w:rPr>
      </w:pPr>
      <w:r w:rsidRPr="00125F4F">
        <w:rPr>
          <w:rFonts w:cs="Times New Roman"/>
        </w:rPr>
        <w:t>Pravst, I. and Kušar, A.</w:t>
      </w:r>
      <w:r>
        <w:rPr>
          <w:rFonts w:cs="Times New Roman"/>
        </w:rPr>
        <w:t xml:space="preserve">, </w:t>
      </w:r>
      <w:r w:rsidRPr="00125F4F">
        <w:rPr>
          <w:rFonts w:cs="Times New Roman"/>
        </w:rPr>
        <w:t>2020</w:t>
      </w:r>
      <w:r>
        <w:rPr>
          <w:rFonts w:cs="Times New Roman"/>
        </w:rPr>
        <w:t xml:space="preserve">. </w:t>
      </w:r>
      <w:r w:rsidRPr="00125F4F">
        <w:rPr>
          <w:rFonts w:eastAsia="Times New Roman" w:cs="Times New Roman"/>
        </w:rPr>
        <w:t>Labeling of Nonalcoholic Beverage</w:t>
      </w:r>
      <w:r w:rsidRPr="00125F4F">
        <w:rPr>
          <w:rFonts w:cs="Times New Roman"/>
        </w:rPr>
        <w:t>s</w:t>
      </w:r>
      <w:r>
        <w:rPr>
          <w:rFonts w:cs="Times New Roman"/>
        </w:rPr>
        <w:t>.  In:</w:t>
      </w:r>
      <w:r w:rsidRPr="00125F4F">
        <w:rPr>
          <w:rFonts w:cs="Times New Roman"/>
        </w:rPr>
        <w:t xml:space="preserve"> C Galanakis, </w:t>
      </w:r>
      <w:r>
        <w:rPr>
          <w:rFonts w:cs="Times New Roman"/>
        </w:rPr>
        <w:t>e</w:t>
      </w:r>
      <w:r w:rsidRPr="00125F4F">
        <w:rPr>
          <w:rFonts w:cs="Times New Roman"/>
        </w:rPr>
        <w:t xml:space="preserve">d. </w:t>
      </w:r>
      <w:r w:rsidRPr="00125F4F">
        <w:rPr>
          <w:rFonts w:cs="Times New Roman"/>
          <w:i/>
          <w:iCs/>
        </w:rPr>
        <w:t>Trends in Non-alcoholic Beverages</w:t>
      </w:r>
      <w:r>
        <w:rPr>
          <w:rFonts w:cs="Times New Roman"/>
        </w:rPr>
        <w:t>.</w:t>
      </w:r>
      <w:r w:rsidRPr="00125F4F">
        <w:rPr>
          <w:rFonts w:cs="Times New Roman"/>
        </w:rPr>
        <w:t xml:space="preserve">  Amsterdam: Elsevier. pp. 263-307</w:t>
      </w:r>
    </w:p>
    <w:p w:rsidR="00A621A7" w:rsidRDefault="00A621A7" w:rsidP="00A621A7">
      <w:pPr>
        <w:spacing w:line="240" w:lineRule="auto"/>
        <w:rPr>
          <w:szCs w:val="24"/>
        </w:rPr>
      </w:pPr>
      <w:r w:rsidRPr="00A621A7">
        <w:rPr>
          <w:szCs w:val="24"/>
        </w:rPr>
        <w:lastRenderedPageBreak/>
        <w:t xml:space="preserve">Quincy, J., 2020. </w:t>
      </w:r>
      <w:r w:rsidRPr="00A621A7">
        <w:rPr>
          <w:rFonts w:eastAsia="Times New Roman" w:cs="Arial"/>
          <w:i/>
          <w:iCs/>
          <w:kern w:val="36"/>
          <w:szCs w:val="24"/>
          <w:lang w:eastAsia="en-GB"/>
        </w:rPr>
        <w:t>Pandemic Prompting Coca-Cola to ‘Move Even Faster,’ CEO Tells Analysts.</w:t>
      </w:r>
      <w:r w:rsidRPr="00A621A7">
        <w:rPr>
          <w:rFonts w:eastAsia="Times New Roman" w:cs="Arial"/>
          <w:kern w:val="36"/>
          <w:szCs w:val="24"/>
          <w:lang w:eastAsia="en-GB"/>
        </w:rPr>
        <w:t xml:space="preserve"> Coca-Cola </w:t>
      </w:r>
      <w:r w:rsidRPr="00A621A7">
        <w:rPr>
          <w:rFonts w:cs="Arial"/>
          <w:szCs w:val="24"/>
        </w:rPr>
        <w:t>[</w:t>
      </w:r>
      <w:r w:rsidRPr="00A621A7">
        <w:rPr>
          <w:szCs w:val="24"/>
        </w:rPr>
        <w:t>online</w:t>
      </w:r>
      <w:r w:rsidRPr="00A621A7">
        <w:rPr>
          <w:rFonts w:cs="Arial"/>
          <w:szCs w:val="24"/>
        </w:rPr>
        <w:t xml:space="preserve">] </w:t>
      </w:r>
      <w:r w:rsidRPr="00A621A7">
        <w:rPr>
          <w:szCs w:val="24"/>
        </w:rPr>
        <w:t>Available at: &lt;</w:t>
      </w:r>
      <w:hyperlink r:id="rId32" w:history="1">
        <w:r w:rsidRPr="00A621A7">
          <w:rPr>
            <w:rStyle w:val="Heading1Char"/>
            <w:b w:val="0"/>
            <w:bCs/>
            <w:szCs w:val="24"/>
          </w:rPr>
          <w:t>https://www.coca-colacompany.com/news/pandemic-prompting-coca-cola-to-move-even-faster-ceo-tells-analysts</w:t>
        </w:r>
      </w:hyperlink>
      <w:r w:rsidRPr="00832DA2">
        <w:rPr>
          <w:szCs w:val="24"/>
        </w:rPr>
        <w:t>&gt;</w:t>
      </w:r>
      <w:r w:rsidRPr="00832DA2">
        <w:rPr>
          <w:rFonts w:cs="Arial"/>
          <w:szCs w:val="24"/>
        </w:rPr>
        <w:t>[</w:t>
      </w:r>
      <w:r w:rsidRPr="00832DA2">
        <w:rPr>
          <w:szCs w:val="24"/>
        </w:rPr>
        <w:t xml:space="preserve">Accessed </w:t>
      </w:r>
      <w:r>
        <w:rPr>
          <w:szCs w:val="24"/>
        </w:rPr>
        <w:t>9</w:t>
      </w:r>
      <w:r w:rsidRPr="00832DA2">
        <w:rPr>
          <w:szCs w:val="24"/>
        </w:rPr>
        <w:t xml:space="preserve"> September 2020</w:t>
      </w:r>
      <w:r w:rsidR="00F9297A">
        <w:rPr>
          <w:rFonts w:cs="Arial"/>
          <w:szCs w:val="24"/>
        </w:rPr>
        <w:t>]</w:t>
      </w:r>
      <w:r w:rsidR="00F9297A">
        <w:rPr>
          <w:szCs w:val="24"/>
        </w:rPr>
        <w:t>.</w:t>
      </w:r>
    </w:p>
    <w:p w:rsidR="00F9297A" w:rsidRPr="004E48E3" w:rsidRDefault="00F9297A" w:rsidP="00F9297A">
      <w:pPr>
        <w:shd w:val="clear" w:color="auto" w:fill="FFFFFF"/>
        <w:spacing w:line="240" w:lineRule="auto"/>
        <w:rPr>
          <w:rFonts w:cs="Times New Roman"/>
          <w:szCs w:val="24"/>
        </w:rPr>
      </w:pPr>
      <w:bookmarkStart w:id="25" w:name="_Hlk50625339"/>
      <w:r>
        <w:rPr>
          <w:rFonts w:cs="Times New Roman"/>
          <w:szCs w:val="24"/>
        </w:rPr>
        <w:t>Soundarya,</w:t>
      </w:r>
      <w:bookmarkEnd w:id="25"/>
      <w:r>
        <w:rPr>
          <w:rFonts w:cs="Times New Roman"/>
          <w:szCs w:val="24"/>
        </w:rPr>
        <w:t xml:space="preserve"> J., 2019. </w:t>
      </w:r>
      <w:r w:rsidRPr="004E48E3">
        <w:rPr>
          <w:i/>
          <w:iCs/>
        </w:rPr>
        <w:t>Zero-sugar sodas, smaller soft drink cans drive Coca-Cola revenue beat</w:t>
      </w:r>
      <w:r>
        <w:t xml:space="preserve">. </w:t>
      </w:r>
      <w:r w:rsidRPr="00F364BA">
        <w:rPr>
          <w:rFonts w:cs="Arial"/>
          <w:szCs w:val="24"/>
        </w:rPr>
        <w:t xml:space="preserve">Available at: </w:t>
      </w:r>
      <w:r>
        <w:rPr>
          <w:rFonts w:cs="Arial"/>
          <w:szCs w:val="24"/>
        </w:rPr>
        <w:t>&lt;</w:t>
      </w:r>
      <w:hyperlink r:id="rId33" w:history="1">
        <w:r w:rsidR="00083038" w:rsidRPr="00083038">
          <w:rPr>
            <w:rStyle w:val="Hyperlink"/>
            <w:color w:val="auto"/>
            <w:u w:val="none"/>
          </w:rPr>
          <w:t>https://www.reuters.com/article/us-coca-cola-results/zero-sugar-sodas-smaller-soft-drink-cans-drive-coca-cola-revenue-beat-idUSKBN1WX1B7</w:t>
        </w:r>
      </w:hyperlink>
      <w:r w:rsidRPr="00083038">
        <w:rPr>
          <w:rFonts w:cs="Arial"/>
          <w:szCs w:val="24"/>
        </w:rPr>
        <w:t>&gt;</w:t>
      </w:r>
      <w:r w:rsidRPr="00083038">
        <w:rPr>
          <w:szCs w:val="24"/>
        </w:rPr>
        <w:t>[</w:t>
      </w:r>
      <w:r w:rsidRPr="004E48E3">
        <w:rPr>
          <w:szCs w:val="24"/>
        </w:rPr>
        <w:t xml:space="preserve">Accessed </w:t>
      </w:r>
      <w:r w:rsidR="00083038">
        <w:rPr>
          <w:rFonts w:cs="Times New Roman"/>
          <w:szCs w:val="24"/>
        </w:rPr>
        <w:t>10 September</w:t>
      </w:r>
      <w:r w:rsidRPr="004E48E3">
        <w:rPr>
          <w:rFonts w:cs="Times New Roman"/>
          <w:szCs w:val="24"/>
        </w:rPr>
        <w:t xml:space="preserve"> 2020]. </w:t>
      </w:r>
    </w:p>
    <w:p w:rsidR="007B5B0A" w:rsidRPr="004A7CFD" w:rsidRDefault="007B5B0A" w:rsidP="007B5B0A">
      <w:pPr>
        <w:spacing w:after="0" w:line="240" w:lineRule="auto"/>
        <w:rPr>
          <w:rFonts w:cs="Arial"/>
          <w:szCs w:val="24"/>
        </w:rPr>
      </w:pPr>
      <w:r w:rsidRPr="007B5B0A">
        <w:rPr>
          <w:rFonts w:cs="Arial"/>
          <w:szCs w:val="24"/>
        </w:rPr>
        <w:t xml:space="preserve">Thompson, L., 2017. </w:t>
      </w:r>
      <w:r w:rsidRPr="007B5B0A">
        <w:rPr>
          <w:rFonts w:cs="Arial"/>
          <w:i/>
          <w:iCs/>
          <w:szCs w:val="24"/>
        </w:rPr>
        <w:t>The Coca-Cola Company Completes Refranchising of Company-Owned Bottling Operations in the United States</w:t>
      </w:r>
      <w:r w:rsidRPr="007B5B0A">
        <w:rPr>
          <w:rFonts w:cs="Arial"/>
          <w:szCs w:val="24"/>
        </w:rPr>
        <w:t>. Business Wire [online]Available at: &lt;</w:t>
      </w:r>
      <w:hyperlink r:id="rId34" w:history="1">
        <w:r w:rsidR="004A7CFD" w:rsidRPr="004A7CFD">
          <w:rPr>
            <w:rStyle w:val="Hyperlink"/>
            <w:rFonts w:cs="Arial"/>
            <w:color w:val="auto"/>
            <w:szCs w:val="24"/>
            <w:u w:val="none"/>
          </w:rPr>
          <w:t>https://www.businesswire.com/news/home/20171030005384/en/Coca-Cola-Company-Completes-Refranchising-Company-Owned-Bottling-Operations</w:t>
        </w:r>
      </w:hyperlink>
      <w:r w:rsidRPr="004A7CFD">
        <w:rPr>
          <w:rFonts w:cs="Arial"/>
          <w:szCs w:val="24"/>
        </w:rPr>
        <w:t>&gt; [Accessed 9 September 2020].</w:t>
      </w:r>
    </w:p>
    <w:p w:rsidR="007B5B0A" w:rsidRPr="009F2255" w:rsidRDefault="007B5B0A" w:rsidP="007B5B0A">
      <w:pPr>
        <w:spacing w:after="0" w:line="240" w:lineRule="auto"/>
        <w:rPr>
          <w:rFonts w:cs="Arial"/>
          <w:szCs w:val="24"/>
        </w:rPr>
      </w:pPr>
    </w:p>
    <w:p w:rsidR="00A55721" w:rsidRPr="00951530" w:rsidRDefault="00A55721" w:rsidP="00A55721">
      <w:pPr>
        <w:spacing w:line="240" w:lineRule="auto"/>
        <w:rPr>
          <w:rFonts w:cs="Times New Roman"/>
          <w:szCs w:val="24"/>
        </w:rPr>
      </w:pPr>
      <w:r w:rsidRPr="00951530">
        <w:t>T</w:t>
      </w:r>
      <w:r>
        <w:t xml:space="preserve">MR., </w:t>
      </w:r>
      <w:r w:rsidRPr="00951530">
        <w:t>2020</w:t>
      </w:r>
      <w:r>
        <w:t>.</w:t>
      </w:r>
      <w:r w:rsidRPr="00951530">
        <w:rPr>
          <w:i/>
          <w:iCs/>
        </w:rPr>
        <w:t>Non-Alcoholic Beverage Market - Global Industry Analysis, Size, Share, Growth, Trends, and Forecast 2017 – 2025.</w:t>
      </w:r>
      <w:r>
        <w:t xml:space="preserve">Transparency Market Research </w:t>
      </w:r>
      <w:r>
        <w:rPr>
          <w:rFonts w:cs="Arial"/>
        </w:rPr>
        <w:t>[</w:t>
      </w:r>
      <w:r>
        <w:t>online</w:t>
      </w:r>
      <w:r>
        <w:rPr>
          <w:rFonts w:cs="Arial"/>
        </w:rPr>
        <w:t>]</w:t>
      </w:r>
      <w:r w:rsidRPr="00951530">
        <w:rPr>
          <w:rFonts w:cs="Arial"/>
          <w:szCs w:val="24"/>
        </w:rPr>
        <w:t>Available at</w:t>
      </w:r>
      <w:r>
        <w:rPr>
          <w:rFonts w:cs="Arial"/>
          <w:szCs w:val="24"/>
        </w:rPr>
        <w:t>:</w:t>
      </w:r>
      <w:r w:rsidRPr="00951530">
        <w:rPr>
          <w:rFonts w:cs="Arial"/>
          <w:szCs w:val="24"/>
        </w:rPr>
        <w:t>&lt;</w:t>
      </w:r>
      <w:hyperlink r:id="rId35" w:history="1">
        <w:r w:rsidRPr="00A55721">
          <w:rPr>
            <w:rStyle w:val="Hyperlink"/>
            <w:color w:val="auto"/>
            <w:u w:val="none"/>
          </w:rPr>
          <w:t>https://www.transparencymarketresearch.com/nonalcoholic-beverage-market.html</w:t>
        </w:r>
      </w:hyperlink>
      <w:r w:rsidRPr="00951530">
        <w:rPr>
          <w:rFonts w:cs="Arial"/>
          <w:szCs w:val="24"/>
        </w:rPr>
        <w:t>&gt;</w:t>
      </w:r>
      <w:r w:rsidRPr="00951530">
        <w:rPr>
          <w:szCs w:val="24"/>
        </w:rPr>
        <w:t xml:space="preserve">[Accessed </w:t>
      </w:r>
      <w:r>
        <w:rPr>
          <w:rFonts w:cs="Times New Roman"/>
          <w:szCs w:val="24"/>
        </w:rPr>
        <w:t>9 September</w:t>
      </w:r>
      <w:r w:rsidRPr="00951530">
        <w:rPr>
          <w:rFonts w:cs="Times New Roman"/>
          <w:szCs w:val="24"/>
        </w:rPr>
        <w:t xml:space="preserve"> 2020]. </w:t>
      </w:r>
    </w:p>
    <w:p w:rsidR="00601222" w:rsidRDefault="00601222" w:rsidP="00601222">
      <w:pPr>
        <w:spacing w:line="240" w:lineRule="auto"/>
      </w:pPr>
      <w:r>
        <w:t xml:space="preserve">Whittington, R., Regner, P., Angwin, D.,  Johnson, G. and Scholes, K., 2019. </w:t>
      </w:r>
      <w:r w:rsidRPr="00F91126">
        <w:rPr>
          <w:i/>
          <w:iCs/>
        </w:rPr>
        <w:t>Exploring Corporate Strategy: Text and Cases</w:t>
      </w:r>
      <w:r>
        <w:t>. 12</w:t>
      </w:r>
      <w:r w:rsidRPr="00F91126">
        <w:rPr>
          <w:vertAlign w:val="superscript"/>
        </w:rPr>
        <w:t>th</w:t>
      </w:r>
      <w:r>
        <w:t xml:space="preserve"> ed. Harlow: Pearson.</w:t>
      </w:r>
    </w:p>
    <w:p w:rsidR="00D772A9" w:rsidRPr="00D772A9" w:rsidRDefault="00D772A9" w:rsidP="00D772A9"/>
    <w:sectPr w:rsidR="00D772A9" w:rsidRPr="00D772A9" w:rsidSect="00D772A9">
      <w:pgSz w:w="11906" w:h="16838"/>
      <w:pgMar w:top="1440" w:right="1440" w:bottom="1440" w:left="144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6A87" w:rsidRDefault="003A6A87" w:rsidP="00D772A9">
      <w:pPr>
        <w:spacing w:after="0" w:line="240" w:lineRule="auto"/>
      </w:pPr>
      <w:r>
        <w:separator/>
      </w:r>
    </w:p>
  </w:endnote>
  <w:endnote w:type="continuationSeparator" w:id="1">
    <w:p w:rsidR="003A6A87" w:rsidRDefault="003A6A87" w:rsidP="00D772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1885741"/>
      <w:docPartObj>
        <w:docPartGallery w:val="Page Numbers (Bottom of Page)"/>
        <w:docPartUnique/>
      </w:docPartObj>
    </w:sdtPr>
    <w:sdtContent>
      <w:p w:rsidR="0085536F" w:rsidRDefault="0085536F">
        <w:pPr>
          <w:pStyle w:val="Footer"/>
          <w:jc w:val="center"/>
        </w:pPr>
        <w:fldSimple w:instr=" PAGE   \* MERGEFORMAT ">
          <w:r>
            <w:rPr>
              <w:noProof/>
            </w:rPr>
            <w:t>1</w:t>
          </w:r>
        </w:fldSimple>
      </w:p>
    </w:sdtContent>
  </w:sdt>
  <w:p w:rsidR="00A54DEF" w:rsidRDefault="00A54DE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6A87" w:rsidRDefault="003A6A87" w:rsidP="00D772A9">
      <w:pPr>
        <w:spacing w:after="0" w:line="240" w:lineRule="auto"/>
      </w:pPr>
      <w:r>
        <w:separator/>
      </w:r>
    </w:p>
  </w:footnote>
  <w:footnote w:type="continuationSeparator" w:id="1">
    <w:p w:rsidR="003A6A87" w:rsidRDefault="003A6A87" w:rsidP="00D772A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36F" w:rsidRPr="0085536F" w:rsidRDefault="0085536F" w:rsidP="0085536F">
    <w:pPr>
      <w:pStyle w:val="Header"/>
      <w:jc w:val="right"/>
      <w:rPr>
        <w:sz w:val="16"/>
        <w:szCs w:val="16"/>
      </w:rPr>
    </w:pPr>
    <w:r w:rsidRPr="0085536F">
      <w:rPr>
        <w:sz w:val="16"/>
        <w:szCs w:val="16"/>
      </w:rPr>
      <w:t>Marketing Management LCMB7001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D84085"/>
    <w:multiLevelType w:val="hybridMultilevel"/>
    <w:tmpl w:val="CFBA98BE"/>
    <w:lvl w:ilvl="0" w:tplc="1E10D09E">
      <w:start w:val="1"/>
      <w:numFmt w:val="decimal"/>
      <w:lvlText w:val="%1."/>
      <w:lvlJc w:val="left"/>
      <w:pPr>
        <w:tabs>
          <w:tab w:val="num" w:pos="720"/>
        </w:tabs>
        <w:ind w:left="720" w:hanging="360"/>
      </w:pPr>
    </w:lvl>
    <w:lvl w:ilvl="1" w:tplc="CB341376" w:tentative="1">
      <w:start w:val="1"/>
      <w:numFmt w:val="decimal"/>
      <w:lvlText w:val="%2."/>
      <w:lvlJc w:val="left"/>
      <w:pPr>
        <w:tabs>
          <w:tab w:val="num" w:pos="1440"/>
        </w:tabs>
        <w:ind w:left="1440" w:hanging="360"/>
      </w:pPr>
    </w:lvl>
    <w:lvl w:ilvl="2" w:tplc="15C0B36A" w:tentative="1">
      <w:start w:val="1"/>
      <w:numFmt w:val="decimal"/>
      <w:lvlText w:val="%3."/>
      <w:lvlJc w:val="left"/>
      <w:pPr>
        <w:tabs>
          <w:tab w:val="num" w:pos="2160"/>
        </w:tabs>
        <w:ind w:left="2160" w:hanging="360"/>
      </w:pPr>
    </w:lvl>
    <w:lvl w:ilvl="3" w:tplc="5D66A22A" w:tentative="1">
      <w:start w:val="1"/>
      <w:numFmt w:val="decimal"/>
      <w:lvlText w:val="%4."/>
      <w:lvlJc w:val="left"/>
      <w:pPr>
        <w:tabs>
          <w:tab w:val="num" w:pos="2880"/>
        </w:tabs>
        <w:ind w:left="2880" w:hanging="360"/>
      </w:pPr>
    </w:lvl>
    <w:lvl w:ilvl="4" w:tplc="C9E863CC" w:tentative="1">
      <w:start w:val="1"/>
      <w:numFmt w:val="decimal"/>
      <w:lvlText w:val="%5."/>
      <w:lvlJc w:val="left"/>
      <w:pPr>
        <w:tabs>
          <w:tab w:val="num" w:pos="3600"/>
        </w:tabs>
        <w:ind w:left="3600" w:hanging="360"/>
      </w:pPr>
    </w:lvl>
    <w:lvl w:ilvl="5" w:tplc="0D7A71AE" w:tentative="1">
      <w:start w:val="1"/>
      <w:numFmt w:val="decimal"/>
      <w:lvlText w:val="%6."/>
      <w:lvlJc w:val="left"/>
      <w:pPr>
        <w:tabs>
          <w:tab w:val="num" w:pos="4320"/>
        </w:tabs>
        <w:ind w:left="4320" w:hanging="360"/>
      </w:pPr>
    </w:lvl>
    <w:lvl w:ilvl="6" w:tplc="7F10FE20" w:tentative="1">
      <w:start w:val="1"/>
      <w:numFmt w:val="decimal"/>
      <w:lvlText w:val="%7."/>
      <w:lvlJc w:val="left"/>
      <w:pPr>
        <w:tabs>
          <w:tab w:val="num" w:pos="5040"/>
        </w:tabs>
        <w:ind w:left="5040" w:hanging="360"/>
      </w:pPr>
    </w:lvl>
    <w:lvl w:ilvl="7" w:tplc="B3122CA0" w:tentative="1">
      <w:start w:val="1"/>
      <w:numFmt w:val="decimal"/>
      <w:lvlText w:val="%8."/>
      <w:lvlJc w:val="left"/>
      <w:pPr>
        <w:tabs>
          <w:tab w:val="num" w:pos="5760"/>
        </w:tabs>
        <w:ind w:left="5760" w:hanging="360"/>
      </w:pPr>
    </w:lvl>
    <w:lvl w:ilvl="8" w:tplc="6ACA63FA" w:tentative="1">
      <w:start w:val="1"/>
      <w:numFmt w:val="decimal"/>
      <w:lvlText w:val="%9."/>
      <w:lvlJc w:val="left"/>
      <w:pPr>
        <w:tabs>
          <w:tab w:val="num" w:pos="6480"/>
        </w:tabs>
        <w:ind w:left="6480" w:hanging="360"/>
      </w:pPr>
    </w:lvl>
  </w:abstractNum>
  <w:abstractNum w:abstractNumId="1">
    <w:nsid w:val="23D856B0"/>
    <w:multiLevelType w:val="hybridMultilevel"/>
    <w:tmpl w:val="C278003A"/>
    <w:lvl w:ilvl="0" w:tplc="065C4B96">
      <w:start w:val="1"/>
      <w:numFmt w:val="lowerLetter"/>
      <w:lvlText w:val="%1)"/>
      <w:lvlJc w:val="left"/>
      <w:pPr>
        <w:tabs>
          <w:tab w:val="num" w:pos="720"/>
        </w:tabs>
        <w:ind w:left="720" w:hanging="360"/>
      </w:pPr>
    </w:lvl>
    <w:lvl w:ilvl="1" w:tplc="46EAE130" w:tentative="1">
      <w:start w:val="1"/>
      <w:numFmt w:val="lowerLetter"/>
      <w:lvlText w:val="%2)"/>
      <w:lvlJc w:val="left"/>
      <w:pPr>
        <w:tabs>
          <w:tab w:val="num" w:pos="1440"/>
        </w:tabs>
        <w:ind w:left="1440" w:hanging="360"/>
      </w:pPr>
    </w:lvl>
    <w:lvl w:ilvl="2" w:tplc="B2420ACA" w:tentative="1">
      <w:start w:val="1"/>
      <w:numFmt w:val="lowerLetter"/>
      <w:lvlText w:val="%3)"/>
      <w:lvlJc w:val="left"/>
      <w:pPr>
        <w:tabs>
          <w:tab w:val="num" w:pos="2160"/>
        </w:tabs>
        <w:ind w:left="2160" w:hanging="360"/>
      </w:pPr>
    </w:lvl>
    <w:lvl w:ilvl="3" w:tplc="3C88BE16" w:tentative="1">
      <w:start w:val="1"/>
      <w:numFmt w:val="lowerLetter"/>
      <w:lvlText w:val="%4)"/>
      <w:lvlJc w:val="left"/>
      <w:pPr>
        <w:tabs>
          <w:tab w:val="num" w:pos="2880"/>
        </w:tabs>
        <w:ind w:left="2880" w:hanging="360"/>
      </w:pPr>
    </w:lvl>
    <w:lvl w:ilvl="4" w:tplc="EF4241A6" w:tentative="1">
      <w:start w:val="1"/>
      <w:numFmt w:val="lowerLetter"/>
      <w:lvlText w:val="%5)"/>
      <w:lvlJc w:val="left"/>
      <w:pPr>
        <w:tabs>
          <w:tab w:val="num" w:pos="3600"/>
        </w:tabs>
        <w:ind w:left="3600" w:hanging="360"/>
      </w:pPr>
    </w:lvl>
    <w:lvl w:ilvl="5" w:tplc="DEEA5F08" w:tentative="1">
      <w:start w:val="1"/>
      <w:numFmt w:val="lowerLetter"/>
      <w:lvlText w:val="%6)"/>
      <w:lvlJc w:val="left"/>
      <w:pPr>
        <w:tabs>
          <w:tab w:val="num" w:pos="4320"/>
        </w:tabs>
        <w:ind w:left="4320" w:hanging="360"/>
      </w:pPr>
    </w:lvl>
    <w:lvl w:ilvl="6" w:tplc="4A88BE60" w:tentative="1">
      <w:start w:val="1"/>
      <w:numFmt w:val="lowerLetter"/>
      <w:lvlText w:val="%7)"/>
      <w:lvlJc w:val="left"/>
      <w:pPr>
        <w:tabs>
          <w:tab w:val="num" w:pos="5040"/>
        </w:tabs>
        <w:ind w:left="5040" w:hanging="360"/>
      </w:pPr>
    </w:lvl>
    <w:lvl w:ilvl="7" w:tplc="FE941838" w:tentative="1">
      <w:start w:val="1"/>
      <w:numFmt w:val="lowerLetter"/>
      <w:lvlText w:val="%8)"/>
      <w:lvlJc w:val="left"/>
      <w:pPr>
        <w:tabs>
          <w:tab w:val="num" w:pos="5760"/>
        </w:tabs>
        <w:ind w:left="5760" w:hanging="360"/>
      </w:pPr>
    </w:lvl>
    <w:lvl w:ilvl="8" w:tplc="95A08E0A" w:tentative="1">
      <w:start w:val="1"/>
      <w:numFmt w:val="lowerLetter"/>
      <w:lvlText w:val="%9)"/>
      <w:lvlJc w:val="left"/>
      <w:pPr>
        <w:tabs>
          <w:tab w:val="num" w:pos="6480"/>
        </w:tabs>
        <w:ind w:left="6480" w:hanging="360"/>
      </w:pPr>
    </w:lvl>
  </w:abstractNum>
  <w:abstractNum w:abstractNumId="2">
    <w:nsid w:val="32B87182"/>
    <w:multiLevelType w:val="hybridMultilevel"/>
    <w:tmpl w:val="AC1AE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9EA093D"/>
    <w:multiLevelType w:val="hybridMultilevel"/>
    <w:tmpl w:val="155CF19E"/>
    <w:lvl w:ilvl="0" w:tplc="C9E4DA92">
      <w:start w:val="1"/>
      <w:numFmt w:val="decimal"/>
      <w:lvlText w:val="%1."/>
      <w:lvlJc w:val="left"/>
      <w:pPr>
        <w:tabs>
          <w:tab w:val="num" w:pos="720"/>
        </w:tabs>
        <w:ind w:left="720" w:hanging="360"/>
      </w:pPr>
    </w:lvl>
    <w:lvl w:ilvl="1" w:tplc="BE2AF078" w:tentative="1">
      <w:start w:val="1"/>
      <w:numFmt w:val="decimal"/>
      <w:lvlText w:val="%2."/>
      <w:lvlJc w:val="left"/>
      <w:pPr>
        <w:tabs>
          <w:tab w:val="num" w:pos="1440"/>
        </w:tabs>
        <w:ind w:left="1440" w:hanging="360"/>
      </w:pPr>
    </w:lvl>
    <w:lvl w:ilvl="2" w:tplc="E35835B4" w:tentative="1">
      <w:start w:val="1"/>
      <w:numFmt w:val="decimal"/>
      <w:lvlText w:val="%3."/>
      <w:lvlJc w:val="left"/>
      <w:pPr>
        <w:tabs>
          <w:tab w:val="num" w:pos="2160"/>
        </w:tabs>
        <w:ind w:left="2160" w:hanging="360"/>
      </w:pPr>
    </w:lvl>
    <w:lvl w:ilvl="3" w:tplc="8B84D08A" w:tentative="1">
      <w:start w:val="1"/>
      <w:numFmt w:val="decimal"/>
      <w:lvlText w:val="%4."/>
      <w:lvlJc w:val="left"/>
      <w:pPr>
        <w:tabs>
          <w:tab w:val="num" w:pos="2880"/>
        </w:tabs>
        <w:ind w:left="2880" w:hanging="360"/>
      </w:pPr>
    </w:lvl>
    <w:lvl w:ilvl="4" w:tplc="E89A0F68" w:tentative="1">
      <w:start w:val="1"/>
      <w:numFmt w:val="decimal"/>
      <w:lvlText w:val="%5."/>
      <w:lvlJc w:val="left"/>
      <w:pPr>
        <w:tabs>
          <w:tab w:val="num" w:pos="3600"/>
        </w:tabs>
        <w:ind w:left="3600" w:hanging="360"/>
      </w:pPr>
    </w:lvl>
    <w:lvl w:ilvl="5" w:tplc="7F847E1C" w:tentative="1">
      <w:start w:val="1"/>
      <w:numFmt w:val="decimal"/>
      <w:lvlText w:val="%6."/>
      <w:lvlJc w:val="left"/>
      <w:pPr>
        <w:tabs>
          <w:tab w:val="num" w:pos="4320"/>
        </w:tabs>
        <w:ind w:left="4320" w:hanging="360"/>
      </w:pPr>
    </w:lvl>
    <w:lvl w:ilvl="6" w:tplc="70445D9E" w:tentative="1">
      <w:start w:val="1"/>
      <w:numFmt w:val="decimal"/>
      <w:lvlText w:val="%7."/>
      <w:lvlJc w:val="left"/>
      <w:pPr>
        <w:tabs>
          <w:tab w:val="num" w:pos="5040"/>
        </w:tabs>
        <w:ind w:left="5040" w:hanging="360"/>
      </w:pPr>
    </w:lvl>
    <w:lvl w:ilvl="7" w:tplc="E8E678A6" w:tentative="1">
      <w:start w:val="1"/>
      <w:numFmt w:val="decimal"/>
      <w:lvlText w:val="%8."/>
      <w:lvlJc w:val="left"/>
      <w:pPr>
        <w:tabs>
          <w:tab w:val="num" w:pos="5760"/>
        </w:tabs>
        <w:ind w:left="5760" w:hanging="360"/>
      </w:pPr>
    </w:lvl>
    <w:lvl w:ilvl="8" w:tplc="FAD453D0" w:tentative="1">
      <w:start w:val="1"/>
      <w:numFmt w:val="decimal"/>
      <w:lvlText w:val="%9."/>
      <w:lvlJc w:val="left"/>
      <w:pPr>
        <w:tabs>
          <w:tab w:val="num" w:pos="6480"/>
        </w:tabs>
        <w:ind w:left="6480" w:hanging="360"/>
      </w:p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212DD"/>
    <w:rsid w:val="00083038"/>
    <w:rsid w:val="00156DC6"/>
    <w:rsid w:val="00181608"/>
    <w:rsid w:val="00182AA4"/>
    <w:rsid w:val="00193E0A"/>
    <w:rsid w:val="001970F2"/>
    <w:rsid w:val="002977DD"/>
    <w:rsid w:val="002E7A6A"/>
    <w:rsid w:val="00327354"/>
    <w:rsid w:val="0033269F"/>
    <w:rsid w:val="0036559A"/>
    <w:rsid w:val="003801D4"/>
    <w:rsid w:val="003A6A87"/>
    <w:rsid w:val="004201CD"/>
    <w:rsid w:val="004A7CFD"/>
    <w:rsid w:val="004B105D"/>
    <w:rsid w:val="004B66F8"/>
    <w:rsid w:val="005719A9"/>
    <w:rsid w:val="005F1D4E"/>
    <w:rsid w:val="00601222"/>
    <w:rsid w:val="00634DA5"/>
    <w:rsid w:val="0065361B"/>
    <w:rsid w:val="00655DB1"/>
    <w:rsid w:val="006810C0"/>
    <w:rsid w:val="00711C1A"/>
    <w:rsid w:val="00761B66"/>
    <w:rsid w:val="00764437"/>
    <w:rsid w:val="00773BCF"/>
    <w:rsid w:val="007B0D99"/>
    <w:rsid w:val="007B5B0A"/>
    <w:rsid w:val="007F6937"/>
    <w:rsid w:val="00845DCE"/>
    <w:rsid w:val="0085536F"/>
    <w:rsid w:val="0089126B"/>
    <w:rsid w:val="008C0044"/>
    <w:rsid w:val="00911EBD"/>
    <w:rsid w:val="00952ECA"/>
    <w:rsid w:val="00984951"/>
    <w:rsid w:val="009968A3"/>
    <w:rsid w:val="009B3539"/>
    <w:rsid w:val="00A50322"/>
    <w:rsid w:val="00A54DEF"/>
    <w:rsid w:val="00A55721"/>
    <w:rsid w:val="00A621A7"/>
    <w:rsid w:val="00A6679B"/>
    <w:rsid w:val="00A7132B"/>
    <w:rsid w:val="00AD76AB"/>
    <w:rsid w:val="00B47135"/>
    <w:rsid w:val="00B82439"/>
    <w:rsid w:val="00C034D6"/>
    <w:rsid w:val="00C053FB"/>
    <w:rsid w:val="00C27109"/>
    <w:rsid w:val="00C321C3"/>
    <w:rsid w:val="00C969BC"/>
    <w:rsid w:val="00CC65AD"/>
    <w:rsid w:val="00D212DD"/>
    <w:rsid w:val="00D23915"/>
    <w:rsid w:val="00D31DAA"/>
    <w:rsid w:val="00D6357D"/>
    <w:rsid w:val="00D72688"/>
    <w:rsid w:val="00D74ADF"/>
    <w:rsid w:val="00D772A9"/>
    <w:rsid w:val="00D85FE6"/>
    <w:rsid w:val="00DB0E92"/>
    <w:rsid w:val="00DB78E2"/>
    <w:rsid w:val="00DD245C"/>
    <w:rsid w:val="00DF540A"/>
    <w:rsid w:val="00E95D36"/>
    <w:rsid w:val="00EF0DFC"/>
    <w:rsid w:val="00F07BA4"/>
    <w:rsid w:val="00F178DC"/>
    <w:rsid w:val="00F329EB"/>
    <w:rsid w:val="00F9297A"/>
    <w:rsid w:val="00FB17E2"/>
    <w:rsid w:val="00FB27A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68A3"/>
    <w:pPr>
      <w:spacing w:line="360" w:lineRule="auto"/>
      <w:jc w:val="both"/>
    </w:pPr>
    <w:rPr>
      <w:rFonts w:ascii="Arial" w:hAnsi="Arial"/>
      <w:sz w:val="24"/>
    </w:rPr>
  </w:style>
  <w:style w:type="paragraph" w:styleId="Heading1">
    <w:name w:val="heading 1"/>
    <w:basedOn w:val="Normal"/>
    <w:next w:val="Normal"/>
    <w:link w:val="Heading1Char"/>
    <w:uiPriority w:val="9"/>
    <w:qFormat/>
    <w:rsid w:val="00D772A9"/>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968A3"/>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7B0D99"/>
    <w:pPr>
      <w:keepNext/>
      <w:keepLines/>
      <w:spacing w:before="40" w:after="0"/>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72A9"/>
    <w:rPr>
      <w:rFonts w:ascii="Arial" w:eastAsiaTheme="majorEastAsia" w:hAnsi="Arial" w:cstheme="majorBidi"/>
      <w:b/>
      <w:sz w:val="24"/>
      <w:szCs w:val="32"/>
    </w:rPr>
  </w:style>
  <w:style w:type="paragraph" w:styleId="Header">
    <w:name w:val="header"/>
    <w:basedOn w:val="Normal"/>
    <w:link w:val="HeaderChar"/>
    <w:uiPriority w:val="99"/>
    <w:unhideWhenUsed/>
    <w:rsid w:val="00D772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72A9"/>
  </w:style>
  <w:style w:type="paragraph" w:styleId="Footer">
    <w:name w:val="footer"/>
    <w:basedOn w:val="Normal"/>
    <w:link w:val="FooterChar"/>
    <w:uiPriority w:val="99"/>
    <w:unhideWhenUsed/>
    <w:rsid w:val="00D772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72A9"/>
  </w:style>
  <w:style w:type="paragraph" w:styleId="TOCHeading">
    <w:name w:val="TOC Heading"/>
    <w:basedOn w:val="Heading1"/>
    <w:next w:val="Normal"/>
    <w:uiPriority w:val="39"/>
    <w:unhideWhenUsed/>
    <w:qFormat/>
    <w:rsid w:val="00D772A9"/>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D772A9"/>
    <w:pPr>
      <w:spacing w:after="100"/>
    </w:pPr>
  </w:style>
  <w:style w:type="character" w:styleId="Hyperlink">
    <w:name w:val="Hyperlink"/>
    <w:basedOn w:val="DefaultParagraphFont"/>
    <w:uiPriority w:val="99"/>
    <w:unhideWhenUsed/>
    <w:rsid w:val="00D772A9"/>
    <w:rPr>
      <w:color w:val="0563C1" w:themeColor="hyperlink"/>
      <w:u w:val="single"/>
    </w:rPr>
  </w:style>
  <w:style w:type="paragraph" w:styleId="ListParagraph">
    <w:name w:val="List Paragraph"/>
    <w:basedOn w:val="Normal"/>
    <w:uiPriority w:val="34"/>
    <w:qFormat/>
    <w:rsid w:val="00634DA5"/>
    <w:pPr>
      <w:ind w:left="720"/>
      <w:contextualSpacing/>
    </w:pPr>
  </w:style>
  <w:style w:type="character" w:customStyle="1" w:styleId="UnresolvedMention">
    <w:name w:val="Unresolved Mention"/>
    <w:basedOn w:val="DefaultParagraphFont"/>
    <w:uiPriority w:val="99"/>
    <w:semiHidden/>
    <w:unhideWhenUsed/>
    <w:rsid w:val="00F07BA4"/>
    <w:rPr>
      <w:color w:val="605E5C"/>
      <w:shd w:val="clear" w:color="auto" w:fill="E1DFDD"/>
    </w:rPr>
  </w:style>
  <w:style w:type="character" w:customStyle="1" w:styleId="Heading3Char">
    <w:name w:val="Heading 3 Char"/>
    <w:basedOn w:val="DefaultParagraphFont"/>
    <w:link w:val="Heading3"/>
    <w:uiPriority w:val="9"/>
    <w:rsid w:val="007B0D99"/>
    <w:rPr>
      <w:rFonts w:ascii="Arial" w:eastAsiaTheme="majorEastAsia" w:hAnsi="Arial" w:cstheme="majorBidi"/>
      <w:sz w:val="24"/>
      <w:szCs w:val="24"/>
    </w:rPr>
  </w:style>
  <w:style w:type="character" w:customStyle="1" w:styleId="Heading2Char">
    <w:name w:val="Heading 2 Char"/>
    <w:basedOn w:val="DefaultParagraphFont"/>
    <w:link w:val="Heading2"/>
    <w:uiPriority w:val="9"/>
    <w:rsid w:val="009968A3"/>
    <w:rPr>
      <w:rFonts w:ascii="Arial" w:eastAsiaTheme="majorEastAsia" w:hAnsi="Arial" w:cstheme="majorBidi"/>
      <w:b/>
      <w:sz w:val="24"/>
      <w:szCs w:val="26"/>
    </w:rPr>
  </w:style>
  <w:style w:type="paragraph" w:styleId="NormalWeb">
    <w:name w:val="Normal (Web)"/>
    <w:basedOn w:val="Normal"/>
    <w:uiPriority w:val="99"/>
    <w:unhideWhenUsed/>
    <w:rsid w:val="009968A3"/>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styleId="Emphasis">
    <w:name w:val="Emphasis"/>
    <w:basedOn w:val="DefaultParagraphFont"/>
    <w:uiPriority w:val="20"/>
    <w:qFormat/>
    <w:rsid w:val="009968A3"/>
    <w:rPr>
      <w:i/>
      <w:iCs/>
    </w:rPr>
  </w:style>
  <w:style w:type="table" w:styleId="TableGrid">
    <w:name w:val="Table Grid"/>
    <w:basedOn w:val="TableNormal"/>
    <w:uiPriority w:val="39"/>
    <w:rsid w:val="007B0D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CC65AD"/>
    <w:rPr>
      <w:b/>
      <w:bCs/>
    </w:rPr>
  </w:style>
  <w:style w:type="paragraph" w:styleId="TOC2">
    <w:name w:val="toc 2"/>
    <w:basedOn w:val="Normal"/>
    <w:next w:val="Normal"/>
    <w:autoRedefine/>
    <w:uiPriority w:val="39"/>
    <w:unhideWhenUsed/>
    <w:rsid w:val="006810C0"/>
    <w:pPr>
      <w:spacing w:after="100"/>
      <w:ind w:left="240"/>
    </w:pPr>
  </w:style>
  <w:style w:type="paragraph" w:styleId="TOC3">
    <w:name w:val="toc 3"/>
    <w:basedOn w:val="Normal"/>
    <w:next w:val="Normal"/>
    <w:autoRedefine/>
    <w:uiPriority w:val="39"/>
    <w:unhideWhenUsed/>
    <w:rsid w:val="006810C0"/>
    <w:pPr>
      <w:spacing w:after="100"/>
      <w:ind w:left="480"/>
    </w:pPr>
  </w:style>
  <w:style w:type="character" w:customStyle="1" w:styleId="c-messagebody">
    <w:name w:val="c-message__body"/>
    <w:basedOn w:val="DefaultParagraphFont"/>
    <w:rsid w:val="00655DB1"/>
  </w:style>
  <w:style w:type="paragraph" w:styleId="NoSpacing">
    <w:name w:val="No Spacing"/>
    <w:link w:val="NoSpacingChar"/>
    <w:uiPriority w:val="1"/>
    <w:qFormat/>
    <w:rsid w:val="00655DB1"/>
    <w:pPr>
      <w:spacing w:after="0" w:line="240" w:lineRule="auto"/>
    </w:pPr>
    <w:rPr>
      <w:lang w:val="en-US"/>
    </w:rPr>
  </w:style>
  <w:style w:type="character" w:customStyle="1" w:styleId="NoSpacingChar">
    <w:name w:val="No Spacing Char"/>
    <w:basedOn w:val="DefaultParagraphFont"/>
    <w:link w:val="NoSpacing"/>
    <w:uiPriority w:val="1"/>
    <w:rsid w:val="00655DB1"/>
    <w:rPr>
      <w:lang w:val="en-US"/>
    </w:rPr>
  </w:style>
  <w:style w:type="paragraph" w:styleId="BalloonText">
    <w:name w:val="Balloon Text"/>
    <w:basedOn w:val="Normal"/>
    <w:link w:val="BalloonTextChar"/>
    <w:uiPriority w:val="99"/>
    <w:semiHidden/>
    <w:unhideWhenUsed/>
    <w:rsid w:val="00C969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69B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7255535">
      <w:bodyDiv w:val="1"/>
      <w:marLeft w:val="0"/>
      <w:marRight w:val="0"/>
      <w:marTop w:val="0"/>
      <w:marBottom w:val="0"/>
      <w:divBdr>
        <w:top w:val="none" w:sz="0" w:space="0" w:color="auto"/>
        <w:left w:val="none" w:sz="0" w:space="0" w:color="auto"/>
        <w:bottom w:val="none" w:sz="0" w:space="0" w:color="auto"/>
        <w:right w:val="none" w:sz="0" w:space="0" w:color="auto"/>
      </w:divBdr>
    </w:div>
    <w:div w:id="682584673">
      <w:bodyDiv w:val="1"/>
      <w:marLeft w:val="0"/>
      <w:marRight w:val="0"/>
      <w:marTop w:val="0"/>
      <w:marBottom w:val="0"/>
      <w:divBdr>
        <w:top w:val="none" w:sz="0" w:space="0" w:color="auto"/>
        <w:left w:val="none" w:sz="0" w:space="0" w:color="auto"/>
        <w:bottom w:val="none" w:sz="0" w:space="0" w:color="auto"/>
        <w:right w:val="none" w:sz="0" w:space="0" w:color="auto"/>
      </w:divBdr>
      <w:divsChild>
        <w:div w:id="644747229">
          <w:marLeft w:val="806"/>
          <w:marRight w:val="0"/>
          <w:marTop w:val="200"/>
          <w:marBottom w:val="0"/>
          <w:divBdr>
            <w:top w:val="none" w:sz="0" w:space="0" w:color="auto"/>
            <w:left w:val="none" w:sz="0" w:space="0" w:color="auto"/>
            <w:bottom w:val="none" w:sz="0" w:space="0" w:color="auto"/>
            <w:right w:val="none" w:sz="0" w:space="0" w:color="auto"/>
          </w:divBdr>
        </w:div>
      </w:divsChild>
    </w:div>
    <w:div w:id="856234135">
      <w:bodyDiv w:val="1"/>
      <w:marLeft w:val="0"/>
      <w:marRight w:val="0"/>
      <w:marTop w:val="0"/>
      <w:marBottom w:val="0"/>
      <w:divBdr>
        <w:top w:val="none" w:sz="0" w:space="0" w:color="auto"/>
        <w:left w:val="none" w:sz="0" w:space="0" w:color="auto"/>
        <w:bottom w:val="none" w:sz="0" w:space="0" w:color="auto"/>
        <w:right w:val="none" w:sz="0" w:space="0" w:color="auto"/>
      </w:divBdr>
    </w:div>
    <w:div w:id="951131448">
      <w:bodyDiv w:val="1"/>
      <w:marLeft w:val="0"/>
      <w:marRight w:val="0"/>
      <w:marTop w:val="0"/>
      <w:marBottom w:val="0"/>
      <w:divBdr>
        <w:top w:val="none" w:sz="0" w:space="0" w:color="auto"/>
        <w:left w:val="none" w:sz="0" w:space="0" w:color="auto"/>
        <w:bottom w:val="none" w:sz="0" w:space="0" w:color="auto"/>
        <w:right w:val="none" w:sz="0" w:space="0" w:color="auto"/>
      </w:divBdr>
    </w:div>
    <w:div w:id="1089892037">
      <w:bodyDiv w:val="1"/>
      <w:marLeft w:val="0"/>
      <w:marRight w:val="0"/>
      <w:marTop w:val="0"/>
      <w:marBottom w:val="0"/>
      <w:divBdr>
        <w:top w:val="none" w:sz="0" w:space="0" w:color="auto"/>
        <w:left w:val="none" w:sz="0" w:space="0" w:color="auto"/>
        <w:bottom w:val="none" w:sz="0" w:space="0" w:color="auto"/>
        <w:right w:val="none" w:sz="0" w:space="0" w:color="auto"/>
      </w:divBdr>
      <w:divsChild>
        <w:div w:id="1187868864">
          <w:marLeft w:val="806"/>
          <w:marRight w:val="0"/>
          <w:marTop w:val="200"/>
          <w:marBottom w:val="0"/>
          <w:divBdr>
            <w:top w:val="none" w:sz="0" w:space="0" w:color="auto"/>
            <w:left w:val="none" w:sz="0" w:space="0" w:color="auto"/>
            <w:bottom w:val="none" w:sz="0" w:space="0" w:color="auto"/>
            <w:right w:val="none" w:sz="0" w:space="0" w:color="auto"/>
          </w:divBdr>
        </w:div>
        <w:div w:id="413473403">
          <w:marLeft w:val="806"/>
          <w:marRight w:val="0"/>
          <w:marTop w:val="200"/>
          <w:marBottom w:val="0"/>
          <w:divBdr>
            <w:top w:val="none" w:sz="0" w:space="0" w:color="auto"/>
            <w:left w:val="none" w:sz="0" w:space="0" w:color="auto"/>
            <w:bottom w:val="none" w:sz="0" w:space="0" w:color="auto"/>
            <w:right w:val="none" w:sz="0" w:space="0" w:color="auto"/>
          </w:divBdr>
        </w:div>
        <w:div w:id="240916734">
          <w:marLeft w:val="806"/>
          <w:marRight w:val="0"/>
          <w:marTop w:val="200"/>
          <w:marBottom w:val="0"/>
          <w:divBdr>
            <w:top w:val="none" w:sz="0" w:space="0" w:color="auto"/>
            <w:left w:val="none" w:sz="0" w:space="0" w:color="auto"/>
            <w:bottom w:val="none" w:sz="0" w:space="0" w:color="auto"/>
            <w:right w:val="none" w:sz="0" w:space="0" w:color="auto"/>
          </w:divBdr>
        </w:div>
        <w:div w:id="939802273">
          <w:marLeft w:val="806"/>
          <w:marRight w:val="0"/>
          <w:marTop w:val="200"/>
          <w:marBottom w:val="0"/>
          <w:divBdr>
            <w:top w:val="none" w:sz="0" w:space="0" w:color="auto"/>
            <w:left w:val="none" w:sz="0" w:space="0" w:color="auto"/>
            <w:bottom w:val="none" w:sz="0" w:space="0" w:color="auto"/>
            <w:right w:val="none" w:sz="0" w:space="0" w:color="auto"/>
          </w:divBdr>
        </w:div>
      </w:divsChild>
    </w:div>
    <w:div w:id="1155293453">
      <w:bodyDiv w:val="1"/>
      <w:marLeft w:val="0"/>
      <w:marRight w:val="0"/>
      <w:marTop w:val="0"/>
      <w:marBottom w:val="0"/>
      <w:divBdr>
        <w:top w:val="none" w:sz="0" w:space="0" w:color="auto"/>
        <w:left w:val="none" w:sz="0" w:space="0" w:color="auto"/>
        <w:bottom w:val="none" w:sz="0" w:space="0" w:color="auto"/>
        <w:right w:val="none" w:sz="0" w:space="0" w:color="auto"/>
      </w:divBdr>
    </w:div>
    <w:div w:id="1261640732">
      <w:bodyDiv w:val="1"/>
      <w:marLeft w:val="0"/>
      <w:marRight w:val="0"/>
      <w:marTop w:val="0"/>
      <w:marBottom w:val="0"/>
      <w:divBdr>
        <w:top w:val="none" w:sz="0" w:space="0" w:color="auto"/>
        <w:left w:val="none" w:sz="0" w:space="0" w:color="auto"/>
        <w:bottom w:val="none" w:sz="0" w:space="0" w:color="auto"/>
        <w:right w:val="none" w:sz="0" w:space="0" w:color="auto"/>
      </w:divBdr>
      <w:divsChild>
        <w:div w:id="1008529">
          <w:marLeft w:val="0"/>
          <w:marRight w:val="360"/>
          <w:marTop w:val="0"/>
          <w:marBottom w:val="0"/>
          <w:divBdr>
            <w:top w:val="none" w:sz="0" w:space="0" w:color="auto"/>
            <w:left w:val="none" w:sz="0" w:space="0" w:color="auto"/>
            <w:bottom w:val="none" w:sz="0" w:space="0" w:color="auto"/>
            <w:right w:val="none" w:sz="0" w:space="0" w:color="auto"/>
          </w:divBdr>
        </w:div>
        <w:div w:id="528103553">
          <w:marLeft w:val="0"/>
          <w:marRight w:val="0"/>
          <w:marTop w:val="0"/>
          <w:marBottom w:val="0"/>
          <w:divBdr>
            <w:top w:val="none" w:sz="0" w:space="0" w:color="auto"/>
            <w:left w:val="none" w:sz="0" w:space="0" w:color="auto"/>
            <w:bottom w:val="none" w:sz="0" w:space="0" w:color="auto"/>
            <w:right w:val="none" w:sz="0" w:space="0" w:color="auto"/>
          </w:divBdr>
          <w:divsChild>
            <w:div w:id="130307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181688">
      <w:bodyDiv w:val="1"/>
      <w:marLeft w:val="0"/>
      <w:marRight w:val="0"/>
      <w:marTop w:val="0"/>
      <w:marBottom w:val="0"/>
      <w:divBdr>
        <w:top w:val="none" w:sz="0" w:space="0" w:color="auto"/>
        <w:left w:val="none" w:sz="0" w:space="0" w:color="auto"/>
        <w:bottom w:val="none" w:sz="0" w:space="0" w:color="auto"/>
        <w:right w:val="none" w:sz="0" w:space="0" w:color="auto"/>
      </w:divBdr>
    </w:div>
    <w:div w:id="1685397333">
      <w:bodyDiv w:val="1"/>
      <w:marLeft w:val="0"/>
      <w:marRight w:val="0"/>
      <w:marTop w:val="0"/>
      <w:marBottom w:val="0"/>
      <w:divBdr>
        <w:top w:val="none" w:sz="0" w:space="0" w:color="auto"/>
        <w:left w:val="none" w:sz="0" w:space="0" w:color="auto"/>
        <w:bottom w:val="none" w:sz="0" w:space="0" w:color="auto"/>
        <w:right w:val="none" w:sz="0" w:space="0" w:color="auto"/>
      </w:divBdr>
    </w:div>
    <w:div w:id="1929388317">
      <w:bodyDiv w:val="1"/>
      <w:marLeft w:val="0"/>
      <w:marRight w:val="0"/>
      <w:marTop w:val="0"/>
      <w:marBottom w:val="0"/>
      <w:divBdr>
        <w:top w:val="none" w:sz="0" w:space="0" w:color="auto"/>
        <w:left w:val="none" w:sz="0" w:space="0" w:color="auto"/>
        <w:bottom w:val="none" w:sz="0" w:space="0" w:color="auto"/>
        <w:right w:val="none" w:sz="0" w:space="0" w:color="auto"/>
      </w:divBdr>
      <w:divsChild>
        <w:div w:id="1947543628">
          <w:marLeft w:val="806"/>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mckinsey.com/our-people/nicolas-maechler" TargetMode="External"/><Relationship Id="rId18" Type="http://schemas.openxmlformats.org/officeDocument/2006/relationships/hyperlink" Target="https://www.beveragedaily.com/Article/2019/07/23/UK-government-bans-sale-of-energy-drinks-to-U16s?utm_source=copyright&amp;utm_medium=OnSite&amp;utm_campaign=copyright" TargetMode="External"/><Relationship Id="rId26" Type="http://schemas.openxmlformats.org/officeDocument/2006/relationships/hyperlink" Target="https://www.foodbev.com/news/five-major-trends-for-the-non-alcoholic-beverage-industry-in-2019/" TargetMode="External"/><Relationship Id="rId3" Type="http://schemas.openxmlformats.org/officeDocument/2006/relationships/styles" Target="styles.xml"/><Relationship Id="rId21" Type="http://schemas.openxmlformats.org/officeDocument/2006/relationships/hyperlink" Target="https://www.foodbev.com/news/five-major-trends-for-the-non-alcoholic-beverage-industry-in-2019/" TargetMode="External"/><Relationship Id="rId34" Type="http://schemas.openxmlformats.org/officeDocument/2006/relationships/hyperlink" Target="https://www.businesswire.com/news/home/20171030005384/en/Coca-Cola-Company-Completes-Refranchising-Company-Owned-Bottling-Operations" TargetMode="Externa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hyperlink" Target="https://blog.drinktec.com/non-alcoholic-beverages/trends-in-the-non-alcoholic-beverage-industry/" TargetMode="External"/><Relationship Id="rId25" Type="http://schemas.openxmlformats.org/officeDocument/2006/relationships/hyperlink" Target="https://investors.coca-colacompany.com/strategy" TargetMode="External"/><Relationship Id="rId33" Type="http://schemas.openxmlformats.org/officeDocument/2006/relationships/hyperlink" Target="https://www.reuters.com/article/us-coca-cola-results/zero-sugar-sodas-smaller-soft-drink-cans-drive-coca-cola-revenue-beat-idUSKBN1WX1B7" TargetMode="External"/><Relationship Id="rId2" Type="http://schemas.openxmlformats.org/officeDocument/2006/relationships/numbering" Target="numbering.xml"/><Relationship Id="rId16" Type="http://schemas.openxmlformats.org/officeDocument/2006/relationships/hyperlink" Target="https://www.alliedmarketresearch.com/non-alcoholic-drinks-market" TargetMode="External"/><Relationship Id="rId20" Type="http://schemas.openxmlformats.org/officeDocument/2006/relationships/hyperlink" Target="https://brandfinance.com/news/press-releases/always-coca-cola-worlds-favourite-soda-tops-brand-ranking/" TargetMode="External"/><Relationship Id="rId29" Type="http://schemas.openxmlformats.org/officeDocument/2006/relationships/hyperlink" Target="https://www.mckinsey.com/our-people/kevin-neh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money.cnn.com/2018/02/20/news/companies/cola-wars-coke-pepsi/index.html" TargetMode="External"/><Relationship Id="rId32" Type="http://schemas.openxmlformats.org/officeDocument/2006/relationships/hyperlink" Target="https://www.coca-colacompany.com/news/pandemic-prompting-coca-cola-to-move-even-faster-ceo-tells-analysts"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igital.hbs.edu/platform-rctom/submission/coca-cola-and-water-scarcity-substantial-progress-or-just-another-drop-in-the-bucket/" TargetMode="External"/><Relationship Id="rId23" Type="http://schemas.openxmlformats.org/officeDocument/2006/relationships/hyperlink" Target="https://www.foodbev.com/news/five-major-trends-for-the-non-alcoholic-beverage-industry-in-2019/" TargetMode="External"/><Relationship Id="rId28" Type="http://schemas.openxmlformats.org/officeDocument/2006/relationships/hyperlink" Target="https://www.mckinsey.com/our-people/nicolas-maechler" TargetMode="External"/><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investors.coca-colacompany.com/strategy" TargetMode="External"/><Relationship Id="rId31" Type="http://schemas.openxmlformats.org/officeDocument/2006/relationships/hyperlink" Target="https://www.persistencemarketresearch.com/market-research/non-alcoholic-beverages-market.asp"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mckinsey.com/our-people/kevin-neher" TargetMode="External"/><Relationship Id="rId22" Type="http://schemas.openxmlformats.org/officeDocument/2006/relationships/hyperlink" Target="https://investors.coca-colacompany.com/strategy" TargetMode="External"/><Relationship Id="rId27" Type="http://schemas.openxmlformats.org/officeDocument/2006/relationships/hyperlink" Target="https://www.forbes.com/the-worlds-most-valuable-brands/" TargetMode="External"/><Relationship Id="rId30" Type="http://schemas.openxmlformats.org/officeDocument/2006/relationships/hyperlink" Target="https://www.marketwatch.com/investing/stock/ko/financials" TargetMode="External"/><Relationship Id="rId35" Type="http://schemas.openxmlformats.org/officeDocument/2006/relationships/hyperlink" Target="https://www.transparencymarketresearch.com/nonalcoholic-beverage-market.html"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julie\Documents\feb20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style val="6"/>
  <c:chart>
    <c:title>
      <c:spPr>
        <a:noFill/>
        <a:ln>
          <a:noFill/>
        </a:ln>
        <a:effectLst/>
      </c:spPr>
      <c:txPr>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endParaRPr lang="en-US"/>
        </a:p>
      </c:txPr>
    </c:title>
    <c:plotArea>
      <c:layout/>
      <c:barChart>
        <c:barDir val="col"/>
        <c:grouping val="clustered"/>
        <c:ser>
          <c:idx val="0"/>
          <c:order val="0"/>
          <c:tx>
            <c:strRef>
              <c:f>Sheet12!$F$10</c:f>
              <c:strCache>
                <c:ptCount val="1"/>
                <c:pt idx="0">
                  <c:v>Sales Revenue ($US billion)</c:v>
                </c:pt>
              </c:strCache>
            </c:strRef>
          </c:tx>
          <c:spPr>
            <a:solidFill>
              <a:schemeClr val="accent4"/>
            </a:solidFill>
            <a:ln>
              <a:noFill/>
            </a:ln>
            <a:effectLst/>
          </c:spPr>
          <c:cat>
            <c:numRef>
              <c:f>Sheet12!$G$9:$K$9</c:f>
              <c:numCache>
                <c:formatCode>General</c:formatCode>
                <c:ptCount val="5"/>
                <c:pt idx="0">
                  <c:v>2015</c:v>
                </c:pt>
                <c:pt idx="1">
                  <c:v>2016</c:v>
                </c:pt>
                <c:pt idx="2">
                  <c:v>2017</c:v>
                </c:pt>
                <c:pt idx="3">
                  <c:v>2018</c:v>
                </c:pt>
                <c:pt idx="4">
                  <c:v>2019</c:v>
                </c:pt>
              </c:numCache>
            </c:numRef>
          </c:cat>
          <c:val>
            <c:numRef>
              <c:f>Sheet12!$G$10:$K$10</c:f>
              <c:numCache>
                <c:formatCode>General</c:formatCode>
                <c:ptCount val="5"/>
                <c:pt idx="0">
                  <c:v>43.7</c:v>
                </c:pt>
                <c:pt idx="1">
                  <c:v>41.38</c:v>
                </c:pt>
                <c:pt idx="2">
                  <c:v>34.980000000000004</c:v>
                </c:pt>
                <c:pt idx="3">
                  <c:v>34.14</c:v>
                </c:pt>
                <c:pt idx="4">
                  <c:v>37.270000000000003</c:v>
                </c:pt>
              </c:numCache>
            </c:numRef>
          </c:val>
          <c:extLst xmlns:c16r2="http://schemas.microsoft.com/office/drawing/2015/06/chart">
            <c:ext xmlns:c16="http://schemas.microsoft.com/office/drawing/2014/chart" uri="{C3380CC4-5D6E-409C-BE32-E72D297353CC}">
              <c16:uniqueId val="{00000000-6CB0-4269-A908-125CA67744F6}"/>
            </c:ext>
          </c:extLst>
        </c:ser>
        <c:gapWidth val="219"/>
        <c:overlap val="-27"/>
        <c:axId val="141527680"/>
        <c:axId val="141600640"/>
      </c:barChart>
      <c:catAx>
        <c:axId val="141527680"/>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41600640"/>
        <c:crosses val="autoZero"/>
        <c:auto val="1"/>
        <c:lblAlgn val="ctr"/>
        <c:lblOffset val="100"/>
      </c:catAx>
      <c:valAx>
        <c:axId val="141600640"/>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41527680"/>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E0CC52-3C1E-4688-BEA3-5F437476A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15</Pages>
  <Words>4221</Words>
  <Characters>24062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28227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prisca kiongo</dc:creator>
  <cp:lastModifiedBy>prisca kiongo</cp:lastModifiedBy>
  <cp:revision>3</cp:revision>
  <dcterms:created xsi:type="dcterms:W3CDTF">2020-09-10T19:38:00Z</dcterms:created>
  <dcterms:modified xsi:type="dcterms:W3CDTF">2020-09-10T19:47:00Z</dcterms:modified>
</cp:coreProperties>
</file>