
<file path=[Content_Types].xml><?xml version="1.0" encoding="utf-8"?>
<Types xmlns="http://schemas.openxmlformats.org/package/2006/content-types">
  <Default Extension="xml" ContentType="application/xml"/>
  <Default Extension="emf" ContentType="image/x-emf"/>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00" w:beforeAutospacing="1" w:after="100" w:afterAutospacing="1" w:line="480" w:lineRule="auto"/>
        <w:contextualSpacing/>
        <w:jc w:val="right"/>
        <w:rPr>
          <w:rFonts w:ascii="Times New Roman" w:hAnsi="Times New Roman" w:cs="Times New Roman"/>
          <w:b/>
          <w:sz w:val="24"/>
          <w:szCs w:val="24"/>
        </w:rPr>
      </w:pPr>
      <w:r>
        <w:rPr>
          <w:rFonts w:ascii="Times New Roman" w:hAnsi="Times New Roman" w:cs="Times New Roman"/>
          <w:b/>
          <w:color w:val="44546A" w:themeColor="text2"/>
          <w:sz w:val="28"/>
          <w:szCs w:val="28"/>
          <w14:textFill>
            <w14:solidFill>
              <w14:schemeClr w14:val="tx2"/>
            </w14:solidFill>
          </w14:textFill>
        </w:rPr>
        <w:drawing>
          <wp:inline distT="0" distB="0" distL="0" distR="0">
            <wp:extent cx="2876550" cy="1111250"/>
            <wp:effectExtent l="0" t="0" r="190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876550" cy="1111250"/>
                    </a:xfrm>
                    <a:prstGeom prst="rect">
                      <a:avLst/>
                    </a:prstGeom>
                    <a:noFill/>
                    <a:ln>
                      <a:noFill/>
                    </a:ln>
                  </pic:spPr>
                </pic:pic>
              </a:graphicData>
            </a:graphic>
          </wp:inline>
        </w:drawing>
      </w:r>
    </w:p>
    <w:p>
      <w:pPr>
        <w:spacing w:after="0" w:line="480" w:lineRule="auto"/>
        <w:jc w:val="both"/>
        <w:rPr>
          <w:rFonts w:hint="eastAsia" w:ascii="Times New Roman" w:hAnsi="Times New Roman" w:eastAsia="Times New Roman" w:cs="Times New Roman"/>
          <w:b/>
          <w:bCs/>
          <w:sz w:val="28"/>
          <w:szCs w:val="28"/>
          <w:lang w:eastAsia="ru-RU"/>
        </w:rPr>
      </w:pPr>
    </w:p>
    <w:p>
      <w:pPr>
        <w:spacing w:after="0" w:line="480" w:lineRule="auto"/>
        <w:jc w:val="center"/>
        <w:rPr>
          <w:rFonts w:hint="eastAsia" w:ascii="Times New Roman" w:hAnsi="Times New Roman" w:eastAsia="Times New Roman" w:cs="Times New Roman"/>
          <w:b/>
          <w:bCs/>
          <w:sz w:val="28"/>
          <w:szCs w:val="28"/>
          <w:lang w:eastAsia="ru-RU"/>
        </w:rPr>
      </w:pPr>
    </w:p>
    <w:p>
      <w:pPr>
        <w:spacing w:after="0" w:line="480" w:lineRule="auto"/>
        <w:jc w:val="center"/>
        <w:rPr>
          <w:rFonts w:ascii="Times New Roman" w:hAnsi="Times New Roman" w:eastAsia="Times New Roman" w:cs="Times New Roman"/>
          <w:color w:val="000000"/>
          <w:sz w:val="24"/>
          <w:szCs w:val="24"/>
          <w:lang w:eastAsia="ru-RU"/>
        </w:rPr>
      </w:pPr>
      <w:r>
        <w:rPr>
          <w:rFonts w:hint="eastAsia" w:ascii="Times New Roman" w:hAnsi="Times New Roman" w:eastAsia="Times New Roman" w:cs="Times New Roman"/>
          <w:b/>
          <w:bCs/>
          <w:sz w:val="28"/>
          <w:szCs w:val="28"/>
          <w:lang w:eastAsia="ru-RU"/>
        </w:rPr>
        <w:t>Global Business Challenge Report: NIKE Inc</w:t>
      </w: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480" w:lineRule="auto"/>
        <w:rPr>
          <w:rFonts w:ascii="Times New Roman" w:hAnsi="Times New Roman" w:eastAsia="Times New Roman" w:cs="Times New Roman"/>
          <w:color w:val="000000"/>
          <w:sz w:val="24"/>
          <w:szCs w:val="24"/>
          <w:lang w:eastAsia="ru-RU"/>
        </w:rPr>
      </w:pPr>
    </w:p>
    <w:p>
      <w:pPr>
        <w:spacing w:after="0" w:line="240" w:lineRule="auto"/>
        <w:jc w:val="both"/>
        <w:rPr>
          <w:rFonts w:ascii="Arial" w:hAnsi="Arial" w:eastAsia="Times New Roman" w:cs="Arial"/>
          <w:sz w:val="44"/>
          <w:szCs w:val="44"/>
          <w:lang w:eastAsia="en-GB"/>
        </w:rPr>
      </w:pPr>
    </w:p>
    <w:p>
      <w:pPr>
        <w:spacing w:after="0" w:line="240" w:lineRule="auto"/>
        <w:jc w:val="both"/>
        <w:rPr>
          <w:rFonts w:ascii="Arial" w:hAnsi="Arial" w:eastAsia="Times New Roman" w:cs="Arial"/>
          <w:sz w:val="44"/>
          <w:szCs w:val="44"/>
          <w:lang w:eastAsia="en-GB"/>
        </w:rPr>
      </w:pPr>
      <w:bookmarkStart w:id="101" w:name="_GoBack"/>
      <w:bookmarkEnd w:id="101"/>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rPr>
          <w:rFonts w:ascii="Arial" w:hAnsi="Arial" w:eastAsia="Times New Roman" w:cs="Arial"/>
          <w:sz w:val="44"/>
          <w:szCs w:val="44"/>
          <w:lang w:eastAsia="en-GB"/>
        </w:rPr>
      </w:pPr>
    </w:p>
    <w:p>
      <w:pPr>
        <w:keepNext w:val="0"/>
        <w:keepLines w:val="0"/>
        <w:pageBreakBefore w:val="0"/>
        <w:widowControl/>
        <w:kinsoku/>
        <w:wordWrap/>
        <w:overflowPunct/>
        <w:topLinePunct w:val="0"/>
        <w:autoSpaceDE/>
        <w:autoSpaceDN/>
        <w:bidi w:val="0"/>
        <w:adjustRightInd/>
        <w:snapToGrid/>
        <w:spacing w:after="0"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Times New Roman" w:cs="Times New Roman"/>
          <w:b/>
          <w:bCs/>
          <w:sz w:val="28"/>
          <w:szCs w:val="28"/>
          <w:lang w:val="en-US" w:eastAsia="en-GB"/>
        </w:rPr>
        <w:t>Class name</w:t>
      </w:r>
      <w:r>
        <w:rPr>
          <w:rFonts w:hint="default" w:ascii="Times New Roman" w:hAnsi="Times New Roman" w:eastAsia="宋体" w:cs="Times New Roman"/>
          <w:b/>
          <w:bCs/>
          <w:sz w:val="28"/>
          <w:szCs w:val="28"/>
          <w:lang w:val="en-US" w:eastAsia="zh-CN"/>
        </w:rPr>
        <w:t>:</w:t>
      </w:r>
      <w:r>
        <w:rPr>
          <w:rFonts w:hint="default" w:ascii="Times New Roman" w:hAnsi="Times New Roman" w:eastAsia="宋体" w:cs="Times New Roman"/>
          <w:sz w:val="28"/>
          <w:szCs w:val="28"/>
          <w:lang w:val="en-US" w:eastAsia="zh-CN"/>
        </w:rPr>
        <w:t>Yali Wang</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eastAsia="宋体" w:cs="Times New Roman"/>
          <w:b/>
          <w:bCs/>
          <w:sz w:val="28"/>
          <w:szCs w:val="28"/>
          <w:lang w:val="en-US" w:eastAsia="zh-CN"/>
        </w:rPr>
        <w:t>Student Number:</w:t>
      </w:r>
      <w:r>
        <w:rPr>
          <w:rFonts w:hint="default" w:ascii="Times New Roman" w:hAnsi="Times New Roman" w:eastAsia="宋体" w:cs="Times New Roman"/>
          <w:sz w:val="28"/>
          <w:szCs w:val="28"/>
          <w:lang w:val="en-US" w:eastAsia="zh-CN"/>
        </w:rPr>
        <w:t>2229349</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8"/>
          <w:szCs w:val="28"/>
          <w:lang w:val="en-US" w:eastAsia="zh-CN"/>
        </w:rPr>
      </w:pPr>
      <w:r>
        <w:rPr>
          <w:rFonts w:hint="default" w:ascii="Times New Roman" w:hAnsi="Times New Roman" w:cs="Times New Roman"/>
          <w:b/>
          <w:bCs/>
          <w:sz w:val="28"/>
          <w:szCs w:val="28"/>
        </w:rPr>
        <w:t>Date of Submission:</w:t>
      </w:r>
      <w:r>
        <w:rPr>
          <w:rFonts w:hint="default" w:ascii="Times New Roman" w:hAnsi="Times New Roman" w:eastAsia="宋体" w:cs="Times New Roman"/>
          <w:sz w:val="28"/>
          <w:szCs w:val="28"/>
          <w:lang w:eastAsia="zh-CN"/>
        </w:rPr>
        <w:t>July 2023</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eastAsia="en-GB"/>
        </w:rPr>
      </w:pPr>
      <w:r>
        <w:rPr>
          <w:rFonts w:hint="default" w:ascii="Times New Roman" w:hAnsi="Times New Roman" w:eastAsia="宋体" w:cs="Times New Roman"/>
          <w:b/>
          <w:bCs/>
          <w:sz w:val="28"/>
          <w:szCs w:val="28"/>
          <w:lang w:val="en-US" w:eastAsia="zh-CN"/>
        </w:rPr>
        <w:t>Module Code:</w:t>
      </w:r>
      <w:r>
        <w:rPr>
          <w:rFonts w:hint="default" w:ascii="Times New Roman" w:hAnsi="Times New Roman" w:eastAsia="Times New Roman" w:cs="Times New Roman"/>
          <w:sz w:val="28"/>
          <w:szCs w:val="28"/>
          <w:lang w:val="en-US" w:eastAsia="en-GB"/>
        </w:rPr>
        <w:t>BMMB70</w:t>
      </w:r>
      <w:r>
        <w:rPr>
          <w:rFonts w:hint="default" w:ascii="Times New Roman" w:hAnsi="Times New Roman" w:eastAsia="Times New Roman" w:cs="Times New Roman"/>
          <w:sz w:val="28"/>
          <w:szCs w:val="28"/>
          <w:lang w:eastAsia="en-GB"/>
        </w:rPr>
        <w:t>13</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Times New Roman" w:cs="Times New Roman"/>
          <w:sz w:val="28"/>
          <w:szCs w:val="28"/>
          <w:lang w:eastAsia="zh-Hans"/>
        </w:rPr>
      </w:pPr>
      <w:r>
        <w:rPr>
          <w:rFonts w:hint="default" w:ascii="Times New Roman" w:hAnsi="Times New Roman" w:eastAsia="宋体" w:cs="Times New Roman"/>
          <w:b/>
          <w:bCs/>
          <w:sz w:val="28"/>
          <w:szCs w:val="28"/>
          <w:lang w:eastAsia="en-GB"/>
        </w:rPr>
        <w:t>T</w:t>
      </w:r>
      <w:r>
        <w:rPr>
          <w:rFonts w:hint="default" w:ascii="Times New Roman" w:hAnsi="Times New Roman" w:eastAsia="宋体" w:cs="Times New Roman"/>
          <w:b/>
          <w:bCs/>
          <w:sz w:val="28"/>
          <w:szCs w:val="28"/>
          <w:lang w:val="en-US" w:eastAsia="en-GB"/>
        </w:rPr>
        <w:t>utor's name</w:t>
      </w:r>
      <w:r>
        <w:rPr>
          <w:rFonts w:hint="default" w:ascii="Times New Roman" w:hAnsi="Times New Roman" w:eastAsia="宋体" w:cs="Times New Roman"/>
          <w:b/>
          <w:bCs/>
          <w:sz w:val="28"/>
          <w:szCs w:val="28"/>
          <w:lang w:eastAsia="en-GB"/>
        </w:rPr>
        <w:t>:</w:t>
      </w:r>
      <w:r>
        <w:rPr>
          <w:rFonts w:hint="default" w:ascii="Times New Roman" w:hAnsi="Times New Roman" w:eastAsia="Times New Roman" w:cs="Times New Roman"/>
          <w:sz w:val="28"/>
          <w:szCs w:val="28"/>
          <w:lang w:eastAsia="en-GB"/>
        </w:rPr>
        <w:t>M</w:t>
      </w:r>
      <w:r>
        <w:rPr>
          <w:rFonts w:hint="eastAsia" w:ascii="Times New Roman" w:hAnsi="Times New Roman" w:eastAsia="Times New Roman" w:cs="Times New Roman"/>
          <w:sz w:val="28"/>
          <w:szCs w:val="28"/>
          <w:lang w:val="en-US" w:eastAsia="zh-Hans"/>
        </w:rPr>
        <w:t>arie</w:t>
      </w:r>
      <w:r>
        <w:rPr>
          <w:rFonts w:hint="default" w:ascii="Times New Roman" w:hAnsi="Times New Roman" w:eastAsia="Times New Roman" w:cs="Times New Roman"/>
          <w:sz w:val="28"/>
          <w:szCs w:val="28"/>
          <w:lang w:eastAsia="zh-Hans"/>
        </w:rPr>
        <w:t xml:space="preserve"> P</w:t>
      </w:r>
      <w:r>
        <w:rPr>
          <w:rFonts w:hint="eastAsia" w:ascii="Times New Roman" w:hAnsi="Times New Roman" w:eastAsia="Times New Roman" w:cs="Times New Roman"/>
          <w:sz w:val="28"/>
          <w:szCs w:val="28"/>
          <w:lang w:val="en-US" w:eastAsia="zh-Hans"/>
        </w:rPr>
        <w:t>it</w:t>
      </w:r>
      <w:r>
        <w:rPr>
          <w:rFonts w:hint="default" w:ascii="Times New Roman" w:hAnsi="Times New Roman" w:eastAsia="Times New Roman" w:cs="Times New Roman"/>
          <w:sz w:val="28"/>
          <w:szCs w:val="28"/>
          <w:lang w:eastAsia="zh-Hans"/>
        </w:rPr>
        <w:t>son</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rFonts w:ascii="Times New Roman" w:hAnsi="Times New Roman" w:cs="Times New Roman"/>
          <w:b/>
          <w:sz w:val="24"/>
          <w:szCs w:val="24"/>
        </w:rPr>
      </w:pPr>
      <w:r>
        <w:rPr>
          <w:rFonts w:hint="default" w:ascii="Times New Roman" w:hAnsi="Times New Roman" w:eastAsia="宋体" w:cs="Times New Roman"/>
          <w:b/>
          <w:bCs/>
          <w:sz w:val="28"/>
          <w:szCs w:val="28"/>
          <w:lang w:val="en-US" w:eastAsia="zh-CN"/>
        </w:rPr>
        <w:t>M</w:t>
      </w:r>
      <w:r>
        <w:rPr>
          <w:rFonts w:hint="default" w:ascii="Times New Roman" w:hAnsi="Times New Roman" w:cs="Times New Roman"/>
          <w:b/>
          <w:bCs/>
          <w:sz w:val="28"/>
          <w:szCs w:val="28"/>
        </w:rPr>
        <w:t xml:space="preserve">odule </w:t>
      </w:r>
      <w:r>
        <w:rPr>
          <w:rFonts w:hint="default" w:ascii="Times New Roman" w:hAnsi="Times New Roman" w:eastAsia="宋体" w:cs="Times New Roman"/>
          <w:b/>
          <w:bCs/>
          <w:sz w:val="28"/>
          <w:szCs w:val="28"/>
          <w:lang w:val="en-US" w:eastAsia="zh-CN"/>
        </w:rPr>
        <w:t>N</w:t>
      </w:r>
      <w:r>
        <w:rPr>
          <w:rFonts w:hint="default" w:ascii="Times New Roman" w:hAnsi="Times New Roman" w:cs="Times New Roman"/>
          <w:b/>
          <w:bCs/>
          <w:sz w:val="28"/>
          <w:szCs w:val="28"/>
        </w:rPr>
        <w:t>ame</w:t>
      </w:r>
      <w:r>
        <w:rPr>
          <w:rFonts w:hint="default" w:ascii="Times New Roman" w:hAnsi="Times New Roman" w:eastAsia="宋体" w:cs="Times New Roman"/>
          <w:b/>
          <w:bCs/>
          <w:sz w:val="28"/>
          <w:szCs w:val="28"/>
          <w:lang w:val="en-US" w:eastAsia="zh-CN"/>
        </w:rPr>
        <w:t>:</w:t>
      </w:r>
      <w:r>
        <w:rPr>
          <w:rFonts w:hint="default" w:ascii="Times New Roman" w:hAnsi="Times New Roman" w:eastAsia="宋体" w:cs="Times New Roman"/>
          <w:sz w:val="28"/>
          <w:szCs w:val="28"/>
          <w:lang w:eastAsia="zh-CN"/>
        </w:rPr>
        <w:t>S</w:t>
      </w:r>
      <w:r>
        <w:rPr>
          <w:rFonts w:hint="eastAsia" w:ascii="Times New Roman" w:hAnsi="Times New Roman" w:eastAsia="宋体" w:cs="Times New Roman"/>
          <w:sz w:val="28"/>
          <w:szCs w:val="28"/>
          <w:lang w:val="en-US" w:eastAsia="zh-Hans"/>
        </w:rPr>
        <w:t>t</w:t>
      </w:r>
      <w:r>
        <w:rPr>
          <w:rFonts w:hint="default" w:ascii="Times New Roman" w:hAnsi="Times New Roman" w:eastAsia="宋体" w:cs="Times New Roman"/>
          <w:sz w:val="28"/>
          <w:szCs w:val="28"/>
          <w:lang w:eastAsia="zh-Hans"/>
        </w:rPr>
        <w:t>rat</w:t>
      </w:r>
      <w:r>
        <w:rPr>
          <w:rFonts w:hint="eastAsia" w:ascii="Times New Roman" w:hAnsi="Times New Roman" w:eastAsia="宋体" w:cs="Times New Roman"/>
          <w:sz w:val="28"/>
          <w:szCs w:val="28"/>
          <w:lang w:val="en-US" w:eastAsia="zh-CN"/>
        </w:rPr>
        <w:t>e</w:t>
      </w:r>
      <w:r>
        <w:rPr>
          <w:rFonts w:hint="default" w:ascii="Times New Roman" w:hAnsi="Times New Roman" w:eastAsia="宋体" w:cs="Times New Roman"/>
          <w:sz w:val="28"/>
          <w:szCs w:val="28"/>
          <w:lang w:eastAsia="zh-CN"/>
        </w:rPr>
        <w:t>gic</w:t>
      </w:r>
      <w:r>
        <w:rPr>
          <w:rFonts w:hint="default" w:ascii="Times New Roman" w:hAnsi="Times New Roman" w:eastAsia="宋体" w:cs="Times New Roman"/>
          <w:sz w:val="28"/>
          <w:szCs w:val="28"/>
          <w:lang w:val="en-US" w:eastAsia="en-GB"/>
        </w:rPr>
        <w:t xml:space="preserve"> M</w:t>
      </w:r>
      <w:r>
        <w:rPr>
          <w:rFonts w:hint="eastAsia" w:ascii="Times New Roman" w:hAnsi="Times New Roman" w:eastAsia="宋体" w:cs="Times New Roman"/>
          <w:sz w:val="28"/>
          <w:szCs w:val="28"/>
          <w:lang w:val="en-US" w:eastAsia="zh-CN"/>
        </w:rPr>
        <w:t>anagement</w:t>
      </w:r>
    </w:p>
    <w:p>
      <w:pPr>
        <w:rPr>
          <w:rFonts w:hint="default" w:ascii="Times New Roman Bold" w:hAnsi="Times New Roman Bold" w:cs="Times New Roman Bold"/>
          <w:b/>
          <w:bCs/>
          <w:color w:val="auto"/>
          <w:sz w:val="28"/>
          <w:szCs w:val="28"/>
        </w:rPr>
      </w:pPr>
      <w:bookmarkStart w:id="0" w:name="_Toc1495950821"/>
      <w:r>
        <w:rPr>
          <w:rFonts w:hint="default" w:ascii="Times New Roman Bold" w:hAnsi="Times New Roman Bold" w:cs="Times New Roman Bold"/>
          <w:b/>
          <w:bCs/>
          <w:color w:val="auto"/>
          <w:sz w:val="28"/>
          <w:szCs w:val="28"/>
        </w:rPr>
        <w:br w:type="page"/>
      </w:r>
    </w:p>
    <w:p>
      <w:pPr>
        <w:pStyle w:val="25"/>
        <w:pageBreakBefore w:val="0"/>
        <w:widowControl/>
        <w:kinsoku/>
        <w:wordWrap/>
        <w:overflowPunct/>
        <w:topLinePunct w:val="0"/>
        <w:autoSpaceDE/>
        <w:autoSpaceDN/>
        <w:bidi w:val="0"/>
        <w:adjustRightInd/>
        <w:snapToGrid/>
        <w:spacing w:line="480" w:lineRule="auto"/>
        <w:jc w:val="center"/>
        <w:textAlignment w:val="auto"/>
        <w:rPr>
          <w:rFonts w:hint="default" w:ascii="Times New Roman Regular" w:hAnsi="Times New Roman Regular" w:cs="Times New Roman Regular"/>
          <w:sz w:val="24"/>
          <w:szCs w:val="24"/>
        </w:rPr>
      </w:pPr>
      <w:r>
        <w:rPr>
          <w:rFonts w:hint="default" w:ascii="Times New Roman Bold" w:hAnsi="Times New Roman Bold" w:cs="Times New Roman Bold"/>
          <w:b/>
          <w:bCs/>
          <w:color w:val="auto"/>
          <w:sz w:val="24"/>
          <w:szCs w:val="24"/>
        </w:rPr>
        <w:t>Table of Contents</w:t>
      </w:r>
    </w:p>
    <w:p>
      <w:pPr>
        <w:pStyle w:val="9"/>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TOC \o "1-4" \h \u </w:instrText>
      </w:r>
      <w:r>
        <w:rPr>
          <w:rFonts w:hint="default" w:ascii="Times New Roman Regular" w:hAnsi="Times New Roman Regular" w:cs="Times New Roman Regular"/>
          <w:sz w:val="24"/>
          <w:szCs w:val="24"/>
        </w:rPr>
        <w:fldChar w:fldCharType="separate"/>
      </w:r>
      <w:r>
        <w:rPr>
          <w:rFonts w:hint="default" w:ascii="Times New Roman Bold" w:hAnsi="Times New Roman Bold" w:cs="Times New Roman Bold"/>
          <w:b/>
          <w:bCs/>
          <w:sz w:val="24"/>
          <w:szCs w:val="24"/>
        </w:rPr>
        <w:fldChar w:fldCharType="begin"/>
      </w:r>
      <w:r>
        <w:rPr>
          <w:rFonts w:hint="default" w:ascii="Times New Roman Bold" w:hAnsi="Times New Roman Bold" w:cs="Times New Roman Bold"/>
          <w:b/>
          <w:bCs/>
          <w:sz w:val="24"/>
          <w:szCs w:val="24"/>
        </w:rPr>
        <w:instrText xml:space="preserve"> HYPERLINK \l _Toc1012080189 </w:instrText>
      </w:r>
      <w:r>
        <w:rPr>
          <w:rFonts w:hint="default" w:ascii="Times New Roman Bold" w:hAnsi="Times New Roman Bold" w:cs="Times New Roman Bold"/>
          <w:b/>
          <w:bCs/>
          <w:sz w:val="24"/>
          <w:szCs w:val="24"/>
        </w:rPr>
        <w:fldChar w:fldCharType="separate"/>
      </w:r>
      <w:r>
        <w:rPr>
          <w:rFonts w:hint="default" w:ascii="Times New Roman Bold" w:hAnsi="Times New Roman Bold" w:cs="Times New Roman Bold"/>
          <w:b/>
          <w:bCs/>
          <w:sz w:val="24"/>
          <w:szCs w:val="24"/>
        </w:rPr>
        <w:t>1</w:t>
      </w:r>
      <w:r>
        <w:rPr>
          <w:rFonts w:hint="default"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 xml:space="preserve">0 </w:t>
      </w:r>
      <w:r>
        <w:rPr>
          <w:rFonts w:hint="default" w:ascii="Times New Roman Bold" w:hAnsi="Times New Roman Bold" w:cs="Times New Roman Bold"/>
          <w:b/>
          <w:bCs/>
          <w:sz w:val="24"/>
          <w:szCs w:val="24"/>
        </w:rPr>
        <w:t>Introduction</w:t>
      </w:r>
      <w:r>
        <w:rPr>
          <w:rFonts w:hint="default" w:ascii="Times New Roman" w:hAnsi="Times New Roman" w:cs="Times New Roman"/>
          <w:b w:val="0"/>
          <w:bCs w:val="0"/>
          <w:sz w:val="24"/>
          <w:szCs w:val="24"/>
        </w:rPr>
        <w:tab/>
      </w:r>
      <w:r>
        <w:rPr>
          <w:rFonts w:hint="default" w:ascii="Times New Roman" w:hAnsi="Times New Roman" w:cs="Times New Roman"/>
          <w:b w:val="0"/>
          <w:bCs w:val="0"/>
          <w:sz w:val="24"/>
          <w:szCs w:val="24"/>
        </w:rPr>
        <w:fldChar w:fldCharType="begin"/>
      </w:r>
      <w:r>
        <w:rPr>
          <w:rFonts w:hint="default" w:ascii="Times New Roman" w:hAnsi="Times New Roman" w:cs="Times New Roman"/>
          <w:b w:val="0"/>
          <w:bCs w:val="0"/>
          <w:sz w:val="24"/>
          <w:szCs w:val="24"/>
        </w:rPr>
        <w:instrText xml:space="preserve"> PAGEREF _Toc1012080189 \h </w:instrText>
      </w:r>
      <w:r>
        <w:rPr>
          <w:rFonts w:hint="default" w:ascii="Times New Roman" w:hAnsi="Times New Roman" w:cs="Times New Roman"/>
          <w:b w:val="0"/>
          <w:bCs w:val="0"/>
          <w:sz w:val="24"/>
          <w:szCs w:val="24"/>
        </w:rPr>
        <w:fldChar w:fldCharType="separate"/>
      </w:r>
      <w:r>
        <w:rPr>
          <w:rFonts w:hint="default" w:ascii="Times New Roman" w:hAnsi="Times New Roman" w:cs="Times New Roman"/>
          <w:b w:val="0"/>
          <w:bCs w:val="0"/>
          <w:sz w:val="24"/>
          <w:szCs w:val="24"/>
        </w:rPr>
        <w:t>4</w:t>
      </w:r>
      <w:r>
        <w:rPr>
          <w:rFonts w:hint="default" w:ascii="Times New Roman" w:hAnsi="Times New Roman" w:cs="Times New Roman"/>
          <w:b w:val="0"/>
          <w:bCs w:val="0"/>
          <w:sz w:val="24"/>
          <w:szCs w:val="24"/>
        </w:rPr>
        <w:fldChar w:fldCharType="end"/>
      </w:r>
      <w:r>
        <w:rPr>
          <w:rFonts w:hint="default" w:ascii="Times New Roman Bold" w:hAnsi="Times New Roman Bold" w:cs="Times New Roman Bold"/>
          <w:b/>
          <w:bCs/>
          <w:sz w:val="24"/>
          <w:szCs w:val="24"/>
        </w:rPr>
        <w:fldChar w:fldCharType="end"/>
      </w:r>
    </w:p>
    <w:p>
      <w:pPr>
        <w:pStyle w:val="9"/>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_Toc1961252283 </w:instrText>
      </w:r>
      <w:r>
        <w:rPr>
          <w:rFonts w:hint="default" w:ascii="Times New Roman Regular" w:hAnsi="Times New Roman Regular" w:cs="Times New Roman Regular"/>
          <w:sz w:val="24"/>
          <w:szCs w:val="24"/>
        </w:rPr>
        <w:fldChar w:fldCharType="separate"/>
      </w:r>
      <w:r>
        <w:rPr>
          <w:rFonts w:hint="default" w:ascii="Times New Roman Bold" w:hAnsi="Times New Roman Bold" w:cs="Times New Roman Bold"/>
          <w:b/>
          <w:bCs w:val="0"/>
          <w:sz w:val="24"/>
          <w:szCs w:val="24"/>
        </w:rPr>
        <w:t>2</w:t>
      </w:r>
      <w:r>
        <w:rPr>
          <w:rFonts w:hint="default" w:ascii="Times New Roman Bold" w:hAnsi="Times New Roman Bold" w:cs="Times New Roman Bold"/>
          <w:b/>
          <w:bCs w:val="0"/>
          <w:sz w:val="24"/>
          <w:szCs w:val="24"/>
          <w:lang w:val="en-US" w:eastAsia="zh-Hans"/>
        </w:rPr>
        <w:t>.</w:t>
      </w:r>
      <w:r>
        <w:rPr>
          <w:rFonts w:hint="default" w:ascii="Times New Roman Bold" w:hAnsi="Times New Roman Bold" w:cs="Times New Roman Bold"/>
          <w:b/>
          <w:bCs w:val="0"/>
          <w:sz w:val="24"/>
          <w:szCs w:val="24"/>
          <w:lang w:eastAsia="zh-Hans"/>
        </w:rPr>
        <w:t xml:space="preserve">0 </w:t>
      </w:r>
      <w:r>
        <w:rPr>
          <w:rFonts w:hint="default" w:ascii="Times New Roman Bold" w:hAnsi="Times New Roman Bold" w:cs="Times New Roman Bold"/>
          <w:b/>
          <w:bCs w:val="0"/>
          <w:sz w:val="24"/>
          <w:szCs w:val="24"/>
        </w:rPr>
        <w:t>Company Background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_Toc1961252283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_Toc1040622578 </w:instrText>
      </w:r>
      <w:r>
        <w:rPr>
          <w:rFonts w:hint="default" w:ascii="Times New Roman Regular" w:hAnsi="Times New Roman Regular" w:cs="Times New Roman Regular"/>
          <w:sz w:val="24"/>
          <w:szCs w:val="24"/>
        </w:rPr>
        <w:fldChar w:fldCharType="separate"/>
      </w:r>
      <w:r>
        <w:rPr>
          <w:rFonts w:hint="default" w:ascii="Times New Roman Bold" w:hAnsi="Times New Roman Bold" w:cs="Times New Roman Bold"/>
          <w:b/>
          <w:bCs w:val="0"/>
          <w:sz w:val="24"/>
          <w:szCs w:val="24"/>
        </w:rPr>
        <w:t>3</w:t>
      </w:r>
      <w:r>
        <w:rPr>
          <w:rFonts w:hint="default" w:ascii="Times New Roman Bold" w:hAnsi="Times New Roman Bold" w:cs="Times New Roman Bold"/>
          <w:b/>
          <w:bCs w:val="0"/>
          <w:sz w:val="24"/>
          <w:szCs w:val="24"/>
          <w:lang w:val="en-US" w:eastAsia="zh-Hans"/>
        </w:rPr>
        <w:t>.</w:t>
      </w:r>
      <w:r>
        <w:rPr>
          <w:rFonts w:hint="default" w:ascii="Times New Roman Bold" w:hAnsi="Times New Roman Bold" w:cs="Times New Roman Bold"/>
          <w:b/>
          <w:bCs w:val="0"/>
          <w:sz w:val="24"/>
          <w:szCs w:val="24"/>
          <w:lang w:eastAsia="zh-Hans"/>
        </w:rPr>
        <w:t xml:space="preserve">0 </w:t>
      </w:r>
      <w:r>
        <w:rPr>
          <w:rFonts w:hint="default" w:ascii="Times New Roman Bold" w:hAnsi="Times New Roman Bold" w:cs="Times New Roman Bold"/>
          <w:b/>
          <w:bCs w:val="0"/>
          <w:sz w:val="24"/>
          <w:szCs w:val="24"/>
        </w:rPr>
        <w:t>Competitive Market Assessment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_Toc1040622578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_Toc636847278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3</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1 </w:t>
      </w:r>
      <w:r>
        <w:rPr>
          <w:rFonts w:hint="default" w:ascii="Times New Roman Regular" w:hAnsi="Times New Roman Regular" w:cs="Times New Roman Regular"/>
          <w:bCs/>
          <w:sz w:val="24"/>
          <w:szCs w:val="24"/>
        </w:rPr>
        <w:t>Nike’s Work Culture &amp; Characteristics for its Market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_Toc636847278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_Toc433704698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3</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2 </w:t>
      </w:r>
      <w:r>
        <w:rPr>
          <w:rFonts w:hint="default" w:ascii="Times New Roman Regular" w:hAnsi="Times New Roman Regular" w:cs="Times New Roman Regular"/>
          <w:bCs/>
          <w:sz w:val="24"/>
          <w:szCs w:val="24"/>
        </w:rPr>
        <w:t>Competitive Rivalry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_Toc433704698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_Toc715361368 </w:instrText>
      </w:r>
      <w:r>
        <w:rPr>
          <w:rFonts w:hint="default" w:ascii="Times New Roman Regular" w:hAnsi="Times New Roman Regular" w:cs="Times New Roman Regular"/>
          <w:sz w:val="24"/>
          <w:szCs w:val="24"/>
        </w:rPr>
        <w:fldChar w:fldCharType="separate"/>
      </w:r>
      <w:r>
        <w:rPr>
          <w:rFonts w:hint="default" w:ascii="Times New Roman Bold" w:hAnsi="Times New Roman Bold" w:cs="Times New Roman Bold"/>
          <w:b/>
          <w:bCs w:val="0"/>
          <w:sz w:val="24"/>
          <w:szCs w:val="24"/>
        </w:rPr>
        <w:t>4</w:t>
      </w:r>
      <w:r>
        <w:rPr>
          <w:rFonts w:hint="default" w:ascii="Times New Roman Bold" w:hAnsi="Times New Roman Bold" w:cs="Times New Roman Bold"/>
          <w:b/>
          <w:bCs w:val="0"/>
          <w:sz w:val="24"/>
          <w:szCs w:val="24"/>
          <w:lang w:val="en-US" w:eastAsia="zh-Hans"/>
        </w:rPr>
        <w:t>.</w:t>
      </w:r>
      <w:r>
        <w:rPr>
          <w:rFonts w:hint="default" w:ascii="Times New Roman Bold" w:hAnsi="Times New Roman Bold" w:cs="Times New Roman Bold"/>
          <w:b/>
          <w:bCs w:val="0"/>
          <w:sz w:val="24"/>
          <w:szCs w:val="24"/>
          <w:lang w:eastAsia="zh-Hans"/>
        </w:rPr>
        <w:t xml:space="preserve">0 </w:t>
      </w:r>
      <w:r>
        <w:rPr>
          <w:rFonts w:hint="default" w:ascii="Times New Roman Bold" w:hAnsi="Times New Roman Bold" w:cs="Times New Roman Bold"/>
          <w:b/>
          <w:bCs w:val="0"/>
          <w:sz w:val="24"/>
          <w:szCs w:val="24"/>
        </w:rPr>
        <w:t>External Environment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_Toc715361368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_Toc1465056070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4</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1 </w:t>
      </w:r>
      <w:r>
        <w:rPr>
          <w:rFonts w:hint="default" w:ascii="Times New Roman Regular" w:hAnsi="Times New Roman Regular" w:cs="Times New Roman Regular"/>
          <w:bCs/>
          <w:sz w:val="24"/>
          <w:szCs w:val="24"/>
        </w:rPr>
        <w:t>PESTLE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_Toc1465056070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_Toc149871988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eastAsiaTheme="majorEastAsia"/>
          <w:bCs w:val="0"/>
          <w:sz w:val="24"/>
          <w:szCs w:val="24"/>
        </w:rPr>
        <w:t>4</w:t>
      </w:r>
      <w:r>
        <w:rPr>
          <w:rFonts w:hint="default" w:ascii="Times New Roman Regular" w:hAnsi="Times New Roman Regular" w:cs="Times New Roman Regular" w:eastAsiaTheme="majorEastAsia"/>
          <w:bCs w:val="0"/>
          <w:sz w:val="24"/>
          <w:szCs w:val="24"/>
          <w:lang w:val="en-US" w:eastAsia="zh-Hans"/>
        </w:rPr>
        <w:t>.</w:t>
      </w:r>
      <w:r>
        <w:rPr>
          <w:rFonts w:hint="default" w:ascii="Times New Roman Regular" w:hAnsi="Times New Roman Regular" w:cs="Times New Roman Regular" w:eastAsiaTheme="majorEastAsia"/>
          <w:bCs w:val="0"/>
          <w:sz w:val="24"/>
          <w:szCs w:val="24"/>
          <w:lang w:eastAsia="zh-Hans"/>
        </w:rPr>
        <w:t>1</w:t>
      </w:r>
      <w:r>
        <w:rPr>
          <w:rFonts w:hint="default" w:ascii="Times New Roman Regular" w:hAnsi="Times New Roman Regular" w:cs="Times New Roman Regular" w:eastAsiaTheme="majorEastAsia"/>
          <w:bCs w:val="0"/>
          <w:sz w:val="24"/>
          <w:szCs w:val="24"/>
          <w:lang w:val="en-US" w:eastAsia="zh-Hans"/>
        </w:rPr>
        <w:t>.</w:t>
      </w:r>
      <w:r>
        <w:rPr>
          <w:rFonts w:hint="default" w:ascii="Times New Roman Regular" w:hAnsi="Times New Roman Regular" w:cs="Times New Roman Regular" w:eastAsiaTheme="majorEastAsia"/>
          <w:bCs w:val="0"/>
          <w:sz w:val="24"/>
          <w:szCs w:val="24"/>
          <w:lang w:eastAsia="zh-Hans"/>
        </w:rPr>
        <w:t xml:space="preserve">1 </w:t>
      </w:r>
      <w:r>
        <w:rPr>
          <w:rFonts w:hint="default" w:ascii="Times New Roman Regular" w:hAnsi="Times New Roman Regular" w:cs="Times New Roman Regular" w:eastAsiaTheme="majorEastAsia"/>
          <w:bCs w:val="0"/>
          <w:sz w:val="24"/>
          <w:szCs w:val="24"/>
        </w:rPr>
        <w:t>Political Environment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_Toc149871988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_Toc2047668032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eastAsia="宋体" w:cs="Times New Roman Regular"/>
          <w:sz w:val="24"/>
          <w:szCs w:val="24"/>
          <w:lang w:eastAsia="en-US"/>
        </w:rPr>
        <w:t>4</w:t>
      </w:r>
      <w:r>
        <w:rPr>
          <w:rFonts w:hint="default" w:ascii="Times New Roman Regular" w:hAnsi="Times New Roman Regular" w:eastAsia="宋体" w:cs="Times New Roman Regular"/>
          <w:sz w:val="24"/>
          <w:szCs w:val="24"/>
          <w:lang w:val="en-US" w:eastAsia="zh-Hans"/>
        </w:rPr>
        <w:t>.</w:t>
      </w:r>
      <w:r>
        <w:rPr>
          <w:rFonts w:hint="default" w:ascii="Times New Roman Regular" w:hAnsi="Times New Roman Regular" w:eastAsia="宋体" w:cs="Times New Roman Regular"/>
          <w:sz w:val="24"/>
          <w:szCs w:val="24"/>
          <w:lang w:eastAsia="zh-Hans"/>
        </w:rPr>
        <w:t>1</w:t>
      </w:r>
      <w:r>
        <w:rPr>
          <w:rFonts w:hint="default" w:ascii="Times New Roman Regular" w:hAnsi="Times New Roman Regular" w:eastAsia="宋体" w:cs="Times New Roman Regular"/>
          <w:sz w:val="24"/>
          <w:szCs w:val="24"/>
          <w:lang w:val="en-US" w:eastAsia="zh-Hans"/>
        </w:rPr>
        <w:t>.</w:t>
      </w:r>
      <w:r>
        <w:rPr>
          <w:rFonts w:hint="default" w:ascii="Times New Roman Regular" w:hAnsi="Times New Roman Regular" w:eastAsia="宋体" w:cs="Times New Roman Regular"/>
          <w:sz w:val="24"/>
          <w:szCs w:val="24"/>
          <w:lang w:eastAsia="zh-Hans"/>
        </w:rPr>
        <w:t xml:space="preserve">2 </w:t>
      </w:r>
      <w:r>
        <w:rPr>
          <w:rFonts w:hint="default" w:ascii="Times New Roman Regular" w:hAnsi="Times New Roman Regular" w:eastAsia="宋体" w:cs="Times New Roman Regular"/>
          <w:sz w:val="24"/>
          <w:szCs w:val="24"/>
          <w:lang w:val="en-US" w:eastAsia="en-US"/>
        </w:rPr>
        <w:t>Economic environment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_Toc2047668032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_Toc1731170649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lang w:eastAsia="en-US"/>
        </w:rPr>
        <w:t>4</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1</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 xml:space="preserve">3 </w:t>
      </w:r>
      <w:r>
        <w:rPr>
          <w:rFonts w:hint="default" w:ascii="Times New Roman Regular" w:hAnsi="Times New Roman Regular" w:cs="Times New Roman Regular"/>
          <w:sz w:val="24"/>
          <w:szCs w:val="24"/>
          <w:lang w:val="en-US" w:eastAsia="en-US"/>
        </w:rPr>
        <w:t>Social and Cultural Environment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_Toc1731170649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_Toc1676648187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lang w:eastAsia="en-US"/>
        </w:rPr>
        <w:t>4</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1</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 xml:space="preserve">4 </w:t>
      </w:r>
      <w:r>
        <w:rPr>
          <w:rFonts w:hint="default" w:ascii="Times New Roman Regular" w:hAnsi="Times New Roman Regular" w:cs="Times New Roman Regular"/>
          <w:sz w:val="24"/>
          <w:szCs w:val="24"/>
          <w:lang w:eastAsia="en-US"/>
        </w:rPr>
        <w:t>Technological environment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_Toc1676648187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_Toc145662975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lang w:eastAsia="en-US"/>
        </w:rPr>
        <w:t>4</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1</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 xml:space="preserve">5 </w:t>
      </w:r>
      <w:r>
        <w:rPr>
          <w:rFonts w:hint="default" w:ascii="Times New Roman Regular" w:hAnsi="Times New Roman Regular" w:cs="Times New Roman Regular"/>
          <w:sz w:val="24"/>
          <w:szCs w:val="24"/>
          <w:lang w:eastAsia="en-US"/>
        </w:rPr>
        <w:t>Environmental Factors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_Toc145662975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_Toc26263245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lang w:eastAsia="en-US"/>
        </w:rPr>
        <w:t>4</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1</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 xml:space="preserve">6 </w:t>
      </w:r>
      <w:r>
        <w:rPr>
          <w:rFonts w:hint="default" w:ascii="Times New Roman Regular" w:hAnsi="Times New Roman Regular" w:cs="Times New Roman Regular"/>
          <w:sz w:val="24"/>
          <w:szCs w:val="24"/>
          <w:lang w:eastAsia="en-US"/>
        </w:rPr>
        <w:t>Legal Environment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_Toc26263245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_Toc1172211080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4</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2 </w:t>
      </w:r>
      <w:r>
        <w:rPr>
          <w:rFonts w:hint="default" w:ascii="Times New Roman Regular" w:hAnsi="Times New Roman Regular" w:cs="Times New Roman Regular"/>
          <w:bCs/>
          <w:sz w:val="24"/>
          <w:szCs w:val="24"/>
        </w:rPr>
        <w:t>SWOT Analysis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_Toc1172211080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16</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_Toc336643982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4</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2</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1 </w:t>
      </w:r>
      <w:r>
        <w:rPr>
          <w:rFonts w:hint="default" w:ascii="Times New Roman Regular" w:hAnsi="Times New Roman Regular" w:cs="Times New Roman Regular"/>
          <w:bCs/>
          <w:sz w:val="24"/>
          <w:szCs w:val="24"/>
        </w:rPr>
        <w:t>Strength’s Assessment</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_Toc336643982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_Toc1503479276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World’s strongest Brand</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_Toc1503479276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_Toc1683601130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lang w:val="en-US" w:eastAsia="en-US"/>
        </w:rPr>
        <w:t>Strong brand innovation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_Toc1683601130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18</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_Toc1039659038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i w:val="0"/>
          <w:iCs w:val="0"/>
          <w:sz w:val="24"/>
          <w:szCs w:val="24"/>
          <w:lang w:val="en-US" w:eastAsia="en-US"/>
        </w:rPr>
        <w:t>Strong Product Control</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_Toc1039659038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_Toc1622499674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4</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2</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2 </w:t>
      </w:r>
      <w:r>
        <w:rPr>
          <w:rFonts w:hint="default" w:ascii="Times New Roman Regular" w:hAnsi="Times New Roman Regular" w:cs="Times New Roman Regular"/>
          <w:bCs/>
          <w:sz w:val="24"/>
          <w:szCs w:val="24"/>
        </w:rPr>
        <w:t>Weaknesses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_Toc1622499674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_Toc604671312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Limited Company-owned retail Locations.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_Toc604671312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_Toc818123180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Limited production Diversity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_Toc818123180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_Toc2005978166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Nike’s Corporate image on labor relations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_Toc2005978166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_Toc1129261709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4</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2</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3 </w:t>
      </w:r>
      <w:r>
        <w:rPr>
          <w:rFonts w:hint="default" w:ascii="Times New Roman Regular" w:hAnsi="Times New Roman Regular" w:cs="Times New Roman Regular"/>
          <w:bCs/>
          <w:sz w:val="24"/>
          <w:szCs w:val="24"/>
        </w:rPr>
        <w:t>Opportunities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_Toc1129261709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_Toc41070977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Strong market Presence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_Toc41070977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20</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_Toc937659752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Advanced Technology product competitiveness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_Toc937659752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_Toc1012450178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Superior Consumer perception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_Toc1012450178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21</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ind w:firstLine="480" w:firstLineChars="200"/>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_Toc1737206465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4</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2</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4 </w:t>
      </w:r>
      <w:r>
        <w:rPr>
          <w:rFonts w:hint="default" w:ascii="Times New Roman Regular" w:hAnsi="Times New Roman Regular" w:cs="Times New Roman Regular"/>
          <w:bCs/>
          <w:sz w:val="24"/>
          <w:szCs w:val="24"/>
        </w:rPr>
        <w:t>Threats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_Toc1737206465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_Toc41392643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Stiff competition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_Toc41392643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_Toc2048932920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Counterfeit goods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_Toc2048932920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0"/>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_Toc1515306795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Rapid innovative technology</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_Toc1515306795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22</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_Toc752733792 </w:instrText>
      </w:r>
      <w:r>
        <w:rPr>
          <w:rFonts w:hint="default" w:ascii="Times New Roman Regular" w:hAnsi="Times New Roman Regular" w:cs="Times New Roman Regular"/>
          <w:sz w:val="24"/>
          <w:szCs w:val="24"/>
        </w:rPr>
        <w:fldChar w:fldCharType="separate"/>
      </w:r>
      <w:r>
        <w:rPr>
          <w:rFonts w:hint="default" w:ascii="Times New Roman Bold" w:hAnsi="Times New Roman Bold" w:cs="Times New Roman Bold"/>
          <w:b/>
          <w:bCs w:val="0"/>
          <w:sz w:val="24"/>
          <w:szCs w:val="24"/>
        </w:rPr>
        <w:t>5</w:t>
      </w:r>
      <w:r>
        <w:rPr>
          <w:rFonts w:hint="default" w:ascii="Times New Roman Bold" w:hAnsi="Times New Roman Bold" w:cs="Times New Roman Bold"/>
          <w:b/>
          <w:bCs w:val="0"/>
          <w:sz w:val="24"/>
          <w:szCs w:val="24"/>
          <w:lang w:val="en-US" w:eastAsia="zh-Hans"/>
        </w:rPr>
        <w:t>.</w:t>
      </w:r>
      <w:r>
        <w:rPr>
          <w:rFonts w:hint="default" w:ascii="Times New Roman Bold" w:hAnsi="Times New Roman Bold" w:cs="Times New Roman Bold"/>
          <w:b/>
          <w:bCs w:val="0"/>
          <w:sz w:val="24"/>
          <w:szCs w:val="24"/>
          <w:lang w:eastAsia="zh-Hans"/>
        </w:rPr>
        <w:t xml:space="preserve">0 </w:t>
      </w:r>
      <w:r>
        <w:rPr>
          <w:rFonts w:hint="default" w:ascii="Times New Roman Bold" w:hAnsi="Times New Roman Bold" w:cs="Times New Roman Bold"/>
          <w:b/>
          <w:bCs w:val="0"/>
          <w:sz w:val="24"/>
          <w:szCs w:val="24"/>
        </w:rPr>
        <w:t>Conclusion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_Toc752733792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_Toc370677667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rPr>
        <w:t>5</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1 </w:t>
      </w:r>
      <w:r>
        <w:rPr>
          <w:rFonts w:hint="default" w:ascii="Times New Roman Regular" w:hAnsi="Times New Roman Regular" w:cs="Times New Roman Regular"/>
          <w:bCs/>
          <w:sz w:val="24"/>
          <w:szCs w:val="24"/>
        </w:rPr>
        <w:t>Current Position &amp; Future Outlook</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_Toc370677667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_Toc129489322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lang w:eastAsia="zh-Hans"/>
        </w:rPr>
        <w:t>5</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2 </w:t>
      </w:r>
      <w:r>
        <w:rPr>
          <w:rFonts w:hint="default" w:ascii="Times New Roman Regular" w:hAnsi="Times New Roman Regular" w:cs="Times New Roman Regular"/>
          <w:bCs/>
          <w:sz w:val="24"/>
          <w:szCs w:val="24"/>
          <w:lang w:val="en-US" w:eastAsia="zh-Hans"/>
        </w:rPr>
        <w:t>Generic growth strategies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_Toc129489322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_Toc926100443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2</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 xml:space="preserve">1 </w:t>
      </w:r>
      <w:r>
        <w:rPr>
          <w:rFonts w:hint="default" w:ascii="Times New Roman Regular" w:hAnsi="Times New Roman Regular" w:cs="Times New Roman Regular"/>
          <w:sz w:val="24"/>
          <w:szCs w:val="24"/>
        </w:rPr>
        <w:t>Differentiation</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_Toc926100443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6"/>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_Toc8672045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5</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2</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lang w:eastAsia="zh-Hans"/>
        </w:rPr>
        <w:t xml:space="preserve">2 </w:t>
      </w:r>
      <w:r>
        <w:rPr>
          <w:rFonts w:hint="default" w:ascii="Times New Roman Regular" w:hAnsi="Times New Roman Regular" w:cs="Times New Roman Regular"/>
          <w:sz w:val="24"/>
          <w:szCs w:val="24"/>
        </w:rPr>
        <w:t>Cost leadership</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_Toc8672045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_Toc1869655966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lang w:eastAsia="zh-Hans"/>
        </w:rPr>
        <w:t>5</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3 Intensive Growth Strategies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_Toc1869655966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24</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_Toc1327097658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bCs/>
          <w:sz w:val="24"/>
          <w:szCs w:val="24"/>
          <w:lang w:eastAsia="zh-Hans"/>
        </w:rPr>
        <w:t>5</w:t>
      </w:r>
      <w:r>
        <w:rPr>
          <w:rFonts w:hint="default" w:ascii="Times New Roman Regular" w:hAnsi="Times New Roman Regular" w:cs="Times New Roman Regular"/>
          <w:bCs/>
          <w:sz w:val="24"/>
          <w:szCs w:val="24"/>
          <w:lang w:val="en-US" w:eastAsia="zh-Hans"/>
        </w:rPr>
        <w:t>.</w:t>
      </w:r>
      <w:r>
        <w:rPr>
          <w:rFonts w:hint="default" w:ascii="Times New Roman Regular" w:hAnsi="Times New Roman Regular" w:cs="Times New Roman Regular"/>
          <w:bCs/>
          <w:sz w:val="24"/>
          <w:szCs w:val="24"/>
          <w:lang w:eastAsia="zh-Hans"/>
        </w:rPr>
        <w:t xml:space="preserve">4 </w:t>
      </w:r>
      <w:r>
        <w:rPr>
          <w:rFonts w:hint="default" w:ascii="Times New Roman Regular" w:hAnsi="Times New Roman Regular" w:cs="Times New Roman Regular"/>
          <w:bCs/>
          <w:sz w:val="24"/>
          <w:szCs w:val="24"/>
          <w:lang w:val="en-US" w:eastAsia="zh-Hans"/>
        </w:rPr>
        <w:t>Focus on Consumer Trends</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_Toc1327097658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25</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pStyle w:val="9"/>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\l _Toc765180264 </w:instrText>
      </w:r>
      <w:r>
        <w:rPr>
          <w:rFonts w:hint="default" w:ascii="Times New Roman Regular" w:hAnsi="Times New Roman Regular" w:cs="Times New Roman Regular"/>
          <w:sz w:val="24"/>
          <w:szCs w:val="24"/>
        </w:rPr>
        <w:fldChar w:fldCharType="separate"/>
      </w:r>
      <w:r>
        <w:rPr>
          <w:rFonts w:hint="default" w:ascii="Times New Roman Bold" w:hAnsi="Times New Roman Bold" w:cs="Times New Roman Bold"/>
          <w:b/>
          <w:bCs w:val="0"/>
          <w:sz w:val="24"/>
          <w:szCs w:val="24"/>
        </w:rPr>
        <w:t>6</w:t>
      </w:r>
      <w:r>
        <w:rPr>
          <w:rFonts w:hint="default" w:ascii="Times New Roman Bold" w:hAnsi="Times New Roman Bold" w:cs="Times New Roman Bold"/>
          <w:b/>
          <w:bCs w:val="0"/>
          <w:sz w:val="24"/>
          <w:szCs w:val="24"/>
          <w:lang w:val="en-US" w:eastAsia="zh-Hans"/>
        </w:rPr>
        <w:t>.</w:t>
      </w:r>
      <w:r>
        <w:rPr>
          <w:rFonts w:hint="default" w:ascii="Times New Roman Bold" w:hAnsi="Times New Roman Bold" w:cs="Times New Roman Bold"/>
          <w:b/>
          <w:bCs w:val="0"/>
          <w:sz w:val="24"/>
          <w:szCs w:val="24"/>
          <w:lang w:eastAsia="zh-Hans"/>
        </w:rPr>
        <w:t xml:space="preserve">0 </w:t>
      </w:r>
      <w:r>
        <w:rPr>
          <w:rFonts w:hint="default" w:ascii="Times New Roman Bold" w:hAnsi="Times New Roman Bold" w:cs="Times New Roman Bold"/>
          <w:b/>
          <w:bCs w:val="0"/>
          <w:sz w:val="24"/>
          <w:szCs w:val="24"/>
        </w:rPr>
        <w:t>Reference</w:t>
      </w:r>
      <w:r>
        <w:rPr>
          <w:rFonts w:hint="default" w:ascii="Times New Roman Regular" w:hAnsi="Times New Roman Regular" w:cs="Times New Roman Regular"/>
          <w:sz w:val="24"/>
          <w:szCs w:val="24"/>
        </w:rPr>
        <w:tab/>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PAGEREF _Toc765180264 \h </w:instrText>
      </w:r>
      <w:r>
        <w:rPr>
          <w:rFonts w:hint="default" w:ascii="Times New Roman Regular" w:hAnsi="Times New Roman Regular" w:cs="Times New Roman Regular"/>
          <w:sz w:val="24"/>
          <w:szCs w:val="24"/>
        </w:rPr>
        <w:fldChar w:fldCharType="separate"/>
      </w:r>
      <w:r>
        <w:rPr>
          <w:rFonts w:hint="default" w:ascii="Times New Roman Regular" w:hAnsi="Times New Roman Regular" w:cs="Times New Roman Regular"/>
          <w:sz w:val="24"/>
          <w:szCs w:val="24"/>
        </w:rPr>
        <w:t>27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fldChar w:fldCharType="end"/>
      </w:r>
    </w:p>
    <w:p>
      <w:pPr>
        <w:keepNext w:val="0"/>
        <w:keepLines w:val="0"/>
        <w:pageBreakBefore w:val="0"/>
        <w:widowControl/>
        <w:kinsoku/>
        <w:wordWrap/>
        <w:overflowPunct/>
        <w:topLinePunct w:val="0"/>
        <w:autoSpaceDE/>
        <w:autoSpaceDN/>
        <w:bidi w:val="0"/>
        <w:adjustRightInd/>
        <w:snapToGrid/>
        <w:spacing w:line="480" w:lineRule="auto"/>
        <w:textAlignment w:val="auto"/>
      </w:pPr>
      <w:r>
        <w:rPr>
          <w:rFonts w:hint="default" w:ascii="Times New Roman Regular" w:hAnsi="Times New Roman Regular" w:cs="Times New Roman Regular"/>
          <w:sz w:val="24"/>
          <w:szCs w:val="24"/>
        </w:rPr>
        <w:fldChar w:fldCharType="end"/>
      </w:r>
    </w:p>
    <w:p>
      <w:pPr>
        <w:rPr>
          <w:rFonts w:hint="default" w:ascii="Times New Roman Bold" w:hAnsi="Times New Roman Bold" w:cs="Times New Roman Bold"/>
          <w:b/>
          <w:bCs/>
          <w:color w:val="auto"/>
          <w:sz w:val="28"/>
          <w:szCs w:val="28"/>
        </w:rPr>
      </w:pPr>
      <w:r>
        <w:rPr>
          <w:rFonts w:hint="default" w:ascii="Times New Roman Bold" w:hAnsi="Times New Roman Bold" w:cs="Times New Roman Bold"/>
          <w:b/>
          <w:bCs/>
          <w:color w:val="auto"/>
          <w:sz w:val="28"/>
          <w:szCs w:val="28"/>
        </w:rPr>
        <w:br w:type="page"/>
      </w:r>
    </w:p>
    <w:p>
      <w:pPr>
        <w:pStyle w:val="2"/>
        <w:numPr>
          <w:ilvl w:val="0"/>
          <w:numId w:val="0"/>
        </w:numPr>
        <w:spacing w:before="100" w:beforeAutospacing="1" w:after="100" w:afterAutospacing="1" w:line="480" w:lineRule="auto"/>
        <w:ind w:leftChars="0"/>
        <w:contextualSpacing/>
        <w:jc w:val="both"/>
        <w:rPr>
          <w:rFonts w:ascii="Times New Roman" w:hAnsi="Times New Roman" w:cs="Times New Roman"/>
          <w:b/>
          <w:sz w:val="24"/>
          <w:szCs w:val="24"/>
        </w:rPr>
      </w:pPr>
      <w:bookmarkStart w:id="1" w:name="_Toc1012080189"/>
      <w:r>
        <w:rPr>
          <w:rFonts w:hint="default" w:ascii="Times New Roman Bold" w:hAnsi="Times New Roman Bold" w:cs="Times New Roman Bold"/>
          <w:b/>
          <w:bCs/>
          <w:color w:val="auto"/>
          <w:sz w:val="28"/>
          <w:szCs w:val="28"/>
        </w:rPr>
        <w:t>1</w:t>
      </w:r>
      <w:r>
        <w:rPr>
          <w:rFonts w:hint="eastAsia" w:ascii="Times New Roman Bold" w:hAnsi="Times New Roman Bold" w:cs="Times New Roman Bold"/>
          <w:b/>
          <w:bCs/>
          <w:color w:val="auto"/>
          <w:sz w:val="28"/>
          <w:szCs w:val="28"/>
          <w:lang w:val="en-US" w:eastAsia="zh-Hans"/>
        </w:rPr>
        <w:t>.</w:t>
      </w:r>
      <w:r>
        <w:rPr>
          <w:rFonts w:hint="default" w:ascii="Times New Roman Bold" w:hAnsi="Times New Roman Bold" w:cs="Times New Roman Bold"/>
          <w:b/>
          <w:bCs/>
          <w:color w:val="auto"/>
          <w:sz w:val="28"/>
          <w:szCs w:val="28"/>
          <w:lang w:eastAsia="zh-Hans"/>
        </w:rPr>
        <w:t xml:space="preserve">0 </w:t>
      </w:r>
      <w:r>
        <w:rPr>
          <w:rFonts w:hint="default" w:ascii="Times New Roman Bold" w:hAnsi="Times New Roman Bold" w:cs="Times New Roman Bold"/>
          <w:b/>
          <w:bCs/>
          <w:color w:val="auto"/>
          <w:sz w:val="28"/>
          <w:szCs w:val="28"/>
        </w:rPr>
        <w:t>Introduction</w:t>
      </w:r>
      <w:bookmarkEnd w:id="0"/>
      <w:bookmarkEnd w:id="1"/>
      <w:r>
        <w:rPr>
          <w:rFonts w:hint="default" w:ascii="Times New Roman Bold" w:hAnsi="Times New Roman Bold" w:cs="Times New Roman Bold"/>
          <w:b/>
          <w:bCs/>
          <w:color w:val="auto"/>
          <w:sz w:val="28"/>
          <w:szCs w:val="28"/>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 Inc., is a renowned global sportswear and athletic footwear giant, that has established itself as a dominant force within the highly competitive sportswear industry. Since its founding in 1964 by Bill Bowerman and Phil Knight, the company has evolved into a symbol of excellence and innovation, captivating athletes and consumers worldwide (Karneli,2023). With its iconic "Swoosh" logo and cutting-edge technology commitments, Nike consistently raised the bar in the realm of sports apparel, setting new standards for performance, style, and sustainability. The following report aims and focuses to conduct a critical assessment of the business environment within Nike operations. The report will analyze and establish the competitive environment using industry-specific features and evidence and utilizing the PESTEL tool and relevant business environment assessment tools to evaluate the impact of various macroeconomic indicators on the organization. Based on the analysis, the report provides a comprehensive conclusion, evaluating Nike's current position in the international market and offering insights into potential future organizational decisions and developments.</w:t>
      </w:r>
    </w:p>
    <w:p>
      <w:pPr>
        <w:rPr>
          <w:rFonts w:hint="default" w:ascii="Times New Roman Bold" w:hAnsi="Times New Roman Bold" w:cs="Times New Roman Bold"/>
          <w:b/>
          <w:bCs/>
          <w:color w:val="auto"/>
          <w:sz w:val="28"/>
          <w:szCs w:val="28"/>
        </w:rPr>
      </w:pPr>
      <w:bookmarkStart w:id="2" w:name="_Toc1854393118"/>
      <w:bookmarkStart w:id="3" w:name="_Toc1961252283"/>
      <w:r>
        <w:rPr>
          <w:rFonts w:hint="default" w:ascii="Times New Roman Bold" w:hAnsi="Times New Roman Bold" w:cs="Times New Roman Bold"/>
          <w:b/>
          <w:bCs/>
          <w:color w:val="auto"/>
          <w:sz w:val="28"/>
          <w:szCs w:val="28"/>
        </w:rPr>
        <w:br w:type="page"/>
      </w:r>
    </w:p>
    <w:p>
      <w:pPr>
        <w:pStyle w:val="2"/>
        <w:numPr>
          <w:ilvl w:val="0"/>
          <w:numId w:val="0"/>
        </w:numPr>
        <w:spacing w:before="100" w:beforeAutospacing="1" w:after="100" w:afterAutospacing="1" w:line="480" w:lineRule="auto"/>
        <w:ind w:leftChars="0"/>
        <w:contextualSpacing/>
        <w:jc w:val="both"/>
        <w:rPr>
          <w:rFonts w:hint="default" w:ascii="Times New Roman Bold" w:hAnsi="Times New Roman Bold" w:cs="Times New Roman Bold"/>
          <w:b/>
          <w:bCs/>
          <w:color w:val="auto"/>
          <w:sz w:val="28"/>
          <w:szCs w:val="28"/>
        </w:rPr>
      </w:pPr>
      <w:r>
        <w:rPr>
          <w:rFonts w:hint="default" w:ascii="Times New Roman Bold" w:hAnsi="Times New Roman Bold" w:cs="Times New Roman Bold"/>
          <w:b/>
          <w:bCs/>
          <w:color w:val="auto"/>
          <w:sz w:val="28"/>
          <w:szCs w:val="28"/>
        </w:rPr>
        <w:t>2</w:t>
      </w:r>
      <w:r>
        <w:rPr>
          <w:rFonts w:hint="eastAsia" w:ascii="Times New Roman Bold" w:hAnsi="Times New Roman Bold" w:cs="Times New Roman Bold"/>
          <w:b/>
          <w:bCs/>
          <w:color w:val="auto"/>
          <w:sz w:val="28"/>
          <w:szCs w:val="28"/>
          <w:lang w:val="en-US" w:eastAsia="zh-Hans"/>
        </w:rPr>
        <w:t>.</w:t>
      </w:r>
      <w:r>
        <w:rPr>
          <w:rFonts w:hint="default" w:ascii="Times New Roman Bold" w:hAnsi="Times New Roman Bold" w:cs="Times New Roman Bold"/>
          <w:b/>
          <w:bCs/>
          <w:color w:val="auto"/>
          <w:sz w:val="28"/>
          <w:szCs w:val="28"/>
          <w:lang w:eastAsia="zh-Hans"/>
        </w:rPr>
        <w:t xml:space="preserve">0 </w:t>
      </w:r>
      <w:r>
        <w:rPr>
          <w:rFonts w:hint="default" w:ascii="Times New Roman Bold" w:hAnsi="Times New Roman Bold" w:cs="Times New Roman Bold"/>
          <w:b/>
          <w:bCs/>
          <w:color w:val="auto"/>
          <w:sz w:val="28"/>
          <w:szCs w:val="28"/>
        </w:rPr>
        <w:t>Company Background</w:t>
      </w:r>
      <w:bookmarkEnd w:id="2"/>
      <w:bookmarkEnd w:id="3"/>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 is headquartered in Beaverton, Oregon, and operates a vast global network, reaching markets in over 170 countries. The company's diverse product range includes athletic footwear, apparel, equipment, and accessories, catering to a broad spectrum of sports enthusiasts, professional athletes, and casual wearers (</w:t>
      </w:r>
      <w:r>
        <w:rPr>
          <w:rFonts w:ascii="Times New Roman" w:hAnsi="Times New Roman" w:cs="Times New Roman"/>
          <w:color w:val="222222"/>
          <w:sz w:val="24"/>
          <w:szCs w:val="24"/>
          <w:shd w:val="clear" w:color="auto" w:fill="FFFFFF"/>
        </w:rPr>
        <w:t>Hoffman et al., 2019</w:t>
      </w:r>
      <w:r>
        <w:rPr>
          <w:rFonts w:ascii="Times New Roman" w:hAnsi="Times New Roman" w:cs="Times New Roman"/>
          <w:sz w:val="24"/>
          <w:szCs w:val="24"/>
        </w:rPr>
        <w:t xml:space="preserve">). The company leverages strategic partnerships with top athletes and sports teams, and endorsements with celebrities, making it cultivate an aspirational brand image, becoming synonymous with success and achievement (Karneli, 2023). According to </w:t>
      </w:r>
      <w:r>
        <w:rPr>
          <w:rFonts w:ascii="Times New Roman" w:hAnsi="Times New Roman" w:cs="Times New Roman"/>
          <w:color w:val="222222"/>
          <w:sz w:val="24"/>
          <w:szCs w:val="24"/>
          <w:shd w:val="clear" w:color="auto" w:fill="FFFFFF"/>
        </w:rPr>
        <w:t>Jiang, (2019)</w:t>
      </w:r>
      <w:r>
        <w:rPr>
          <w:rFonts w:ascii="Times New Roman" w:hAnsi="Times New Roman" w:cs="Times New Roman"/>
          <w:sz w:val="24"/>
          <w:szCs w:val="24"/>
        </w:rPr>
        <w:t xml:space="preserve"> the company currently runs shoes, jerseys, shorts, cleats, baselayers, etc. for various sports, including track and field, baseball, ice hockey, tennis, association football (soccer), lacrosse, basketball, and cricket.  The most modern and popular Nike model is the Air Force 1 model coming with stylish variations and is highly affordable as low as $90 on Nike's website(</w:t>
      </w:r>
      <w:r>
        <w:rPr>
          <w:rFonts w:ascii="Times New Roman" w:hAnsi="Times New Roman" w:cs="Times New Roman"/>
          <w:color w:val="222222"/>
          <w:sz w:val="24"/>
          <w:szCs w:val="24"/>
          <w:shd w:val="clear" w:color="auto" w:fill="FFFFFF"/>
        </w:rPr>
        <w:t>Merikanto,2019</w:t>
      </w:r>
      <w:r>
        <w:rPr>
          <w:rFonts w:ascii="Times New Roman" w:hAnsi="Times New Roman" w:cs="Times New Roman"/>
          <w:sz w:val="24"/>
          <w:szCs w:val="24"/>
        </w:rPr>
        <w:t>).  The company’s Air Jordan has also remained popular among basketballers and outfield fashions just unlike the Air Force models that have remained strictly for outdoor and outfield activities (</w:t>
      </w:r>
      <w:r>
        <w:rPr>
          <w:rFonts w:ascii="Times New Roman" w:hAnsi="Times New Roman" w:cs="Times New Roman"/>
          <w:color w:val="222222"/>
          <w:sz w:val="24"/>
          <w:szCs w:val="24"/>
          <w:shd w:val="clear" w:color="auto" w:fill="FFFFFF"/>
        </w:rPr>
        <w:t>Alsaffar,2020</w:t>
      </w:r>
      <w:r>
        <w:rPr>
          <w:rFonts w:ascii="Times New Roman" w:hAnsi="Times New Roman" w:cs="Times New Roman"/>
          <w:sz w:val="24"/>
          <w:szCs w:val="24"/>
        </w:rPr>
        <w:t>). According to Statista.com (2023), the company reported an annual revenue of $51.217B in the first quarter of 2023, a 9.65% increment from the $46.71B in 2022 and a 4.88% increment from the $44.54B of 2021 represented a 19.08% increase from the 2020, fiscal year.  The company hence places itself strategically and uniquely identify among its customers for the highest quality among its competitors.  It has hence, pioneered numerous groundbreaking technologies, including the revolutionary Air cushioning and Flyknit technology, setting its products apart from competitors (</w:t>
      </w:r>
      <w:r>
        <w:rPr>
          <w:rFonts w:ascii="Times New Roman" w:hAnsi="Times New Roman" w:cs="Times New Roman"/>
          <w:color w:val="222222"/>
          <w:sz w:val="24"/>
          <w:szCs w:val="24"/>
          <w:shd w:val="clear" w:color="auto" w:fill="FFFFFF"/>
        </w:rPr>
        <w:t>Liu et al., 2020</w:t>
      </w:r>
      <w:r>
        <w:rPr>
          <w:rFonts w:ascii="Times New Roman" w:hAnsi="Times New Roman" w:cs="Times New Roman"/>
          <w:sz w:val="24"/>
          <w:szCs w:val="24"/>
        </w:rPr>
        <w:t>). Nike has hence demonstrated unparalleled adaptability and agility, responding proactively to evolving consumer preferences and market trends within its market environs. The brand's iconic status and global reach have enabled it to maintain a significant market share, despite the intense competition from rival sportswear giants like Adidas, Under Armour, and Puma. Therefore, the future and the current market of Nike understood the necessity of digital adaptability that the company has assimilated into, designing an integrated future operation based on the currently applied Machine Learning and Artificial intelligence operations (</w:t>
      </w:r>
      <w:r>
        <w:rPr>
          <w:rFonts w:ascii="Times New Roman" w:hAnsi="Times New Roman" w:cs="Times New Roman"/>
          <w:color w:val="222222"/>
          <w:sz w:val="24"/>
          <w:szCs w:val="24"/>
          <w:shd w:val="clear" w:color="auto" w:fill="FFFFFF"/>
        </w:rPr>
        <w:t>Mancuso et al., 2023</w:t>
      </w:r>
      <w:r>
        <w:rPr>
          <w:rFonts w:ascii="Times New Roman" w:hAnsi="Times New Roman" w:cs="Times New Roman"/>
          <w:sz w:val="24"/>
          <w:szCs w:val="24"/>
        </w:rPr>
        <w:t xml:space="preserve">). </w:t>
      </w:r>
    </w:p>
    <w:p>
      <w:pPr>
        <w:pStyle w:val="2"/>
        <w:numPr>
          <w:ilvl w:val="0"/>
          <w:numId w:val="0"/>
        </w:numPr>
        <w:spacing w:before="100" w:beforeAutospacing="1" w:after="100" w:afterAutospacing="1" w:line="480" w:lineRule="auto"/>
        <w:ind w:leftChars="0"/>
        <w:contextualSpacing/>
        <w:jc w:val="both"/>
        <w:rPr>
          <w:rStyle w:val="24"/>
          <w:rFonts w:hint="default"/>
        </w:rPr>
      </w:pPr>
      <w:bookmarkStart w:id="4" w:name="_Toc354965315"/>
      <w:bookmarkStart w:id="5" w:name="_Toc1040622578"/>
      <w:r>
        <w:rPr>
          <w:rFonts w:hint="default" w:ascii="Times New Roman Bold" w:hAnsi="Times New Roman Bold" w:cs="Times New Roman Bold"/>
          <w:b/>
          <w:bCs/>
          <w:color w:val="auto"/>
          <w:sz w:val="28"/>
          <w:szCs w:val="28"/>
        </w:rPr>
        <w:t>3</w:t>
      </w:r>
      <w:r>
        <w:rPr>
          <w:rFonts w:hint="eastAsia" w:ascii="Times New Roman Bold" w:hAnsi="Times New Roman Bold" w:cs="Times New Roman Bold"/>
          <w:b/>
          <w:bCs/>
          <w:color w:val="auto"/>
          <w:sz w:val="28"/>
          <w:szCs w:val="28"/>
          <w:lang w:val="en-US" w:eastAsia="zh-Hans"/>
        </w:rPr>
        <w:t>.</w:t>
      </w:r>
      <w:r>
        <w:rPr>
          <w:rFonts w:hint="default" w:ascii="Times New Roman Bold" w:hAnsi="Times New Roman Bold" w:cs="Times New Roman Bold"/>
          <w:b/>
          <w:bCs/>
          <w:color w:val="auto"/>
          <w:sz w:val="28"/>
          <w:szCs w:val="28"/>
          <w:lang w:eastAsia="zh-Hans"/>
        </w:rPr>
        <w:t xml:space="preserve">0 </w:t>
      </w:r>
      <w:r>
        <w:rPr>
          <w:rFonts w:hint="default" w:ascii="Times New Roman Bold" w:hAnsi="Times New Roman Bold" w:cs="Times New Roman Bold"/>
          <w:b/>
          <w:bCs/>
          <w:color w:val="auto"/>
          <w:sz w:val="28"/>
          <w:szCs w:val="28"/>
        </w:rPr>
        <w:t>Competitive Market Assessment</w:t>
      </w:r>
      <w:bookmarkEnd w:id="4"/>
      <w:bookmarkEnd w:id="5"/>
      <w:r>
        <w:rPr>
          <w:rFonts w:hint="default" w:ascii="Times New Roman Bold" w:hAnsi="Times New Roman Bold" w:cs="Times New Roman Bold"/>
          <w:b/>
          <w:bCs/>
          <w:color w:val="auto"/>
          <w:sz w:val="28"/>
          <w:szCs w:val="28"/>
        </w:rPr>
        <w:t xml:space="preserve"> </w:t>
      </w:r>
    </w:p>
    <w:p>
      <w:pPr>
        <w:pStyle w:val="3"/>
        <w:bidi w:val="0"/>
        <w:rPr>
          <w:rFonts w:hint="default" w:ascii="Times New Roman" w:hAnsi="Times New Roman" w:cs="Times New Roman"/>
          <w:b w:val="0"/>
          <w:bCs/>
          <w:sz w:val="24"/>
          <w:szCs w:val="24"/>
        </w:rPr>
      </w:pPr>
      <w:bookmarkStart w:id="6" w:name="_Toc192477839"/>
      <w:bookmarkStart w:id="7" w:name="_Toc636847278"/>
      <w:r>
        <w:rPr>
          <w:rFonts w:hint="default" w:ascii="Times New Roman" w:hAnsi="Times New Roman" w:cs="Times New Roman"/>
          <w:b w:val="0"/>
          <w:bCs/>
          <w:sz w:val="24"/>
          <w:szCs w:val="24"/>
        </w:rPr>
        <w:t>3</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1 </w:t>
      </w:r>
      <w:r>
        <w:rPr>
          <w:rFonts w:hint="default" w:ascii="Times New Roman" w:hAnsi="Times New Roman" w:cs="Times New Roman"/>
          <w:b w:val="0"/>
          <w:bCs/>
          <w:sz w:val="24"/>
          <w:szCs w:val="24"/>
        </w:rPr>
        <w:t>Nike’s Work Culture &amp; Characteristics for its Market</w:t>
      </w:r>
      <w:bookmarkEnd w:id="6"/>
      <w:bookmarkEnd w:id="7"/>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 identifies itself as a resilient and capable multifunctional organization within the fashion industry. The company’s vision and mission emphasize its determination to inspire innovation and inventive critical brands for every athletic and fashion trend within the market (</w:t>
      </w:r>
      <w:r>
        <w:rPr>
          <w:rFonts w:ascii="Times New Roman" w:hAnsi="Times New Roman" w:cs="Times New Roman"/>
          <w:color w:val="222222"/>
          <w:sz w:val="24"/>
          <w:szCs w:val="24"/>
          <w:shd w:val="clear" w:color="auto" w:fill="FFFFFF"/>
        </w:rPr>
        <w:t>Eyada,2020</w:t>
      </w:r>
      <w:r>
        <w:rPr>
          <w:rFonts w:ascii="Times New Roman" w:hAnsi="Times New Roman" w:cs="Times New Roman"/>
          <w:sz w:val="24"/>
          <w:szCs w:val="24"/>
        </w:rPr>
        <w:t>). Nike hence combines tradition, habits, values, and behavioral expectations with the current market to assimilate to the most convenient and market-oriented demands. Nike employees hence operate and work according to significant sets of behavioral similarities, in regulations and instructions that enhance harmony in service delivery. The relationship between employees and customers is hence established within the company’s codes of conduct that require consideration for relations between employee employees and employee customers to remain observant of the market cultures and integrate into the social norms within the market (</w:t>
      </w:r>
      <w:r>
        <w:rPr>
          <w:rFonts w:ascii="Times New Roman" w:hAnsi="Times New Roman" w:cs="Times New Roman"/>
          <w:color w:val="222222"/>
          <w:sz w:val="24"/>
          <w:szCs w:val="24"/>
          <w:shd w:val="clear" w:color="auto" w:fill="FFFFFF"/>
        </w:rPr>
        <w:t>Taql et al., 2023</w:t>
      </w:r>
      <w:r>
        <w:rPr>
          <w:rFonts w:ascii="Times New Roman" w:hAnsi="Times New Roman" w:cs="Times New Roman"/>
          <w:sz w:val="24"/>
          <w:szCs w:val="24"/>
        </w:rPr>
        <w:t xml:space="preserve">). Nike’s operation in over 170 countries globally, maintains the necessity and emphasizes the diverse orientations, within the geographical locality and cultural synchrony (Liang et al., 2022). The company hence maintains an inclusive employee base, trained on the basics of diversity understanding to assimilate to the different demands and specificities due to market and sociocultural differentiations. According to </w:t>
      </w:r>
      <w:r>
        <w:rPr>
          <w:rFonts w:ascii="Times New Roman" w:hAnsi="Times New Roman" w:cs="Times New Roman"/>
          <w:color w:val="222222"/>
          <w:sz w:val="24"/>
          <w:szCs w:val="24"/>
          <w:shd w:val="clear" w:color="auto" w:fill="FFFFFF"/>
        </w:rPr>
        <w:t>Sulumov &amp; Tavbulatova, (2021),</w:t>
      </w:r>
      <w:r>
        <w:rPr>
          <w:rFonts w:ascii="Times New Roman" w:hAnsi="Times New Roman" w:cs="Times New Roman"/>
          <w:sz w:val="24"/>
          <w:szCs w:val="24"/>
        </w:rPr>
        <w:t xml:space="preserve"> Nike’s work culture upholds creativity and innovation establishing the role of corporate culture within the sporting goods company and global success. The company is hence maintainable and promotes operations reinforcing business resilience and competence to meet consumer preference and changing demand in a timely manner.  Similarly, the company’s organizational culture further influences Human Resource operations to prioritize business objectives that advance consumer and market demands (</w:t>
      </w:r>
      <w:r>
        <w:rPr>
          <w:rFonts w:ascii="Times New Roman" w:hAnsi="Times New Roman" w:cs="Times New Roman"/>
          <w:color w:val="222222"/>
          <w:sz w:val="24"/>
          <w:szCs w:val="24"/>
          <w:shd w:val="clear" w:color="auto" w:fill="FFFFFF"/>
        </w:rPr>
        <w:t>Dhesi,2021</w:t>
      </w:r>
      <w:r>
        <w:rPr>
          <w:rFonts w:ascii="Times New Roman" w:hAnsi="Times New Roman" w:cs="Times New Roman"/>
          <w:sz w:val="24"/>
          <w:szCs w:val="24"/>
        </w:rPr>
        <w:t xml:space="preserve">). Hence training programs, are structured to configure demographic integrations, and concurrent social changes to align and establish Nike’s brand image for sportswear. Nike’s work culture upholds the below characteristics influencing its market and environment operations;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Talent; according to Liang et al. (2022) the focus to synchronize talent and innovation. The company thus prioritizes talent-innovation compatibility a feature that has enabled Nike, to emphasize the integrative product development and internal services corporation between the employee base and HR departments to design products and services that meet the differentiated market operations. Employee training programs are hence essential for talent turnover, and abilities improvements (</w:t>
      </w:r>
      <w:r>
        <w:rPr>
          <w:rFonts w:ascii="Times New Roman" w:hAnsi="Times New Roman" w:cs="Times New Roman"/>
          <w:color w:val="222222"/>
          <w:sz w:val="24"/>
          <w:szCs w:val="24"/>
          <w:shd w:val="clear" w:color="auto" w:fill="FFFFFF"/>
        </w:rPr>
        <w:t>Heffron,2019)</w:t>
      </w:r>
      <w:r>
        <w:rPr>
          <w:rFonts w:ascii="Times New Roman" w:hAnsi="Times New Roman" w:cs="Times New Roman"/>
          <w:sz w:val="24"/>
          <w:szCs w:val="24"/>
        </w:rPr>
        <w:t xml:space="preserve">. Therefore, the company’s approach to talent retention and improvement remains relatively diverse to ensure they select and acquire the right personalities for different departments, from marketing to IT and technological technical support staff.  The company’s talent retention follows a strategic development for globalization orientations for the company’s global growth. According to </w:t>
      </w:r>
      <w:r>
        <w:rPr>
          <w:rFonts w:ascii="Times New Roman" w:hAnsi="Times New Roman" w:cs="Times New Roman"/>
          <w:color w:val="222222"/>
          <w:sz w:val="24"/>
          <w:szCs w:val="24"/>
          <w:shd w:val="clear" w:color="auto" w:fill="FFFFFF"/>
        </w:rPr>
        <w:t>Nguyen, (2023)</w:t>
      </w:r>
      <w:r>
        <w:rPr>
          <w:rFonts w:ascii="Times New Roman" w:hAnsi="Times New Roman" w:cs="Times New Roman"/>
          <w:sz w:val="24"/>
          <w:szCs w:val="24"/>
        </w:rPr>
        <w:t xml:space="preserve"> were it not for Nike’s specificity in training and talent retention mentorship programs, the company would not have surpassed the American market and grown into the global brand it is today. It hence remains evident to note that Nike’s talent characteristics are purposed for sustenance for productivity and future infrastructural operation maintenance and diversity in globally acceptable sporting and fashion goods and services.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Diverse; Nike believes in dynamic workforce integration, hence as a pillar of its work culture, the company develops and upholds diversity as a character. As a global brand determined to maintain market power and brand loyalty, assimilate into these different market operations through dynamic workforce employment to uphold its root objectives of creativity, innovation, brand images, and competitive advantages. Nike hence maintains an HR program of </w:t>
      </w:r>
      <w:r>
        <w:rPr>
          <w:rFonts w:ascii="Times New Roman" w:hAnsi="Times New Roman" w:cs="Times New Roman"/>
          <w:i/>
          <w:sz w:val="24"/>
          <w:szCs w:val="24"/>
        </w:rPr>
        <w:t xml:space="preserve">Speak Up! </w:t>
      </w:r>
      <w:r>
        <w:rPr>
          <w:rFonts w:ascii="Times New Roman" w:hAnsi="Times New Roman" w:cs="Times New Roman"/>
          <w:sz w:val="24"/>
          <w:szCs w:val="24"/>
        </w:rPr>
        <w:t>Facilitating a conversant ideological differentiation in HR performances among workers (</w:t>
      </w:r>
      <w:r>
        <w:rPr>
          <w:rFonts w:ascii="Times New Roman" w:hAnsi="Times New Roman" w:cs="Times New Roman"/>
          <w:color w:val="222222"/>
          <w:sz w:val="24"/>
          <w:szCs w:val="24"/>
          <w:shd w:val="clear" w:color="auto" w:fill="FFFFFF"/>
        </w:rPr>
        <w:t>Taql et al., 2023</w:t>
      </w:r>
      <w:r>
        <w:rPr>
          <w:rFonts w:ascii="Times New Roman" w:hAnsi="Times New Roman" w:cs="Times New Roman"/>
          <w:sz w:val="24"/>
          <w:szCs w:val="24"/>
        </w:rPr>
        <w:t xml:space="preserve">), thus the company maximizes its product development cycles for new product creations, trend design formulations, and specification of consumer and market demands, especially within cultural and social construct observance.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Inclusivity; according to </w:t>
      </w:r>
      <w:r>
        <w:rPr>
          <w:rFonts w:ascii="Times New Roman" w:hAnsi="Times New Roman" w:cs="Times New Roman"/>
          <w:color w:val="222222"/>
          <w:sz w:val="24"/>
          <w:szCs w:val="24"/>
          <w:shd w:val="clear" w:color="auto" w:fill="FFFFFF"/>
        </w:rPr>
        <w:t>Zahedi et al. (2022)</w:t>
      </w:r>
      <w:r>
        <w:rPr>
          <w:rFonts w:ascii="Times New Roman" w:hAnsi="Times New Roman" w:cs="Times New Roman"/>
          <w:sz w:val="24"/>
          <w:szCs w:val="24"/>
        </w:rPr>
        <w:t xml:space="preserve"> Nike’s inclusivity feature is purposed to expand employee performance. It hence established that the nature of inclusivity targets to minimize every element of employee performance hence maximizing productivity through diversity in ideographic orientation in creativity and innovation (Ng, 2023).  The sporting goods industry employs inclusivity as the foundation for performance, diversity, and talent development optimization, therefore Nike embraces the feature through a team-based management approach. Thus, employees’ integrative programs such as </w:t>
      </w:r>
      <w:r>
        <w:rPr>
          <w:rFonts w:ascii="Times New Roman" w:hAnsi="Times New Roman" w:cs="Times New Roman"/>
          <w:i/>
          <w:sz w:val="24"/>
          <w:szCs w:val="24"/>
        </w:rPr>
        <w:t>Bias to Breakthrough</w:t>
      </w:r>
      <w:r>
        <w:rPr>
          <w:rFonts w:ascii="Times New Roman" w:hAnsi="Times New Roman" w:cs="Times New Roman"/>
          <w:sz w:val="24"/>
          <w:szCs w:val="24"/>
        </w:rPr>
        <w:t xml:space="preserve">, designated to remove any creativity barriers, together with the </w:t>
      </w:r>
      <w:r>
        <w:rPr>
          <w:rFonts w:ascii="Times New Roman" w:hAnsi="Times New Roman" w:cs="Times New Roman"/>
          <w:i/>
          <w:sz w:val="24"/>
          <w:szCs w:val="24"/>
        </w:rPr>
        <w:t xml:space="preserve">NCourage </w:t>
      </w:r>
      <w:r>
        <w:rPr>
          <w:rFonts w:ascii="Times New Roman" w:hAnsi="Times New Roman" w:cs="Times New Roman"/>
          <w:sz w:val="24"/>
          <w:szCs w:val="24"/>
        </w:rPr>
        <w:t xml:space="preserve">an employee networking program for cultural diversity awareness creation and community development and building initiative, thus the company remained included and involved in the social development strategies, hence minimize social-company headlocks and problems and support streamlining sporting goods and designs within its production processes. The inclusivity feature enhances Nike’s corporate social responsibility commitments and engagements to satisfy both HR and stakeholder obligations within the business. </w:t>
      </w:r>
    </w:p>
    <w:p>
      <w:pPr>
        <w:rPr>
          <w:rFonts w:ascii="Times New Roman" w:hAnsi="Times New Roman" w:cs="Times New Roman"/>
          <w:b/>
          <w:sz w:val="24"/>
          <w:szCs w:val="24"/>
        </w:rPr>
      </w:pPr>
      <w:r>
        <w:rPr>
          <w:rFonts w:ascii="Times New Roman" w:hAnsi="Times New Roman" w:cs="Times New Roman"/>
          <w:b/>
          <w:sz w:val="24"/>
          <w:szCs w:val="24"/>
        </w:rPr>
        <w:br w:type="page"/>
      </w:r>
    </w:p>
    <w:p>
      <w:pPr>
        <w:pStyle w:val="3"/>
        <w:bidi w:val="0"/>
        <w:rPr>
          <w:rFonts w:hint="default" w:ascii="Times New Roman" w:hAnsi="Times New Roman" w:cs="Times New Roman"/>
          <w:b w:val="0"/>
          <w:bCs/>
          <w:sz w:val="24"/>
          <w:szCs w:val="24"/>
        </w:rPr>
      </w:pPr>
      <w:bookmarkStart w:id="8" w:name="_Toc864667691"/>
      <w:bookmarkStart w:id="9" w:name="_Toc433704698"/>
      <w:r>
        <w:rPr>
          <w:rFonts w:hint="default" w:ascii="Times New Roman" w:hAnsi="Times New Roman" w:cs="Times New Roman"/>
          <w:b w:val="0"/>
          <w:bCs/>
          <w:sz w:val="24"/>
          <w:szCs w:val="24"/>
        </w:rPr>
        <w:t>3</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2 </w:t>
      </w:r>
      <w:r>
        <w:rPr>
          <w:rFonts w:hint="default" w:ascii="Times New Roman" w:hAnsi="Times New Roman" w:cs="Times New Roman"/>
          <w:b w:val="0"/>
          <w:bCs/>
          <w:sz w:val="24"/>
          <w:szCs w:val="24"/>
        </w:rPr>
        <w:t>Competitive Rivalry</w:t>
      </w:r>
      <w:bookmarkEnd w:id="8"/>
      <w:bookmarkEnd w:id="9"/>
      <w:r>
        <w:rPr>
          <w:rFonts w:hint="default" w:ascii="Times New Roman" w:hAnsi="Times New Roman" w:cs="Times New Roman"/>
          <w:b w:val="0"/>
          <w:bCs/>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column">
                  <wp:posOffset>-57150</wp:posOffset>
                </wp:positionH>
                <wp:positionV relativeFrom="paragraph">
                  <wp:posOffset>354330</wp:posOffset>
                </wp:positionV>
                <wp:extent cx="3168650" cy="248285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3168650" cy="2482850"/>
                        </a:xfrm>
                        <a:prstGeom prst="rect">
                          <a:avLst/>
                        </a:prstGeom>
                        <a:solidFill>
                          <a:schemeClr val="lt1"/>
                        </a:solidFill>
                        <a:ln w="6350">
                          <a:solidFill>
                            <a:schemeClr val="bg1"/>
                          </a:solidFill>
                        </a:ln>
                      </wps:spPr>
                      <wps:txbx>
                        <w:txbxContent>
                          <w:p>
                            <w:r>
                              <w:drawing>
                                <wp:inline distT="0" distB="0" distL="0" distR="0">
                                  <wp:extent cx="2933700" cy="1822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2933700" cy="1822450"/>
                                          </a:xfrm>
                                          <a:prstGeom prst="rect">
                                            <a:avLst/>
                                          </a:prstGeom>
                                        </pic:spPr>
                                      </pic:pic>
                                    </a:graphicData>
                                  </a:graphic>
                                </wp:inline>
                              </w:drawing>
                            </w:r>
                          </w:p>
                          <w:p>
                            <w:pPr>
                              <w:jc w:val="center"/>
                              <w:rPr>
                                <w:rFonts w:ascii="Times New Roman" w:hAnsi="Times New Roman" w:cs="Times New Roman"/>
                                <w:i/>
                              </w:rPr>
                            </w:pPr>
                            <w:r>
                              <w:rPr>
                                <w:rFonts w:ascii="Times New Roman" w:hAnsi="Times New Roman" w:cs="Times New Roman"/>
                                <w:i/>
                              </w:rPr>
                              <w:t>Nike’s Global Net Sales 2005-2022</w:t>
                            </w:r>
                          </w:p>
                          <w:p>
                            <w:pPr>
                              <w:jc w:val="cente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2" o:spid="_x0000_s1026" o:spt="202" type="#_x0000_t202" style="position:absolute;left:0pt;margin-left:-4.5pt;margin-top:27.9pt;height:195.5pt;width:249.5pt;z-index:251659264;mso-width-relative:page;mso-height-relative:page;" fillcolor="#FFFFFF [3201]" filled="t" stroked="t" coordsize="21600,21600" o:gfxdata="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">
                <v:fill on="t" focussize="0,0"/>
                <v:stroke weight="0.5pt" color="#FFFFFF [3212]" joinstyle="round"/>
                <v:imagedata o:title=""/>
                <o:lock v:ext="edit" aspectratio="f"/>
                <v:textbox>
                  <w:txbxContent>
                    <w:p>
                      <w:r>
                        <w:drawing>
                          <wp:inline distT="0" distB="0" distL="0" distR="0">
                            <wp:extent cx="2933700" cy="1822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2933700" cy="1822450"/>
                                    </a:xfrm>
                                    <a:prstGeom prst="rect">
                                      <a:avLst/>
                                    </a:prstGeom>
                                  </pic:spPr>
                                </pic:pic>
                              </a:graphicData>
                            </a:graphic>
                          </wp:inline>
                        </w:drawing>
                      </w:r>
                    </w:p>
                    <w:p>
                      <w:pPr>
                        <w:jc w:val="center"/>
                        <w:rPr>
                          <w:rFonts w:ascii="Times New Roman" w:hAnsi="Times New Roman" w:cs="Times New Roman"/>
                          <w:i/>
                        </w:rPr>
                      </w:pPr>
                      <w:r>
                        <w:rPr>
                          <w:rFonts w:ascii="Times New Roman" w:hAnsi="Times New Roman" w:cs="Times New Roman"/>
                          <w:i/>
                        </w:rPr>
                        <w:t>Nike’s Global Net Sales 2005-2022</w:t>
                      </w:r>
                    </w:p>
                    <w:p>
                      <w:pPr>
                        <w:jc w:val="center"/>
                      </w:pPr>
                    </w:p>
                  </w:txbxContent>
                </v:textbox>
              </v:shape>
            </w:pict>
          </mc:Fallback>
        </mc:AlternateContent>
      </w:r>
      <w:r>
        <w:rPr>
          <w:rFonts w:ascii="Times New Roman" w:hAnsi="Times New Roman" w:cs="Times New Roman"/>
          <w:sz w:val="24"/>
          <w:szCs w:val="24"/>
        </w:rPr>
        <w:t>Consider below graphical extracts for Nike and immediate rival Adidas</w:t>
      </w:r>
    </w:p>
    <w:p>
      <w:pPr>
        <w:spacing w:after="0" w:line="480" w:lineRule="auto"/>
        <w:contextualSpacing/>
        <w:jc w:val="both"/>
        <w:rPr>
          <w:rFonts w:ascii="Times New Roman" w:hAnsi="Times New Roman" w:cs="Times New Roman"/>
          <w:b/>
          <w:sz w:val="24"/>
          <w:szCs w:val="24"/>
        </w:rPr>
      </w:pPr>
      <w:r>
        <w:rPr>
          <w:rFonts w:ascii="Times New Roman" w:hAnsi="Times New Roman" w:cs="Times New Roman"/>
          <w:b/>
          <w:sz w:val="24"/>
          <w:szCs w:val="24"/>
        </w:rPr>
        <mc:AlternateContent>
          <mc:Choice Requires="wps">
            <w:drawing>
              <wp:anchor distT="0" distB="0" distL="114300" distR="114300" simplePos="0" relativeHeight="251660288" behindDoc="0" locked="0" layoutInCell="1" allowOverlap="1">
                <wp:simplePos x="0" y="0"/>
                <wp:positionH relativeFrom="column">
                  <wp:posOffset>3181350</wp:posOffset>
                </wp:positionH>
                <wp:positionV relativeFrom="paragraph">
                  <wp:posOffset>1905</wp:posOffset>
                </wp:positionV>
                <wp:extent cx="3168650" cy="248285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3168650" cy="2482850"/>
                        </a:xfrm>
                        <a:prstGeom prst="rect">
                          <a:avLst/>
                        </a:prstGeom>
                        <a:solidFill>
                          <a:schemeClr val="lt1"/>
                        </a:solidFill>
                        <a:ln w="6350">
                          <a:solidFill>
                            <a:schemeClr val="bg1"/>
                          </a:solidFill>
                        </a:ln>
                      </wps:spPr>
                      <wps:txbx>
                        <w:txbxContent>
                          <w:p>
                            <w:r>
                              <w:drawing>
                                <wp:inline distT="0" distB="0" distL="0" distR="0">
                                  <wp:extent cx="2979420" cy="1776730"/>
                                  <wp:effectExtent l="0" t="0" r="1778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8"/>
                                          <a:stretch>
                                            <a:fillRect/>
                                          </a:stretch>
                                        </pic:blipFill>
                                        <pic:spPr>
                                          <a:xfrm>
                                            <a:off x="0" y="0"/>
                                            <a:ext cx="2979420" cy="1776730"/>
                                          </a:xfrm>
                                          <a:prstGeom prst="rect">
                                            <a:avLst/>
                                          </a:prstGeom>
                                        </pic:spPr>
                                      </pic:pic>
                                    </a:graphicData>
                                  </a:graphic>
                                </wp:inline>
                              </w:drawing>
                            </w:r>
                          </w:p>
                          <w:p>
                            <w:pPr>
                              <w:jc w:val="center"/>
                              <w:rPr>
                                <w:rFonts w:ascii="Times New Roman" w:hAnsi="Times New Roman" w:cs="Times New Roman"/>
                                <w:i/>
                              </w:rPr>
                            </w:pPr>
                            <w:r>
                              <w:rPr>
                                <w:rFonts w:ascii="Times New Roman" w:hAnsi="Times New Roman" w:cs="Times New Roman"/>
                                <w:i/>
                              </w:rPr>
                              <w:t>Adidas Global Net Sales 2005-2022</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Text Box 4" o:spid="_x0000_s1026" o:spt="202" type="#_x0000_t202" style="position:absolute;left:0pt;margin-left:250.5pt;margin-top:0.15pt;height:195.5pt;width:249.5pt;z-index:251660288;mso-width-relative:page;mso-height-relative:page;" fillcolor="#FFFFFF [3201]" filled="t" stroked="t" coordsize="21600,21600" o:gfxdata="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BYAAABkcnMvUEsBAhQAFAAAAAgAh07iQAYiYqHWAAAACQEAAA8A&#10;AAAAAAAAAQAgAAAAOAAAAGRycy9kb3ducmV2LnhtbFBLAQIUABQAAAAIAIdO4kA8FxMkPAIAALgE&#10;AAAOAAAAAAAAAAEAIAAAADsBAABkcnMvZTJvRG9jLnhtbFBLBQYAAAAABgAGAFkBAADpBQAAAAA=&#10;">
                <v:fill on="t" focussize="0,0"/>
                <v:stroke weight="0.5pt" color="#FFFFFF [3212]" joinstyle="round"/>
                <v:imagedata o:title=""/>
                <o:lock v:ext="edit" aspectratio="f"/>
                <v:textbox>
                  <w:txbxContent>
                    <w:p>
                      <w:r>
                        <w:drawing>
                          <wp:inline distT="0" distB="0" distL="0" distR="0">
                            <wp:extent cx="2979420" cy="1776730"/>
                            <wp:effectExtent l="0" t="0" r="1778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8"/>
                                    <a:stretch>
                                      <a:fillRect/>
                                    </a:stretch>
                                  </pic:blipFill>
                                  <pic:spPr>
                                    <a:xfrm>
                                      <a:off x="0" y="0"/>
                                      <a:ext cx="2979420" cy="1776730"/>
                                    </a:xfrm>
                                    <a:prstGeom prst="rect">
                                      <a:avLst/>
                                    </a:prstGeom>
                                  </pic:spPr>
                                </pic:pic>
                              </a:graphicData>
                            </a:graphic>
                          </wp:inline>
                        </w:drawing>
                      </w:r>
                    </w:p>
                    <w:p>
                      <w:pPr>
                        <w:jc w:val="center"/>
                        <w:rPr>
                          <w:rFonts w:ascii="Times New Roman" w:hAnsi="Times New Roman" w:cs="Times New Roman"/>
                          <w:i/>
                        </w:rPr>
                      </w:pPr>
                      <w:r>
                        <w:rPr>
                          <w:rFonts w:ascii="Times New Roman" w:hAnsi="Times New Roman" w:cs="Times New Roman"/>
                          <w:i/>
                        </w:rPr>
                        <w:t>Adidas Global Net Sales 2005-2022</w:t>
                      </w:r>
                    </w:p>
                  </w:txbxContent>
                </v:textbox>
              </v:shape>
            </w:pict>
          </mc:Fallback>
        </mc:AlternateContent>
      </w:r>
    </w:p>
    <w:p>
      <w:pPr>
        <w:spacing w:after="0" w:line="480" w:lineRule="auto"/>
        <w:contextualSpacing/>
        <w:jc w:val="both"/>
        <w:rPr>
          <w:rFonts w:ascii="Times New Roman" w:hAnsi="Times New Roman" w:cs="Times New Roman"/>
          <w:sz w:val="24"/>
          <w:szCs w:val="24"/>
        </w:rPr>
      </w:pPr>
    </w:p>
    <w:p>
      <w:pPr>
        <w:spacing w:after="0" w:line="480" w:lineRule="auto"/>
        <w:contextualSpacing/>
        <w:jc w:val="both"/>
        <w:rPr>
          <w:rFonts w:ascii="Times New Roman" w:hAnsi="Times New Roman" w:cs="Times New Roman"/>
          <w:sz w:val="24"/>
          <w:szCs w:val="24"/>
        </w:rPr>
      </w:pPr>
    </w:p>
    <w:p>
      <w:pPr>
        <w:spacing w:after="0" w:line="480" w:lineRule="auto"/>
        <w:contextualSpacing/>
        <w:jc w:val="both"/>
        <w:rPr>
          <w:rFonts w:ascii="Times New Roman" w:hAnsi="Times New Roman" w:cs="Times New Roman"/>
          <w:sz w:val="24"/>
          <w:szCs w:val="24"/>
        </w:rPr>
      </w:pPr>
    </w:p>
    <w:p>
      <w:pPr>
        <w:spacing w:after="0" w:line="480" w:lineRule="auto"/>
        <w:contextualSpacing/>
        <w:jc w:val="both"/>
        <w:rPr>
          <w:rFonts w:ascii="Times New Roman" w:hAnsi="Times New Roman" w:cs="Times New Roman"/>
          <w:sz w:val="24"/>
          <w:szCs w:val="24"/>
        </w:rPr>
      </w:pPr>
    </w:p>
    <w:p>
      <w:pPr>
        <w:spacing w:after="0" w:line="480" w:lineRule="auto"/>
        <w:contextualSpacing/>
        <w:jc w:val="both"/>
        <w:rPr>
          <w:rFonts w:ascii="Times New Roman" w:hAnsi="Times New Roman" w:cs="Times New Roman"/>
          <w:sz w:val="24"/>
          <w:szCs w:val="24"/>
        </w:rPr>
      </w:pPr>
    </w:p>
    <w:p>
      <w:pPr>
        <w:spacing w:after="0" w:line="480" w:lineRule="auto"/>
        <w:contextualSpacing/>
        <w:jc w:val="both"/>
        <w:rPr>
          <w:rFonts w:ascii="Times New Roman" w:hAnsi="Times New Roman" w:cs="Times New Roman"/>
          <w:sz w:val="24"/>
          <w:szCs w:val="24"/>
        </w:rPr>
      </w:pPr>
    </w:p>
    <w:p>
      <w:pPr>
        <w:jc w:val="center"/>
        <w:rPr>
          <w:rFonts w:ascii="Times New Roman" w:hAnsi="Times New Roman" w:cs="Times New Roman"/>
          <w:i/>
          <w:sz w:val="24"/>
          <w:szCs w:val="24"/>
        </w:rPr>
      </w:pPr>
      <w:r>
        <w:rPr>
          <w:rFonts w:ascii="Times New Roman" w:hAnsi="Times New Roman" w:cs="Times New Roman"/>
          <w:i/>
          <w:sz w:val="24"/>
          <w:szCs w:val="24"/>
        </w:rPr>
        <w:t xml:space="preserve">Source; Statista.com (2023). </w:t>
      </w:r>
    </w:p>
    <w:p>
      <w:pPr>
        <w:spacing w:after="0" w:line="480" w:lineRule="auto"/>
        <w:contextualSpacing/>
        <w:jc w:val="both"/>
        <w:rPr>
          <w:rFonts w:ascii="Times New Roman" w:hAnsi="Times New Roman" w:cs="Times New Roman"/>
          <w:sz w:val="24"/>
          <w:szCs w:val="24"/>
        </w:rPr>
      </w:pP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Nike's competitive rivalry is a critical aspect of its business environment, given its position as a global leader in the sportswear industry (Maury, 2022). They operate within intense and strong competition with major and stable competitors vying for market share and consumer loyalty. Notable competitors such as Adidas, Under Armour, Puma, and Fila established a strong and intensely competitive market for Nike. With every company offering unique quality and strengths for their markets, they create diverse competition both in product categories and geographical considerations (</w:t>
      </w:r>
      <w:r>
        <w:rPr>
          <w:rFonts w:ascii="Times New Roman" w:hAnsi="Times New Roman" w:cs="Times New Roman"/>
          <w:color w:val="222222"/>
          <w:sz w:val="24"/>
          <w:szCs w:val="24"/>
          <w:shd w:val="clear" w:color="auto" w:fill="FFFFFF"/>
        </w:rPr>
        <w:t>Ng, 2022</w:t>
      </w:r>
      <w:r>
        <w:rPr>
          <w:rFonts w:ascii="Times New Roman" w:hAnsi="Times New Roman" w:cs="Times New Roman"/>
          <w:sz w:val="24"/>
          <w:szCs w:val="24"/>
        </w:rPr>
        <w:t xml:space="preserve">). For instance, according to Statista. com (2023), Nike’s footwear revenue in Asian Pacific and Latin America for the ended fiscal year 2022, was $4.11 billion compared to $4.3 billion Adidas and Reebok in the same market. The above statistics establish massive market competition and market share rivalry operations within the sports goods industry.  Nike’s competitive rivalry remains influential to determine specific brand and product operations.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According to </w:t>
      </w:r>
      <w:r>
        <w:rPr>
          <w:rFonts w:ascii="Times New Roman" w:hAnsi="Times New Roman" w:cs="Times New Roman"/>
          <w:color w:val="222222"/>
          <w:sz w:val="24"/>
          <w:szCs w:val="24"/>
          <w:shd w:val="clear" w:color="auto" w:fill="FFFFFF"/>
        </w:rPr>
        <w:t>Merikanto, (2019), the intensive competitive rivalry enables Nike to differentiate its products. The sporting goods industry is dynamically diversified and intensely competitive across similar products hence, quality and product uniqueness remain essential for the determination of larger market share (</w:t>
      </w:r>
      <w:r>
        <w:rPr>
          <w:rFonts w:ascii="Times New Roman" w:hAnsi="Times New Roman" w:cs="Times New Roman"/>
          <w:sz w:val="24"/>
          <w:szCs w:val="24"/>
        </w:rPr>
        <w:t>StudyCorgi., 2022). Thus, Nike’s ability to integrate technology, R&amp;D and leverage digital econometrics remains essential for product differentiation, to introduce high-end technologies and brand designs that outmatch competitors’ qualities. Therefore, a product differentiation strategy attracts consumers seeking high-performance and fashionable sportswear. Despite the intense competitive rivalry, Nike still maintains high brand equity, through its recognizable “swoosh” logo, making the brand easily identifiable among the consumer base.  Nike also has firm marketing and endorsement strategies, through elite and prolific sports personalities across the global sporting environment giving it an upper hand in the competitive environment (</w:t>
      </w:r>
      <w:r>
        <w:rPr>
          <w:rFonts w:ascii="Times New Roman" w:hAnsi="Times New Roman" w:cs="Times New Roman"/>
          <w:color w:val="222222"/>
          <w:sz w:val="24"/>
          <w:szCs w:val="24"/>
          <w:shd w:val="clear" w:color="auto" w:fill="FFFFFF"/>
        </w:rPr>
        <w:t>Pontes &amp; Pontes, 2021)</w:t>
      </w:r>
      <w:r>
        <w:rPr>
          <w:rFonts w:ascii="Times New Roman" w:hAnsi="Times New Roman" w:cs="Times New Roman"/>
          <w:sz w:val="24"/>
          <w:szCs w:val="24"/>
        </w:rPr>
        <w:t>. the company also identifies with globally renowned clubs such as Chelsea where it produces their Jerseys, making the club’s fans its primary markets (</w:t>
      </w:r>
      <w:r>
        <w:rPr>
          <w:rFonts w:ascii="Times New Roman" w:hAnsi="Times New Roman" w:cs="Times New Roman"/>
          <w:color w:val="222222"/>
          <w:sz w:val="24"/>
          <w:szCs w:val="24"/>
          <w:shd w:val="clear" w:color="auto" w:fill="FFFFFF"/>
        </w:rPr>
        <w:t>Khan,2020</w:t>
      </w:r>
      <w:r>
        <w:rPr>
          <w:rFonts w:ascii="Times New Roman" w:hAnsi="Times New Roman" w:cs="Times New Roman"/>
          <w:sz w:val="24"/>
          <w:szCs w:val="24"/>
        </w:rPr>
        <w:t>). The company also implements an emotional marketing strategy making its products appealing to a large consumer base and amplifying its brand image to enhance Nike's competitive advantage(</w:t>
      </w:r>
      <w:r>
        <w:rPr>
          <w:rFonts w:ascii="Times New Roman" w:hAnsi="Times New Roman" w:cs="Times New Roman"/>
          <w:color w:val="222222"/>
          <w:shd w:val="clear" w:color="auto" w:fill="FFFFFF"/>
        </w:rPr>
        <w:t>Xing,2021)</w:t>
      </w:r>
      <w:r>
        <w:rPr>
          <w:rFonts w:ascii="Times New Roman" w:hAnsi="Times New Roman" w:cs="Times New Roman"/>
          <w:sz w:val="24"/>
          <w:szCs w:val="24"/>
        </w:rPr>
        <w:t>.</w:t>
      </w:r>
    </w:p>
    <w:p>
      <w:pPr>
        <w:pStyle w:val="2"/>
        <w:numPr>
          <w:ilvl w:val="0"/>
          <w:numId w:val="0"/>
        </w:numPr>
        <w:spacing w:before="100" w:beforeAutospacing="1" w:after="100" w:afterAutospacing="1" w:line="480" w:lineRule="auto"/>
        <w:ind w:leftChars="0"/>
        <w:contextualSpacing/>
        <w:jc w:val="both"/>
        <w:rPr>
          <w:rFonts w:hint="default" w:ascii="Times New Roman Bold" w:hAnsi="Times New Roman Bold" w:cs="Times New Roman Bold"/>
          <w:b/>
          <w:bCs/>
          <w:color w:val="auto"/>
          <w:sz w:val="28"/>
          <w:szCs w:val="28"/>
        </w:rPr>
      </w:pPr>
      <w:bookmarkStart w:id="10" w:name="_Toc141095006"/>
      <w:bookmarkStart w:id="11" w:name="_Toc448043388"/>
      <w:bookmarkStart w:id="12" w:name="_Toc715361368"/>
      <w:r>
        <w:rPr>
          <w:rFonts w:hint="default" w:ascii="Times New Roman Bold" w:hAnsi="Times New Roman Bold" w:cs="Times New Roman Bold"/>
          <w:b/>
          <w:bCs/>
          <w:color w:val="auto"/>
          <w:sz w:val="28"/>
          <w:szCs w:val="28"/>
        </w:rPr>
        <w:t>4</w:t>
      </w:r>
      <w:r>
        <w:rPr>
          <w:rFonts w:hint="eastAsia" w:ascii="Times New Roman Bold" w:hAnsi="Times New Roman Bold" w:cs="Times New Roman Bold"/>
          <w:b/>
          <w:bCs/>
          <w:color w:val="auto"/>
          <w:sz w:val="28"/>
          <w:szCs w:val="28"/>
          <w:lang w:val="en-US" w:eastAsia="zh-Hans"/>
        </w:rPr>
        <w:t>.</w:t>
      </w:r>
      <w:r>
        <w:rPr>
          <w:rFonts w:hint="default" w:ascii="Times New Roman Bold" w:hAnsi="Times New Roman Bold" w:cs="Times New Roman Bold"/>
          <w:b/>
          <w:bCs/>
          <w:color w:val="auto"/>
          <w:sz w:val="28"/>
          <w:szCs w:val="28"/>
          <w:lang w:eastAsia="zh-Hans"/>
        </w:rPr>
        <w:t xml:space="preserve">0 </w:t>
      </w:r>
      <w:r>
        <w:rPr>
          <w:rFonts w:hint="default" w:ascii="Times New Roman Bold" w:hAnsi="Times New Roman Bold" w:cs="Times New Roman Bold"/>
          <w:b/>
          <w:bCs/>
          <w:color w:val="auto"/>
          <w:sz w:val="28"/>
          <w:szCs w:val="28"/>
        </w:rPr>
        <w:t>External Environment Analysis</w:t>
      </w:r>
      <w:bookmarkEnd w:id="10"/>
      <w:bookmarkEnd w:id="11"/>
      <w:bookmarkEnd w:id="12"/>
    </w:p>
    <w:p>
      <w:pPr>
        <w:pStyle w:val="3"/>
        <w:bidi w:val="0"/>
        <w:rPr>
          <w:rFonts w:hint="default" w:ascii="Times New Roman" w:hAnsi="Times New Roman" w:cs="Times New Roman"/>
          <w:b w:val="0"/>
          <w:bCs/>
          <w:sz w:val="24"/>
          <w:szCs w:val="24"/>
        </w:rPr>
      </w:pPr>
      <w:bookmarkStart w:id="13" w:name="_Toc1187555734"/>
      <w:bookmarkStart w:id="14" w:name="_Toc1465056070"/>
      <w:r>
        <w:rPr>
          <w:rFonts w:hint="default" w:ascii="Times New Roman" w:hAnsi="Times New Roman" w:cs="Times New Roman"/>
          <w:b w:val="0"/>
          <w:bCs/>
          <w:sz w:val="24"/>
          <w:szCs w:val="24"/>
        </w:rPr>
        <w:t>4</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1 </w:t>
      </w:r>
      <w:r>
        <w:rPr>
          <w:rFonts w:hint="default" w:ascii="Times New Roman" w:hAnsi="Times New Roman" w:cs="Times New Roman"/>
          <w:b w:val="0"/>
          <w:bCs/>
          <w:sz w:val="24"/>
          <w:szCs w:val="24"/>
        </w:rPr>
        <w:t>PESTLE Analysis</w:t>
      </w:r>
      <w:bookmarkEnd w:id="13"/>
      <w:bookmarkEnd w:id="14"/>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Building the above SWOT analysis summary, it remains critical to understand the Political, Economic, Social, Technological, Legal, and Environment of Nike’s business environment. </w:t>
      </w:r>
    </w:p>
    <w:p>
      <w:pPr>
        <w:pStyle w:val="4"/>
        <w:spacing w:before="100" w:beforeLines="-2147483648" w:beforeAutospacing="1" w:after="100" w:afterLines="-2147483648" w:afterAutospacing="1" w:line="480" w:lineRule="auto"/>
        <w:contextualSpacing/>
        <w:rPr>
          <w:rFonts w:hint="default" w:ascii="Times New Roman" w:hAnsi="Times New Roman" w:cs="Times New Roman" w:eastAsiaTheme="majorEastAsia"/>
          <w:b w:val="0"/>
          <w:bCs w:val="0"/>
          <w:color w:val="auto"/>
          <w:sz w:val="24"/>
          <w:szCs w:val="24"/>
        </w:rPr>
      </w:pPr>
      <w:bookmarkStart w:id="15" w:name="_Toc536206120"/>
      <w:bookmarkStart w:id="16" w:name="_Toc149871988"/>
      <w:r>
        <w:rPr>
          <w:rFonts w:hint="default" w:ascii="Times New Roman" w:hAnsi="Times New Roman" w:cs="Times New Roman" w:eastAsiaTheme="majorEastAsia"/>
          <w:b w:val="0"/>
          <w:bCs w:val="0"/>
          <w:color w:val="auto"/>
          <w:sz w:val="24"/>
          <w:szCs w:val="24"/>
        </w:rPr>
        <w:t>4</w:t>
      </w:r>
      <w:r>
        <w:rPr>
          <w:rFonts w:hint="eastAsia" w:ascii="Times New Roman" w:hAnsi="Times New Roman" w:cs="Times New Roman" w:eastAsiaTheme="majorEastAsia"/>
          <w:b w:val="0"/>
          <w:bCs w:val="0"/>
          <w:color w:val="auto"/>
          <w:sz w:val="24"/>
          <w:szCs w:val="24"/>
          <w:lang w:val="en-US" w:eastAsia="zh-Hans"/>
        </w:rPr>
        <w:t>.</w:t>
      </w:r>
      <w:r>
        <w:rPr>
          <w:rFonts w:hint="default" w:ascii="Times New Roman" w:hAnsi="Times New Roman" w:cs="Times New Roman" w:eastAsiaTheme="majorEastAsia"/>
          <w:b w:val="0"/>
          <w:bCs w:val="0"/>
          <w:color w:val="auto"/>
          <w:sz w:val="24"/>
          <w:szCs w:val="24"/>
          <w:lang w:eastAsia="zh-Hans"/>
        </w:rPr>
        <w:t>1</w:t>
      </w:r>
      <w:r>
        <w:rPr>
          <w:rFonts w:hint="eastAsia" w:ascii="Times New Roman" w:hAnsi="Times New Roman" w:cs="Times New Roman" w:eastAsiaTheme="majorEastAsia"/>
          <w:b w:val="0"/>
          <w:bCs w:val="0"/>
          <w:color w:val="auto"/>
          <w:sz w:val="24"/>
          <w:szCs w:val="24"/>
          <w:lang w:val="en-US" w:eastAsia="zh-Hans"/>
        </w:rPr>
        <w:t>.</w:t>
      </w:r>
      <w:r>
        <w:rPr>
          <w:rFonts w:hint="default" w:ascii="Times New Roman" w:hAnsi="Times New Roman" w:cs="Times New Roman" w:eastAsiaTheme="majorEastAsia"/>
          <w:b w:val="0"/>
          <w:bCs w:val="0"/>
          <w:color w:val="auto"/>
          <w:sz w:val="24"/>
          <w:szCs w:val="24"/>
          <w:lang w:eastAsia="zh-Hans"/>
        </w:rPr>
        <w:t xml:space="preserve">1 </w:t>
      </w:r>
      <w:r>
        <w:rPr>
          <w:rFonts w:hint="default" w:ascii="Times New Roman" w:hAnsi="Times New Roman" w:cs="Times New Roman" w:eastAsiaTheme="majorEastAsia"/>
          <w:b w:val="0"/>
          <w:bCs w:val="0"/>
          <w:color w:val="auto"/>
          <w:sz w:val="24"/>
          <w:szCs w:val="24"/>
        </w:rPr>
        <w:t>Political Environment</w:t>
      </w:r>
      <w:bookmarkEnd w:id="15"/>
      <w:bookmarkEnd w:id="16"/>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 enjoys’ a stable political environment within the American market positing opportunity for maximum exploitation and deployment of strategic operations to increase and enhance sales. A stable local political climate is an opportunity for the company’s growth(</w:t>
      </w:r>
      <w:r>
        <w:rPr>
          <w:rFonts w:ascii="Times New Roman" w:hAnsi="Times New Roman" w:cs="Times New Roman"/>
          <w:color w:val="222222"/>
          <w:sz w:val="24"/>
          <w:szCs w:val="24"/>
          <w:shd w:val="clear" w:color="auto" w:fill="FFFFFF"/>
        </w:rPr>
        <w:t>Alsaffar,2020</w:t>
      </w:r>
      <w:r>
        <w:rPr>
          <w:rFonts w:ascii="Times New Roman" w:hAnsi="Times New Roman" w:cs="Times New Roman"/>
          <w:sz w:val="24"/>
          <w:szCs w:val="24"/>
        </w:rPr>
        <w:t>). There are limited and minimal government-initiated disruptions in the sporting goods industry in major European markets giving Nike ample market operation and research development for consumer-oriented products and services.  However, high political climates and conflicts interrupt Nike’s international market operations. According to BBC News (2022), following the outbreak of Russian-Ukraine aggression, just three months into the market, Nike announced a permanent vacation of the Russian market. The company closed all online orders and closed its stores as early as March 2022, following the first aggression in February of the same year (</w:t>
      </w:r>
      <w:r>
        <w:rPr>
          <w:rFonts w:ascii="Times New Roman" w:hAnsi="Times New Roman" w:eastAsia="Times New Roman" w:cs="Times New Roman"/>
          <w:color w:val="333333"/>
          <w:sz w:val="24"/>
          <w:szCs w:val="24"/>
        </w:rPr>
        <w:t>Martinez-Contreras et al., 2022</w:t>
      </w:r>
      <w:r>
        <w:rPr>
          <w:rFonts w:ascii="Times New Roman" w:hAnsi="Times New Roman" w:cs="Times New Roman"/>
          <w:sz w:val="24"/>
          <w:szCs w:val="24"/>
        </w:rPr>
        <w:t xml:space="preserve">). The closure also targeted the shops and retails run by the local partners with Nike revoking the existing partnerships and agreements. Therefore, heated political conflicts and wars constrict Nike’s market, with the company’s priority and social responsibility in supporting its employee environments. Nike ended an agreement with the Russian franchise responsible for over 37 stores in the country, reporting an average 1% revenue decrease within the Ukrainian-Russian market(Cai, 2023 ). It hence remains critical for Nike as a global image and brand to operate within politically stable environments to maximize sales and potentially grow. </w:t>
      </w:r>
    </w:p>
    <w:p>
      <w:pPr>
        <w:pStyle w:val="4"/>
        <w:bidi w:val="0"/>
        <w:rPr>
          <w:rFonts w:hint="default" w:ascii="Times New Roman Regular" w:hAnsi="Times New Roman Regular" w:eastAsia="宋体" w:cs="Times New Roman Regular"/>
          <w:b w:val="0"/>
          <w:sz w:val="24"/>
          <w:szCs w:val="24"/>
          <w:lang w:val="en-US" w:eastAsia="en-US"/>
        </w:rPr>
      </w:pPr>
      <w:bookmarkStart w:id="17" w:name="_Toc1174876028"/>
      <w:bookmarkStart w:id="18" w:name="_Toc2047668032"/>
      <w:r>
        <w:rPr>
          <w:rFonts w:hint="default" w:ascii="Times New Roman Regular" w:hAnsi="Times New Roman Regular" w:eastAsia="宋体" w:cs="Times New Roman Regular"/>
          <w:b w:val="0"/>
          <w:sz w:val="24"/>
          <w:szCs w:val="24"/>
          <w:lang w:eastAsia="en-US"/>
        </w:rPr>
        <w:t>4</w:t>
      </w:r>
      <w:r>
        <w:rPr>
          <w:rFonts w:hint="default" w:ascii="Times New Roman Regular" w:hAnsi="Times New Roman Regular" w:eastAsia="宋体" w:cs="Times New Roman Regular"/>
          <w:b w:val="0"/>
          <w:sz w:val="24"/>
          <w:szCs w:val="24"/>
          <w:lang w:val="en-US" w:eastAsia="zh-Hans"/>
        </w:rPr>
        <w:t>.</w:t>
      </w:r>
      <w:r>
        <w:rPr>
          <w:rFonts w:hint="default" w:ascii="Times New Roman Regular" w:hAnsi="Times New Roman Regular" w:eastAsia="宋体" w:cs="Times New Roman Regular"/>
          <w:b w:val="0"/>
          <w:sz w:val="24"/>
          <w:szCs w:val="24"/>
          <w:lang w:eastAsia="zh-Hans"/>
        </w:rPr>
        <w:t>1</w:t>
      </w:r>
      <w:r>
        <w:rPr>
          <w:rFonts w:hint="default" w:ascii="Times New Roman Regular" w:hAnsi="Times New Roman Regular" w:eastAsia="宋体" w:cs="Times New Roman Regular"/>
          <w:b w:val="0"/>
          <w:sz w:val="24"/>
          <w:szCs w:val="24"/>
          <w:lang w:val="en-US" w:eastAsia="zh-Hans"/>
        </w:rPr>
        <w:t>.</w:t>
      </w:r>
      <w:r>
        <w:rPr>
          <w:rFonts w:hint="default" w:ascii="Times New Roman Regular" w:hAnsi="Times New Roman Regular" w:eastAsia="宋体" w:cs="Times New Roman Regular"/>
          <w:b w:val="0"/>
          <w:sz w:val="24"/>
          <w:szCs w:val="24"/>
          <w:lang w:eastAsia="zh-Hans"/>
        </w:rPr>
        <w:t xml:space="preserve">2 </w:t>
      </w:r>
      <w:r>
        <w:rPr>
          <w:rFonts w:hint="default" w:ascii="Times New Roman Regular" w:hAnsi="Times New Roman Regular" w:eastAsia="宋体" w:cs="Times New Roman Regular"/>
          <w:b w:val="0"/>
          <w:sz w:val="24"/>
          <w:szCs w:val="24"/>
          <w:lang w:val="en-US" w:eastAsia="en-US"/>
        </w:rPr>
        <w:t>Economic environment</w:t>
      </w:r>
      <w:bookmarkEnd w:id="17"/>
      <w:bookmarkEnd w:id="18"/>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Nike’s business operation and performance are dependent on the prevailing economic trends and conditions.  The econometric elements of labor costs in developing countries remain a threat to Nike’s business performance, inflation within the U.S. market also remains a threat, increasing transportation and logistics expenditure, and the slowdown of the Chinese economy in recent developments remain a threat to Nike’s operations (</w:t>
      </w:r>
      <w:r>
        <w:rPr>
          <w:rFonts w:ascii="Times New Roman" w:hAnsi="Times New Roman" w:eastAsia="Times New Roman" w:cs="Times New Roman"/>
          <w:color w:val="333333"/>
          <w:sz w:val="24"/>
          <w:szCs w:val="24"/>
        </w:rPr>
        <w:t>Martinez-Contreras et al., 2022</w:t>
      </w:r>
      <w:r>
        <w:rPr>
          <w:rFonts w:ascii="Times New Roman" w:hAnsi="Times New Roman" w:cs="Times New Roman"/>
          <w:sz w:val="24"/>
          <w:szCs w:val="24"/>
        </w:rPr>
        <w:t xml:space="preserve">). Nike outsources due to cheap labor in developing nation such as Indonesia, however, the rising concern about the plight of employees threaten Nike’s business performance and competitive advantages. However, the company leverages the threat through premium sales, a factor the company focuses on as a major threat. According to </w:t>
      </w:r>
      <w:r>
        <w:rPr>
          <w:rFonts w:ascii="Times New Roman" w:hAnsi="Times New Roman" w:cs="Times New Roman"/>
          <w:color w:val="222222"/>
          <w:sz w:val="24"/>
          <w:szCs w:val="24"/>
          <w:shd w:val="clear" w:color="auto" w:fill="FFFFFF"/>
        </w:rPr>
        <w:t>Novelli, (2022)</w:t>
      </w:r>
      <w:r>
        <w:rPr>
          <w:rFonts w:ascii="Times New Roman" w:hAnsi="Times New Roman" w:cs="Times New Roman"/>
          <w:sz w:val="24"/>
          <w:szCs w:val="24"/>
        </w:rPr>
        <w:t xml:space="preserve"> reports, Nike is forced to reconsider its marketing and sales strategy before introducing new sneakers models following the rising cost of living taking effect in the U.S market forcing consumers to limit expenditures on luxury products hence slowing down sales for Nike products in the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last quarter of the fiscal year 2022. Nike saw a sales increase during the pandemic with indoor apparel such as sweatpants and jogger pants demand remaining an intrinsic indoor fashion, however with the ease of covid19 restrictions expenditure shifted to formal and social occasion-based approach, and demand hit by the decadence of high inflations. The slow recovery of the Chinese market which accounts for 17% of total Nike market annual sales also deemed and dampened the demand for the company’s product in the region (</w:t>
      </w:r>
      <w:r>
        <w:rPr>
          <w:rFonts w:ascii="Times New Roman" w:hAnsi="Times New Roman" w:cs="Times New Roman"/>
          <w:color w:val="222222"/>
          <w:sz w:val="24"/>
          <w:szCs w:val="24"/>
          <w:shd w:val="clear" w:color="auto" w:fill="FFFFFF"/>
        </w:rPr>
        <w:t>Cai,2023</w:t>
      </w:r>
      <w:r>
        <w:rPr>
          <w:rFonts w:ascii="Times New Roman" w:hAnsi="Times New Roman" w:cs="Times New Roman"/>
          <w:sz w:val="24"/>
          <w:szCs w:val="24"/>
        </w:rPr>
        <w:t xml:space="preserve">). </w:t>
      </w:r>
    </w:p>
    <w:p>
      <w:pPr>
        <w:pStyle w:val="4"/>
        <w:bidi w:val="0"/>
        <w:rPr>
          <w:rFonts w:hint="default" w:ascii="Times New Roman Regular" w:hAnsi="Times New Roman Regular" w:cs="Times New Roman Regular"/>
          <w:b w:val="0"/>
          <w:sz w:val="24"/>
          <w:szCs w:val="24"/>
          <w:lang w:val="en-US" w:eastAsia="en-US"/>
        </w:rPr>
      </w:pPr>
      <w:bookmarkStart w:id="19" w:name="_Toc29268431"/>
      <w:bookmarkStart w:id="20" w:name="_Toc1731170649"/>
      <w:r>
        <w:rPr>
          <w:rFonts w:hint="default" w:ascii="Times New Roman Regular" w:hAnsi="Times New Roman Regular" w:cs="Times New Roman Regular"/>
          <w:b w:val="0"/>
          <w:sz w:val="24"/>
          <w:szCs w:val="24"/>
          <w:lang w:eastAsia="en-US"/>
        </w:rPr>
        <w:t>4</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1</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 xml:space="preserve">3 </w:t>
      </w:r>
      <w:r>
        <w:rPr>
          <w:rFonts w:hint="default" w:ascii="Times New Roman Regular" w:hAnsi="Times New Roman Regular" w:cs="Times New Roman Regular"/>
          <w:b w:val="0"/>
          <w:sz w:val="24"/>
          <w:szCs w:val="24"/>
          <w:lang w:val="en-US" w:eastAsia="en-US"/>
        </w:rPr>
        <w:t>Social and Cultural Environment</w:t>
      </w:r>
      <w:bookmarkEnd w:id="19"/>
      <w:bookmarkEnd w:id="20"/>
      <w:r>
        <w:rPr>
          <w:rFonts w:hint="default" w:ascii="Times New Roman Regular" w:hAnsi="Times New Roman Regular" w:cs="Times New Roman Regular"/>
          <w:b w:val="0"/>
          <w:sz w:val="24"/>
          <w:szCs w:val="24"/>
          <w:lang w:val="en-US" w:eastAsia="en-US"/>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 xml:space="preserve">Trends of Healthy Lifestyle; </w:t>
      </w:r>
      <w:r>
        <w:rPr>
          <w:rFonts w:ascii="Times New Roman" w:hAnsi="Times New Roman" w:cs="Times New Roman"/>
          <w:sz w:val="24"/>
          <w:szCs w:val="24"/>
        </w:rPr>
        <w:t xml:space="preserve">the social environment in the local and global market continually shows concerns about adaptive healthy living from young to adult individuals. health concerns following the systematic food orientation facilitate physical fitness. According to </w:t>
      </w:r>
      <w:bookmarkStart w:id="21" w:name="_Hlk140833395"/>
      <w:r>
        <w:rPr>
          <w:rFonts w:ascii="Times New Roman" w:hAnsi="Times New Roman" w:eastAsia="Times New Roman" w:cs="Times New Roman"/>
          <w:color w:val="333333"/>
          <w:sz w:val="24"/>
          <w:szCs w:val="24"/>
        </w:rPr>
        <w:t>Martinez-Contreras</w:t>
      </w:r>
      <w:bookmarkEnd w:id="21"/>
      <w:r>
        <w:rPr>
          <w:rFonts w:ascii="Times New Roman" w:hAnsi="Times New Roman" w:eastAsia="Times New Roman" w:cs="Times New Roman"/>
          <w:color w:val="333333"/>
          <w:sz w:val="24"/>
          <w:szCs w:val="24"/>
        </w:rPr>
        <w:t xml:space="preserve"> et al. (2022),</w:t>
      </w:r>
      <w:r>
        <w:rPr>
          <w:rFonts w:ascii="Times New Roman" w:hAnsi="Times New Roman" w:cs="Times New Roman"/>
          <w:sz w:val="24"/>
          <w:szCs w:val="24"/>
        </w:rPr>
        <w:t xml:space="preserve"> 74% of people exercise as a part of a healthy lifestyle, with 54% engaging in exercise regularly and hence more people are joining fitness clubs and gym sessions for improved health. Nike hence targets the growing opportunity to supply fitness equipment, apparel, and footwear that offer comfort in fitness sessions. The increasing aging population in most countries, both Europe and America that also remain observant of their health further presents an opportunity for Nike’s business.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Fitness products</w:t>
      </w:r>
      <w:r>
        <w:rPr>
          <w:rFonts w:ascii="Times New Roman" w:hAnsi="Times New Roman" w:cs="Times New Roman"/>
          <w:sz w:val="24"/>
          <w:szCs w:val="24"/>
        </w:rPr>
        <w:t xml:space="preserve">; the market demand for fitness products in the local U.S. market and international market is continually, growing with the demand for shoes, apparel, and related accessories providing Nike an opportunity to target the health-conscious market.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Influence of Covid19</w:t>
      </w:r>
      <w:r>
        <w:rPr>
          <w:rFonts w:ascii="Times New Roman" w:hAnsi="Times New Roman" w:cs="Times New Roman"/>
          <w:sz w:val="24"/>
          <w:szCs w:val="24"/>
        </w:rPr>
        <w:t xml:space="preserve">; the covid19 pandemic caused a social interaction limitation with continued lockdown and shutdown of business globally. Sporting activities remained suspended across the global environment limiting people to their houses. Nike’s market operation remained influenced by the new dawn especially on onsite shopping, as demand for apparel increased, footwear, the major Nike’s selling division remained the most affected by the pandemic.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Rising preference for domestically produced goods</w:t>
      </w:r>
      <w:r>
        <w:rPr>
          <w:rFonts w:ascii="Times New Roman" w:hAnsi="Times New Roman" w:cs="Times New Roman"/>
          <w:sz w:val="24"/>
          <w:szCs w:val="24"/>
        </w:rPr>
        <w:t>; the local American market shows a preference of locally produced and partially produced brands(</w:t>
      </w:r>
      <w:r>
        <w:rPr>
          <w:rFonts w:ascii="Times New Roman" w:hAnsi="Times New Roman" w:cs="Times New Roman"/>
          <w:color w:val="222222"/>
          <w:sz w:val="24"/>
          <w:szCs w:val="24"/>
          <w:shd w:val="clear" w:color="auto" w:fill="FFFFFF"/>
        </w:rPr>
        <w:t>Vianello,2019</w:t>
      </w:r>
      <w:r>
        <w:rPr>
          <w:rFonts w:ascii="Times New Roman" w:hAnsi="Times New Roman" w:cs="Times New Roman"/>
          <w:sz w:val="24"/>
          <w:szCs w:val="24"/>
        </w:rPr>
        <w:t xml:space="preserve">). Locally produced goods are a social trend bringing opportunity for the demand of footwear, equipment, and apparel business. The trend hence leverages the outsourcing negativity in Nike’s economic performance.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Response to racial discrimination</w:t>
      </w:r>
      <w:r>
        <w:rPr>
          <w:rFonts w:ascii="Times New Roman" w:hAnsi="Times New Roman" w:cs="Times New Roman"/>
          <w:sz w:val="24"/>
          <w:szCs w:val="24"/>
        </w:rPr>
        <w:t xml:space="preserve">; the social environment trends establish response and recognition of racial discrimination. The consumer also prioritizes companies that uphold diversity and racial tolerance, and Nike has remained engaged in initiatives that promote racial tolerance. The company launched the campaign “Don’t Do It”, and participate in the English Premier League “No Room for Racism” and “Black lives matter “ to retaliate against racial discrimination in the sporting and social environment. The engagement establishes Nike’s stand on ethics and morality in countering social injustice, and from such initiatives, the brand highly identifies strongly in the market. </w:t>
      </w:r>
    </w:p>
    <w:p>
      <w:pPr>
        <w:pStyle w:val="4"/>
        <w:bidi w:val="0"/>
        <w:rPr>
          <w:rFonts w:hint="default" w:ascii="Times New Roman Regular" w:hAnsi="Times New Roman Regular" w:cs="Times New Roman Regular"/>
          <w:b w:val="0"/>
          <w:sz w:val="24"/>
          <w:szCs w:val="24"/>
          <w:lang w:eastAsia="en-US"/>
        </w:rPr>
      </w:pPr>
      <w:bookmarkStart w:id="22" w:name="_Toc140764654"/>
      <w:bookmarkStart w:id="23" w:name="_Toc1676648187"/>
      <w:r>
        <w:rPr>
          <w:rFonts w:hint="default" w:ascii="Times New Roman Regular" w:hAnsi="Times New Roman Regular" w:cs="Times New Roman Regular"/>
          <w:b w:val="0"/>
          <w:sz w:val="24"/>
          <w:szCs w:val="24"/>
          <w:lang w:eastAsia="en-US"/>
        </w:rPr>
        <w:t>4</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1</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 xml:space="preserve">4 </w:t>
      </w:r>
      <w:r>
        <w:rPr>
          <w:rFonts w:hint="default" w:ascii="Times New Roman Regular" w:hAnsi="Times New Roman Regular" w:cs="Times New Roman Regular"/>
          <w:b w:val="0"/>
          <w:sz w:val="24"/>
          <w:szCs w:val="24"/>
          <w:lang w:eastAsia="en-US"/>
        </w:rPr>
        <w:t>Technological environment</w:t>
      </w:r>
      <w:bookmarkEnd w:id="22"/>
      <w:bookmarkEnd w:id="23"/>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Technology acceptance</w:t>
      </w:r>
      <w:r>
        <w:rPr>
          <w:rFonts w:ascii="Times New Roman" w:hAnsi="Times New Roman" w:cs="Times New Roman"/>
          <w:sz w:val="24"/>
          <w:szCs w:val="24"/>
        </w:rPr>
        <w:t>; The sportswear and goods industry is quickly adopting the developing technologies, in the production process, design integration, and market approach understanding. Nike employs technological trends in understanding consumer purchasing trends, collecting consumer information and data for marketing and related product communication optimizations. Similarly, the consumer uses highly available information technology to assess and make purchase decisions (</w:t>
      </w:r>
      <w:r>
        <w:rPr>
          <w:rFonts w:ascii="Times New Roman" w:hAnsi="Times New Roman" w:cs="Times New Roman"/>
          <w:color w:val="222222"/>
          <w:sz w:val="24"/>
          <w:szCs w:val="24"/>
          <w:shd w:val="clear" w:color="auto" w:fill="FFFFFF"/>
        </w:rPr>
        <w:t>Baliyan, 2021</w:t>
      </w:r>
      <w:r>
        <w:rPr>
          <w:rFonts w:ascii="Times New Roman" w:hAnsi="Times New Roman" w:cs="Times New Roman"/>
          <w:sz w:val="24"/>
          <w:szCs w:val="24"/>
        </w:rPr>
        <w:t xml:space="preserve">). These technological changes remain an opportunity for Nike to improve its business conditions. For instance, Nike enhances its retail presence by distributing its products locally and internationally, through recognized Amazon, eBay, and Alibaba platforms. There is also an increased trend in mobile technologies preference from consumers, thus presenting the opportunity for Nike, to integrate mobile platforms such as Google with sensors to manage consumer physical activities and suggest the best footwear, apparel, and sports equipment. Nike’s acceptance of technological integrations has also remained essential for its past and future success.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Metaverse development; the increasing adaptation to metaverse technologies is both an opportunity and a threat to Nike’s business performance. Meta platforms, such as Facebook, Instagram, and TikTok, push for virtual reality connectivity and social networking between companies and people, and that external connectivity exposes an increased competition vulnerability, especially in the increasing e-commerce, VR, Machine Learning, and AI integration within the market. It presents an opportunity for globalized market outreach as well as brand loyalty, however, intensifies competition a major challenge in the sports goods industry(</w:t>
      </w:r>
      <w:r>
        <w:rPr>
          <w:rFonts w:ascii="Times New Roman" w:hAnsi="Times New Roman" w:cs="Times New Roman"/>
          <w:color w:val="222222"/>
          <w:sz w:val="24"/>
          <w:szCs w:val="24"/>
          <w:shd w:val="clear" w:color="auto" w:fill="FFFFFF"/>
        </w:rPr>
        <w:t>Akram &amp; Khan n.d</w:t>
      </w:r>
      <w:r>
        <w:rPr>
          <w:rFonts w:ascii="Times New Roman" w:hAnsi="Times New Roman" w:cs="Times New Roman"/>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e-commerce integration</w:t>
      </w:r>
      <w:r>
        <w:rPr>
          <w:rFonts w:ascii="Times New Roman" w:hAnsi="Times New Roman" w:cs="Times New Roman"/>
          <w:sz w:val="24"/>
          <w:szCs w:val="24"/>
        </w:rPr>
        <w:t>; the developing economies are leading in online shopping integrations hence an opportunity for Nike(</w:t>
      </w:r>
      <w:r>
        <w:rPr>
          <w:rFonts w:ascii="Times New Roman" w:hAnsi="Times New Roman" w:cs="Times New Roman"/>
          <w:color w:val="222222"/>
          <w:sz w:val="24"/>
          <w:szCs w:val="24"/>
          <w:shd w:val="clear" w:color="auto" w:fill="FFFFFF"/>
        </w:rPr>
        <w:t>Du et al., n.d</w:t>
      </w:r>
      <w:r>
        <w:rPr>
          <w:rFonts w:ascii="Times New Roman" w:hAnsi="Times New Roman" w:cs="Times New Roman"/>
          <w:sz w:val="24"/>
          <w:szCs w:val="24"/>
        </w:rPr>
        <w:t xml:space="preserve">). The rising prominence of e-commerce in such environments presents an opportunity for new market penetrations, cost leadership maintenance, and hence possibilities for increased business growth through increased sales complimenting the brick-and-mortar sales and distribution channels used currently used for Nike’s product sales. </w:t>
      </w:r>
    </w:p>
    <w:p>
      <w:pPr>
        <w:pStyle w:val="4"/>
        <w:bidi w:val="0"/>
        <w:rPr>
          <w:rFonts w:hint="default" w:ascii="Times New Roman Regular" w:hAnsi="Times New Roman Regular" w:cs="Times New Roman Regular"/>
          <w:b w:val="0"/>
          <w:sz w:val="24"/>
          <w:szCs w:val="24"/>
          <w:lang w:eastAsia="en-US"/>
        </w:rPr>
      </w:pPr>
      <w:bookmarkStart w:id="24" w:name="_Toc1452044431"/>
      <w:bookmarkStart w:id="25" w:name="_Toc145662975"/>
      <w:r>
        <w:rPr>
          <w:rFonts w:hint="default" w:ascii="Times New Roman Regular" w:hAnsi="Times New Roman Regular" w:cs="Times New Roman Regular"/>
          <w:b w:val="0"/>
          <w:sz w:val="24"/>
          <w:szCs w:val="24"/>
          <w:lang w:eastAsia="en-US"/>
        </w:rPr>
        <w:t>4</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1</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 xml:space="preserve">5 </w:t>
      </w:r>
      <w:r>
        <w:rPr>
          <w:rFonts w:hint="default" w:ascii="Times New Roman Regular" w:hAnsi="Times New Roman Regular" w:cs="Times New Roman Regular"/>
          <w:b w:val="0"/>
          <w:sz w:val="24"/>
          <w:szCs w:val="24"/>
          <w:lang w:eastAsia="en-US"/>
        </w:rPr>
        <w:t>Environmental Factors</w:t>
      </w:r>
      <w:bookmarkEnd w:id="24"/>
      <w:bookmarkEnd w:id="25"/>
      <w:r>
        <w:rPr>
          <w:rFonts w:hint="default" w:ascii="Times New Roman Regular" w:hAnsi="Times New Roman Regular" w:cs="Times New Roman Regular"/>
          <w:b w:val="0"/>
          <w:sz w:val="24"/>
          <w:szCs w:val="24"/>
          <w:lang w:eastAsia="en-US"/>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Waste standards by EPA; Environmental Protection Agency set standards for solid waste land disposals to regulate the amount of solid waste pollution in manufacturing zones influence Nike’s business operations. There is also increased trends in concern for s support in material recycling providing an opportunity for Nike to reuse product and cut cost on raw material and impact on environment. environmentally friendly activists, also remain significant to influence consumer purchasing decisions hence, provide Nike with an opportunity to target the environmentally and sustainably conscious market to increase its business growth. The company hence engages in green business operations according to its CSR responsibility to employees, consumers, the environment, the community and the government (Nike.Inc., 2022).  Nike also has the opportunity for the rising and increased use of renewable energy in the production process. The market trends show consideration of alternative sources of energy with a focus on access and low costs of renewable energy utilizations in the athletics shoes company, hence presenting a sight for Nike’s organizational culture and CSR to support and uphold sustainable decisions and practices benefiting their business and shareholders. </w:t>
      </w:r>
    </w:p>
    <w:p>
      <w:pPr>
        <w:pStyle w:val="4"/>
        <w:bidi w:val="0"/>
        <w:rPr>
          <w:rFonts w:hint="default" w:ascii="Times New Roman Regular" w:hAnsi="Times New Roman Regular" w:cs="Times New Roman Regular"/>
          <w:b w:val="0"/>
          <w:sz w:val="24"/>
          <w:szCs w:val="24"/>
          <w:lang w:eastAsia="en-US"/>
        </w:rPr>
      </w:pPr>
      <w:bookmarkStart w:id="26" w:name="_Toc506587309"/>
      <w:bookmarkStart w:id="27" w:name="_Toc26263245"/>
      <w:r>
        <w:rPr>
          <w:rFonts w:hint="default" w:ascii="Times New Roman Regular" w:hAnsi="Times New Roman Regular" w:cs="Times New Roman Regular"/>
          <w:b w:val="0"/>
          <w:sz w:val="24"/>
          <w:szCs w:val="24"/>
          <w:lang w:eastAsia="en-US"/>
        </w:rPr>
        <w:t>4</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1</w:t>
      </w:r>
      <w:r>
        <w:rPr>
          <w:rFonts w:hint="default"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 xml:space="preserve">6 </w:t>
      </w:r>
      <w:r>
        <w:rPr>
          <w:rFonts w:hint="default" w:ascii="Times New Roman Regular" w:hAnsi="Times New Roman Regular" w:cs="Times New Roman Regular"/>
          <w:b w:val="0"/>
          <w:sz w:val="24"/>
          <w:szCs w:val="24"/>
          <w:lang w:eastAsia="en-US"/>
        </w:rPr>
        <w:t>Legal Environment</w:t>
      </w:r>
      <w:bookmarkEnd w:id="26"/>
      <w:bookmarkEnd w:id="27"/>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 xml:space="preserve">Rising minimum Wages; </w:t>
      </w:r>
      <w:r>
        <w:rPr>
          <w:rFonts w:ascii="Times New Roman" w:hAnsi="Times New Roman" w:cs="Times New Roman"/>
          <w:sz w:val="24"/>
          <w:szCs w:val="24"/>
        </w:rPr>
        <w:t xml:space="preserve">the increasing demand for </w:t>
      </w:r>
      <w:r>
        <w:rPr>
          <w:rFonts w:hint="default" w:ascii="Times New Roman" w:hAnsi="Times New Roman" w:cs="Times New Roman" w:eastAsiaTheme="majorEastAsia"/>
          <w:b w:val="0"/>
          <w:bCs w:val="0"/>
          <w:color w:val="auto"/>
          <w:sz w:val="24"/>
          <w:szCs w:val="24"/>
          <w:lang w:eastAsia="en-US" w:bidi="ar-SA"/>
        </w:rPr>
        <w:t xml:space="preserve">higher </w:t>
      </w:r>
      <w:r>
        <w:rPr>
          <w:rFonts w:ascii="Times New Roman" w:hAnsi="Times New Roman" w:cs="Times New Roman"/>
          <w:sz w:val="24"/>
          <w:szCs w:val="24"/>
        </w:rPr>
        <w:t>minimum wage is a threat to Nike’s business performance, targeting to increase production costs and limiting competitive advantages.  Nike’s Indonesian factories and Indian factories show increased legal revisions on minimum wages thus affecting outsourcing operations(</w:t>
      </w:r>
      <w:r>
        <w:rPr>
          <w:rFonts w:ascii="Times New Roman" w:hAnsi="Times New Roman" w:cs="Times New Roman"/>
          <w:color w:val="222222"/>
          <w:sz w:val="24"/>
          <w:szCs w:val="24"/>
          <w:shd w:val="clear" w:color="auto" w:fill="FFFFFF"/>
        </w:rPr>
        <w:t>Cai,2023</w:t>
      </w:r>
      <w:r>
        <w:rPr>
          <w:rFonts w:ascii="Times New Roman" w:hAnsi="Times New Roman" w:cs="Times New Roman"/>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Consumer protection</w:t>
      </w:r>
      <w:r>
        <w:rPr>
          <w:rFonts w:ascii="Times New Roman" w:hAnsi="Times New Roman" w:cs="Times New Roman"/>
          <w:sz w:val="24"/>
          <w:szCs w:val="24"/>
        </w:rPr>
        <w:t xml:space="preserve">; also impact Nike’s operations increasing costs of operation in the sporting goods industry. It presents both a threat and an opportunity for the company, with the threat focused on the Nike operation costs. However, the company can quickly adapt to the new customer protection regulations, and meet the regulatory requirements reinforcing its customer relations and cementing its brand image.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i/>
          <w:sz w:val="24"/>
          <w:szCs w:val="24"/>
        </w:rPr>
        <w:t>Demanding Employment regulations</w:t>
      </w:r>
      <w:r>
        <w:rPr>
          <w:rFonts w:ascii="Times New Roman" w:hAnsi="Times New Roman" w:cs="Times New Roman"/>
          <w:sz w:val="24"/>
          <w:szCs w:val="24"/>
        </w:rPr>
        <w:t>; additional legal requirements post additional costs on the Nikes’ production, distribution, and sales of products. However, it also provides efficiency for quality production. For instance, the Quality Standards regulations employed in different jurisdictions enable Nike to sell as the leading quality Sporting goods brand (</w:t>
      </w:r>
      <w:r>
        <w:rPr>
          <w:rFonts w:ascii="Times New Roman" w:hAnsi="Times New Roman" w:eastAsia="Times New Roman" w:cs="Times New Roman"/>
          <w:color w:val="333333"/>
          <w:sz w:val="24"/>
          <w:szCs w:val="24"/>
        </w:rPr>
        <w:t>Quezada et al., 2019</w:t>
      </w:r>
      <w:r>
        <w:rPr>
          <w:rFonts w:ascii="Times New Roman" w:hAnsi="Times New Roman" w:cs="Times New Roman"/>
          <w:sz w:val="24"/>
          <w:szCs w:val="24"/>
        </w:rPr>
        <w:t xml:space="preserve">).  </w:t>
      </w:r>
    </w:p>
    <w:p>
      <w:pPr>
        <w:pStyle w:val="3"/>
        <w:bidi w:val="0"/>
        <w:rPr>
          <w:rFonts w:hint="default" w:ascii="Times New Roman" w:hAnsi="Times New Roman" w:cs="Times New Roman"/>
          <w:b w:val="0"/>
          <w:bCs/>
          <w:sz w:val="24"/>
          <w:szCs w:val="24"/>
        </w:rPr>
      </w:pPr>
      <w:bookmarkStart w:id="28" w:name="_Toc1587725655"/>
      <w:bookmarkStart w:id="29" w:name="_Toc1172211080"/>
      <w:r>
        <w:rPr>
          <w:rFonts w:hint="default" w:ascii="Times New Roman" w:hAnsi="Times New Roman" w:cs="Times New Roman"/>
          <w:b w:val="0"/>
          <w:bCs/>
          <w:sz w:val="24"/>
          <w:szCs w:val="24"/>
        </w:rPr>
        <w:t>4</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2 </w:t>
      </w:r>
      <w:r>
        <w:rPr>
          <w:rFonts w:hint="default" w:ascii="Times New Roman" w:hAnsi="Times New Roman" w:cs="Times New Roman"/>
          <w:b w:val="0"/>
          <w:bCs/>
          <w:sz w:val="24"/>
          <w:szCs w:val="24"/>
        </w:rPr>
        <w:t>SWOT Analysis</w:t>
      </w:r>
      <w:bookmarkEnd w:id="28"/>
      <w:bookmarkEnd w:id="29"/>
      <w:r>
        <w:rPr>
          <w:rFonts w:hint="default" w:ascii="Times New Roman" w:hAnsi="Times New Roman" w:cs="Times New Roman"/>
          <w:b w:val="0"/>
          <w:bCs/>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following SWOT analysis builds on the PESTEL analysis to enhance Nike’s market understanding.  The table below presents the summary form the PESTLE analysis above;</w:t>
      </w:r>
    </w:p>
    <w:tbl>
      <w:tblPr>
        <w:tblStyle w:val="13"/>
        <w:tblW w:w="10038" w:type="dxa"/>
        <w:tblInd w:w="-27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297"/>
        <w:gridCol w:w="47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59" w:hRule="atLeast"/>
        </w:trPr>
        <w:tc>
          <w:tcPr>
            <w:tcW w:w="5297" w:type="dxa"/>
          </w:tcPr>
          <w:p>
            <w:pPr>
              <w:spacing w:after="0"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 xml:space="preserve">Strength </w:t>
            </w:r>
          </w:p>
        </w:tc>
        <w:tc>
          <w:tcPr>
            <w:tcW w:w="4741" w:type="dxa"/>
          </w:tcPr>
          <w:p>
            <w:pPr>
              <w:spacing w:after="0"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58" w:hRule="atLeast"/>
        </w:trPr>
        <w:tc>
          <w:tcPr>
            <w:tcW w:w="5297" w:type="dxa"/>
          </w:tcPr>
          <w:p>
            <w:pPr>
              <w:pStyle w:val="18"/>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World’s strongest sporting goods brand</w:t>
            </w:r>
          </w:p>
          <w:p>
            <w:pPr>
              <w:pStyle w:val="18"/>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Effective product innovation for competitive designs</w:t>
            </w:r>
          </w:p>
          <w:p>
            <w:pPr>
              <w:pStyle w:val="18"/>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Strong control of a global product distribution network (</w:t>
            </w:r>
            <w:r>
              <w:rPr>
                <w:rFonts w:ascii="Times New Roman" w:hAnsi="Times New Roman" w:eastAsia="Times New Roman" w:cs="Times New Roman"/>
                <w:color w:val="333333"/>
                <w:sz w:val="24"/>
                <w:szCs w:val="24"/>
              </w:rPr>
              <w:t>Benzaghta et al., 2021)</w:t>
            </w:r>
          </w:p>
          <w:p>
            <w:pPr>
              <w:pStyle w:val="18"/>
              <w:spacing w:after="0" w:line="360" w:lineRule="auto"/>
              <w:ind w:left="360"/>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p>
        </w:tc>
        <w:tc>
          <w:tcPr>
            <w:tcW w:w="4741" w:type="dxa"/>
          </w:tcPr>
          <w:p>
            <w:pPr>
              <w:pStyle w:val="18"/>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Limited network of company-owned retail locations</w:t>
            </w:r>
          </w:p>
          <w:p>
            <w:pPr>
              <w:pStyle w:val="18"/>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Limited diversification of production locations</w:t>
            </w:r>
          </w:p>
          <w:p>
            <w:pPr>
              <w:pStyle w:val="18"/>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Corporate image issues linked to labor practices</w:t>
            </w:r>
          </w:p>
          <w:p>
            <w:pPr>
              <w:spacing w:after="0" w:line="360" w:lineRule="auto"/>
              <w:contextualSpacing/>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84" w:hRule="atLeast"/>
        </w:trPr>
        <w:tc>
          <w:tcPr>
            <w:tcW w:w="5297" w:type="dxa"/>
          </w:tcPr>
          <w:p>
            <w:pPr>
              <w:spacing w:after="0"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Opportunity</w:t>
            </w:r>
          </w:p>
        </w:tc>
        <w:tc>
          <w:tcPr>
            <w:tcW w:w="4741" w:type="dxa"/>
          </w:tcPr>
          <w:p>
            <w:pPr>
              <w:spacing w:after="0" w:line="360" w:lineRule="auto"/>
              <w:contextualSpacing/>
              <w:jc w:val="both"/>
              <w:rPr>
                <w:rFonts w:ascii="Times New Roman" w:hAnsi="Times New Roman" w:cs="Times New Roman"/>
                <w:b/>
                <w:i/>
                <w:sz w:val="24"/>
                <w:szCs w:val="24"/>
              </w:rPr>
            </w:pPr>
            <w:r>
              <w:rPr>
                <w:rFonts w:ascii="Times New Roman" w:hAnsi="Times New Roman" w:cs="Times New Roman"/>
                <w:b/>
                <w:i/>
                <w:sz w:val="24"/>
                <w:szCs w:val="24"/>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790" w:hRule="atLeast"/>
        </w:trPr>
        <w:tc>
          <w:tcPr>
            <w:tcW w:w="5297" w:type="dxa"/>
          </w:tcPr>
          <w:p>
            <w:pPr>
              <w:pStyle w:val="18"/>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Stronger market presence through additional company-owned retail locations</w:t>
            </w:r>
          </w:p>
          <w:p>
            <w:pPr>
              <w:pStyle w:val="18"/>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Higher competitiveness of products through advanced technology</w:t>
            </w:r>
          </w:p>
          <w:p>
            <w:pPr>
              <w:pStyle w:val="18"/>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Healthier customer perception of the business through policies for labor and employment practices (</w:t>
            </w:r>
            <w:r>
              <w:rPr>
                <w:rFonts w:ascii="Times New Roman" w:hAnsi="Times New Roman" w:eastAsia="Times New Roman" w:cs="Times New Roman"/>
                <w:color w:val="333333"/>
                <w:sz w:val="24"/>
                <w:szCs w:val="24"/>
              </w:rPr>
              <w:t>Quezada et al., 2019).</w:t>
            </w:r>
          </w:p>
          <w:p>
            <w:pPr>
              <w:spacing w:after="0" w:line="360" w:lineRule="auto"/>
              <w:jc w:val="both"/>
              <w:rPr>
                <w:rFonts w:ascii="Times New Roman" w:hAnsi="Times New Roman" w:cs="Times New Roman"/>
                <w:sz w:val="24"/>
                <w:szCs w:val="24"/>
              </w:rPr>
            </w:pPr>
          </w:p>
          <w:p>
            <w:pPr>
              <w:spacing w:after="0" w:line="360" w:lineRule="auto"/>
              <w:contextualSpacing/>
              <w:jc w:val="both"/>
              <w:rPr>
                <w:rFonts w:ascii="Times New Roman" w:hAnsi="Times New Roman" w:cs="Times New Roman"/>
                <w:sz w:val="24"/>
                <w:szCs w:val="24"/>
              </w:rPr>
            </w:pPr>
          </w:p>
        </w:tc>
        <w:tc>
          <w:tcPr>
            <w:tcW w:w="4741" w:type="dxa"/>
          </w:tcPr>
          <w:p>
            <w:pPr>
              <w:pStyle w:val="18"/>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Tough competition</w:t>
            </w:r>
          </w:p>
          <w:p>
            <w:pPr>
              <w:pStyle w:val="18"/>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Imitation of sporting goods</w:t>
            </w:r>
          </w:p>
          <w:p>
            <w:pPr>
              <w:pStyle w:val="18"/>
              <w:numPr>
                <w:ilvl w:val="0"/>
                <w:numId w:val="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Rapid technological innovation among industry players</w:t>
            </w:r>
          </w:p>
          <w:p>
            <w:pPr>
              <w:spacing w:after="0" w:line="360" w:lineRule="auto"/>
              <w:contextualSpacing/>
              <w:jc w:val="both"/>
              <w:rPr>
                <w:rFonts w:ascii="Times New Roman" w:hAnsi="Times New Roman" w:cs="Times New Roman"/>
                <w:sz w:val="24"/>
                <w:szCs w:val="24"/>
              </w:rPr>
            </w:pPr>
          </w:p>
        </w:tc>
      </w:tr>
    </w:tbl>
    <w:p>
      <w:pPr>
        <w:spacing w:after="0" w:line="480" w:lineRule="auto"/>
        <w:contextualSpacing/>
        <w:jc w:val="both"/>
        <w:rPr>
          <w:rFonts w:ascii="Times New Roman" w:hAnsi="Times New Roman" w:cs="Times New Roman"/>
          <w:sz w:val="24"/>
          <w:szCs w:val="24"/>
        </w:rPr>
      </w:pPr>
    </w:p>
    <w:p>
      <w:pPr>
        <w:pStyle w:val="3"/>
        <w:bidi w:val="0"/>
        <w:rPr>
          <w:rFonts w:hint="default" w:ascii="Times New Roman" w:hAnsi="Times New Roman" w:cs="Times New Roman"/>
          <w:b w:val="0"/>
          <w:bCs/>
          <w:sz w:val="24"/>
          <w:szCs w:val="24"/>
        </w:rPr>
      </w:pPr>
      <w:bookmarkStart w:id="30" w:name="_Toc273285963"/>
      <w:bookmarkStart w:id="31" w:name="_Toc336643982"/>
      <w:r>
        <w:rPr>
          <w:rFonts w:hint="default" w:ascii="Times New Roman" w:hAnsi="Times New Roman" w:cs="Times New Roman"/>
          <w:b w:val="0"/>
          <w:bCs/>
          <w:sz w:val="24"/>
          <w:szCs w:val="24"/>
        </w:rPr>
        <w:t>4</w:t>
      </w:r>
      <w:r>
        <w:rPr>
          <w:rFonts w:hint="default"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2</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1 </w:t>
      </w:r>
      <w:r>
        <w:rPr>
          <w:rFonts w:hint="default" w:ascii="Times New Roman" w:hAnsi="Times New Roman" w:cs="Times New Roman"/>
          <w:b w:val="0"/>
          <w:bCs/>
          <w:sz w:val="24"/>
          <w:szCs w:val="24"/>
        </w:rPr>
        <w:t>Strength’s Assessment</w:t>
      </w:r>
      <w:bookmarkEnd w:id="30"/>
      <w:bookmarkEnd w:id="31"/>
    </w:p>
    <w:p>
      <w:pPr>
        <w:pStyle w:val="5"/>
        <w:bidi w:val="0"/>
        <w:rPr>
          <w:rFonts w:hint="default" w:ascii="Times New Roman Regular" w:hAnsi="Times New Roman Regular" w:cs="Times New Roman Regular"/>
          <w:b w:val="0"/>
          <w:sz w:val="24"/>
          <w:szCs w:val="24"/>
        </w:rPr>
      </w:pPr>
      <w:bookmarkStart w:id="32" w:name="_Toc1503479276"/>
      <w:r>
        <w:rPr>
          <w:rFonts w:hint="default" w:ascii="Times New Roman Regular" w:hAnsi="Times New Roman Regular" w:cs="Times New Roman Regular"/>
          <w:b w:val="0"/>
          <w:sz w:val="24"/>
          <w:szCs w:val="24"/>
        </w:rPr>
        <w:t>World’s strongest Brand</w:t>
      </w:r>
      <w:bookmarkEnd w:id="32"/>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Nike pride in enhanced product assortment to meet consumer demands. The company produce and implements innovative advantages in products to actualize and realize consumer needs, hence a strongly performing brand in the market. The company comprehensively creates and develops product designs that incorporate the latest market demands.  Nike’s products are hence fashionable and accessible to everyone in the market.  Thus, the company has the strongest and most valuable sporting goods in American and international markets.  According to Statista.com Nike has a net global income of 6.05 billion USD with 18.75 billion USD, revenue from the U.S. market alone. Compared to immediate competitors Adidas, brand value stands at 14.6 billion USD against Nike’s 33.1 billion USD for the ended financial year 2022. The company hence can leverage the above strength to improve and enhance its industrial position over other athletic and leisure brands. </w:t>
      </w:r>
    </w:p>
    <w:p>
      <w:pPr>
        <w:pStyle w:val="5"/>
        <w:bidi w:val="0"/>
        <w:rPr>
          <w:rFonts w:hint="default" w:ascii="Times New Roman Regular" w:hAnsi="Times New Roman Regular" w:cs="Times New Roman Regular"/>
          <w:b w:val="0"/>
          <w:sz w:val="24"/>
          <w:szCs w:val="24"/>
          <w:lang w:val="en-US" w:eastAsia="en-US"/>
        </w:rPr>
      </w:pPr>
      <w:bookmarkStart w:id="33" w:name="_Toc1797142855"/>
      <w:bookmarkStart w:id="34" w:name="_Toc1683601130"/>
      <w:r>
        <w:rPr>
          <w:rFonts w:hint="default" w:ascii="Times New Roman Regular" w:hAnsi="Times New Roman Regular" w:cs="Times New Roman Regular"/>
          <w:b w:val="0"/>
          <w:sz w:val="24"/>
          <w:szCs w:val="24"/>
          <w:lang w:val="en-US" w:eastAsia="en-US"/>
        </w:rPr>
        <w:t>Strong brand innovation</w:t>
      </w:r>
      <w:bookmarkEnd w:id="33"/>
      <w:bookmarkEnd w:id="34"/>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Nike’s brand innovation inculcates technographic differentiations making its footwear and sport accessories highly competitive. Nike is recognized as the leading quality brand, hence attractive and influencing the company’s profitability despite the extensive competition in the market. The influence of the company’s firm brand innovation and attractiveness is evident on the company’s 66% footwear sales share represents $29 billion annual revenue, followed by the 30% representing $ 13 billion, 4% Equipment with $ 1 billion, and 0.8% global brand division with an average of $ 0.82 billion market revenue for the ended fiscal year 2022 (Statista.com, 2023). The company aligns the innovations to produce products of differentiated needs as shown below;</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116" w:type="dxa"/>
          </w:tcPr>
          <w:p>
            <w:pPr>
              <w:spacing w:after="0" w:line="480" w:lineRule="auto"/>
              <w:contextualSpacing/>
              <w:rPr>
                <w:rFonts w:ascii="Times New Roman" w:hAnsi="Times New Roman" w:cs="Times New Roman"/>
                <w:b/>
                <w:i/>
                <w:sz w:val="24"/>
                <w:szCs w:val="24"/>
              </w:rPr>
            </w:pPr>
            <w:r>
              <w:rPr>
                <w:rFonts w:ascii="Times New Roman" w:hAnsi="Times New Roman" w:cs="Times New Roman"/>
                <w:b/>
                <w:i/>
                <w:sz w:val="24"/>
                <w:szCs w:val="24"/>
              </w:rPr>
              <w:t xml:space="preserve">Basic Needs </w:t>
            </w:r>
          </w:p>
        </w:tc>
        <w:tc>
          <w:tcPr>
            <w:tcW w:w="3117" w:type="dxa"/>
          </w:tcPr>
          <w:p>
            <w:pPr>
              <w:spacing w:after="0" w:line="480" w:lineRule="auto"/>
              <w:contextualSpacing/>
              <w:rPr>
                <w:rFonts w:ascii="Times New Roman" w:hAnsi="Times New Roman" w:cs="Times New Roman"/>
                <w:b/>
                <w:i/>
                <w:sz w:val="24"/>
                <w:szCs w:val="24"/>
              </w:rPr>
            </w:pPr>
            <w:r>
              <w:rPr>
                <w:rFonts w:ascii="Times New Roman" w:hAnsi="Times New Roman" w:cs="Times New Roman"/>
                <w:b/>
                <w:i/>
                <w:sz w:val="24"/>
                <w:szCs w:val="24"/>
              </w:rPr>
              <w:t xml:space="preserve">Expected Needs </w:t>
            </w:r>
          </w:p>
        </w:tc>
        <w:tc>
          <w:tcPr>
            <w:tcW w:w="3117" w:type="dxa"/>
          </w:tcPr>
          <w:p>
            <w:pPr>
              <w:spacing w:after="0" w:line="480" w:lineRule="auto"/>
              <w:contextualSpacing/>
              <w:rPr>
                <w:rFonts w:ascii="Times New Roman" w:hAnsi="Times New Roman" w:cs="Times New Roman"/>
                <w:b/>
                <w:i/>
                <w:sz w:val="24"/>
                <w:szCs w:val="24"/>
              </w:rPr>
            </w:pPr>
            <w:r>
              <w:rPr>
                <w:rFonts w:ascii="Times New Roman" w:hAnsi="Times New Roman" w:cs="Times New Roman"/>
                <w:b/>
                <w:i/>
                <w:sz w:val="24"/>
                <w:szCs w:val="24"/>
              </w:rPr>
              <w:t xml:space="preserve">Augmented Needs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116"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Shoes for walk</w:t>
            </w:r>
          </w:p>
        </w:tc>
        <w:tc>
          <w:tcPr>
            <w:tcW w:w="3117"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Different categories of shoes for different sports </w:t>
            </w:r>
          </w:p>
        </w:tc>
        <w:tc>
          <w:tcPr>
            <w:tcW w:w="3117"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Customizations ( Nike by You designs).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116"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Different sizes &amp; colors</w:t>
            </w:r>
          </w:p>
        </w:tc>
        <w:tc>
          <w:tcPr>
            <w:tcW w:w="3117"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Fashionable designs (street fashions)</w:t>
            </w:r>
          </w:p>
        </w:tc>
        <w:tc>
          <w:tcPr>
            <w:tcW w:w="3117" w:type="dxa"/>
          </w:tcPr>
          <w:p>
            <w:pPr>
              <w:spacing w:after="0" w:line="480" w:lineRule="auto"/>
              <w:contextualSpacing/>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116" w:type="dxa"/>
          </w:tcPr>
          <w:p>
            <w:pPr>
              <w:spacing w:after="0" w:line="480" w:lineRule="auto"/>
              <w:contextualSpacing/>
              <w:jc w:val="both"/>
              <w:rPr>
                <w:rFonts w:ascii="Times New Roman" w:hAnsi="Times New Roman" w:cs="Times New Roman"/>
                <w:sz w:val="24"/>
                <w:szCs w:val="24"/>
              </w:rPr>
            </w:pPr>
          </w:p>
        </w:tc>
        <w:tc>
          <w:tcPr>
            <w:tcW w:w="3117"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High-Quality-Durability </w:t>
            </w:r>
          </w:p>
        </w:tc>
        <w:tc>
          <w:tcPr>
            <w:tcW w:w="3117"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Smart footwear with self-laced technologies.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116" w:type="dxa"/>
          </w:tcPr>
          <w:p>
            <w:pPr>
              <w:spacing w:after="0" w:line="480" w:lineRule="auto"/>
              <w:contextualSpacing/>
              <w:jc w:val="both"/>
              <w:rPr>
                <w:rFonts w:ascii="Times New Roman" w:hAnsi="Times New Roman" w:cs="Times New Roman"/>
                <w:sz w:val="24"/>
                <w:szCs w:val="24"/>
              </w:rPr>
            </w:pPr>
          </w:p>
        </w:tc>
        <w:tc>
          <w:tcPr>
            <w:tcW w:w="3117"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Comfort–breathing shoes</w:t>
            </w:r>
          </w:p>
        </w:tc>
        <w:tc>
          <w:tcPr>
            <w:tcW w:w="3117" w:type="dxa"/>
          </w:tcPr>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Environmental – friendly &amp; recyclable materials</w:t>
            </w:r>
          </w:p>
        </w:tc>
      </w:tr>
    </w:tbl>
    <w:p>
      <w:pPr>
        <w:spacing w:after="0" w:line="480" w:lineRule="auto"/>
        <w:contextualSpacing/>
        <w:jc w:val="center"/>
        <w:rPr>
          <w:rFonts w:ascii="Times New Roman" w:hAnsi="Times New Roman" w:cs="Times New Roman"/>
          <w:i/>
          <w:sz w:val="24"/>
          <w:szCs w:val="24"/>
        </w:rPr>
      </w:pPr>
      <w:r>
        <w:rPr>
          <w:rFonts w:ascii="Times New Roman" w:hAnsi="Times New Roman" w:cs="Times New Roman"/>
          <w:i/>
          <w:sz w:val="24"/>
          <w:szCs w:val="24"/>
        </w:rPr>
        <w:t>Consumer’s needs for athletic shoes</w:t>
      </w:r>
    </w:p>
    <w:p>
      <w:pPr>
        <w:pStyle w:val="5"/>
        <w:bidi w:val="0"/>
        <w:rPr>
          <w:rFonts w:hint="default" w:ascii="Times New Roman" w:hAnsi="Times New Roman" w:cs="Times New Roman"/>
          <w:b w:val="0"/>
          <w:bCs/>
          <w:i w:val="0"/>
          <w:iCs w:val="0"/>
          <w:sz w:val="24"/>
          <w:szCs w:val="24"/>
          <w:lang w:val="en-US" w:eastAsia="en-US"/>
        </w:rPr>
      </w:pPr>
      <w:bookmarkStart w:id="35" w:name="_Toc1039659038"/>
      <w:r>
        <w:rPr>
          <w:rFonts w:hint="default" w:ascii="Times New Roman" w:hAnsi="Times New Roman" w:cs="Times New Roman"/>
          <w:b w:val="0"/>
          <w:bCs/>
          <w:i w:val="0"/>
          <w:iCs w:val="0"/>
          <w:sz w:val="24"/>
          <w:szCs w:val="24"/>
          <w:lang w:val="en-US" w:eastAsia="en-US"/>
        </w:rPr>
        <w:t>Strong Product Control</w:t>
      </w:r>
      <w:bookmarkEnd w:id="35"/>
      <w:r>
        <w:rPr>
          <w:rFonts w:hint="default" w:ascii="Times New Roman" w:hAnsi="Times New Roman" w:cs="Times New Roman"/>
          <w:b w:val="0"/>
          <w:bCs/>
          <w:i w:val="0"/>
          <w:iCs w:val="0"/>
          <w:sz w:val="24"/>
          <w:szCs w:val="24"/>
          <w:lang w:val="en-US" w:eastAsia="en-US"/>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 has an advanced globalized product distribution control influenced by its organization’s culture, especially on the HR support systems optimizing Nike’s capacities to reach local and international consumers. It thus posits the necessity and essentials of retail and integrated sales channels for Nike’s business growth. For instance, Nike Basketball, and Tennis shoes and accessories are sold on both onsite and online retailers, with Amazon, eBay, Walmart, and Costco forming the major distribution. NikeTown stores also are an essential purpose for product distribution sales enhancement (</w:t>
      </w:r>
      <w:r>
        <w:rPr>
          <w:rFonts w:ascii="Times New Roman" w:hAnsi="Times New Roman" w:cs="Times New Roman"/>
          <w:color w:val="222222"/>
          <w:sz w:val="24"/>
          <w:szCs w:val="24"/>
          <w:shd w:val="clear" w:color="auto" w:fill="FFFFFF"/>
        </w:rPr>
        <w:t xml:space="preserve">Caetano, 2019). </w:t>
      </w:r>
    </w:p>
    <w:p>
      <w:pPr>
        <w:pStyle w:val="3"/>
        <w:bidi w:val="0"/>
        <w:rPr>
          <w:rFonts w:hint="default" w:ascii="Times New Roman" w:hAnsi="Times New Roman" w:cs="Times New Roman"/>
          <w:b w:val="0"/>
          <w:bCs/>
          <w:sz w:val="24"/>
          <w:szCs w:val="24"/>
        </w:rPr>
      </w:pPr>
      <w:bookmarkStart w:id="36" w:name="_Toc222468930"/>
      <w:bookmarkStart w:id="37" w:name="_Toc1622499674"/>
      <w:r>
        <w:rPr>
          <w:rFonts w:hint="default" w:ascii="Times New Roman" w:hAnsi="Times New Roman" w:cs="Times New Roman"/>
          <w:b w:val="0"/>
          <w:bCs/>
          <w:sz w:val="24"/>
          <w:szCs w:val="24"/>
        </w:rPr>
        <w:t>4</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2</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2 </w:t>
      </w:r>
      <w:r>
        <w:rPr>
          <w:rFonts w:hint="default" w:ascii="Times New Roman" w:hAnsi="Times New Roman" w:cs="Times New Roman"/>
          <w:b w:val="0"/>
          <w:bCs/>
          <w:sz w:val="24"/>
          <w:szCs w:val="24"/>
        </w:rPr>
        <w:t>Weaknesses</w:t>
      </w:r>
      <w:bookmarkEnd w:id="36"/>
      <w:bookmarkEnd w:id="37"/>
      <w:r>
        <w:rPr>
          <w:rFonts w:hint="default" w:ascii="Times New Roman" w:hAnsi="Times New Roman" w:cs="Times New Roman"/>
          <w:b w:val="0"/>
          <w:bCs/>
          <w:sz w:val="24"/>
          <w:szCs w:val="24"/>
        </w:rPr>
        <w:t xml:space="preserve"> </w:t>
      </w:r>
    </w:p>
    <w:p>
      <w:pPr>
        <w:pStyle w:val="5"/>
        <w:bidi w:val="0"/>
        <w:rPr>
          <w:rFonts w:hint="default" w:ascii="Times New Roman" w:hAnsi="Times New Roman" w:cs="Times New Roman"/>
          <w:b w:val="0"/>
          <w:bCs/>
          <w:sz w:val="24"/>
          <w:szCs w:val="24"/>
        </w:rPr>
      </w:pPr>
      <w:bookmarkStart w:id="38" w:name="_Toc604671312"/>
      <w:r>
        <w:rPr>
          <w:rFonts w:hint="default" w:ascii="Times New Roman" w:hAnsi="Times New Roman" w:cs="Times New Roman"/>
          <w:b w:val="0"/>
          <w:bCs/>
          <w:sz w:val="24"/>
          <w:szCs w:val="24"/>
        </w:rPr>
        <w:t>Limited Company-owned retail Locations.</w:t>
      </w:r>
      <w:bookmarkEnd w:id="38"/>
      <w:r>
        <w:rPr>
          <w:rFonts w:hint="default" w:ascii="Times New Roman" w:hAnsi="Times New Roman" w:cs="Times New Roman"/>
          <w:b w:val="0"/>
          <w:bCs/>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Despite Nike’s market prosperity, the company has limited onsite shops and retail centers locally and in the international market making it reliable and dependent o other retailers. Nike’s product selling prices and discounts to encourage consumer loyalty are thus dependent and determined by larger retailers such as Amazon and Walmart. The establishment hence weakens Nike’s control of sales and product distribution. The company hence spends maximally on partnerships for distribution instead of setting up its own shops for similar functionality.</w:t>
      </w:r>
    </w:p>
    <w:p>
      <w:pPr>
        <w:pStyle w:val="5"/>
        <w:bidi w:val="0"/>
        <w:rPr>
          <w:rFonts w:hint="default" w:ascii="Times New Roman" w:hAnsi="Times New Roman" w:cs="Times New Roman"/>
          <w:b w:val="0"/>
          <w:bCs/>
          <w:sz w:val="24"/>
          <w:szCs w:val="24"/>
        </w:rPr>
      </w:pPr>
      <w:bookmarkStart w:id="39" w:name="_Toc818123180"/>
      <w:r>
        <w:rPr>
          <w:rFonts w:hint="default" w:ascii="Times New Roman" w:hAnsi="Times New Roman" w:cs="Times New Roman"/>
          <w:b w:val="0"/>
          <w:bCs/>
          <w:sz w:val="24"/>
          <w:szCs w:val="24"/>
        </w:rPr>
        <w:t>Limited production Diversity</w:t>
      </w:r>
      <w:bookmarkEnd w:id="39"/>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Nike has constricted production localities for its footwear and apparel. The company is highly dependent on the Asian small number of large shoes, equipment, and apparel producers and manufacturers, without extensive European and American production sites. Nike is hence limited to the sociopolitical environmental trends within the region as earlier pointed on the PESTEL analysis dictating its production cost that hence impact the competitive pricing strategies. </w:t>
      </w:r>
    </w:p>
    <w:p>
      <w:pPr>
        <w:pStyle w:val="5"/>
        <w:bidi w:val="0"/>
        <w:rPr>
          <w:rFonts w:hint="default" w:ascii="Times New Roman" w:hAnsi="Times New Roman" w:cs="Times New Roman"/>
          <w:b w:val="0"/>
          <w:bCs/>
          <w:sz w:val="24"/>
          <w:szCs w:val="24"/>
        </w:rPr>
      </w:pPr>
      <w:bookmarkStart w:id="40" w:name="_Toc2005978166"/>
      <w:r>
        <w:rPr>
          <w:rFonts w:hint="default" w:ascii="Times New Roman" w:hAnsi="Times New Roman" w:cs="Times New Roman"/>
          <w:b w:val="0"/>
          <w:bCs/>
          <w:sz w:val="24"/>
          <w:szCs w:val="24"/>
        </w:rPr>
        <w:t>Nike’s Corporate image on labor relations</w:t>
      </w:r>
      <w:bookmarkEnd w:id="40"/>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Asian producers’ markets have often raised issues with extensive labor exploitation for Nike’s contracted firms for the production of footwear, equipment, and apparel. The factories have remained subjects of discussion on the less focus on human rights and labor regulations observations, making Nike vulnerable to integrated labor protection regulations in its production channels (</w:t>
      </w:r>
      <w:r>
        <w:rPr>
          <w:rFonts w:ascii="Times New Roman" w:hAnsi="Times New Roman" w:cs="Times New Roman"/>
          <w:color w:val="222222"/>
          <w:sz w:val="24"/>
          <w:szCs w:val="24"/>
          <w:shd w:val="clear" w:color="auto" w:fill="FFFFFF"/>
        </w:rPr>
        <w:t>Thomas, 2022)</w:t>
      </w:r>
      <w:r>
        <w:rPr>
          <w:rFonts w:ascii="Times New Roman" w:hAnsi="Times New Roman" w:cs="Times New Roman"/>
          <w:sz w:val="24"/>
          <w:szCs w:val="24"/>
        </w:rPr>
        <w:t xml:space="preserve">. Nike’s CSR and Shareholder management efforts have hence remained in the spotlight on their approach to such human rights violation claims, such weaknesses attract a bad image that might hurt the companies’ consumer loyalty and preference. </w:t>
      </w:r>
    </w:p>
    <w:p>
      <w:pPr>
        <w:pStyle w:val="3"/>
        <w:bidi w:val="0"/>
        <w:rPr>
          <w:rFonts w:hint="default" w:ascii="Times New Roman" w:hAnsi="Times New Roman" w:cs="Times New Roman"/>
          <w:b w:val="0"/>
          <w:bCs/>
          <w:sz w:val="24"/>
          <w:szCs w:val="24"/>
        </w:rPr>
      </w:pPr>
      <w:bookmarkStart w:id="41" w:name="_Toc266277083"/>
      <w:bookmarkStart w:id="42" w:name="_Toc1129261709"/>
      <w:r>
        <w:rPr>
          <w:rFonts w:hint="default" w:ascii="Times New Roman" w:hAnsi="Times New Roman" w:cs="Times New Roman"/>
          <w:b w:val="0"/>
          <w:bCs/>
          <w:sz w:val="24"/>
          <w:szCs w:val="24"/>
        </w:rPr>
        <w:t>4</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2</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3 </w:t>
      </w:r>
      <w:r>
        <w:rPr>
          <w:rFonts w:hint="default" w:ascii="Times New Roman" w:hAnsi="Times New Roman" w:cs="Times New Roman"/>
          <w:b w:val="0"/>
          <w:bCs/>
          <w:sz w:val="24"/>
          <w:szCs w:val="24"/>
        </w:rPr>
        <w:t>Opportunities</w:t>
      </w:r>
      <w:bookmarkEnd w:id="41"/>
      <w:bookmarkEnd w:id="42"/>
    </w:p>
    <w:p>
      <w:pPr>
        <w:pStyle w:val="5"/>
        <w:bidi w:val="0"/>
        <w:rPr>
          <w:rFonts w:hint="default" w:ascii="Times New Roman" w:hAnsi="Times New Roman" w:cs="Times New Roman"/>
          <w:b w:val="0"/>
          <w:bCs/>
          <w:sz w:val="24"/>
          <w:szCs w:val="24"/>
        </w:rPr>
      </w:pPr>
      <w:bookmarkStart w:id="43" w:name="_Toc41070977"/>
      <w:r>
        <w:rPr>
          <w:rFonts w:hint="default" w:ascii="Times New Roman" w:hAnsi="Times New Roman" w:cs="Times New Roman"/>
          <w:b w:val="0"/>
          <w:bCs/>
          <w:sz w:val="24"/>
          <w:szCs w:val="24"/>
        </w:rPr>
        <w:t>Strong market Presence</w:t>
      </w:r>
      <w:bookmarkEnd w:id="43"/>
      <w:r>
        <w:rPr>
          <w:rFonts w:hint="default" w:ascii="Times New Roman" w:hAnsi="Times New Roman" w:cs="Times New Roman"/>
          <w:b w:val="0"/>
          <w:bCs/>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 has the opportunity for advanced market presence through the establishment of additional NikeTown stores to attract more athletes and street fashion enthusiasts. The PESTLE analysis identified a growing trend in athleisure with market demand for healthy equipment adaptations into leisure practices. These are opportunities that Nike must target to exploit through an increased market presence in both the local U.S. market and international markets. Nike must hence increase its brick-and-mortar locations to enhance distribution and sales within Nike’s business.</w:t>
      </w:r>
    </w:p>
    <w:p>
      <w:pPr>
        <w:pStyle w:val="5"/>
        <w:bidi w:val="0"/>
        <w:rPr>
          <w:rFonts w:hint="default" w:ascii="Times New Roman" w:hAnsi="Times New Roman" w:cs="Times New Roman"/>
          <w:b w:val="0"/>
          <w:bCs/>
          <w:sz w:val="24"/>
          <w:szCs w:val="24"/>
        </w:rPr>
      </w:pPr>
      <w:bookmarkStart w:id="44" w:name="_Toc937659752"/>
      <w:r>
        <w:rPr>
          <w:rFonts w:hint="default" w:ascii="Times New Roman" w:hAnsi="Times New Roman" w:cs="Times New Roman"/>
          <w:b w:val="0"/>
          <w:bCs/>
          <w:sz w:val="24"/>
          <w:szCs w:val="24"/>
        </w:rPr>
        <w:t>Advanced Technology product competitiveness</w:t>
      </w:r>
      <w:bookmarkEnd w:id="44"/>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With increased visibility, Nike stands a chance for advanced technology on product competitiveness integrations. The PESTEL analysis above identified the necessity for integrative technological adaption and implementation of product development and differentiation to widen Nike’s market share through sales of footwear and athletics, and street fashion accessories (</w:t>
      </w:r>
      <w:r>
        <w:rPr>
          <w:rFonts w:ascii="Times New Roman" w:hAnsi="Times New Roman" w:cs="Times New Roman"/>
          <w:color w:val="222222"/>
          <w:sz w:val="24"/>
          <w:szCs w:val="24"/>
          <w:shd w:val="clear" w:color="auto" w:fill="FFFFFF"/>
        </w:rPr>
        <w:t>Kim, 2020).  The company must hence integrate the changing digital technologies in marketing, and econometric operation through product designs and developments. The company must hence employ a cutting edge technology for more efficient and durable sustainable footwear and apparel(</w:t>
      </w:r>
      <w:r>
        <w:rPr>
          <w:rFonts w:ascii="Times New Roman" w:hAnsi="Times New Roman" w:cs="Times New Roman"/>
          <w:sz w:val="24"/>
          <w:szCs w:val="24"/>
        </w:rPr>
        <w:t>López &amp; Oliver, 2023</w:t>
      </w:r>
      <w:r>
        <w:rPr>
          <w:rFonts w:ascii="Times New Roman" w:hAnsi="Times New Roman" w:cs="Times New Roman"/>
          <w:color w:val="222222"/>
          <w:sz w:val="24"/>
          <w:szCs w:val="24"/>
          <w:shd w:val="clear" w:color="auto" w:fill="FFFFFF"/>
        </w:rPr>
        <w:t xml:space="preserve">). </w:t>
      </w:r>
    </w:p>
    <w:p>
      <w:pPr>
        <w:pStyle w:val="5"/>
        <w:bidi w:val="0"/>
        <w:rPr>
          <w:rFonts w:hint="default" w:ascii="Times New Roman" w:hAnsi="Times New Roman" w:cs="Times New Roman"/>
          <w:b w:val="0"/>
          <w:bCs/>
          <w:sz w:val="24"/>
          <w:szCs w:val="24"/>
        </w:rPr>
      </w:pPr>
      <w:bookmarkStart w:id="45" w:name="_Toc1012450178"/>
      <w:r>
        <w:rPr>
          <w:rFonts w:hint="default" w:ascii="Times New Roman" w:hAnsi="Times New Roman" w:cs="Times New Roman"/>
          <w:b w:val="0"/>
          <w:bCs/>
          <w:sz w:val="24"/>
          <w:szCs w:val="24"/>
        </w:rPr>
        <w:t>Superior Consumer perception</w:t>
      </w:r>
      <w:bookmarkEnd w:id="45"/>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Nike’s awareness especially with the “Swoosh” logo enhances its cognition and brand awareness. It is the most recognizable brand in the U.S. and European markets for sporting goods. Its high-quality products form the foundation for its performance coupled with elemental and effective product promotion strategies. Its association with major sporting personalities and organizations gives it easy recognition within the sporting market.  According to </w:t>
      </w:r>
      <w:r>
        <w:rPr>
          <w:rFonts w:ascii="Times New Roman" w:hAnsi="Times New Roman" w:cs="Times New Roman"/>
          <w:color w:val="222222"/>
          <w:sz w:val="24"/>
          <w:szCs w:val="24"/>
          <w:shd w:val="clear" w:color="auto" w:fill="FFFFFF"/>
        </w:rPr>
        <w:t>Powley &amp; Cameron, (2020)</w:t>
      </w:r>
      <w:r>
        <w:rPr>
          <w:rFonts w:ascii="Times New Roman" w:hAnsi="Times New Roman" w:cs="Times New Roman"/>
          <w:sz w:val="24"/>
          <w:szCs w:val="24"/>
        </w:rPr>
        <w:t xml:space="preserve"> the brand has formed a systematic and close relationship with the consumers both intellectually and emotionally thus enhancing the brand’s trust. The brand’s social media and metaverse connection with consumers gives it an upper hand to directly engage consumers and build on positive perceptions. </w:t>
      </w:r>
    </w:p>
    <w:p>
      <w:pPr>
        <w:pStyle w:val="3"/>
        <w:bidi w:val="0"/>
        <w:rPr>
          <w:rFonts w:hint="default" w:ascii="Times New Roman" w:hAnsi="Times New Roman" w:cs="Times New Roman"/>
          <w:b w:val="0"/>
          <w:bCs/>
          <w:sz w:val="24"/>
          <w:szCs w:val="24"/>
        </w:rPr>
      </w:pPr>
      <w:bookmarkStart w:id="46" w:name="_Toc2110497280"/>
      <w:bookmarkStart w:id="47" w:name="_Toc1737206465"/>
      <w:r>
        <w:rPr>
          <w:rFonts w:hint="default" w:ascii="Times New Roman" w:hAnsi="Times New Roman" w:cs="Times New Roman"/>
          <w:b w:val="0"/>
          <w:bCs/>
          <w:sz w:val="24"/>
          <w:szCs w:val="24"/>
        </w:rPr>
        <w:t>4</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2</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4 </w:t>
      </w:r>
      <w:r>
        <w:rPr>
          <w:rFonts w:hint="default" w:ascii="Times New Roman" w:hAnsi="Times New Roman" w:cs="Times New Roman"/>
          <w:b w:val="0"/>
          <w:bCs/>
          <w:sz w:val="24"/>
          <w:szCs w:val="24"/>
        </w:rPr>
        <w:t>Threats</w:t>
      </w:r>
      <w:bookmarkEnd w:id="46"/>
      <w:bookmarkEnd w:id="47"/>
    </w:p>
    <w:p>
      <w:pPr>
        <w:pStyle w:val="5"/>
        <w:bidi w:val="0"/>
        <w:rPr>
          <w:rFonts w:hint="default" w:ascii="Times New Roman" w:hAnsi="Times New Roman" w:cs="Times New Roman"/>
          <w:b w:val="0"/>
          <w:bCs/>
          <w:sz w:val="24"/>
          <w:szCs w:val="24"/>
        </w:rPr>
      </w:pPr>
      <w:bookmarkStart w:id="48" w:name="_Toc41392643"/>
      <w:r>
        <w:rPr>
          <w:rFonts w:hint="default" w:ascii="Times New Roman" w:hAnsi="Times New Roman" w:cs="Times New Roman"/>
          <w:b w:val="0"/>
          <w:bCs/>
          <w:sz w:val="24"/>
          <w:szCs w:val="24"/>
        </w:rPr>
        <w:t>Stiff competition</w:t>
      </w:r>
      <w:bookmarkEnd w:id="48"/>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Adidas and New Balance identify as Nike’s major competitors among other sporting goods brands. the stiff competition hence limits Nike’s market share.</w:t>
      </w:r>
    </w:p>
    <w:p>
      <w:pPr>
        <w:pStyle w:val="5"/>
        <w:bidi w:val="0"/>
        <w:rPr>
          <w:rFonts w:hint="default" w:ascii="Times New Roman" w:hAnsi="Times New Roman" w:cs="Times New Roman"/>
          <w:b w:val="0"/>
          <w:bCs/>
          <w:sz w:val="24"/>
          <w:szCs w:val="24"/>
        </w:rPr>
      </w:pPr>
      <w:bookmarkStart w:id="49" w:name="_Toc2048932920"/>
      <w:r>
        <w:rPr>
          <w:rFonts w:hint="default" w:ascii="Times New Roman" w:hAnsi="Times New Roman" w:cs="Times New Roman"/>
          <w:b w:val="0"/>
          <w:bCs/>
          <w:sz w:val="24"/>
          <w:szCs w:val="24"/>
        </w:rPr>
        <w:t>Counterfeit goods</w:t>
      </w:r>
      <w:bookmarkEnd w:id="49"/>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rise of the Black-market operation continues to threaten the company’s operation with the production and distribution of counterfeit sporting goods with counterfeit Nike logos(</w:t>
      </w:r>
      <w:r>
        <w:rPr>
          <w:rFonts w:ascii="Times New Roman" w:hAnsi="Times New Roman" w:cs="Times New Roman"/>
          <w:color w:val="222222"/>
          <w:shd w:val="clear" w:color="auto" w:fill="FFFFFF"/>
        </w:rPr>
        <w:t>Xing,2021</w:t>
      </w:r>
      <w:r>
        <w:rPr>
          <w:rFonts w:ascii="Times New Roman" w:hAnsi="Times New Roman" w:cs="Times New Roman"/>
          <w:sz w:val="24"/>
          <w:szCs w:val="24"/>
        </w:rPr>
        <w:t>). Similarly, small and large competitors produce similar Nike products as Nike and sell at considerably lower prices, in markets Nike has limited patent and intellectual property, hence contracting the company’s market share.</w:t>
      </w:r>
    </w:p>
    <w:p>
      <w:pPr>
        <w:pStyle w:val="5"/>
        <w:bidi w:val="0"/>
        <w:rPr>
          <w:rFonts w:hint="default" w:ascii="Times New Roman" w:hAnsi="Times New Roman" w:cs="Times New Roman"/>
          <w:b w:val="0"/>
          <w:bCs/>
          <w:sz w:val="24"/>
          <w:szCs w:val="24"/>
        </w:rPr>
      </w:pPr>
      <w:bookmarkStart w:id="50" w:name="_Toc1515306795"/>
      <w:r>
        <w:rPr>
          <w:rFonts w:hint="default" w:ascii="Times New Roman" w:hAnsi="Times New Roman" w:cs="Times New Roman"/>
          <w:b w:val="0"/>
          <w:bCs/>
          <w:sz w:val="24"/>
          <w:szCs w:val="24"/>
        </w:rPr>
        <w:t>Rapid innovative technology</w:t>
      </w:r>
      <w:bookmarkEnd w:id="50"/>
      <w:r>
        <w:rPr>
          <w:rFonts w:hint="default" w:ascii="Times New Roman" w:hAnsi="Times New Roman" w:cs="Times New Roman"/>
          <w:b w:val="0"/>
          <w:bCs/>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growing and dynamic technological integration and differentiation cause a threat to the current practice and Nike’s business operations. With growing technology company is pushed to adapt its own technological advances if, the technographic imprint is obsolete the company will have challenges to keep up with the growing market demands.  It hence calls for integrative general strategic implementation and intensive growth development to support competitiveness(</w:t>
      </w:r>
      <w:r>
        <w:rPr>
          <w:rFonts w:ascii="Times New Roman" w:hAnsi="Times New Roman" w:cs="Times New Roman"/>
          <w:color w:val="222222"/>
          <w:sz w:val="24"/>
          <w:szCs w:val="24"/>
          <w:shd w:val="clear" w:color="auto" w:fill="FFFFFF"/>
        </w:rPr>
        <w:t>Grover et al., 2022)</w:t>
      </w:r>
      <w:r>
        <w:rPr>
          <w:rFonts w:ascii="Times New Roman" w:hAnsi="Times New Roman" w:cs="Times New Roman"/>
          <w:sz w:val="24"/>
          <w:szCs w:val="24"/>
        </w:rPr>
        <w:t>.</w:t>
      </w:r>
    </w:p>
    <w:p>
      <w:pPr>
        <w:rPr>
          <w:rFonts w:ascii="Times New Roman" w:hAnsi="Times New Roman" w:cs="Times New Roman"/>
          <w:b/>
          <w:sz w:val="24"/>
          <w:szCs w:val="24"/>
        </w:rPr>
      </w:pPr>
      <w:r>
        <w:rPr>
          <w:rFonts w:ascii="Times New Roman" w:hAnsi="Times New Roman" w:cs="Times New Roman"/>
          <w:b/>
          <w:sz w:val="24"/>
          <w:szCs w:val="24"/>
        </w:rPr>
        <w:br w:type="page"/>
      </w:r>
    </w:p>
    <w:p>
      <w:pPr>
        <w:pStyle w:val="2"/>
        <w:numPr>
          <w:ilvl w:val="0"/>
          <w:numId w:val="0"/>
        </w:numPr>
        <w:spacing w:before="100" w:beforeAutospacing="1" w:after="100" w:afterAutospacing="1" w:line="480" w:lineRule="auto"/>
        <w:ind w:leftChars="0"/>
        <w:contextualSpacing/>
        <w:jc w:val="both"/>
        <w:rPr>
          <w:rFonts w:hint="default" w:ascii="Times New Roman Bold" w:hAnsi="Times New Roman Bold" w:cs="Times New Roman Bold"/>
          <w:b/>
          <w:bCs/>
          <w:color w:val="auto"/>
          <w:sz w:val="28"/>
          <w:szCs w:val="28"/>
        </w:rPr>
      </w:pPr>
      <w:bookmarkStart w:id="51" w:name="_Toc1140387461"/>
      <w:bookmarkStart w:id="52" w:name="_Toc752733792"/>
      <w:r>
        <w:rPr>
          <w:rFonts w:hint="default" w:ascii="Times New Roman Bold" w:hAnsi="Times New Roman Bold" w:cs="Times New Roman Bold"/>
          <w:b/>
          <w:bCs/>
          <w:color w:val="auto"/>
          <w:sz w:val="28"/>
          <w:szCs w:val="28"/>
        </w:rPr>
        <w:t>5</w:t>
      </w:r>
      <w:r>
        <w:rPr>
          <w:rFonts w:hint="default" w:ascii="Times New Roman Bold" w:hAnsi="Times New Roman Bold" w:cs="Times New Roman Bold"/>
          <w:b/>
          <w:bCs/>
          <w:color w:val="auto"/>
          <w:sz w:val="28"/>
          <w:szCs w:val="28"/>
          <w:lang w:val="en-US" w:eastAsia="zh-Hans"/>
        </w:rPr>
        <w:t>.</w:t>
      </w:r>
      <w:r>
        <w:rPr>
          <w:rFonts w:hint="default" w:ascii="Times New Roman Bold" w:hAnsi="Times New Roman Bold" w:cs="Times New Roman Bold"/>
          <w:b/>
          <w:bCs/>
          <w:color w:val="auto"/>
          <w:sz w:val="28"/>
          <w:szCs w:val="28"/>
          <w:lang w:eastAsia="zh-Hans"/>
        </w:rPr>
        <w:t xml:space="preserve">0 </w:t>
      </w:r>
      <w:r>
        <w:rPr>
          <w:rFonts w:hint="default" w:ascii="Times New Roman Bold" w:hAnsi="Times New Roman Bold" w:cs="Times New Roman Bold"/>
          <w:b/>
          <w:bCs/>
          <w:color w:val="auto"/>
          <w:sz w:val="28"/>
          <w:szCs w:val="28"/>
        </w:rPr>
        <w:t>Conclusion</w:t>
      </w:r>
      <w:bookmarkEnd w:id="51"/>
      <w:bookmarkEnd w:id="52"/>
    </w:p>
    <w:p>
      <w:pPr>
        <w:pStyle w:val="3"/>
        <w:bidi w:val="0"/>
        <w:rPr>
          <w:rFonts w:hint="default" w:ascii="Times New Roman" w:hAnsi="Times New Roman" w:cs="Times New Roman"/>
          <w:b w:val="0"/>
          <w:bCs/>
          <w:sz w:val="24"/>
          <w:szCs w:val="24"/>
        </w:rPr>
      </w:pPr>
      <w:bookmarkStart w:id="53" w:name="_Toc200507552"/>
      <w:bookmarkStart w:id="54" w:name="_Toc370677667"/>
      <w:r>
        <w:rPr>
          <w:rFonts w:hint="default" w:ascii="Times New Roman" w:hAnsi="Times New Roman" w:cs="Times New Roman"/>
          <w:b w:val="0"/>
          <w:bCs/>
          <w:sz w:val="24"/>
          <w:szCs w:val="24"/>
        </w:rPr>
        <w:t>5</w:t>
      </w:r>
      <w:r>
        <w:rPr>
          <w:rFonts w:hint="default"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1 </w:t>
      </w:r>
      <w:r>
        <w:rPr>
          <w:rFonts w:hint="default" w:ascii="Times New Roman" w:hAnsi="Times New Roman" w:cs="Times New Roman"/>
          <w:b w:val="0"/>
          <w:bCs/>
          <w:sz w:val="24"/>
          <w:szCs w:val="24"/>
        </w:rPr>
        <w:t>Current Position &amp; Future Outlook</w:t>
      </w:r>
      <w:bookmarkEnd w:id="53"/>
      <w:bookmarkEnd w:id="54"/>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PESTEL and SWOT Analysis above established the necessity for economic volatility, advanced technological integrations, for global expansion to achieve reshoring operations, and new product designs and marketing Strategies for the company’s success. Nike must hence consider the below formulations for continuity; </w:t>
      </w:r>
    </w:p>
    <w:p>
      <w:pPr>
        <w:pStyle w:val="3"/>
        <w:bidi w:val="0"/>
        <w:rPr>
          <w:rFonts w:hint="default" w:ascii="Times New Roman" w:hAnsi="Times New Roman" w:cs="Times New Roman"/>
          <w:b w:val="0"/>
          <w:bCs/>
          <w:sz w:val="24"/>
          <w:szCs w:val="24"/>
          <w:lang w:val="en-US" w:eastAsia="zh-Hans"/>
        </w:rPr>
      </w:pPr>
      <w:bookmarkStart w:id="55" w:name="_Toc528584321"/>
      <w:bookmarkStart w:id="56" w:name="_Toc129489322"/>
      <w:r>
        <w:rPr>
          <w:rFonts w:hint="default" w:ascii="Times New Roman" w:hAnsi="Times New Roman" w:cs="Times New Roman"/>
          <w:b w:val="0"/>
          <w:bCs/>
          <w:sz w:val="24"/>
          <w:szCs w:val="24"/>
          <w:lang w:eastAsia="zh-Hans"/>
        </w:rPr>
        <w:t>5</w:t>
      </w:r>
      <w:r>
        <w:rPr>
          <w:rFonts w:hint="default"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2 </w:t>
      </w:r>
      <w:r>
        <w:rPr>
          <w:rFonts w:hint="default" w:ascii="Times New Roman" w:hAnsi="Times New Roman" w:cs="Times New Roman"/>
          <w:b w:val="0"/>
          <w:bCs/>
          <w:sz w:val="24"/>
          <w:szCs w:val="24"/>
          <w:lang w:val="en-US" w:eastAsia="zh-Hans"/>
        </w:rPr>
        <w:t>Generic growth strategies</w:t>
      </w:r>
      <w:bookmarkEnd w:id="55"/>
      <w:bookmarkEnd w:id="56"/>
      <w:r>
        <w:rPr>
          <w:rFonts w:hint="default" w:ascii="Times New Roman" w:hAnsi="Times New Roman" w:cs="Times New Roman"/>
          <w:b w:val="0"/>
          <w:bCs/>
          <w:sz w:val="24"/>
          <w:szCs w:val="24"/>
          <w:lang w:val="en-US" w:eastAsia="zh-Hans"/>
        </w:rPr>
        <w:t xml:space="preserve"> </w:t>
      </w:r>
    </w:p>
    <w:p>
      <w:pPr>
        <w:pStyle w:val="4"/>
        <w:bidi w:val="0"/>
        <w:rPr>
          <w:rFonts w:hint="default" w:ascii="Times New Roman Regular" w:hAnsi="Times New Roman Regular" w:cs="Times New Roman Regular"/>
          <w:b w:val="0"/>
          <w:sz w:val="24"/>
          <w:szCs w:val="24"/>
        </w:rPr>
      </w:pPr>
      <w:bookmarkStart w:id="57" w:name="_Toc1924319055"/>
      <w:bookmarkStart w:id="58" w:name="_Toc926100443"/>
      <w:r>
        <w:rPr>
          <w:rFonts w:hint="default" w:ascii="Times New Roman Regular" w:hAnsi="Times New Roman Regular" w:cs="Times New Roman Regular"/>
          <w:b w:val="0"/>
          <w:sz w:val="24"/>
          <w:szCs w:val="24"/>
        </w:rPr>
        <w:t>5</w:t>
      </w:r>
      <w:r>
        <w:rPr>
          <w:rFonts w:hint="eastAsia"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2</w:t>
      </w:r>
      <w:r>
        <w:rPr>
          <w:rFonts w:hint="eastAsia"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 xml:space="preserve">1 </w:t>
      </w:r>
      <w:r>
        <w:rPr>
          <w:rFonts w:hint="default" w:ascii="Times New Roman Regular" w:hAnsi="Times New Roman Regular" w:cs="Times New Roman Regular"/>
          <w:b w:val="0"/>
          <w:sz w:val="24"/>
          <w:szCs w:val="24"/>
        </w:rPr>
        <w:t>Differentiation</w:t>
      </w:r>
      <w:bookmarkEnd w:id="57"/>
      <w:bookmarkEnd w:id="58"/>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Nike’s elementary generic strategy must embrace differentiation for competitive business advantages and profitability orientations. According to </w:t>
      </w:r>
      <w:r>
        <w:rPr>
          <w:rFonts w:ascii="Times New Roman" w:hAnsi="Times New Roman" w:cs="Times New Roman"/>
          <w:color w:val="222222"/>
          <w:sz w:val="24"/>
          <w:szCs w:val="24"/>
          <w:shd w:val="clear" w:color="auto" w:fill="FFFFFF"/>
        </w:rPr>
        <w:t>Caetano, (2019),</w:t>
      </w:r>
      <w:r>
        <w:rPr>
          <w:rFonts w:ascii="Times New Roman" w:hAnsi="Times New Roman" w:cs="Times New Roman"/>
          <w:sz w:val="24"/>
          <w:szCs w:val="24"/>
        </w:rPr>
        <w:t xml:space="preserve"> Nike’s strategic objective remains to design, develop and produce unique quality sportswear and fashion products separating them from the market competitors.  Nike’s products hence remain exclusive and interculturally and socially unique but target the entire market. Therefore, for sustenance and business growth Nike must enhance, product differentiation within its strategies to revitalize old markets and attract new markets(</w:t>
      </w:r>
      <w:r>
        <w:rPr>
          <w:rFonts w:ascii="Times New Roman" w:hAnsi="Times New Roman" w:cs="Times New Roman"/>
          <w:color w:val="222222"/>
          <w:sz w:val="24"/>
          <w:szCs w:val="24"/>
          <w:shd w:val="clear" w:color="auto" w:fill="FFFFFF"/>
        </w:rPr>
        <w:t>Merikanto,2019</w:t>
      </w:r>
      <w:r>
        <w:rPr>
          <w:rFonts w:ascii="Times New Roman" w:hAnsi="Times New Roman" w:cs="Times New Roman"/>
          <w:sz w:val="24"/>
          <w:szCs w:val="24"/>
        </w:rPr>
        <w:t xml:space="preserve">).  </w:t>
      </w:r>
    </w:p>
    <w:p>
      <w:pPr>
        <w:pStyle w:val="4"/>
        <w:bidi w:val="0"/>
        <w:rPr>
          <w:rFonts w:hint="default" w:ascii="Times New Roman Regular" w:hAnsi="Times New Roman Regular" w:cs="Times New Roman Regular"/>
          <w:b w:val="0"/>
          <w:sz w:val="24"/>
          <w:szCs w:val="24"/>
        </w:rPr>
      </w:pPr>
      <w:bookmarkStart w:id="59" w:name="_Toc926633565"/>
      <w:bookmarkStart w:id="60" w:name="_Toc8672045"/>
      <w:r>
        <w:rPr>
          <w:rFonts w:hint="default" w:ascii="Times New Roman Regular" w:hAnsi="Times New Roman Regular" w:cs="Times New Roman Regular"/>
          <w:b w:val="0"/>
          <w:sz w:val="24"/>
          <w:szCs w:val="24"/>
        </w:rPr>
        <w:t>5</w:t>
      </w:r>
      <w:r>
        <w:rPr>
          <w:rFonts w:hint="eastAsia"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2</w:t>
      </w:r>
      <w:r>
        <w:rPr>
          <w:rFonts w:hint="eastAsia" w:ascii="Times New Roman Regular" w:hAnsi="Times New Roman Regular" w:cs="Times New Roman Regular"/>
          <w:b w:val="0"/>
          <w:sz w:val="24"/>
          <w:szCs w:val="24"/>
          <w:lang w:val="en-US" w:eastAsia="zh-Hans"/>
        </w:rPr>
        <w:t>.</w:t>
      </w:r>
      <w:r>
        <w:rPr>
          <w:rFonts w:hint="default" w:ascii="Times New Roman Regular" w:hAnsi="Times New Roman Regular" w:cs="Times New Roman Regular"/>
          <w:b w:val="0"/>
          <w:sz w:val="24"/>
          <w:szCs w:val="24"/>
          <w:lang w:eastAsia="zh-Hans"/>
        </w:rPr>
        <w:t xml:space="preserve">2 </w:t>
      </w:r>
      <w:r>
        <w:rPr>
          <w:rFonts w:hint="default" w:ascii="Times New Roman Regular" w:hAnsi="Times New Roman Regular" w:cs="Times New Roman Regular"/>
          <w:b w:val="0"/>
          <w:sz w:val="24"/>
          <w:szCs w:val="24"/>
        </w:rPr>
        <w:t>Cost leadership</w:t>
      </w:r>
      <w:bookmarkEnd w:id="59"/>
      <w:bookmarkEnd w:id="60"/>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Nike must maximize its profit margin through objective production cost minimization. Nike out-source to low-cost manufacturing contracts outside the US, and European nations, especially contracting Asian countries such as Indonesia and Thailand for raw-material and production of its goods to implement cost-leadership strategies (</w:t>
      </w:r>
      <w:r>
        <w:rPr>
          <w:rFonts w:ascii="Times New Roman" w:hAnsi="Times New Roman" w:cs="Times New Roman"/>
          <w:color w:val="222222"/>
          <w:sz w:val="24"/>
          <w:szCs w:val="24"/>
          <w:shd w:val="clear" w:color="auto" w:fill="FFFFFF"/>
        </w:rPr>
        <w:t>Caetano, 2019</w:t>
      </w:r>
      <w:r>
        <w:rPr>
          <w:rFonts w:ascii="Times New Roman" w:hAnsi="Times New Roman" w:cs="Times New Roman"/>
          <w:sz w:val="24"/>
          <w:szCs w:val="24"/>
        </w:rPr>
        <w:t xml:space="preserve">). Nike’s products are hence sold at premium prices thus an increased competitive advantage and enhanced profit margins. Nike hence withstands its market ground and defends its profit margins from aggressive market competitors such as Adidas ad Puma that highly flourish within the local American and International Footwear and apparel operations. </w:t>
      </w:r>
    </w:p>
    <w:p>
      <w:pPr>
        <w:pStyle w:val="3"/>
        <w:bidi w:val="0"/>
        <w:rPr>
          <w:rFonts w:hint="default" w:ascii="Times New Roman" w:hAnsi="Times New Roman" w:cs="Times New Roman"/>
          <w:b w:val="0"/>
          <w:bCs/>
          <w:sz w:val="24"/>
          <w:szCs w:val="24"/>
          <w:lang w:eastAsia="zh-Hans"/>
        </w:rPr>
      </w:pPr>
      <w:bookmarkStart w:id="61" w:name="_Toc378918911"/>
      <w:bookmarkStart w:id="62" w:name="_Toc1869655966"/>
      <w:r>
        <w:rPr>
          <w:rFonts w:hint="default" w:ascii="Times New Roman" w:hAnsi="Times New Roman" w:cs="Times New Roman"/>
          <w:b w:val="0"/>
          <w:bCs/>
          <w:sz w:val="24"/>
          <w:szCs w:val="24"/>
          <w:lang w:eastAsia="zh-Hans"/>
        </w:rPr>
        <w:t>5</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3 </w:t>
      </w:r>
      <w:r>
        <w:rPr>
          <w:rFonts w:hint="default" w:ascii="Times New Roman" w:hAnsi="Times New Roman" w:cs="Times New Roman"/>
          <w:b w:val="0"/>
          <w:bCs/>
          <w:sz w:val="24"/>
          <w:szCs w:val="24"/>
          <w:lang w:eastAsia="zh-Hans"/>
        </w:rPr>
        <w:t>Intensive Growth Strategies</w:t>
      </w:r>
      <w:bookmarkEnd w:id="61"/>
      <w:bookmarkEnd w:id="62"/>
      <w:r>
        <w:rPr>
          <w:rFonts w:hint="default" w:ascii="Times New Roman" w:hAnsi="Times New Roman" w:cs="Times New Roman"/>
          <w:b w:val="0"/>
          <w:bCs/>
          <w:sz w:val="24"/>
          <w:szCs w:val="24"/>
          <w:lang w:eastAsia="zh-Hans"/>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sz w:val="24"/>
          <w:szCs w:val="24"/>
        </w:rPr>
        <w:t xml:space="preserve">Product development; </w:t>
      </w:r>
      <w:r>
        <w:rPr>
          <w:rFonts w:ascii="Times New Roman" w:hAnsi="Times New Roman" w:cs="Times New Roman"/>
          <w:sz w:val="24"/>
          <w:szCs w:val="24"/>
        </w:rPr>
        <w:t xml:space="preserve">remains an integrative intensive growth strategy combining diverse ideological differentiation and innovative realizations for Nike’s business development. According to López &amp; Oliver, (2023), product development’s strategic objective targets to grow the company’s revenue bases through the sales of iconic brands, and new and various models of Nike products. Nike R&amp;D hence must support product development through a multiverse ideologic configuration and filtration remaining significant for the company’s sustainability within the current market and expansion into new markets(Maury,2022).  </w:t>
      </w:r>
      <w:r>
        <w:rPr>
          <w:rFonts w:ascii="Times New Roman" w:hAnsi="Times New Roman" w:cs="Times New Roman"/>
          <w:color w:val="222222"/>
          <w:sz w:val="24"/>
          <w:szCs w:val="24"/>
          <w:shd w:val="clear" w:color="auto" w:fill="FFFFFF"/>
        </w:rPr>
        <w:t>Powley &amp; Cameron, (2020)</w:t>
      </w:r>
      <w:r>
        <w:rPr>
          <w:rFonts w:ascii="Times New Roman" w:hAnsi="Times New Roman" w:cs="Times New Roman"/>
          <w:sz w:val="24"/>
          <w:szCs w:val="24"/>
        </w:rPr>
        <w:t xml:space="preserve"> establish that the intensive growth strategy hence supports the differentiation of generic competitive strategy through goods innovation in the operation that has seen Nike and its subsidiary such as Converse remain relevant to market demands. Nike hence must remain adaptable to its specific industry trends especially the social trends influencing consumer preferences and </w:t>
      </w:r>
      <w:bookmarkStart w:id="63" w:name="_Hlk140780755"/>
      <w:r>
        <w:rPr>
          <w:rFonts w:ascii="Times New Roman" w:hAnsi="Times New Roman" w:cs="Times New Roman"/>
          <w:sz w:val="24"/>
          <w:szCs w:val="24"/>
        </w:rPr>
        <w:t>tastes (</w:t>
      </w:r>
      <w:r>
        <w:rPr>
          <w:rFonts w:ascii="Times New Roman" w:hAnsi="Times New Roman" w:cs="Times New Roman"/>
          <w:color w:val="222222"/>
          <w:sz w:val="24"/>
          <w:szCs w:val="24"/>
          <w:shd w:val="clear" w:color="auto" w:fill="FFFFFF"/>
        </w:rPr>
        <w:t>Kim,2020</w:t>
      </w:r>
      <w:bookmarkEnd w:id="63"/>
      <w:r>
        <w:rPr>
          <w:rFonts w:ascii="Times New Roman" w:hAnsi="Times New Roman" w:cs="Times New Roman"/>
          <w:sz w:val="24"/>
          <w:szCs w:val="24"/>
        </w:rPr>
        <w:t xml:space="preserve">).  For instance, Nike recycles its shoe and related materials labeled “sustainable materials”, thus responding to the growing concern of green business and sustainable production among consumers and the market environments.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sz w:val="24"/>
          <w:szCs w:val="24"/>
        </w:rPr>
        <w:t>Market penetration</w:t>
      </w:r>
      <w:r>
        <w:rPr>
          <w:rFonts w:ascii="Times New Roman" w:hAnsi="Times New Roman" w:cs="Times New Roman"/>
          <w:sz w:val="24"/>
          <w:szCs w:val="24"/>
        </w:rPr>
        <w:t xml:space="preserve">; also remains an integrative intensive growth strategy optimizing Nike’s profitability band competitive advantages within its operation environments.  The strategy is implemented to increase Nike’s consumer base and market share through the aggressive sales of existing, and new sporting materials to the new and current markets. Nike also maps the growing market targets, through the market penetration </w:t>
      </w:r>
      <w:bookmarkStart w:id="64" w:name="_Hlk140772446"/>
      <w:r>
        <w:rPr>
          <w:rFonts w:ascii="Times New Roman" w:hAnsi="Times New Roman" w:cs="Times New Roman"/>
          <w:sz w:val="24"/>
          <w:szCs w:val="24"/>
        </w:rPr>
        <w:t>strategy (Maury,2022</w:t>
      </w:r>
      <w:bookmarkEnd w:id="64"/>
      <w:r>
        <w:rPr>
          <w:rFonts w:ascii="Times New Roman" w:hAnsi="Times New Roman" w:cs="Times New Roman"/>
          <w:sz w:val="24"/>
          <w:szCs w:val="24"/>
        </w:rPr>
        <w:t xml:space="preserve">).  The strategy is realized through intensive partnerships with global and local distributor channels such as Walmart, Target, Costco, Amazon, eBay, Alibaba, and its retail outlets NikeTown stores. Marketing and promotion mix communication hence support the above strategy highlights the multiverse unique quality orientation appealing for consumers for premium purchases.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sz w:val="24"/>
          <w:szCs w:val="24"/>
        </w:rPr>
        <w:t>Market Development</w:t>
      </w:r>
      <w:r>
        <w:rPr>
          <w:rFonts w:ascii="Times New Roman" w:hAnsi="Times New Roman" w:cs="Times New Roman"/>
          <w:sz w:val="24"/>
          <w:szCs w:val="24"/>
        </w:rPr>
        <w:t xml:space="preserve">; is a minor but potentially essential intensive growth strategy within Nike’s operations (Karneli,2023).  The strategy aims to develop and grow the sporting business through additional sales of sporting materials across Nike’s segments. Significantly, Nike operates within a saturated market environment hence deeming the significance, of market development objectives. However, the company’s generic competitive differentiation focus leverages the above limitations to boost and enhance Nike’s new market penetration in the introduction of leisure and sportswear materials in its diverse market segments. </w:t>
      </w:r>
    </w:p>
    <w:p>
      <w:pPr>
        <w:pStyle w:val="3"/>
        <w:bidi w:val="0"/>
        <w:rPr>
          <w:rFonts w:hint="default" w:ascii="Times New Roman" w:hAnsi="Times New Roman" w:cs="Times New Roman"/>
          <w:b w:val="0"/>
          <w:bCs/>
          <w:sz w:val="24"/>
          <w:szCs w:val="24"/>
          <w:lang w:val="en-US" w:eastAsia="zh-Hans"/>
        </w:rPr>
      </w:pPr>
      <w:bookmarkStart w:id="65" w:name="_Toc1201123822"/>
      <w:bookmarkStart w:id="66" w:name="_Toc1327097658"/>
      <w:r>
        <w:rPr>
          <w:rFonts w:hint="default" w:ascii="Times New Roman" w:hAnsi="Times New Roman" w:cs="Times New Roman"/>
          <w:b w:val="0"/>
          <w:bCs/>
          <w:sz w:val="24"/>
          <w:szCs w:val="24"/>
          <w:lang w:eastAsia="zh-Hans"/>
        </w:rPr>
        <w:t>5</w:t>
      </w:r>
      <w:r>
        <w:rPr>
          <w:rFonts w:hint="eastAsia" w:ascii="Times New Roman" w:hAnsi="Times New Roman" w:cs="Times New Roman"/>
          <w:b w:val="0"/>
          <w:bCs/>
          <w:sz w:val="24"/>
          <w:szCs w:val="24"/>
          <w:lang w:val="en-US" w:eastAsia="zh-Hans"/>
        </w:rPr>
        <w:t>.</w:t>
      </w:r>
      <w:r>
        <w:rPr>
          <w:rFonts w:hint="default" w:ascii="Times New Roman" w:hAnsi="Times New Roman" w:cs="Times New Roman"/>
          <w:b w:val="0"/>
          <w:bCs/>
          <w:sz w:val="24"/>
          <w:szCs w:val="24"/>
          <w:lang w:eastAsia="zh-Hans"/>
        </w:rPr>
        <w:t xml:space="preserve">4 </w:t>
      </w:r>
      <w:r>
        <w:rPr>
          <w:rFonts w:hint="default" w:ascii="Times New Roman" w:hAnsi="Times New Roman" w:cs="Times New Roman"/>
          <w:b w:val="0"/>
          <w:bCs/>
          <w:sz w:val="24"/>
          <w:szCs w:val="24"/>
          <w:lang w:val="en-US" w:eastAsia="zh-Hans"/>
        </w:rPr>
        <w:t>Focus on Consumer Trends</w:t>
      </w:r>
      <w:bookmarkEnd w:id="65"/>
      <w:bookmarkEnd w:id="66"/>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Nike’s consumer market is a volatile environment with constantly changing preferences and tastes. According to </w:t>
      </w:r>
      <w:r>
        <w:rPr>
          <w:rFonts w:ascii="Times New Roman" w:hAnsi="Times New Roman" w:eastAsia="Times New Roman" w:cs="Times New Roman"/>
          <w:color w:val="333333"/>
          <w:sz w:val="24"/>
          <w:szCs w:val="24"/>
        </w:rPr>
        <w:t>Puyt et al. (2020),</w:t>
      </w:r>
      <w:r>
        <w:rPr>
          <w:rFonts w:ascii="Times New Roman" w:hAnsi="Times New Roman" w:cs="Times New Roman"/>
          <w:sz w:val="24"/>
          <w:szCs w:val="24"/>
        </w:rPr>
        <w:t xml:space="preserve"> Nike’s consumers continually remain observant and concerned about the pricing shifting massive interest from upmarket and luxury to mildly expensive and middle-priced models. The Covid19 pandemic contributed to and worsened the economic situation within global environment operations (</w:t>
      </w:r>
      <w:r>
        <w:rPr>
          <w:rFonts w:ascii="Times New Roman" w:hAnsi="Times New Roman" w:eastAsia="Times New Roman" w:cs="Times New Roman"/>
          <w:color w:val="333333"/>
          <w:sz w:val="24"/>
          <w:szCs w:val="24"/>
        </w:rPr>
        <w:t>Quezada et al., 2019</w:t>
      </w:r>
      <w:r>
        <w:rPr>
          <w:rFonts w:ascii="Times New Roman" w:hAnsi="Times New Roman" w:cs="Times New Roman"/>
          <w:sz w:val="24"/>
          <w:szCs w:val="24"/>
        </w:rPr>
        <w:t xml:space="preserve">). Although, the heightened political temperatures between China and U.S as well as the surge into conflict in the Ukrainian and Russian war heightened inflation across multinationals dependent on gas for various economic </w:t>
      </w:r>
      <w:bookmarkStart w:id="67" w:name="_Hlk140778742"/>
      <w:r>
        <w:rPr>
          <w:rFonts w:ascii="Times New Roman" w:hAnsi="Times New Roman" w:cs="Times New Roman"/>
          <w:sz w:val="24"/>
          <w:szCs w:val="24"/>
        </w:rPr>
        <w:t>operations (</w:t>
      </w:r>
      <w:r>
        <w:rPr>
          <w:rFonts w:ascii="Times New Roman" w:hAnsi="Times New Roman" w:cs="Times New Roman"/>
          <w:color w:val="222222"/>
          <w:sz w:val="24"/>
          <w:szCs w:val="24"/>
          <w:shd w:val="clear" w:color="auto" w:fill="FFFFFF"/>
        </w:rPr>
        <w:t>Mancuso</w:t>
      </w:r>
      <w:bookmarkEnd w:id="67"/>
      <w:r>
        <w:rPr>
          <w:rFonts w:ascii="Times New Roman" w:hAnsi="Times New Roman" w:cs="Times New Roman"/>
          <w:color w:val="222222"/>
          <w:sz w:val="24"/>
          <w:szCs w:val="24"/>
          <w:shd w:val="clear" w:color="auto" w:fill="FFFFFF"/>
        </w:rPr>
        <w:t xml:space="preserve"> et al., 2023</w:t>
      </w:r>
      <w:r>
        <w:rPr>
          <w:rFonts w:ascii="Times New Roman" w:hAnsi="Times New Roman" w:cs="Times New Roman"/>
          <w:sz w:val="24"/>
          <w:szCs w:val="24"/>
        </w:rPr>
        <w:t xml:space="preserve">; </w:t>
      </w:r>
      <w:r>
        <w:rPr>
          <w:rFonts w:ascii="Times New Roman" w:hAnsi="Times New Roman" w:eastAsia="Times New Roman" w:cs="Times New Roman"/>
          <w:color w:val="333333"/>
          <w:sz w:val="24"/>
          <w:szCs w:val="24"/>
        </w:rPr>
        <w:t>Benzaghta et al., 2021</w:t>
      </w:r>
      <w:r>
        <w:rPr>
          <w:rFonts w:ascii="Times New Roman" w:hAnsi="Times New Roman" w:cs="Times New Roman"/>
          <w:sz w:val="24"/>
          <w:szCs w:val="24"/>
        </w:rPr>
        <w:t xml:space="preserve">). However, the company should understand the impulse buying nature of its consumers, especially with the latest models and new designs, hence Nike, to focus on intensive R&amp;D for innovation and market uniqueness in their model designs to attract and maximize sales of their products.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According to John Donahoe, the current CEO of Nike speaking to analysts in the conference call (Dec. 20, 2022), pointed that “</w:t>
      </w:r>
      <w:r>
        <w:rPr>
          <w:rFonts w:ascii="Times New Roman" w:hAnsi="Times New Roman" w:cs="Times New Roman"/>
          <w:i/>
          <w:sz w:val="24"/>
          <w:szCs w:val="24"/>
        </w:rPr>
        <w:t>Whenever there’s turbulence, I will go back to the fundamentals</w:t>
      </w:r>
      <w:r>
        <w:rPr>
          <w:rFonts w:ascii="Times New Roman" w:hAnsi="Times New Roman" w:cs="Times New Roman"/>
          <w:sz w:val="24"/>
          <w:szCs w:val="24"/>
        </w:rPr>
        <w:t xml:space="preserve">”. He recognized the necessity for consumer demands and preference prioritization and leveraging of long-term competitive advantages in the process, to counteract supply chain challenges, manufacturing headwinds, and inflations and restore consumer’s constantly wavering confidence.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Similarly, the consumer continues determination on sustainable development and production, thus prioritizing purchases from environmentally active organizations. Nike has to increase sustainable production by recycling some of most of its high-end products to capture the environmentally cautious consumer to attract environmentally conscious consumers as a growing trend (</w:t>
      </w:r>
      <w:r>
        <w:rPr>
          <w:rFonts w:ascii="Times New Roman" w:hAnsi="Times New Roman" w:eastAsia="Times New Roman" w:cs="Times New Roman"/>
          <w:color w:val="333333"/>
          <w:sz w:val="24"/>
          <w:szCs w:val="24"/>
        </w:rPr>
        <w:t>Benzaghta et al., 2021</w:t>
      </w:r>
      <w:r>
        <w:rPr>
          <w:rFonts w:ascii="Times New Roman" w:hAnsi="Times New Roman" w:cs="Times New Roman"/>
          <w:sz w:val="24"/>
          <w:szCs w:val="24"/>
        </w:rPr>
        <w:t xml:space="preserve">). </w:t>
      </w:r>
    </w:p>
    <w:p>
      <w:pPr>
        <w:spacing w:after="0" w:line="480" w:lineRule="auto"/>
        <w:contextualSpacing/>
        <w:jc w:val="both"/>
        <w:rPr>
          <w:rFonts w:ascii="Times New Roman" w:hAnsi="Times New Roman" w:cs="Times New Roman"/>
          <w:sz w:val="24"/>
          <w:szCs w:val="24"/>
        </w:rPr>
      </w:pPr>
      <w:r>
        <w:rPr>
          <w:rFonts w:ascii="Times New Roman" w:hAnsi="Times New Roman" w:cs="Times New Roman"/>
          <w:sz w:val="24"/>
          <w:szCs w:val="24"/>
        </w:rPr>
        <w:t>However, the company’s outsourcing and external manufacturing contraction has amassed humanitarian activism on the plight of workers and the necessity of a manufacturing base in developed countries in the U.S. and Europe. Nike hence must consider sustainability, technographic integrations, and reshoring operation to enhance current productivity and improve future sustenance, through differentiations established within the PESTEL analysis.</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E-commerce Growth</w:t>
      </w:r>
      <w:r>
        <w:rPr>
          <w:rFonts w:ascii="Times New Roman" w:hAnsi="Times New Roman" w:cs="Times New Roman"/>
          <w:sz w:val="24"/>
          <w:szCs w:val="24"/>
        </w:rPr>
        <w:t>: Nike to focus on digital channels and enhance the online shopping experience to reach a broader audience and drive sales.</w:t>
      </w:r>
    </w:p>
    <w:p>
      <w:pPr>
        <w:spacing w:after="0" w:line="480" w:lineRule="auto"/>
        <w:contextualSpacing/>
        <w:jc w:val="both"/>
        <w:rPr>
          <w:rFonts w:ascii="Times New Roman" w:hAnsi="Times New Roman" w:cs="Times New Roman"/>
          <w:sz w:val="24"/>
          <w:szCs w:val="24"/>
        </w:rPr>
      </w:pPr>
      <w:r>
        <w:rPr>
          <w:rFonts w:ascii="Times New Roman" w:hAnsi="Times New Roman" w:cs="Times New Roman"/>
          <w:b/>
          <w:i/>
          <w:sz w:val="24"/>
          <w:szCs w:val="24"/>
        </w:rPr>
        <w:t>Sustainability</w:t>
      </w:r>
      <w:r>
        <w:rPr>
          <w:rFonts w:ascii="Times New Roman" w:hAnsi="Times New Roman" w:cs="Times New Roman"/>
          <w:sz w:val="24"/>
          <w:szCs w:val="24"/>
        </w:rPr>
        <w:t>: Nike should increase and continue to address environmental concerns and adopt sustainable practices essential for meeting changing consumer preferences and regulatory demands.</w:t>
      </w:r>
    </w:p>
    <w:p>
      <w:pPr>
        <w:spacing w:after="0" w:line="480" w:lineRule="auto"/>
        <w:contextualSpacing/>
        <w:jc w:val="both"/>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pStyle w:val="2"/>
        <w:numPr>
          <w:ilvl w:val="0"/>
          <w:numId w:val="0"/>
        </w:numPr>
        <w:spacing w:before="100" w:beforeAutospacing="1" w:after="100" w:afterAutospacing="1" w:line="480" w:lineRule="auto"/>
        <w:ind w:leftChars="0"/>
        <w:contextualSpacing/>
        <w:jc w:val="both"/>
        <w:rPr>
          <w:rFonts w:ascii="Times New Roman" w:hAnsi="Times New Roman" w:cs="Times New Roman"/>
        </w:rPr>
      </w:pPr>
      <w:bookmarkStart w:id="68" w:name="_Toc941794554"/>
      <w:bookmarkStart w:id="69" w:name="_Toc765180264"/>
      <w:r>
        <w:rPr>
          <w:rFonts w:hint="default" w:ascii="Times New Roman Bold" w:hAnsi="Times New Roman Bold" w:cs="Times New Roman Bold"/>
          <w:b/>
          <w:bCs/>
          <w:color w:val="auto"/>
          <w:sz w:val="28"/>
          <w:szCs w:val="28"/>
        </w:rPr>
        <w:t>6</w:t>
      </w:r>
      <w:r>
        <w:rPr>
          <w:rFonts w:hint="default" w:ascii="Times New Roman Bold" w:hAnsi="Times New Roman Bold" w:cs="Times New Roman Bold"/>
          <w:b/>
          <w:bCs/>
          <w:color w:val="auto"/>
          <w:sz w:val="28"/>
          <w:szCs w:val="28"/>
          <w:lang w:val="en-US" w:eastAsia="zh-Hans"/>
        </w:rPr>
        <w:t>.</w:t>
      </w:r>
      <w:r>
        <w:rPr>
          <w:rFonts w:hint="default" w:ascii="Times New Roman Bold" w:hAnsi="Times New Roman Bold" w:cs="Times New Roman Bold"/>
          <w:b/>
          <w:bCs/>
          <w:color w:val="auto"/>
          <w:sz w:val="28"/>
          <w:szCs w:val="28"/>
          <w:lang w:eastAsia="zh-Hans"/>
        </w:rPr>
        <w:t xml:space="preserve">0 </w:t>
      </w:r>
      <w:r>
        <w:rPr>
          <w:rFonts w:hint="default" w:ascii="Times New Roman Bold" w:hAnsi="Times New Roman Bold" w:cs="Times New Roman Bold"/>
          <w:b/>
          <w:bCs/>
          <w:color w:val="auto"/>
          <w:sz w:val="28"/>
          <w:szCs w:val="28"/>
        </w:rPr>
        <w:t>Reference</w:t>
      </w:r>
      <w:bookmarkEnd w:id="68"/>
      <w:bookmarkEnd w:id="69"/>
      <w:r>
        <w:rPr>
          <w:rFonts w:hint="default" w:ascii="Times New Roman Bold" w:hAnsi="Times New Roman Bold" w:cs="Times New Roman Bold"/>
          <w:b/>
          <w:bCs/>
          <w:color w:val="auto"/>
          <w:sz w:val="28"/>
          <w:szCs w:val="28"/>
        </w:rPr>
        <w:t xml:space="preserve"> </w:t>
      </w:r>
    </w:p>
    <w:p>
      <w:pPr>
        <w:spacing w:after="0" w:line="360" w:lineRule="auto"/>
        <w:ind w:left="720" w:hanging="720"/>
        <w:contextualSpacing/>
        <w:jc w:val="both"/>
        <w:rPr>
          <w:rFonts w:ascii="Times New Roman" w:hAnsi="Times New Roman" w:cs="Times New Roman"/>
          <w:color w:val="222222"/>
          <w:shd w:val="clear" w:color="auto" w:fill="FFFFFF"/>
        </w:rPr>
      </w:pPr>
      <w:bookmarkStart w:id="70" w:name="_Hlk140833595"/>
      <w:r>
        <w:rPr>
          <w:rFonts w:ascii="Times New Roman" w:hAnsi="Times New Roman" w:cs="Times New Roman"/>
          <w:color w:val="222222"/>
          <w:shd w:val="clear" w:color="auto" w:fill="FFFFFF"/>
        </w:rPr>
        <w:t>Akram, A., &amp; Khan</w:t>
      </w:r>
      <w:bookmarkEnd w:id="70"/>
      <w:r>
        <w:rPr>
          <w:rFonts w:ascii="Times New Roman" w:hAnsi="Times New Roman" w:cs="Times New Roman"/>
          <w:color w:val="222222"/>
          <w:shd w:val="clear" w:color="auto" w:fill="FFFFFF"/>
        </w:rPr>
        <w:t>, K. S. Investigating the Factors Affecting Export Potential of Sports Goods Industry in Sialkot City: A Pestle Analysis.</w:t>
      </w:r>
    </w:p>
    <w:p>
      <w:pPr>
        <w:spacing w:after="0" w:line="360" w:lineRule="auto"/>
        <w:ind w:left="720" w:hanging="720"/>
        <w:contextualSpacing/>
        <w:jc w:val="both"/>
        <w:rPr>
          <w:rFonts w:ascii="Times New Roman" w:hAnsi="Times New Roman" w:cs="Times New Roman"/>
          <w:color w:val="222222"/>
          <w:shd w:val="clear" w:color="auto" w:fill="FFFFFF"/>
        </w:rPr>
      </w:pPr>
      <w:bookmarkStart w:id="71" w:name="_Hlk140833743"/>
      <w:r>
        <w:rPr>
          <w:rFonts w:ascii="Times New Roman" w:hAnsi="Times New Roman" w:cs="Times New Roman"/>
          <w:color w:val="222222"/>
          <w:shd w:val="clear" w:color="auto" w:fill="FFFFFF"/>
        </w:rPr>
        <w:t>Alsaffar, H. (2020</w:t>
      </w:r>
      <w:bookmarkEnd w:id="71"/>
      <w:r>
        <w:rPr>
          <w:rFonts w:ascii="Times New Roman" w:hAnsi="Times New Roman" w:cs="Times New Roman"/>
          <w:color w:val="222222"/>
          <w:shd w:val="clear" w:color="auto" w:fill="FFFFFF"/>
        </w:rPr>
        <w:t>). Nike’s Marketing Mix and PESTEL analysis in China.</w:t>
      </w:r>
    </w:p>
    <w:p>
      <w:pPr>
        <w:spacing w:after="0" w:line="360" w:lineRule="auto"/>
        <w:ind w:left="720" w:hanging="720"/>
        <w:contextualSpacing/>
        <w:jc w:val="both"/>
        <w:rPr>
          <w:rFonts w:ascii="Times New Roman" w:hAnsi="Times New Roman" w:cs="Times New Roman"/>
        </w:rPr>
      </w:pPr>
      <w:bookmarkStart w:id="72" w:name="_Hlk140775716"/>
      <w:r>
        <w:rPr>
          <w:rFonts w:ascii="Times New Roman" w:hAnsi="Times New Roman" w:cs="Times New Roman"/>
          <w:color w:val="222222"/>
          <w:shd w:val="clear" w:color="auto" w:fill="FFFFFF"/>
        </w:rPr>
        <w:t>Alsaffar, H. (2020</w:t>
      </w:r>
      <w:bookmarkEnd w:id="72"/>
      <w:r>
        <w:rPr>
          <w:rFonts w:ascii="Times New Roman" w:hAnsi="Times New Roman" w:cs="Times New Roman"/>
          <w:color w:val="222222"/>
          <w:shd w:val="clear" w:color="auto" w:fill="FFFFFF"/>
        </w:rPr>
        <w:t>). Nike’s Marketing Mix and PESTEL analysis in China.</w:t>
      </w:r>
    </w:p>
    <w:p>
      <w:pPr>
        <w:spacing w:after="0" w:line="360" w:lineRule="auto"/>
        <w:ind w:left="720" w:hanging="720"/>
        <w:contextualSpacing/>
        <w:jc w:val="both"/>
        <w:rPr>
          <w:rFonts w:ascii="Times New Roman" w:hAnsi="Times New Roman" w:cs="Times New Roman"/>
          <w:color w:val="222222"/>
          <w:shd w:val="clear" w:color="auto" w:fill="FFFFFF"/>
        </w:rPr>
      </w:pPr>
      <w:bookmarkStart w:id="73" w:name="_Hlk140833571"/>
      <w:r>
        <w:rPr>
          <w:rFonts w:ascii="Times New Roman" w:hAnsi="Times New Roman" w:cs="Times New Roman"/>
          <w:color w:val="222222"/>
          <w:shd w:val="clear" w:color="auto" w:fill="FFFFFF"/>
        </w:rPr>
        <w:t>Baliyan, R. (2021</w:t>
      </w:r>
      <w:bookmarkEnd w:id="73"/>
      <w:r>
        <w:rPr>
          <w:rFonts w:ascii="Times New Roman" w:hAnsi="Times New Roman" w:cs="Times New Roman"/>
          <w:color w:val="222222"/>
          <w:shd w:val="clear" w:color="auto" w:fill="FFFFFF"/>
        </w:rPr>
        <w:t>). A shift in paradigm for the apparel industry post COVID-19. </w:t>
      </w:r>
      <w:r>
        <w:rPr>
          <w:rFonts w:ascii="Times New Roman" w:hAnsi="Times New Roman" w:cs="Times New Roman"/>
          <w:i/>
          <w:iCs/>
          <w:color w:val="222222"/>
          <w:shd w:val="clear" w:color="auto" w:fill="FFFFFF"/>
        </w:rPr>
        <w:t>Turkish Journal of Computer and Mathematics Education (TURCOMAT)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12</w:t>
      </w:r>
      <w:r>
        <w:rPr>
          <w:rFonts w:ascii="Times New Roman" w:hAnsi="Times New Roman" w:cs="Times New Roman"/>
          <w:color w:val="222222"/>
          <w:shd w:val="clear" w:color="auto" w:fill="FFFFFF"/>
        </w:rPr>
        <w:t>(13), 5203-5211.</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rPr>
        <w:t xml:space="preserve">BBC News.com., (2022, June). </w:t>
      </w:r>
      <w:r>
        <w:rPr>
          <w:rFonts w:ascii="Times New Roman" w:hAnsi="Times New Roman" w:cs="Times New Roman"/>
          <w:i/>
        </w:rPr>
        <w:t xml:space="preserve">Nike Latest Brand to leave Russia Permanently. </w:t>
      </w:r>
      <w:r>
        <w:fldChar w:fldCharType="begin"/>
      </w:r>
      <w:r>
        <w:instrText xml:space="preserve"> HYPERLINK "https://www.bbc.com/news/business-61914165" </w:instrText>
      </w:r>
      <w:r>
        <w:fldChar w:fldCharType="separate"/>
      </w:r>
      <w:r>
        <w:rPr>
          <w:rStyle w:val="17"/>
          <w:rFonts w:ascii="Times New Roman" w:hAnsi="Times New Roman" w:cs="Times New Roman"/>
        </w:rPr>
        <w:t>Nike latest brand to leave Russia permanently - BBC News</w:t>
      </w:r>
      <w:r>
        <w:rPr>
          <w:rStyle w:val="17"/>
          <w:rFonts w:ascii="Times New Roman" w:hAnsi="Times New Roman" w:cs="Times New Roman"/>
        </w:rPr>
        <w:fldChar w:fldCharType="end"/>
      </w:r>
    </w:p>
    <w:p>
      <w:pPr>
        <w:spacing w:after="0" w:line="360" w:lineRule="auto"/>
        <w:ind w:left="720" w:hanging="720"/>
        <w:contextualSpacing/>
        <w:jc w:val="both"/>
        <w:rPr>
          <w:rFonts w:ascii="Times New Roman" w:hAnsi="Times New Roman" w:eastAsia="Times New Roman" w:cs="Times New Roman"/>
          <w:color w:val="333333"/>
        </w:rPr>
      </w:pPr>
      <w:r>
        <w:rPr>
          <w:rFonts w:ascii="Times New Roman" w:hAnsi="Times New Roman" w:eastAsia="Times New Roman" w:cs="Times New Roman"/>
          <w:color w:val="333333"/>
        </w:rPr>
        <w:t>Benzaghta, M. A., Elwalda, A., Mousa, M. M., Erkan, I., &amp; Rahman, M. (2021). SWOT analysis applications: An integrative literature review. </w:t>
      </w:r>
      <w:r>
        <w:rPr>
          <w:rFonts w:ascii="Times New Roman" w:hAnsi="Times New Roman" w:eastAsia="Times New Roman" w:cs="Times New Roman"/>
          <w:i/>
          <w:iCs/>
          <w:color w:val="333333"/>
        </w:rPr>
        <w:t>Journal of Global Business Insights, 6</w:t>
      </w:r>
      <w:r>
        <w:rPr>
          <w:rFonts w:ascii="Times New Roman" w:hAnsi="Times New Roman" w:eastAsia="Times New Roman" w:cs="Times New Roman"/>
          <w:color w:val="333333"/>
        </w:rPr>
        <w:t>(1), 55-73.</w:t>
      </w:r>
    </w:p>
    <w:p>
      <w:pPr>
        <w:spacing w:after="0" w:line="360" w:lineRule="auto"/>
        <w:ind w:left="720" w:hanging="720"/>
        <w:contextualSpacing/>
        <w:jc w:val="both"/>
        <w:rPr>
          <w:rFonts w:ascii="Times New Roman" w:hAnsi="Times New Roman" w:cs="Times New Roman"/>
          <w:color w:val="222222"/>
          <w:shd w:val="clear" w:color="auto" w:fill="FFFFFF"/>
        </w:rPr>
      </w:pPr>
      <w:bookmarkStart w:id="74" w:name="_Hlk140780535"/>
      <w:r>
        <w:rPr>
          <w:rFonts w:ascii="Times New Roman" w:hAnsi="Times New Roman" w:cs="Times New Roman"/>
          <w:color w:val="222222"/>
          <w:shd w:val="clear" w:color="auto" w:fill="FFFFFF"/>
        </w:rPr>
        <w:t>Caetano, N. M. R. P. L. (2019</w:t>
      </w:r>
      <w:bookmarkEnd w:id="74"/>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Nike marketing plan: the launch of Nike Academy in Portugal</w:t>
      </w:r>
      <w:r>
        <w:rPr>
          <w:rFonts w:ascii="Times New Roman" w:hAnsi="Times New Roman" w:cs="Times New Roman"/>
          <w:color w:val="222222"/>
          <w:shd w:val="clear" w:color="auto" w:fill="FFFFFF"/>
        </w:rPr>
        <w:t> (Master's thesis).</w:t>
      </w:r>
    </w:p>
    <w:p>
      <w:pPr>
        <w:spacing w:after="0" w:line="360" w:lineRule="auto"/>
        <w:ind w:left="720" w:hanging="720"/>
        <w:contextualSpacing/>
        <w:jc w:val="both"/>
        <w:rPr>
          <w:rFonts w:ascii="Times New Roman" w:hAnsi="Times New Roman" w:cs="Times New Roman"/>
          <w:color w:val="222222"/>
          <w:shd w:val="clear" w:color="auto" w:fill="FFFFFF"/>
        </w:rPr>
      </w:pPr>
      <w:bookmarkStart w:id="75" w:name="_Hlk140833643"/>
      <w:r>
        <w:rPr>
          <w:rFonts w:ascii="Times New Roman" w:hAnsi="Times New Roman" w:cs="Times New Roman"/>
          <w:color w:val="222222"/>
          <w:shd w:val="clear" w:color="auto" w:fill="FFFFFF"/>
        </w:rPr>
        <w:t>Cai, W. (2023</w:t>
      </w:r>
      <w:bookmarkEnd w:id="75"/>
      <w:r>
        <w:rPr>
          <w:rFonts w:ascii="Times New Roman" w:hAnsi="Times New Roman" w:cs="Times New Roman"/>
          <w:color w:val="222222"/>
          <w:shd w:val="clear" w:color="auto" w:fill="FFFFFF"/>
        </w:rPr>
        <w:t>). Analysis of the promotion of consumer psychological analysis and marketing to sports propaganda. </w:t>
      </w:r>
      <w:r>
        <w:rPr>
          <w:rFonts w:ascii="Times New Roman" w:hAnsi="Times New Roman" w:cs="Times New Roman"/>
          <w:i/>
          <w:iCs/>
          <w:color w:val="222222"/>
          <w:shd w:val="clear" w:color="auto" w:fill="FFFFFF"/>
        </w:rPr>
        <w:t>Revista de Psicología del Deporte (Journal of Sport Psychology)</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32</w:t>
      </w:r>
      <w:r>
        <w:rPr>
          <w:rFonts w:ascii="Times New Roman" w:hAnsi="Times New Roman" w:cs="Times New Roman"/>
          <w:color w:val="222222"/>
          <w:shd w:val="clear" w:color="auto" w:fill="FFFFFF"/>
        </w:rPr>
        <w:t>(1), 179-185.</w:t>
      </w:r>
    </w:p>
    <w:p>
      <w:pPr>
        <w:spacing w:after="0" w:line="360" w:lineRule="auto"/>
        <w:ind w:left="720" w:hanging="720"/>
        <w:contextualSpacing/>
        <w:jc w:val="both"/>
        <w:rPr>
          <w:rFonts w:ascii="Times New Roman" w:hAnsi="Times New Roman" w:cs="Times New Roman"/>
          <w:color w:val="222222"/>
          <w:shd w:val="clear" w:color="auto" w:fill="FFFFFF"/>
        </w:rPr>
      </w:pPr>
      <w:bookmarkStart w:id="76" w:name="_Hlk140778943"/>
      <w:r>
        <w:rPr>
          <w:rFonts w:ascii="Times New Roman" w:hAnsi="Times New Roman" w:cs="Times New Roman"/>
          <w:color w:val="222222"/>
          <w:shd w:val="clear" w:color="auto" w:fill="FFFFFF"/>
        </w:rPr>
        <w:t>Dhesi, A. S. (2021</w:t>
      </w:r>
      <w:bookmarkEnd w:id="76"/>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Sustaining Digital Transformation in the Post-COVID Era: Nike Case Study</w:t>
      </w:r>
      <w:r>
        <w:rPr>
          <w:rFonts w:ascii="Times New Roman" w:hAnsi="Times New Roman" w:cs="Times New Roman"/>
          <w:color w:val="222222"/>
          <w:shd w:val="clear" w:color="auto" w:fill="FFFFFF"/>
        </w:rPr>
        <w:t> (Doctoral dissertation, Massachusetts Institute of Technology).</w:t>
      </w:r>
    </w:p>
    <w:p>
      <w:pPr>
        <w:spacing w:after="0" w:line="360" w:lineRule="auto"/>
        <w:ind w:left="720" w:hanging="720"/>
        <w:contextualSpacing/>
        <w:jc w:val="both"/>
        <w:rPr>
          <w:rFonts w:ascii="Times New Roman" w:hAnsi="Times New Roman" w:cs="Times New Roman"/>
          <w:color w:val="222222"/>
          <w:shd w:val="clear" w:color="auto" w:fill="FFFFFF"/>
        </w:rPr>
      </w:pPr>
      <w:bookmarkStart w:id="77" w:name="_Hlk140833621"/>
      <w:r>
        <w:rPr>
          <w:rFonts w:ascii="Times New Roman" w:hAnsi="Times New Roman" w:cs="Times New Roman"/>
          <w:color w:val="222222"/>
          <w:shd w:val="clear" w:color="auto" w:fill="FFFFFF"/>
        </w:rPr>
        <w:t>Du</w:t>
      </w:r>
      <w:bookmarkEnd w:id="77"/>
      <w:r>
        <w:rPr>
          <w:rFonts w:ascii="Times New Roman" w:hAnsi="Times New Roman" w:cs="Times New Roman"/>
          <w:color w:val="222222"/>
          <w:shd w:val="clear" w:color="auto" w:fill="FFFFFF"/>
        </w:rPr>
        <w:t>, M., Guo, Y., Wei, X., &amp; Zhao, J. Analysis of Business Model of Leading Sportswear Company.</w:t>
      </w:r>
    </w:p>
    <w:p>
      <w:pPr>
        <w:spacing w:after="0" w:line="360" w:lineRule="auto"/>
        <w:ind w:left="720" w:hanging="720"/>
        <w:contextualSpacing/>
        <w:jc w:val="both"/>
        <w:rPr>
          <w:rFonts w:ascii="Times New Roman" w:hAnsi="Times New Roman" w:cs="Times New Roman"/>
          <w:color w:val="222222"/>
          <w:shd w:val="clear" w:color="auto" w:fill="FFFFFF"/>
        </w:rPr>
      </w:pPr>
      <w:bookmarkStart w:id="78" w:name="_Hlk140778778"/>
      <w:r>
        <w:rPr>
          <w:rFonts w:ascii="Times New Roman" w:hAnsi="Times New Roman" w:cs="Times New Roman"/>
          <w:color w:val="222222"/>
          <w:shd w:val="clear" w:color="auto" w:fill="FFFFFF"/>
        </w:rPr>
        <w:t>Eyada, B. (2020</w:t>
      </w:r>
      <w:bookmarkEnd w:id="78"/>
      <w:r>
        <w:rPr>
          <w:rFonts w:ascii="Times New Roman" w:hAnsi="Times New Roman" w:cs="Times New Roman"/>
          <w:color w:val="222222"/>
          <w:shd w:val="clear" w:color="auto" w:fill="FFFFFF"/>
        </w:rPr>
        <w:t>). Brand activism, the relation and impact on consumer perception: A case study on Nike advertising. </w:t>
      </w:r>
      <w:r>
        <w:rPr>
          <w:rFonts w:ascii="Times New Roman" w:hAnsi="Times New Roman" w:cs="Times New Roman"/>
          <w:i/>
          <w:iCs/>
          <w:color w:val="222222"/>
          <w:shd w:val="clear" w:color="auto" w:fill="FFFFFF"/>
        </w:rPr>
        <w:t>International Journal of Marketing Studies</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12</w:t>
      </w:r>
      <w:r>
        <w:rPr>
          <w:rFonts w:ascii="Times New Roman" w:hAnsi="Times New Roman" w:cs="Times New Roman"/>
          <w:color w:val="222222"/>
          <w:shd w:val="clear" w:color="auto" w:fill="FFFFFF"/>
        </w:rPr>
        <w:t>(4), 30-42.</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rPr>
        <w:t xml:space="preserve">Global Alliance Report., (2022). </w:t>
      </w:r>
      <w:r>
        <w:rPr>
          <w:rFonts w:ascii="Times New Roman" w:hAnsi="Times New Roman" w:cs="Times New Roman"/>
          <w:i/>
        </w:rPr>
        <w:t>How NIKE, Inc.’s Commitment to Progress Champions Women and Girls</w:t>
      </w:r>
      <w:r>
        <w:rPr>
          <w:rFonts w:ascii="Times New Roman" w:hAnsi="Times New Roman" w:cs="Times New Roman"/>
        </w:rPr>
        <w:t xml:space="preserve">. </w:t>
      </w:r>
      <w:r>
        <w:fldChar w:fldCharType="begin"/>
      </w:r>
      <w:r>
        <w:instrText xml:space="preserve"> HYPERLINK "https://about.nike.com/en/newsroom/reports/fy22-nike-inc-impact-report" </w:instrText>
      </w:r>
      <w:r>
        <w:fldChar w:fldCharType="separate"/>
      </w:r>
      <w:r>
        <w:rPr>
          <w:rStyle w:val="17"/>
          <w:rFonts w:ascii="Times New Roman" w:hAnsi="Times New Roman" w:cs="Times New Roman"/>
          <w:shd w:val="clear" w:color="auto" w:fill="FFFFFF"/>
        </w:rPr>
        <w:t>https://about.nike.com/en/newsroom/reports/fy22-nike-inc-impact-report</w:t>
      </w:r>
      <w:r>
        <w:rPr>
          <w:rStyle w:val="17"/>
          <w:rFonts w:ascii="Times New Roman" w:hAnsi="Times New Roman" w:cs="Times New Roman"/>
          <w:shd w:val="clear" w:color="auto" w:fill="FFFFFF"/>
        </w:rPr>
        <w:fldChar w:fldCharType="end"/>
      </w:r>
    </w:p>
    <w:p>
      <w:pPr>
        <w:spacing w:after="0" w:line="360" w:lineRule="auto"/>
        <w:ind w:left="720" w:hanging="720"/>
        <w:contextualSpacing/>
        <w:jc w:val="both"/>
        <w:rPr>
          <w:rFonts w:ascii="Times New Roman" w:hAnsi="Times New Roman" w:cs="Times New Roman"/>
          <w:color w:val="222222"/>
          <w:shd w:val="clear" w:color="auto" w:fill="FFFFFF"/>
        </w:rPr>
      </w:pPr>
      <w:bookmarkStart w:id="79" w:name="_Hlk140779150"/>
      <w:r>
        <w:rPr>
          <w:rFonts w:ascii="Times New Roman" w:hAnsi="Times New Roman" w:cs="Times New Roman"/>
          <w:color w:val="222222"/>
          <w:shd w:val="clear" w:color="auto" w:fill="FFFFFF"/>
        </w:rPr>
        <w:t>Grover</w:t>
      </w:r>
      <w:bookmarkEnd w:id="79"/>
      <w:r>
        <w:rPr>
          <w:rFonts w:ascii="Times New Roman" w:hAnsi="Times New Roman" w:cs="Times New Roman"/>
          <w:color w:val="222222"/>
          <w:shd w:val="clear" w:color="auto" w:fill="FFFFFF"/>
        </w:rPr>
        <w:t>, V., Tseng, S. L., &amp; Pu, W. (2022). A theoretical perspective on organizational culture and digitalization. </w:t>
      </w:r>
      <w:r>
        <w:rPr>
          <w:rFonts w:ascii="Times New Roman" w:hAnsi="Times New Roman" w:cs="Times New Roman"/>
          <w:i/>
          <w:iCs/>
          <w:color w:val="222222"/>
          <w:shd w:val="clear" w:color="auto" w:fill="FFFFFF"/>
        </w:rPr>
        <w:t>Information &amp;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59</w:t>
      </w:r>
      <w:r>
        <w:rPr>
          <w:rFonts w:ascii="Times New Roman" w:hAnsi="Times New Roman" w:cs="Times New Roman"/>
          <w:color w:val="222222"/>
          <w:shd w:val="clear" w:color="auto" w:fill="FFFFFF"/>
        </w:rPr>
        <w:t>(4), 103639.</w:t>
      </w:r>
    </w:p>
    <w:p>
      <w:pPr>
        <w:spacing w:after="0" w:line="360" w:lineRule="auto"/>
        <w:ind w:left="720" w:hanging="720"/>
        <w:contextualSpacing/>
        <w:jc w:val="both"/>
        <w:rPr>
          <w:rFonts w:ascii="Times New Roman" w:hAnsi="Times New Roman" w:cs="Times New Roman"/>
          <w:color w:val="222222"/>
          <w:shd w:val="clear" w:color="auto" w:fill="FFFFFF"/>
        </w:rPr>
      </w:pPr>
      <w:bookmarkStart w:id="80" w:name="_Hlk140780485"/>
      <w:r>
        <w:rPr>
          <w:rFonts w:ascii="Times New Roman" w:hAnsi="Times New Roman" w:cs="Times New Roman"/>
          <w:color w:val="222222"/>
          <w:shd w:val="clear" w:color="auto" w:fill="FFFFFF"/>
        </w:rPr>
        <w:t>Heffron, E. (2019</w:t>
      </w:r>
      <w:bookmarkEnd w:id="80"/>
      <w:r>
        <w:rPr>
          <w:rFonts w:ascii="Times New Roman" w:hAnsi="Times New Roman" w:cs="Times New Roman"/>
          <w:color w:val="222222"/>
          <w:shd w:val="clear" w:color="auto" w:fill="FFFFFF"/>
        </w:rPr>
        <w:t>). Nike's Corporate Social Advocacy (CSA) Practices as Related to Strategic Issues Management (SIM) and Threats to Organizational Legitimacy.</w:t>
      </w:r>
    </w:p>
    <w:p>
      <w:pPr>
        <w:spacing w:after="0" w:line="360" w:lineRule="auto"/>
        <w:ind w:left="720" w:hanging="720"/>
        <w:contextualSpacing/>
        <w:jc w:val="both"/>
        <w:rPr>
          <w:rFonts w:ascii="Times New Roman" w:hAnsi="Times New Roman" w:cs="Times New Roman"/>
        </w:rPr>
      </w:pPr>
      <w:bookmarkStart w:id="81" w:name="_Hlk140775304"/>
      <w:r>
        <w:rPr>
          <w:rFonts w:ascii="Times New Roman" w:hAnsi="Times New Roman" w:cs="Times New Roman"/>
          <w:color w:val="222222"/>
          <w:shd w:val="clear" w:color="auto" w:fill="FFFFFF"/>
        </w:rPr>
        <w:t>Hoffman</w:t>
      </w:r>
      <w:bookmarkEnd w:id="81"/>
      <w:r>
        <w:rPr>
          <w:rFonts w:ascii="Times New Roman" w:hAnsi="Times New Roman" w:cs="Times New Roman"/>
          <w:color w:val="222222"/>
          <w:shd w:val="clear" w:color="auto" w:fill="FFFFFF"/>
        </w:rPr>
        <w:t>, A. N., Gold, N., &amp; Curtin, C. (2019). </w:t>
      </w:r>
      <w:r>
        <w:rPr>
          <w:rFonts w:ascii="Times New Roman" w:hAnsi="Times New Roman" w:cs="Times New Roman"/>
          <w:i/>
          <w:iCs/>
          <w:color w:val="222222"/>
          <w:shd w:val="clear" w:color="auto" w:fill="FFFFFF"/>
        </w:rPr>
        <w:t>Nike, Inc.: Late Arrival to the “Athleisure-wear” Trend</w:t>
      </w:r>
      <w:r>
        <w:rPr>
          <w:rFonts w:ascii="Times New Roman" w:hAnsi="Times New Roman" w:cs="Times New Roman"/>
          <w:color w:val="222222"/>
          <w:shd w:val="clear" w:color="auto" w:fill="FFFFFF"/>
        </w:rPr>
        <w:t>. Rotterdam School of Management, Erasmus University.</w:t>
      </w:r>
      <w:r>
        <w:rPr>
          <w:rFonts w:ascii="Times New Roman" w:hAnsi="Times New Roman" w:cs="Times New Roman"/>
        </w:rPr>
        <w:t xml:space="preserve"> </w:t>
      </w:r>
    </w:p>
    <w:p>
      <w:pPr>
        <w:spacing w:after="0" w:line="360" w:lineRule="auto"/>
        <w:ind w:left="720" w:hanging="720"/>
        <w:contextualSpacing/>
        <w:jc w:val="both"/>
        <w:rPr>
          <w:rFonts w:ascii="Times New Roman" w:hAnsi="Times New Roman" w:cs="Times New Roman"/>
        </w:rPr>
      </w:pPr>
      <w:bookmarkStart w:id="82" w:name="_Hlk140775279"/>
      <w:r>
        <w:rPr>
          <w:rFonts w:ascii="Times New Roman" w:hAnsi="Times New Roman" w:cs="Times New Roman"/>
          <w:color w:val="222222"/>
          <w:shd w:val="clear" w:color="auto" w:fill="FFFFFF"/>
        </w:rPr>
        <w:t>Jiang, W. (2019</w:t>
      </w:r>
      <w:bookmarkEnd w:id="82"/>
      <w:r>
        <w:rPr>
          <w:rFonts w:ascii="Times New Roman" w:hAnsi="Times New Roman" w:cs="Times New Roman"/>
          <w:color w:val="222222"/>
          <w:shd w:val="clear" w:color="auto" w:fill="FFFFFF"/>
        </w:rPr>
        <w:t>). Sustainable development of supply chain in the footwear industry–take Nike as the case. </w:t>
      </w:r>
      <w:r>
        <w:rPr>
          <w:rFonts w:ascii="Times New Roman" w:hAnsi="Times New Roman" w:cs="Times New Roman"/>
          <w:i/>
          <w:iCs/>
          <w:color w:val="222222"/>
          <w:shd w:val="clear" w:color="auto" w:fill="FFFFFF"/>
        </w:rPr>
        <w:t>Asian Business Research</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4</w:t>
      </w:r>
      <w:r>
        <w:rPr>
          <w:rFonts w:ascii="Times New Roman" w:hAnsi="Times New Roman" w:cs="Times New Roman"/>
          <w:color w:val="222222"/>
          <w:shd w:val="clear" w:color="auto" w:fill="FFFFFF"/>
        </w:rPr>
        <w:t>(3), 86.</w:t>
      </w:r>
      <w:r>
        <w:rPr>
          <w:rFonts w:ascii="Times New Roman" w:hAnsi="Times New Roman" w:cs="Times New Roman"/>
        </w:rPr>
        <w:t xml:space="preserve"> </w:t>
      </w:r>
    </w:p>
    <w:p>
      <w:pPr>
        <w:spacing w:after="0" w:line="360" w:lineRule="auto"/>
        <w:ind w:left="720" w:hanging="720"/>
        <w:contextualSpacing/>
        <w:jc w:val="both"/>
        <w:rPr>
          <w:rFonts w:ascii="Times New Roman" w:hAnsi="Times New Roman" w:cs="Times New Roman"/>
        </w:rPr>
      </w:pPr>
      <w:bookmarkStart w:id="83" w:name="_Hlk140775237"/>
      <w:r>
        <w:rPr>
          <w:rFonts w:ascii="Times New Roman" w:hAnsi="Times New Roman" w:cs="Times New Roman"/>
        </w:rPr>
        <w:t>Karneli, O. (2023</w:t>
      </w:r>
      <w:bookmarkEnd w:id="83"/>
      <w:r>
        <w:rPr>
          <w:rFonts w:ascii="Times New Roman" w:hAnsi="Times New Roman" w:cs="Times New Roman"/>
        </w:rPr>
        <w:t>). Analysis of motivation, work culture, and work environment on the level of employee integrity in the company. </w:t>
      </w:r>
      <w:r>
        <w:rPr>
          <w:rFonts w:ascii="Times New Roman" w:hAnsi="Times New Roman" w:cs="Times New Roman"/>
          <w:i/>
        </w:rPr>
        <w:t>International Journal of Environmental, Sustainability, and Social Science</w:t>
      </w:r>
      <w:r>
        <w:rPr>
          <w:rFonts w:ascii="Times New Roman" w:hAnsi="Times New Roman" w:cs="Times New Roman"/>
        </w:rPr>
        <w:t>, 4(2), 547-551.</w:t>
      </w:r>
    </w:p>
    <w:p>
      <w:pPr>
        <w:spacing w:after="0" w:line="360" w:lineRule="auto"/>
        <w:ind w:left="720" w:hanging="720"/>
        <w:contextualSpacing/>
        <w:jc w:val="both"/>
        <w:rPr>
          <w:rFonts w:ascii="Times New Roman" w:hAnsi="Times New Roman" w:cs="Times New Roman"/>
          <w:color w:val="222222"/>
          <w:shd w:val="clear" w:color="auto" w:fill="FFFFFF"/>
        </w:rPr>
      </w:pPr>
      <w:bookmarkStart w:id="84" w:name="_Hlk140787138"/>
      <w:r>
        <w:rPr>
          <w:rFonts w:ascii="Times New Roman" w:hAnsi="Times New Roman" w:cs="Times New Roman"/>
          <w:color w:val="222222"/>
          <w:shd w:val="clear" w:color="auto" w:fill="FFFFFF"/>
        </w:rPr>
        <w:t>Khan, S. (2020</w:t>
      </w:r>
      <w:bookmarkEnd w:id="84"/>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Nike and Adidas: A Rivalry Made in Heaven?</w:t>
      </w:r>
      <w:r>
        <w:rPr>
          <w:rFonts w:ascii="Times New Roman" w:hAnsi="Times New Roman" w:cs="Times New Roman"/>
          <w:color w:val="222222"/>
          <w:shd w:val="clear" w:color="auto" w:fill="FFFFFF"/>
        </w:rPr>
        <w:t>. SAGE Publications: SAGE Business Cases Originals.</w:t>
      </w:r>
    </w:p>
    <w:p>
      <w:pPr>
        <w:spacing w:after="0" w:line="360" w:lineRule="auto"/>
        <w:ind w:left="720" w:hanging="720"/>
        <w:contextualSpacing/>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Kim, M. (2020). How Phil Knight made Nike a leader in the sport industry: Examining the success factors. </w:t>
      </w:r>
      <w:r>
        <w:rPr>
          <w:rFonts w:ascii="Times New Roman" w:hAnsi="Times New Roman" w:cs="Times New Roman"/>
          <w:i/>
          <w:iCs/>
          <w:color w:val="222222"/>
          <w:shd w:val="clear" w:color="auto" w:fill="FFFFFF"/>
        </w:rPr>
        <w:t>Sport in Society</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23</w:t>
      </w:r>
      <w:r>
        <w:rPr>
          <w:rFonts w:ascii="Times New Roman" w:hAnsi="Times New Roman" w:cs="Times New Roman"/>
          <w:color w:val="222222"/>
          <w:shd w:val="clear" w:color="auto" w:fill="FFFFFF"/>
        </w:rPr>
        <w:t>(9), 1512-1523.</w:t>
      </w:r>
    </w:p>
    <w:p>
      <w:pPr>
        <w:spacing w:after="0" w:line="360" w:lineRule="auto"/>
        <w:ind w:left="720" w:hanging="720"/>
        <w:contextualSpacing/>
        <w:jc w:val="both"/>
        <w:rPr>
          <w:rFonts w:ascii="Times New Roman" w:hAnsi="Times New Roman" w:cs="Times New Roman"/>
        </w:rPr>
      </w:pPr>
      <w:bookmarkStart w:id="85" w:name="_Hlk140779008"/>
      <w:r>
        <w:rPr>
          <w:rFonts w:ascii="Times New Roman" w:hAnsi="Times New Roman" w:cs="Times New Roman"/>
        </w:rPr>
        <w:t>Liang</w:t>
      </w:r>
      <w:bookmarkEnd w:id="85"/>
      <w:r>
        <w:rPr>
          <w:rFonts w:ascii="Times New Roman" w:hAnsi="Times New Roman" w:cs="Times New Roman"/>
        </w:rPr>
        <w:t>, X., Luo, Y., Shao, X., &amp; Shi, X. (2022). Managing complementors in innovation ecosystems: A typology for generic strategies. </w:t>
      </w:r>
      <w:r>
        <w:rPr>
          <w:rFonts w:ascii="Times New Roman" w:hAnsi="Times New Roman" w:cs="Times New Roman"/>
          <w:i/>
        </w:rPr>
        <w:t>Industrial Management &amp; Data Systems,</w:t>
      </w:r>
      <w:r>
        <w:rPr>
          <w:rFonts w:ascii="Times New Roman" w:hAnsi="Times New Roman" w:cs="Times New Roman"/>
        </w:rPr>
        <w:t xml:space="preserve"> 122(9), 2072-2090.</w:t>
      </w:r>
    </w:p>
    <w:p>
      <w:pPr>
        <w:spacing w:after="0" w:line="360" w:lineRule="auto"/>
        <w:ind w:left="720" w:hanging="720"/>
        <w:contextualSpacing/>
        <w:jc w:val="both"/>
        <w:rPr>
          <w:rFonts w:ascii="Times New Roman" w:hAnsi="Times New Roman" w:cs="Times New Roman"/>
        </w:rPr>
      </w:pPr>
      <w:bookmarkStart w:id="86" w:name="_Hlk140775739"/>
      <w:r>
        <w:rPr>
          <w:rFonts w:ascii="Times New Roman" w:hAnsi="Times New Roman" w:cs="Times New Roman"/>
          <w:color w:val="222222"/>
          <w:shd w:val="clear" w:color="auto" w:fill="FFFFFF"/>
        </w:rPr>
        <w:t>Liu</w:t>
      </w:r>
      <w:bookmarkEnd w:id="86"/>
      <w:r>
        <w:rPr>
          <w:rFonts w:ascii="Times New Roman" w:hAnsi="Times New Roman" w:cs="Times New Roman"/>
          <w:color w:val="222222"/>
          <w:shd w:val="clear" w:color="auto" w:fill="FFFFFF"/>
        </w:rPr>
        <w:t>, S. Y., Napier, E., Runfola, A., &amp; Cavusgil, S. T. (2020). MNE-NGO partnerships for sustainability and social responsibility in the global fast-fashion industry: A loose-coupling perspective. </w:t>
      </w:r>
      <w:r>
        <w:rPr>
          <w:rFonts w:ascii="Times New Roman" w:hAnsi="Times New Roman" w:cs="Times New Roman"/>
          <w:i/>
          <w:iCs/>
          <w:color w:val="222222"/>
          <w:shd w:val="clear" w:color="auto" w:fill="FFFFFF"/>
        </w:rPr>
        <w:t>International Business Review</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29</w:t>
      </w:r>
      <w:r>
        <w:rPr>
          <w:rFonts w:ascii="Times New Roman" w:hAnsi="Times New Roman" w:cs="Times New Roman"/>
          <w:color w:val="222222"/>
          <w:shd w:val="clear" w:color="auto" w:fill="FFFFFF"/>
        </w:rPr>
        <w:t>(5), 101736.</w:t>
      </w:r>
      <w:r>
        <w:rPr>
          <w:rFonts w:ascii="Times New Roman" w:hAnsi="Times New Roman" w:cs="Times New Roman"/>
        </w:rPr>
        <w:t xml:space="preserve"> </w:t>
      </w:r>
    </w:p>
    <w:p>
      <w:pPr>
        <w:spacing w:after="0" w:line="360" w:lineRule="auto"/>
        <w:ind w:left="720" w:hanging="720"/>
        <w:contextualSpacing/>
        <w:jc w:val="both"/>
        <w:rPr>
          <w:rFonts w:ascii="Times New Roman" w:hAnsi="Times New Roman" w:cs="Times New Roman"/>
        </w:rPr>
      </w:pPr>
      <w:bookmarkStart w:id="87" w:name="_Hlk140779118"/>
      <w:r>
        <w:rPr>
          <w:rFonts w:ascii="Times New Roman" w:hAnsi="Times New Roman" w:cs="Times New Roman"/>
        </w:rPr>
        <w:t>López, D., &amp; Oliver, M. (2023</w:t>
      </w:r>
      <w:bookmarkEnd w:id="87"/>
      <w:r>
        <w:rPr>
          <w:rFonts w:ascii="Times New Roman" w:hAnsi="Times New Roman" w:cs="Times New Roman"/>
        </w:rPr>
        <w:t>). Integrating innovation into business strategy: Perspectives from innovation managers. </w:t>
      </w:r>
      <w:r>
        <w:rPr>
          <w:rFonts w:ascii="Times New Roman" w:hAnsi="Times New Roman" w:cs="Times New Roman"/>
          <w:i/>
        </w:rPr>
        <w:t>Sustainability,</w:t>
      </w:r>
      <w:r>
        <w:rPr>
          <w:rFonts w:ascii="Times New Roman" w:hAnsi="Times New Roman" w:cs="Times New Roman"/>
        </w:rPr>
        <w:t xml:space="preserve"> 15(8), 6503.</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color w:val="222222"/>
          <w:shd w:val="clear" w:color="auto" w:fill="FFFFFF"/>
        </w:rPr>
        <w:t>Mancuso, I., Petruzzelli, A. M., &amp; Panniello, U. (2023). Digital business model innovation in metaverse: How to approach virtual economy opportunities. </w:t>
      </w:r>
      <w:r>
        <w:rPr>
          <w:rFonts w:ascii="Times New Roman" w:hAnsi="Times New Roman" w:cs="Times New Roman"/>
          <w:i/>
          <w:iCs/>
          <w:color w:val="222222"/>
          <w:shd w:val="clear" w:color="auto" w:fill="FFFFFF"/>
        </w:rPr>
        <w:t>Information Processing &amp;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60</w:t>
      </w:r>
      <w:r>
        <w:rPr>
          <w:rFonts w:ascii="Times New Roman" w:hAnsi="Times New Roman" w:cs="Times New Roman"/>
          <w:color w:val="222222"/>
          <w:shd w:val="clear" w:color="auto" w:fill="FFFFFF"/>
        </w:rPr>
        <w:t>(5), 103457.</w:t>
      </w:r>
      <w:r>
        <w:rPr>
          <w:rFonts w:ascii="Times New Roman" w:hAnsi="Times New Roman" w:cs="Times New Roman"/>
        </w:rPr>
        <w:t xml:space="preserve"> </w:t>
      </w:r>
    </w:p>
    <w:p>
      <w:pPr>
        <w:spacing w:after="0" w:line="360" w:lineRule="auto"/>
        <w:ind w:left="720" w:hanging="720"/>
        <w:contextualSpacing/>
        <w:jc w:val="both"/>
        <w:rPr>
          <w:rFonts w:ascii="Times New Roman" w:hAnsi="Times New Roman" w:cs="Times New Roman"/>
        </w:rPr>
      </w:pPr>
      <w:r>
        <w:rPr>
          <w:rFonts w:ascii="Times New Roman" w:hAnsi="Times New Roman" w:eastAsia="Times New Roman" w:cs="Times New Roman"/>
          <w:color w:val="333333"/>
        </w:rPr>
        <w:t>Martinez-Contreras, R. M., Hernandez-Mora, N. C., Vargas-Leguizamon, Y. R., &amp; Borja-Barrera, S. M. (2022). PESTEL Analysis and Porter’s Five Forces: An Integrated Model of Strategic Sectors. In </w:t>
      </w:r>
      <w:r>
        <w:rPr>
          <w:rFonts w:ascii="Times New Roman" w:hAnsi="Times New Roman" w:eastAsia="Times New Roman" w:cs="Times New Roman"/>
          <w:i/>
          <w:iCs/>
          <w:color w:val="333333"/>
        </w:rPr>
        <w:t>Handbook of Research on Organizational Sustainability in Turbulent Economies</w:t>
      </w:r>
      <w:r>
        <w:rPr>
          <w:rFonts w:ascii="Times New Roman" w:hAnsi="Times New Roman" w:eastAsia="Times New Roman" w:cs="Times New Roman"/>
          <w:color w:val="333333"/>
        </w:rPr>
        <w:t> (pp. 292-314). IGI Global.</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rPr>
        <w:t xml:space="preserve">Maury, B. (2022). Strategic CSR and firm performance: The role of prospector and growth strategies. Journal </w:t>
      </w:r>
      <w:r>
        <w:rPr>
          <w:rFonts w:ascii="Times New Roman" w:hAnsi="Times New Roman" w:cs="Times New Roman"/>
          <w:i/>
          <w:iCs/>
        </w:rPr>
        <w:t>of Economics and Business, 118</w:t>
      </w:r>
      <w:r>
        <w:rPr>
          <w:rFonts w:ascii="Times New Roman" w:hAnsi="Times New Roman" w:cs="Times New Roman"/>
        </w:rPr>
        <w:t>, 106031.</w:t>
      </w:r>
    </w:p>
    <w:p>
      <w:pPr>
        <w:spacing w:after="0" w:line="360" w:lineRule="auto"/>
        <w:ind w:left="720" w:hanging="720"/>
        <w:contextualSpacing/>
        <w:jc w:val="both"/>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Meng, S., Wei, B., Xu, G., &amp; Zhang, R. (2021, September). Analysis of Enterprise Operation Under the Impact of COVID-19 Epidemic: A Case Study of Nike Inc. In </w:t>
      </w:r>
      <w:r>
        <w:rPr>
          <w:rFonts w:ascii="Times New Roman" w:hAnsi="Times New Roman" w:cs="Times New Roman"/>
          <w:i/>
          <w:iCs/>
          <w:color w:val="222222"/>
          <w:shd w:val="clear" w:color="auto" w:fill="FFFFFF"/>
        </w:rPr>
        <w:t>2021 International Conference on Financial Management and Economic Transition (FMET 2021)</w:t>
      </w:r>
      <w:r>
        <w:rPr>
          <w:rFonts w:ascii="Times New Roman" w:hAnsi="Times New Roman" w:cs="Times New Roman"/>
          <w:color w:val="222222"/>
          <w:shd w:val="clear" w:color="auto" w:fill="FFFFFF"/>
        </w:rPr>
        <w:t> (pp. 137-145). Atlantis Press.</w:t>
      </w:r>
    </w:p>
    <w:p>
      <w:pPr>
        <w:spacing w:after="0" w:line="360" w:lineRule="auto"/>
        <w:ind w:left="720" w:hanging="720"/>
        <w:contextualSpacing/>
        <w:jc w:val="both"/>
        <w:rPr>
          <w:rFonts w:ascii="Times New Roman" w:hAnsi="Times New Roman" w:cs="Times New Roman"/>
          <w:color w:val="222222"/>
          <w:shd w:val="clear" w:color="auto" w:fill="FFFFFF"/>
        </w:rPr>
      </w:pPr>
      <w:bookmarkStart w:id="88" w:name="_Hlk140775662"/>
      <w:r>
        <w:rPr>
          <w:rFonts w:ascii="Times New Roman" w:hAnsi="Times New Roman" w:cs="Times New Roman"/>
          <w:color w:val="222222"/>
          <w:shd w:val="clear" w:color="auto" w:fill="FFFFFF"/>
        </w:rPr>
        <w:t>Merikanto, S. (2019</w:t>
      </w:r>
      <w:bookmarkEnd w:id="88"/>
      <w:r>
        <w:rPr>
          <w:rFonts w:ascii="Times New Roman" w:hAnsi="Times New Roman" w:cs="Times New Roman"/>
          <w:color w:val="222222"/>
          <w:shd w:val="clear" w:color="auto" w:fill="FFFFFF"/>
        </w:rPr>
        <w:t>). Controversial Marketing-A successful strategy to grow a brand or risky approach? Case study: Nike Inc.</w:t>
      </w:r>
    </w:p>
    <w:p>
      <w:pPr>
        <w:spacing w:after="0" w:line="360" w:lineRule="auto"/>
        <w:ind w:left="720" w:hanging="720"/>
        <w:contextualSpacing/>
        <w:jc w:val="both"/>
        <w:rPr>
          <w:rFonts w:ascii="Times New Roman" w:hAnsi="Times New Roman" w:cs="Times New Roman"/>
        </w:rPr>
      </w:pPr>
      <w:bookmarkStart w:id="89" w:name="_Hlk140773402"/>
      <w:r>
        <w:rPr>
          <w:rFonts w:ascii="Times New Roman" w:hAnsi="Times New Roman" w:cs="Times New Roman"/>
          <w:color w:val="222222"/>
          <w:shd w:val="clear" w:color="auto" w:fill="FFFFFF"/>
        </w:rPr>
        <w:t>Ng</w:t>
      </w:r>
      <w:bookmarkEnd w:id="89"/>
      <w:r>
        <w:rPr>
          <w:rFonts w:ascii="Times New Roman" w:hAnsi="Times New Roman" w:cs="Times New Roman"/>
          <w:color w:val="222222"/>
          <w:shd w:val="clear" w:color="auto" w:fill="FFFFFF"/>
        </w:rPr>
        <w:t>, K. Y. N. (2022). Effects of organizational culture, affective commitment and trust on knowledge-sharing tendency. </w:t>
      </w:r>
      <w:r>
        <w:rPr>
          <w:rFonts w:ascii="Times New Roman" w:hAnsi="Times New Roman" w:cs="Times New Roman"/>
          <w:i/>
          <w:iCs/>
          <w:color w:val="222222"/>
          <w:shd w:val="clear" w:color="auto" w:fill="FFFFFF"/>
        </w:rPr>
        <w:t>Journal of Knowledge Management</w:t>
      </w:r>
      <w:r>
        <w:rPr>
          <w:rFonts w:ascii="Times New Roman" w:hAnsi="Times New Roman" w:cs="Times New Roman"/>
          <w:color w:val="222222"/>
          <w:shd w:val="clear" w:color="auto" w:fill="FFFFFF"/>
        </w:rPr>
        <w:t>, (ahead-of-print).</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rPr>
        <w:t>Ng, K. Y. N. (2023). Effects of organizational culture, affective commitment and trust on knowledge-sharing tendency. </w:t>
      </w:r>
      <w:r>
        <w:rPr>
          <w:rFonts w:ascii="Times New Roman" w:hAnsi="Times New Roman" w:cs="Times New Roman"/>
          <w:i/>
        </w:rPr>
        <w:t>Journal of Knowledge Management,</w:t>
      </w:r>
      <w:r>
        <w:rPr>
          <w:rFonts w:ascii="Times New Roman" w:hAnsi="Times New Roman" w:cs="Times New Roman"/>
        </w:rPr>
        <w:t xml:space="preserve"> 27(4), 1140-1164.</w:t>
      </w:r>
    </w:p>
    <w:p>
      <w:pPr>
        <w:spacing w:after="0" w:line="360" w:lineRule="auto"/>
        <w:ind w:left="720" w:hanging="720"/>
        <w:contextualSpacing/>
        <w:jc w:val="both"/>
        <w:rPr>
          <w:rFonts w:ascii="Times New Roman" w:hAnsi="Times New Roman" w:cs="Times New Roman"/>
        </w:rPr>
      </w:pPr>
      <w:bookmarkStart w:id="90" w:name="_Hlk140779193"/>
      <w:r>
        <w:rPr>
          <w:rFonts w:ascii="Times New Roman" w:hAnsi="Times New Roman" w:cs="Times New Roman"/>
          <w:color w:val="222222"/>
          <w:shd w:val="clear" w:color="auto" w:fill="FFFFFF"/>
        </w:rPr>
        <w:t>Nguyen, Q. (2023</w:t>
      </w:r>
      <w:bookmarkEnd w:id="90"/>
      <w:r>
        <w:rPr>
          <w:rFonts w:ascii="Times New Roman" w:hAnsi="Times New Roman" w:cs="Times New Roman"/>
          <w:color w:val="222222"/>
          <w:shd w:val="clear" w:color="auto" w:fill="FFFFFF"/>
        </w:rPr>
        <w:t>). A research on controversy marketing of Nike.</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rPr>
        <w:t xml:space="preserve">Nike.com., (2023). </w:t>
      </w:r>
      <w:r>
        <w:rPr>
          <w:rFonts w:ascii="Times New Roman" w:hAnsi="Times New Roman" w:cs="Times New Roman"/>
          <w:i/>
        </w:rPr>
        <w:t>Inclusivity and Diversity in Opportunities</w:t>
      </w:r>
      <w:r>
        <w:rPr>
          <w:rFonts w:ascii="Times New Roman" w:hAnsi="Times New Roman" w:cs="Times New Roman"/>
        </w:rPr>
        <w:t xml:space="preserve">. </w:t>
      </w:r>
      <w:r>
        <w:fldChar w:fldCharType="begin"/>
      </w:r>
      <w:r>
        <w:instrText xml:space="preserve"> HYPERLINK "https://jobs.nike.com/diversity-equity-and-inclusion" </w:instrText>
      </w:r>
      <w:r>
        <w:fldChar w:fldCharType="separate"/>
      </w:r>
      <w:r>
        <w:rPr>
          <w:rStyle w:val="17"/>
          <w:rFonts w:ascii="Times New Roman" w:hAnsi="Times New Roman" w:cs="Times New Roman"/>
        </w:rPr>
        <w:t>https://jobs.nike.com/diversity-equity-and-inclusion</w:t>
      </w:r>
      <w:r>
        <w:rPr>
          <w:rStyle w:val="17"/>
          <w:rFonts w:ascii="Times New Roman" w:hAnsi="Times New Roman" w:cs="Times New Roman"/>
        </w:rPr>
        <w:fldChar w:fldCharType="end"/>
      </w:r>
    </w:p>
    <w:p>
      <w:pPr>
        <w:spacing w:after="0" w:line="360" w:lineRule="auto"/>
        <w:ind w:left="720" w:hanging="720"/>
        <w:contextualSpacing/>
        <w:jc w:val="both"/>
        <w:rPr>
          <w:rFonts w:ascii="Times New Roman" w:hAnsi="Times New Roman" w:cs="Times New Roman"/>
          <w:color w:val="222222"/>
          <w:shd w:val="clear" w:color="auto" w:fill="FFFFFF"/>
        </w:rPr>
      </w:pPr>
      <w:bookmarkStart w:id="91" w:name="_Hlk140833881"/>
      <w:r>
        <w:rPr>
          <w:rFonts w:ascii="Times New Roman" w:hAnsi="Times New Roman" w:cs="Times New Roman"/>
          <w:color w:val="222222"/>
          <w:shd w:val="clear" w:color="auto" w:fill="FFFFFF"/>
        </w:rPr>
        <w:t>Novelli, R. (2022</w:t>
      </w:r>
      <w:bookmarkEnd w:id="91"/>
      <w:r>
        <w:rPr>
          <w:rFonts w:ascii="Times New Roman" w:hAnsi="Times New Roman" w:cs="Times New Roman"/>
          <w:color w:val="222222"/>
          <w:shd w:val="clear" w:color="auto" w:fill="FFFFFF"/>
        </w:rPr>
        <w:t>). Should I stay or should I go?" Brands against the war: a study on the reactions of global brands and online users in the Russia-Ukraine crisis.</w:t>
      </w:r>
    </w:p>
    <w:p>
      <w:pPr>
        <w:spacing w:after="0" w:line="360" w:lineRule="auto"/>
        <w:ind w:left="720" w:hanging="720"/>
        <w:contextualSpacing/>
        <w:jc w:val="both"/>
        <w:rPr>
          <w:rFonts w:ascii="Times New Roman" w:hAnsi="Times New Roman" w:cs="Times New Roman"/>
        </w:rPr>
      </w:pPr>
      <w:bookmarkStart w:id="92" w:name="_Hlk140787231"/>
      <w:r>
        <w:rPr>
          <w:rFonts w:ascii="Times New Roman" w:hAnsi="Times New Roman" w:cs="Times New Roman"/>
          <w:color w:val="222222"/>
          <w:shd w:val="clear" w:color="auto" w:fill="FFFFFF"/>
        </w:rPr>
        <w:t>Pontes, N., &amp; Pontes, V. (2021</w:t>
      </w:r>
      <w:bookmarkEnd w:id="92"/>
      <w:r>
        <w:rPr>
          <w:rFonts w:ascii="Times New Roman" w:hAnsi="Times New Roman" w:cs="Times New Roman"/>
          <w:color w:val="222222"/>
          <w:shd w:val="clear" w:color="auto" w:fill="FFFFFF"/>
        </w:rPr>
        <w:t>). Spillover effects of competitive rivalry on brand extensions. </w:t>
      </w:r>
      <w:r>
        <w:rPr>
          <w:rFonts w:ascii="Times New Roman" w:hAnsi="Times New Roman" w:cs="Times New Roman"/>
          <w:i/>
          <w:iCs/>
          <w:color w:val="222222"/>
          <w:shd w:val="clear" w:color="auto" w:fill="FFFFFF"/>
        </w:rPr>
        <w:t>Journal of Brand Management</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28</w:t>
      </w:r>
      <w:r>
        <w:rPr>
          <w:rFonts w:ascii="Times New Roman" w:hAnsi="Times New Roman" w:cs="Times New Roman"/>
          <w:color w:val="222222"/>
          <w:shd w:val="clear" w:color="auto" w:fill="FFFFFF"/>
        </w:rPr>
        <w:t>, 402-412.</w:t>
      </w:r>
    </w:p>
    <w:p>
      <w:pPr>
        <w:spacing w:after="0" w:line="360" w:lineRule="auto"/>
        <w:ind w:left="720" w:hanging="720"/>
        <w:contextualSpacing/>
        <w:jc w:val="both"/>
        <w:rPr>
          <w:rFonts w:ascii="Times New Roman" w:hAnsi="Times New Roman" w:cs="Times New Roman"/>
          <w:color w:val="222222"/>
          <w:shd w:val="clear" w:color="auto" w:fill="FFFFFF"/>
        </w:rPr>
      </w:pPr>
      <w:bookmarkStart w:id="93" w:name="_Hlk140780860"/>
      <w:r>
        <w:rPr>
          <w:rFonts w:ascii="Times New Roman" w:hAnsi="Times New Roman" w:cs="Times New Roman"/>
          <w:color w:val="222222"/>
          <w:shd w:val="clear" w:color="auto" w:fill="FFFFFF"/>
        </w:rPr>
        <w:t>Powley, E. H., &amp; Cameron, K. S. (2020</w:t>
      </w:r>
      <w:bookmarkEnd w:id="93"/>
      <w:r>
        <w:rPr>
          <w:rFonts w:ascii="Times New Roman" w:hAnsi="Times New Roman" w:cs="Times New Roman"/>
          <w:color w:val="222222"/>
          <w:shd w:val="clear" w:color="auto" w:fill="FFFFFF"/>
        </w:rPr>
        <w:t>). 18. Resilience and organizational culture: a competing values perspective. </w:t>
      </w:r>
      <w:r>
        <w:rPr>
          <w:rFonts w:ascii="Times New Roman" w:hAnsi="Times New Roman" w:cs="Times New Roman"/>
          <w:i/>
          <w:iCs/>
          <w:color w:val="222222"/>
          <w:shd w:val="clear" w:color="auto" w:fill="FFFFFF"/>
        </w:rPr>
        <w:t>Research Handbook on Organizational Resilience</w:t>
      </w:r>
      <w:r>
        <w:rPr>
          <w:rFonts w:ascii="Times New Roman" w:hAnsi="Times New Roman" w:cs="Times New Roman"/>
          <w:color w:val="222222"/>
          <w:shd w:val="clear" w:color="auto" w:fill="FFFFFF"/>
        </w:rPr>
        <w:t>, 261.</w:t>
      </w:r>
    </w:p>
    <w:p>
      <w:pPr>
        <w:spacing w:after="0" w:line="360" w:lineRule="auto"/>
        <w:ind w:left="720" w:hanging="720"/>
        <w:contextualSpacing/>
        <w:jc w:val="both"/>
        <w:rPr>
          <w:rFonts w:ascii="Times New Roman" w:hAnsi="Times New Roman" w:eastAsia="Times New Roman" w:cs="Times New Roman"/>
          <w:color w:val="333333"/>
        </w:rPr>
      </w:pPr>
      <w:bookmarkStart w:id="94" w:name="_Hlk140815767"/>
      <w:r>
        <w:rPr>
          <w:rFonts w:ascii="Times New Roman" w:hAnsi="Times New Roman" w:eastAsia="Times New Roman" w:cs="Times New Roman"/>
          <w:color w:val="333333"/>
        </w:rPr>
        <w:t>Puyt</w:t>
      </w:r>
      <w:bookmarkEnd w:id="94"/>
      <w:r>
        <w:rPr>
          <w:rFonts w:ascii="Times New Roman" w:hAnsi="Times New Roman" w:eastAsia="Times New Roman" w:cs="Times New Roman"/>
          <w:color w:val="333333"/>
        </w:rPr>
        <w:t>, R., Lie, F. B., De Graaf, F. J., &amp; Wilderom, C. P. (2020). Origins of SWOT analysis. In </w:t>
      </w:r>
      <w:r>
        <w:rPr>
          <w:rFonts w:ascii="Times New Roman" w:hAnsi="Times New Roman" w:eastAsia="Times New Roman" w:cs="Times New Roman"/>
          <w:i/>
          <w:iCs/>
          <w:color w:val="333333"/>
        </w:rPr>
        <w:t>Academy of Management Proceedings</w:t>
      </w:r>
      <w:r>
        <w:rPr>
          <w:rFonts w:ascii="Times New Roman" w:hAnsi="Times New Roman" w:eastAsia="Times New Roman" w:cs="Times New Roman"/>
          <w:color w:val="333333"/>
        </w:rPr>
        <w:t> (Vol. 2020, No. 1, p. 17416). Briarcliff Manor, NY 10510: Academy of Management.</w:t>
      </w:r>
    </w:p>
    <w:p>
      <w:pPr>
        <w:shd w:val="clear" w:color="auto" w:fill="FFFFFF"/>
        <w:spacing w:after="0" w:line="360" w:lineRule="auto"/>
        <w:ind w:left="720" w:hanging="720"/>
        <w:contextualSpacing/>
        <w:jc w:val="both"/>
        <w:rPr>
          <w:rFonts w:ascii="Times New Roman" w:hAnsi="Times New Roman" w:eastAsia="Times New Roman" w:cs="Times New Roman"/>
          <w:color w:val="333333"/>
        </w:rPr>
      </w:pPr>
      <w:r>
        <w:rPr>
          <w:rFonts w:ascii="Times New Roman" w:hAnsi="Times New Roman" w:eastAsia="Times New Roman" w:cs="Times New Roman"/>
          <w:color w:val="333333"/>
        </w:rPr>
        <w:t>Quezada, L. E., Reinao, E. A., Palominos, P. I., &amp; Oddershede, A. M. (2019). Measuring performance using SWOT analysis and balanced scorecard. </w:t>
      </w:r>
      <w:r>
        <w:rPr>
          <w:rFonts w:ascii="Times New Roman" w:hAnsi="Times New Roman" w:eastAsia="Times New Roman" w:cs="Times New Roman"/>
          <w:i/>
          <w:iCs/>
          <w:color w:val="333333"/>
        </w:rPr>
        <w:t>Procedia Manufacturing, 39</w:t>
      </w:r>
      <w:r>
        <w:rPr>
          <w:rFonts w:ascii="Times New Roman" w:hAnsi="Times New Roman" w:eastAsia="Times New Roman" w:cs="Times New Roman"/>
          <w:color w:val="333333"/>
        </w:rPr>
        <w:t>, 786-793.</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color w:val="222222"/>
          <w:shd w:val="clear" w:color="auto" w:fill="FFFFFF"/>
        </w:rPr>
        <w:t>Singh, S. (2021). </w:t>
      </w:r>
      <w:r>
        <w:rPr>
          <w:rFonts w:ascii="Times New Roman" w:hAnsi="Times New Roman" w:cs="Times New Roman"/>
          <w:i/>
          <w:iCs/>
          <w:color w:val="222222"/>
          <w:shd w:val="clear" w:color="auto" w:fill="FFFFFF"/>
        </w:rPr>
        <w:t>Best Suited International Marketing Strategy for MNCs-Standardization, Adaptation of Combination-A Case of Sports Apparel Maker Nike in the Indian Market</w:t>
      </w:r>
      <w:r>
        <w:rPr>
          <w:rFonts w:ascii="Times New Roman" w:hAnsi="Times New Roman" w:cs="Times New Roman"/>
          <w:color w:val="222222"/>
          <w:shd w:val="clear" w:color="auto" w:fill="FFFFFF"/>
        </w:rPr>
        <w:t> (Doctoral dissertation, Dublin, National College of Ireland).</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rPr>
        <w:t xml:space="preserve">Statista. Com., (2023)., </w:t>
      </w:r>
      <w:r>
        <w:rPr>
          <w:rFonts w:ascii="Times New Roman" w:hAnsi="Times New Roman" w:cs="Times New Roman"/>
          <w:i/>
        </w:rPr>
        <w:t>Nike’s Competitors Performance in North America</w:t>
      </w:r>
      <w:r>
        <w:rPr>
          <w:rFonts w:ascii="Times New Roman" w:hAnsi="Times New Roman" w:cs="Times New Roman"/>
        </w:rPr>
        <w:t xml:space="preserve">.  </w:t>
      </w:r>
      <w:r>
        <w:fldChar w:fldCharType="begin"/>
      </w:r>
      <w:r>
        <w:instrText xml:space="preserve"> HYPERLINK "https://www.statista.com/statistics/820487/adidas-reebok-net-sales-north-america/" \l "statisticContainer" </w:instrText>
      </w:r>
      <w:r>
        <w:fldChar w:fldCharType="separate"/>
      </w:r>
      <w:r>
        <w:rPr>
          <w:rStyle w:val="17"/>
          <w:rFonts w:ascii="Times New Roman" w:hAnsi="Times New Roman" w:cs="Times New Roman"/>
        </w:rPr>
        <w:t>adidas and Reebok sales in North America 2016-2020 | Statista</w:t>
      </w:r>
      <w:r>
        <w:rPr>
          <w:rStyle w:val="17"/>
          <w:rFonts w:ascii="Times New Roman" w:hAnsi="Times New Roman" w:cs="Times New Roman"/>
        </w:rPr>
        <w:fldChar w:fldCharType="end"/>
      </w:r>
    </w:p>
    <w:p>
      <w:pPr>
        <w:spacing w:after="0" w:line="360" w:lineRule="auto"/>
        <w:ind w:left="720" w:hanging="720"/>
        <w:contextualSpacing/>
        <w:jc w:val="both"/>
        <w:rPr>
          <w:rFonts w:ascii="Times New Roman" w:hAnsi="Times New Roman" w:eastAsia="Times New Roman" w:cs="Times New Roman"/>
          <w:color w:val="333333"/>
        </w:rPr>
      </w:pPr>
      <w:r>
        <w:rPr>
          <w:rFonts w:ascii="Times New Roman" w:hAnsi="Times New Roman" w:cs="Times New Roman"/>
        </w:rPr>
        <w:t xml:space="preserve">Statista.com., (2023). </w:t>
      </w:r>
      <w:r>
        <w:rPr>
          <w:rFonts w:ascii="Times New Roman" w:hAnsi="Times New Roman" w:cs="Times New Roman"/>
          <w:i/>
        </w:rPr>
        <w:t>Nike Market Overview</w:t>
      </w:r>
      <w:r>
        <w:rPr>
          <w:rFonts w:ascii="Times New Roman" w:hAnsi="Times New Roman" w:cs="Times New Roman"/>
        </w:rPr>
        <w:t xml:space="preserve">. </w:t>
      </w:r>
      <w:r>
        <w:fldChar w:fldCharType="begin"/>
      </w:r>
      <w:r>
        <w:instrText xml:space="preserve"> HYPERLINK "https://www.statista.com/topics/1243/nike/" \l "dossier-chapter1" </w:instrText>
      </w:r>
      <w:r>
        <w:fldChar w:fldCharType="separate"/>
      </w:r>
      <w:r>
        <w:rPr>
          <w:rStyle w:val="17"/>
          <w:rFonts w:ascii="Times New Roman" w:hAnsi="Times New Roman" w:cs="Times New Roman"/>
        </w:rPr>
        <w:t>Nike - Statistics &amp; Facts | Statista</w:t>
      </w:r>
      <w:r>
        <w:rPr>
          <w:rStyle w:val="17"/>
          <w:rFonts w:ascii="Times New Roman" w:hAnsi="Times New Roman" w:cs="Times New Roman"/>
        </w:rPr>
        <w:fldChar w:fldCharType="end"/>
      </w:r>
    </w:p>
    <w:p>
      <w:pPr>
        <w:spacing w:after="0" w:line="360" w:lineRule="auto"/>
        <w:ind w:left="720" w:hanging="720"/>
        <w:contextualSpacing/>
        <w:jc w:val="both"/>
        <w:rPr>
          <w:rFonts w:ascii="Times New Roman" w:hAnsi="Times New Roman" w:cs="Times New Roman"/>
        </w:rPr>
      </w:pPr>
      <w:r>
        <w:rPr>
          <w:rFonts w:ascii="Times New Roman" w:hAnsi="Times New Roman" w:cs="Times New Roman"/>
        </w:rPr>
        <w:t xml:space="preserve">Statista.com., (2023). </w:t>
      </w:r>
      <w:r>
        <w:rPr>
          <w:rFonts w:ascii="Times New Roman" w:hAnsi="Times New Roman" w:cs="Times New Roman"/>
          <w:i/>
        </w:rPr>
        <w:t>NIKE’s Product Revenue Per Division</w:t>
      </w:r>
      <w:r>
        <w:rPr>
          <w:rFonts w:ascii="Times New Roman" w:hAnsi="Times New Roman" w:cs="Times New Roman"/>
        </w:rPr>
        <w:t xml:space="preserve">.  </w:t>
      </w:r>
      <w:r>
        <w:fldChar w:fldCharType="begin"/>
      </w:r>
      <w:r>
        <w:instrText xml:space="preserve"> HYPERLINK "https://www.statista.com/statistics/412760/nike-global-revenue-share-by-product/" </w:instrText>
      </w:r>
      <w:r>
        <w:fldChar w:fldCharType="separate"/>
      </w:r>
      <w:r>
        <w:rPr>
          <w:rStyle w:val="17"/>
          <w:rFonts w:ascii="Times New Roman" w:hAnsi="Times New Roman" w:cs="Times New Roman"/>
        </w:rPr>
        <w:t>Nike: revenue share by product type worldwide 2022 | Statista</w:t>
      </w:r>
      <w:r>
        <w:rPr>
          <w:rStyle w:val="17"/>
          <w:rFonts w:ascii="Times New Roman" w:hAnsi="Times New Roman" w:cs="Times New Roman"/>
        </w:rPr>
        <w:fldChar w:fldCharType="end"/>
      </w:r>
    </w:p>
    <w:p>
      <w:pPr>
        <w:spacing w:after="0" w:line="360" w:lineRule="auto"/>
        <w:ind w:left="720" w:hanging="720"/>
        <w:contextualSpacing/>
        <w:jc w:val="both"/>
        <w:rPr>
          <w:rFonts w:ascii="Times New Roman" w:hAnsi="Times New Roman" w:cs="Times New Roman"/>
        </w:rPr>
      </w:pPr>
      <w:bookmarkStart w:id="95" w:name="_Hlk140785302"/>
      <w:r>
        <w:rPr>
          <w:rFonts w:ascii="Times New Roman" w:hAnsi="Times New Roman" w:cs="Times New Roman"/>
        </w:rPr>
        <w:t>StudyCorgi. (2022</w:t>
      </w:r>
      <w:bookmarkEnd w:id="95"/>
      <w:r>
        <w:rPr>
          <w:rFonts w:ascii="Times New Roman" w:hAnsi="Times New Roman" w:cs="Times New Roman"/>
        </w:rPr>
        <w:t xml:space="preserve">, October 28). Nike’s External and Internal Business Environments. </w:t>
      </w:r>
      <w:r>
        <w:fldChar w:fldCharType="begin"/>
      </w:r>
      <w:r>
        <w:instrText xml:space="preserve"> HYPERLINK "https://studycorgi.com/nikes-external-and-internal-business-environments/" </w:instrText>
      </w:r>
      <w:r>
        <w:fldChar w:fldCharType="separate"/>
      </w:r>
      <w:r>
        <w:rPr>
          <w:rStyle w:val="17"/>
          <w:rFonts w:ascii="Times New Roman" w:hAnsi="Times New Roman" w:cs="Times New Roman"/>
        </w:rPr>
        <w:t>https://studycorgi.com/nikes-external-and-internal-business-environments/</w:t>
      </w:r>
      <w:r>
        <w:rPr>
          <w:rStyle w:val="17"/>
          <w:rFonts w:ascii="Times New Roman" w:hAnsi="Times New Roman" w:cs="Times New Roman"/>
        </w:rPr>
        <w:fldChar w:fldCharType="end"/>
      </w:r>
    </w:p>
    <w:p>
      <w:pPr>
        <w:spacing w:after="0" w:line="360" w:lineRule="auto"/>
        <w:ind w:left="720" w:hanging="720"/>
        <w:contextualSpacing/>
        <w:jc w:val="both"/>
        <w:rPr>
          <w:rFonts w:ascii="Times New Roman" w:hAnsi="Times New Roman" w:cs="Times New Roman"/>
        </w:rPr>
      </w:pPr>
      <w:bookmarkStart w:id="96" w:name="_Hlk140778907"/>
      <w:r>
        <w:rPr>
          <w:rFonts w:ascii="Times New Roman" w:hAnsi="Times New Roman" w:cs="Times New Roman"/>
          <w:color w:val="222222"/>
          <w:shd w:val="clear" w:color="auto" w:fill="FFFFFF"/>
        </w:rPr>
        <w:t>Sulumov, I., &amp; Tavbulatova, Z. (2021</w:t>
      </w:r>
      <w:bookmarkEnd w:id="96"/>
      <w:r>
        <w:rPr>
          <w:rFonts w:ascii="Times New Roman" w:hAnsi="Times New Roman" w:cs="Times New Roman"/>
          <w:color w:val="222222"/>
          <w:shd w:val="clear" w:color="auto" w:fill="FFFFFF"/>
        </w:rPr>
        <w:t>, March). Formation of a Corporate Culture Conducive to the Implementation of Breakthrough Innovative Projects. In </w:t>
      </w:r>
      <w:r>
        <w:rPr>
          <w:rFonts w:ascii="Times New Roman" w:hAnsi="Times New Roman" w:cs="Times New Roman"/>
          <w:i/>
          <w:iCs/>
          <w:color w:val="222222"/>
          <w:shd w:val="clear" w:color="auto" w:fill="FFFFFF"/>
        </w:rPr>
        <w:t>VIII International Scientific and Practical Conference'Current problems of social and labour relations'(ISPC-CPSLR 2020)</w:t>
      </w:r>
      <w:r>
        <w:rPr>
          <w:rFonts w:ascii="Times New Roman" w:hAnsi="Times New Roman" w:cs="Times New Roman"/>
          <w:color w:val="222222"/>
          <w:shd w:val="clear" w:color="auto" w:fill="FFFFFF"/>
        </w:rPr>
        <w:t> (pp. 659-663). Atlantis Press.</w:t>
      </w:r>
    </w:p>
    <w:p>
      <w:pPr>
        <w:spacing w:after="0" w:line="360" w:lineRule="auto"/>
        <w:ind w:left="720" w:hanging="720"/>
        <w:contextualSpacing/>
        <w:jc w:val="both"/>
        <w:rPr>
          <w:rFonts w:ascii="Times New Roman" w:hAnsi="Times New Roman" w:cs="Times New Roman"/>
          <w:color w:val="222222"/>
          <w:shd w:val="clear" w:color="auto" w:fill="FFFFFF"/>
        </w:rPr>
      </w:pPr>
      <w:bookmarkStart w:id="97" w:name="_Hlk140778853"/>
      <w:r>
        <w:rPr>
          <w:rFonts w:ascii="Times New Roman" w:hAnsi="Times New Roman" w:cs="Times New Roman"/>
          <w:color w:val="222222"/>
          <w:shd w:val="clear" w:color="auto" w:fill="FFFFFF"/>
        </w:rPr>
        <w:t>Taql</w:t>
      </w:r>
      <w:bookmarkEnd w:id="97"/>
      <w:r>
        <w:rPr>
          <w:rFonts w:ascii="Times New Roman" w:hAnsi="Times New Roman" w:cs="Times New Roman"/>
          <w:color w:val="222222"/>
          <w:shd w:val="clear" w:color="auto" w:fill="FFFFFF"/>
        </w:rPr>
        <w:t>, M., Poursoltani Zarandi, H., &amp; Shajie, R. (2023). The role of market orientation in the relationship between innovation culture and the development of Nike brand marketing strategy in Shiraz. </w:t>
      </w:r>
      <w:r>
        <w:rPr>
          <w:rFonts w:ascii="Times New Roman" w:hAnsi="Times New Roman" w:cs="Times New Roman"/>
          <w:i/>
          <w:iCs/>
          <w:color w:val="222222"/>
          <w:shd w:val="clear" w:color="auto" w:fill="FFFFFF"/>
        </w:rPr>
        <w:t>Sports Marketing Studies</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4</w:t>
      </w:r>
      <w:r>
        <w:rPr>
          <w:rFonts w:ascii="Times New Roman" w:hAnsi="Times New Roman" w:cs="Times New Roman"/>
          <w:color w:val="222222"/>
          <w:shd w:val="clear" w:color="auto" w:fill="FFFFFF"/>
        </w:rPr>
        <w:t>(1).</w:t>
      </w:r>
    </w:p>
    <w:p>
      <w:pPr>
        <w:spacing w:after="0" w:line="360" w:lineRule="auto"/>
        <w:ind w:left="720" w:hanging="720"/>
        <w:contextualSpacing/>
        <w:jc w:val="both"/>
        <w:rPr>
          <w:rFonts w:ascii="Times New Roman" w:hAnsi="Times New Roman" w:cs="Times New Roman"/>
          <w:color w:val="222222"/>
          <w:shd w:val="clear" w:color="auto" w:fill="FFFFFF"/>
        </w:rPr>
      </w:pPr>
      <w:bookmarkStart w:id="98" w:name="_Hlk140780691"/>
      <w:r>
        <w:rPr>
          <w:rFonts w:ascii="Times New Roman" w:hAnsi="Times New Roman" w:cs="Times New Roman"/>
          <w:color w:val="222222"/>
          <w:shd w:val="clear" w:color="auto" w:fill="FFFFFF"/>
        </w:rPr>
        <w:t>Thomas, M. B. (2022</w:t>
      </w:r>
      <w:bookmarkEnd w:id="98"/>
      <w:r>
        <w:rPr>
          <w:rFonts w:ascii="Times New Roman" w:hAnsi="Times New Roman" w:cs="Times New Roman"/>
          <w:color w:val="222222"/>
          <w:shd w:val="clear" w:color="auto" w:fill="FFFFFF"/>
        </w:rPr>
        <w:t>). Swooshed: How Nike and the City of New York could potentially change the landscape of city branding through apparel licensing agreements. </w:t>
      </w:r>
      <w:r>
        <w:rPr>
          <w:rFonts w:ascii="Times New Roman" w:hAnsi="Times New Roman" w:cs="Times New Roman"/>
          <w:i/>
          <w:iCs/>
          <w:color w:val="222222"/>
          <w:shd w:val="clear" w:color="auto" w:fill="FFFFFF"/>
        </w:rPr>
        <w:t>Public Administration Review</w:t>
      </w:r>
      <w:r>
        <w:rPr>
          <w:rFonts w:ascii="Times New Roman" w:hAnsi="Times New Roman" w:cs="Times New Roman"/>
          <w:color w:val="222222"/>
          <w:shd w:val="clear" w:color="auto" w:fill="FFFFFF"/>
        </w:rPr>
        <w:t>, </w:t>
      </w:r>
      <w:r>
        <w:rPr>
          <w:rFonts w:ascii="Times New Roman" w:hAnsi="Times New Roman" w:cs="Times New Roman"/>
          <w:i/>
          <w:iCs/>
          <w:color w:val="222222"/>
          <w:shd w:val="clear" w:color="auto" w:fill="FFFFFF"/>
        </w:rPr>
        <w:t>82</w:t>
      </w:r>
      <w:r>
        <w:rPr>
          <w:rFonts w:ascii="Times New Roman" w:hAnsi="Times New Roman" w:cs="Times New Roman"/>
          <w:color w:val="222222"/>
          <w:shd w:val="clear" w:color="auto" w:fill="FFFFFF"/>
        </w:rPr>
        <w:t>(6), 1186-1191.</w:t>
      </w:r>
    </w:p>
    <w:p>
      <w:pPr>
        <w:spacing w:after="0" w:line="360" w:lineRule="auto"/>
        <w:ind w:left="720" w:hanging="720"/>
        <w:contextualSpacing/>
        <w:jc w:val="both"/>
        <w:rPr>
          <w:rFonts w:ascii="Times New Roman" w:hAnsi="Times New Roman" w:cs="Times New Roman"/>
        </w:rPr>
      </w:pPr>
      <w:bookmarkStart w:id="99" w:name="_Hlk140833552"/>
      <w:r>
        <w:rPr>
          <w:rFonts w:ascii="Times New Roman" w:hAnsi="Times New Roman" w:cs="Times New Roman"/>
          <w:color w:val="222222"/>
          <w:shd w:val="clear" w:color="auto" w:fill="FFFFFF"/>
        </w:rPr>
        <w:t>Vianello, S. (2019</w:t>
      </w:r>
      <w:bookmarkEnd w:id="99"/>
      <w:r>
        <w:rPr>
          <w:rFonts w:ascii="Times New Roman" w:hAnsi="Times New Roman" w:cs="Times New Roman"/>
          <w:color w:val="222222"/>
          <w:shd w:val="clear" w:color="auto" w:fill="FFFFFF"/>
        </w:rPr>
        <w:t>). Nike’s pricing and marketing strategies for penetrating the running sector.</w:t>
      </w:r>
    </w:p>
    <w:p>
      <w:pPr>
        <w:spacing w:after="0" w:line="360" w:lineRule="auto"/>
        <w:ind w:left="720" w:hanging="720"/>
        <w:contextualSpacing/>
        <w:jc w:val="both"/>
        <w:rPr>
          <w:rFonts w:ascii="Times New Roman" w:hAnsi="Times New Roman" w:cs="Times New Roman"/>
        </w:rPr>
      </w:pPr>
      <w:r>
        <w:rPr>
          <w:rFonts w:ascii="Times New Roman" w:hAnsi="Times New Roman" w:cs="Times New Roman"/>
          <w:color w:val="222222"/>
          <w:shd w:val="clear" w:color="auto" w:fill="FFFFFF"/>
        </w:rPr>
        <w:t>Xing, Y. (2021). </w:t>
      </w:r>
      <w:r>
        <w:rPr>
          <w:rFonts w:ascii="Times New Roman" w:hAnsi="Times New Roman" w:cs="Times New Roman"/>
          <w:i/>
          <w:iCs/>
          <w:color w:val="222222"/>
          <w:shd w:val="clear" w:color="auto" w:fill="FFFFFF"/>
        </w:rPr>
        <w:t>Factoryless Manufacturers and International Trade in the Age of Global Value Chains</w:t>
      </w:r>
      <w:r>
        <w:rPr>
          <w:rFonts w:ascii="Times New Roman" w:hAnsi="Times New Roman" w:cs="Times New Roman"/>
          <w:color w:val="222222"/>
          <w:shd w:val="clear" w:color="auto" w:fill="FFFFFF"/>
        </w:rPr>
        <w:t> (No. 21-02). National Graduate Institute for Policy Studies.</w:t>
      </w:r>
    </w:p>
    <w:p>
      <w:pPr>
        <w:spacing w:after="0" w:line="360" w:lineRule="auto"/>
        <w:ind w:left="720" w:hanging="720"/>
        <w:contextualSpacing/>
        <w:jc w:val="both"/>
        <w:rPr>
          <w:rFonts w:ascii="Times New Roman" w:hAnsi="Times New Roman" w:cs="Times New Roman"/>
          <w:color w:val="222222"/>
          <w:shd w:val="clear" w:color="auto" w:fill="FFFFFF"/>
        </w:rPr>
      </w:pPr>
      <w:bookmarkStart w:id="100" w:name="_Hlk140773566"/>
      <w:r>
        <w:rPr>
          <w:rFonts w:ascii="Times New Roman" w:hAnsi="Times New Roman" w:cs="Times New Roman"/>
          <w:color w:val="222222"/>
          <w:shd w:val="clear" w:color="auto" w:fill="FFFFFF"/>
        </w:rPr>
        <w:t>Zahedi</w:t>
      </w:r>
      <w:bookmarkEnd w:id="100"/>
      <w:r>
        <w:rPr>
          <w:rFonts w:ascii="Times New Roman" w:hAnsi="Times New Roman" w:cs="Times New Roman"/>
          <w:color w:val="222222"/>
          <w:shd w:val="clear" w:color="auto" w:fill="FFFFFF"/>
        </w:rPr>
        <w:t>, M., Akhavan, P., &amp; Naghdi Khanachah, S. (2022). Evaluation of knowledge sharing and its role in organisational innovation using structural equation modelling: a case study of Civil Aviation Organisation. </w:t>
      </w:r>
      <w:r>
        <w:rPr>
          <w:rFonts w:ascii="Times New Roman" w:hAnsi="Times New Roman" w:cs="Times New Roman"/>
          <w:i/>
          <w:iCs/>
          <w:color w:val="222222"/>
          <w:shd w:val="clear" w:color="auto" w:fill="FFFFFF"/>
        </w:rPr>
        <w:t>Technology Analysis &amp; Strategic Management</w:t>
      </w:r>
      <w:r>
        <w:rPr>
          <w:rFonts w:ascii="Times New Roman" w:hAnsi="Times New Roman" w:cs="Times New Roman"/>
          <w:color w:val="222222"/>
          <w:shd w:val="clear" w:color="auto" w:fill="FFFFFF"/>
        </w:rPr>
        <w:t>, 1-15.</w:t>
      </w:r>
    </w:p>
    <w:p>
      <w:pPr>
        <w:spacing w:after="0" w:line="480" w:lineRule="auto"/>
        <w:contextualSpacing/>
        <w:jc w:val="both"/>
        <w:rPr>
          <w:rFonts w:ascii="Times New Roman" w:hAnsi="Times New Roman" w:cs="Times New Roman"/>
          <w:b/>
          <w:sz w:val="24"/>
          <w:szCs w:val="24"/>
        </w:rPr>
      </w:pPr>
    </w:p>
    <w:p>
      <w:pPr>
        <w:spacing w:after="0" w:line="360" w:lineRule="auto"/>
        <w:ind w:left="720" w:hanging="720"/>
        <w:contextualSpacing/>
        <w:jc w:val="both"/>
        <w:rPr>
          <w:rFonts w:ascii="Times New Roman" w:hAnsi="Times New Roman" w:cs="Times New Roman"/>
        </w:rPr>
      </w:pPr>
    </w:p>
    <w:p>
      <w:pPr>
        <w:spacing w:after="0" w:line="480" w:lineRule="auto"/>
        <w:contextualSpacing/>
        <w:jc w:val="both"/>
        <w:rPr>
          <w:rFonts w:ascii="Times New Roman" w:hAnsi="Times New Roman" w:cs="Times New Roman"/>
          <w:sz w:val="24"/>
          <w:szCs w:val="24"/>
        </w:rPr>
      </w:pPr>
    </w:p>
    <w:p>
      <w:pPr>
        <w:spacing w:after="0" w:line="480" w:lineRule="auto"/>
        <w:contextualSpacing/>
        <w:jc w:val="both"/>
        <w:rPr>
          <w:rFonts w:ascii="Times New Roman" w:hAnsi="Times New Roman" w:cs="Times New Roman"/>
          <w:sz w:val="24"/>
          <w:szCs w:val="24"/>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汉仪中等线KW"/>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Al Bayan Plain">
    <w:panose1 w:val="00000000000000000000"/>
    <w:charset w:val="00"/>
    <w:family w:val="auto"/>
    <w:pitch w:val="default"/>
    <w:sig w:usb0="00000000" w:usb1="00000000" w:usb2="00000000" w:usb3="00000000" w:csb0="00000000" w:csb1="00000000"/>
  </w:font>
  <w:font w:name="Times New Roman Regular">
    <w:panose1 w:val="02020603050405020304"/>
    <w:charset w:val="00"/>
    <w:family w:val="auto"/>
    <w:pitch w:val="default"/>
    <w:sig w:usb0="00000000" w:usb1="00000000" w:usb2="00000000" w:usb3="00000000" w:csb0="00000000" w:csb1="00000000"/>
  </w:font>
  <w:font w:name="American Typewriter Regular">
    <w:panose1 w:val="02090604020004020304"/>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 w:name="Al Tarikh">
    <w:panose1 w:val="00000400000000000000"/>
    <w:charset w:val="00"/>
    <w:family w:val="auto"/>
    <w:pitch w:val="default"/>
    <w:sig w:usb0="00000000" w:usb1="00000000" w:usb2="00000000" w:usb3="00000000" w:csb0="00000000" w:csb1="00000000"/>
  </w:font>
  <w:font w:name="Andale Mono">
    <w:panose1 w:val="020B0509000000000004"/>
    <w:charset w:val="00"/>
    <w:family w:val="auto"/>
    <w:pitch w:val="default"/>
    <w:sig w:usb0="00000000" w:usb1="00000000" w:usb2="00000000" w:usb3="00000000" w:csb0="00000000" w:csb1="00000000"/>
  </w:font>
  <w:font w:name="Apple SD Gothic Neo Regular">
    <w:panose1 w:val="02000300000000000000"/>
    <w:charset w:val="86"/>
    <w:family w:val="auto"/>
    <w:pitch w:val="default"/>
    <w:sig w:usb0="00000000" w:usb1="00000000" w:usb2="00000000" w:usb3="00000000" w:csb0="003E0000" w:csb1="00000000"/>
  </w:font>
  <w:font w:name="Al Nile Regular">
    <w:panose1 w:val="000004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00D42BB"/>
    <w:multiLevelType w:val="multilevel"/>
    <w:tmpl w:val="200D42B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55D517EB"/>
    <w:multiLevelType w:val="multilevel"/>
    <w:tmpl w:val="55D517E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6"/>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29DC"/>
    <w:rsid w:val="000002C3"/>
    <w:rsid w:val="00000820"/>
    <w:rsid w:val="00001E4B"/>
    <w:rsid w:val="00003A51"/>
    <w:rsid w:val="0000437D"/>
    <w:rsid w:val="00005E22"/>
    <w:rsid w:val="00006F58"/>
    <w:rsid w:val="000108F5"/>
    <w:rsid w:val="00011320"/>
    <w:rsid w:val="0001134D"/>
    <w:rsid w:val="000118C3"/>
    <w:rsid w:val="00015D4E"/>
    <w:rsid w:val="00017C4B"/>
    <w:rsid w:val="00022D07"/>
    <w:rsid w:val="00023989"/>
    <w:rsid w:val="000250CE"/>
    <w:rsid w:val="000270A1"/>
    <w:rsid w:val="00031324"/>
    <w:rsid w:val="00032757"/>
    <w:rsid w:val="00032DD1"/>
    <w:rsid w:val="00033DF6"/>
    <w:rsid w:val="000345B6"/>
    <w:rsid w:val="000356A4"/>
    <w:rsid w:val="000356D1"/>
    <w:rsid w:val="00036674"/>
    <w:rsid w:val="000408DC"/>
    <w:rsid w:val="00040A67"/>
    <w:rsid w:val="00041A13"/>
    <w:rsid w:val="00042128"/>
    <w:rsid w:val="00042A75"/>
    <w:rsid w:val="0004465E"/>
    <w:rsid w:val="000452D9"/>
    <w:rsid w:val="000469AF"/>
    <w:rsid w:val="000469BE"/>
    <w:rsid w:val="00046C5F"/>
    <w:rsid w:val="000476F3"/>
    <w:rsid w:val="00047A69"/>
    <w:rsid w:val="00051B06"/>
    <w:rsid w:val="00051F04"/>
    <w:rsid w:val="000528B3"/>
    <w:rsid w:val="00053C97"/>
    <w:rsid w:val="00054BEB"/>
    <w:rsid w:val="000556D7"/>
    <w:rsid w:val="0005631D"/>
    <w:rsid w:val="000566AD"/>
    <w:rsid w:val="00060F7D"/>
    <w:rsid w:val="000610E6"/>
    <w:rsid w:val="00063831"/>
    <w:rsid w:val="00063E89"/>
    <w:rsid w:val="00065A7D"/>
    <w:rsid w:val="00066A48"/>
    <w:rsid w:val="00070AE9"/>
    <w:rsid w:val="0007250B"/>
    <w:rsid w:val="00076522"/>
    <w:rsid w:val="00076F5E"/>
    <w:rsid w:val="00081F8A"/>
    <w:rsid w:val="00084E37"/>
    <w:rsid w:val="00086DFF"/>
    <w:rsid w:val="00090635"/>
    <w:rsid w:val="00093EF9"/>
    <w:rsid w:val="000961CD"/>
    <w:rsid w:val="00096A06"/>
    <w:rsid w:val="000978F9"/>
    <w:rsid w:val="000A0432"/>
    <w:rsid w:val="000A0845"/>
    <w:rsid w:val="000A21DC"/>
    <w:rsid w:val="000A299A"/>
    <w:rsid w:val="000A2A95"/>
    <w:rsid w:val="000A3BDE"/>
    <w:rsid w:val="000A4F79"/>
    <w:rsid w:val="000B00E8"/>
    <w:rsid w:val="000B1046"/>
    <w:rsid w:val="000B4F61"/>
    <w:rsid w:val="000B6250"/>
    <w:rsid w:val="000B71EA"/>
    <w:rsid w:val="000B7E7C"/>
    <w:rsid w:val="000C0217"/>
    <w:rsid w:val="000C08BB"/>
    <w:rsid w:val="000C0F01"/>
    <w:rsid w:val="000C3024"/>
    <w:rsid w:val="000C30A2"/>
    <w:rsid w:val="000C3FDA"/>
    <w:rsid w:val="000C4A94"/>
    <w:rsid w:val="000D183E"/>
    <w:rsid w:val="000D1E4E"/>
    <w:rsid w:val="000D28D6"/>
    <w:rsid w:val="000D485B"/>
    <w:rsid w:val="000D4F9A"/>
    <w:rsid w:val="000D57BA"/>
    <w:rsid w:val="000D606C"/>
    <w:rsid w:val="000E0B95"/>
    <w:rsid w:val="000E0E81"/>
    <w:rsid w:val="000E3CCA"/>
    <w:rsid w:val="000E413C"/>
    <w:rsid w:val="000E4194"/>
    <w:rsid w:val="000E64DA"/>
    <w:rsid w:val="000F134A"/>
    <w:rsid w:val="000F1BF4"/>
    <w:rsid w:val="000F1ECB"/>
    <w:rsid w:val="000F2980"/>
    <w:rsid w:val="000F2BBC"/>
    <w:rsid w:val="000F3D3C"/>
    <w:rsid w:val="000F4088"/>
    <w:rsid w:val="000F486F"/>
    <w:rsid w:val="000F70DA"/>
    <w:rsid w:val="00100AFB"/>
    <w:rsid w:val="0010142D"/>
    <w:rsid w:val="001025BC"/>
    <w:rsid w:val="00106A08"/>
    <w:rsid w:val="0010789D"/>
    <w:rsid w:val="0011065D"/>
    <w:rsid w:val="00110745"/>
    <w:rsid w:val="00111A22"/>
    <w:rsid w:val="0011228C"/>
    <w:rsid w:val="00113BD5"/>
    <w:rsid w:val="001164C1"/>
    <w:rsid w:val="00116C45"/>
    <w:rsid w:val="001201B0"/>
    <w:rsid w:val="00120D19"/>
    <w:rsid w:val="001210AB"/>
    <w:rsid w:val="0012165F"/>
    <w:rsid w:val="00124E67"/>
    <w:rsid w:val="001259DE"/>
    <w:rsid w:val="00125B30"/>
    <w:rsid w:val="00126E1A"/>
    <w:rsid w:val="00126E3C"/>
    <w:rsid w:val="001275D5"/>
    <w:rsid w:val="0013060B"/>
    <w:rsid w:val="0013109C"/>
    <w:rsid w:val="00133DC9"/>
    <w:rsid w:val="00134146"/>
    <w:rsid w:val="001354BA"/>
    <w:rsid w:val="001400A0"/>
    <w:rsid w:val="00141385"/>
    <w:rsid w:val="001434F3"/>
    <w:rsid w:val="00144816"/>
    <w:rsid w:val="001451D0"/>
    <w:rsid w:val="00146AAA"/>
    <w:rsid w:val="00146E7D"/>
    <w:rsid w:val="0014717F"/>
    <w:rsid w:val="001471C7"/>
    <w:rsid w:val="0015002F"/>
    <w:rsid w:val="001500F9"/>
    <w:rsid w:val="0015079D"/>
    <w:rsid w:val="00150931"/>
    <w:rsid w:val="00151C11"/>
    <w:rsid w:val="00151FE5"/>
    <w:rsid w:val="0015546A"/>
    <w:rsid w:val="00156E32"/>
    <w:rsid w:val="00160B46"/>
    <w:rsid w:val="00161912"/>
    <w:rsid w:val="00162E95"/>
    <w:rsid w:val="00163B54"/>
    <w:rsid w:val="00164CA6"/>
    <w:rsid w:val="00165E14"/>
    <w:rsid w:val="00165FEC"/>
    <w:rsid w:val="00166C88"/>
    <w:rsid w:val="00167311"/>
    <w:rsid w:val="001677FC"/>
    <w:rsid w:val="00175F2B"/>
    <w:rsid w:val="00176732"/>
    <w:rsid w:val="00177F91"/>
    <w:rsid w:val="00182106"/>
    <w:rsid w:val="001842DC"/>
    <w:rsid w:val="00185DC6"/>
    <w:rsid w:val="001862A3"/>
    <w:rsid w:val="00186F45"/>
    <w:rsid w:val="001879CE"/>
    <w:rsid w:val="001879F5"/>
    <w:rsid w:val="00190297"/>
    <w:rsid w:val="00193F18"/>
    <w:rsid w:val="00194208"/>
    <w:rsid w:val="00194757"/>
    <w:rsid w:val="00194B8C"/>
    <w:rsid w:val="00195CF8"/>
    <w:rsid w:val="001A0486"/>
    <w:rsid w:val="001A3F0C"/>
    <w:rsid w:val="001A491D"/>
    <w:rsid w:val="001A5BD6"/>
    <w:rsid w:val="001A5F2D"/>
    <w:rsid w:val="001A6726"/>
    <w:rsid w:val="001A7DC9"/>
    <w:rsid w:val="001B1DD7"/>
    <w:rsid w:val="001B2397"/>
    <w:rsid w:val="001B29DC"/>
    <w:rsid w:val="001B5FF3"/>
    <w:rsid w:val="001B7171"/>
    <w:rsid w:val="001C0646"/>
    <w:rsid w:val="001C35EC"/>
    <w:rsid w:val="001C3730"/>
    <w:rsid w:val="001D2A91"/>
    <w:rsid w:val="001D498A"/>
    <w:rsid w:val="001D4EE4"/>
    <w:rsid w:val="001D5257"/>
    <w:rsid w:val="001D67E6"/>
    <w:rsid w:val="001D7964"/>
    <w:rsid w:val="001E0534"/>
    <w:rsid w:val="001E060C"/>
    <w:rsid w:val="001E2BC6"/>
    <w:rsid w:val="001E4DAE"/>
    <w:rsid w:val="001E532E"/>
    <w:rsid w:val="001E755B"/>
    <w:rsid w:val="001E782D"/>
    <w:rsid w:val="001F5BDA"/>
    <w:rsid w:val="001F5F67"/>
    <w:rsid w:val="001F7A4E"/>
    <w:rsid w:val="00200653"/>
    <w:rsid w:val="00201DDB"/>
    <w:rsid w:val="00201DFD"/>
    <w:rsid w:val="00204385"/>
    <w:rsid w:val="00205E73"/>
    <w:rsid w:val="0020706B"/>
    <w:rsid w:val="00207975"/>
    <w:rsid w:val="00210085"/>
    <w:rsid w:val="00214038"/>
    <w:rsid w:val="0021443D"/>
    <w:rsid w:val="00214457"/>
    <w:rsid w:val="0022260A"/>
    <w:rsid w:val="00222C87"/>
    <w:rsid w:val="0022333C"/>
    <w:rsid w:val="00224CF8"/>
    <w:rsid w:val="0022504E"/>
    <w:rsid w:val="002277AC"/>
    <w:rsid w:val="00232777"/>
    <w:rsid w:val="00232800"/>
    <w:rsid w:val="00235662"/>
    <w:rsid w:val="0023603F"/>
    <w:rsid w:val="002362B8"/>
    <w:rsid w:val="00236C3E"/>
    <w:rsid w:val="002418FE"/>
    <w:rsid w:val="0024546C"/>
    <w:rsid w:val="00245DF6"/>
    <w:rsid w:val="00245E8A"/>
    <w:rsid w:val="00246091"/>
    <w:rsid w:val="00246C31"/>
    <w:rsid w:val="00250E8E"/>
    <w:rsid w:val="002519F1"/>
    <w:rsid w:val="00251D07"/>
    <w:rsid w:val="002538A7"/>
    <w:rsid w:val="00255E65"/>
    <w:rsid w:val="002611DF"/>
    <w:rsid w:val="00263DA3"/>
    <w:rsid w:val="00263DB8"/>
    <w:rsid w:val="00264995"/>
    <w:rsid w:val="00265323"/>
    <w:rsid w:val="002669DF"/>
    <w:rsid w:val="002678B6"/>
    <w:rsid w:val="00267E84"/>
    <w:rsid w:val="00273667"/>
    <w:rsid w:val="0027577D"/>
    <w:rsid w:val="00275796"/>
    <w:rsid w:val="002764E8"/>
    <w:rsid w:val="00276FC0"/>
    <w:rsid w:val="00277054"/>
    <w:rsid w:val="00277E72"/>
    <w:rsid w:val="002840A7"/>
    <w:rsid w:val="00291648"/>
    <w:rsid w:val="0029165D"/>
    <w:rsid w:val="00292C39"/>
    <w:rsid w:val="002930CA"/>
    <w:rsid w:val="00295CC2"/>
    <w:rsid w:val="00295D6A"/>
    <w:rsid w:val="0029608D"/>
    <w:rsid w:val="00296C0C"/>
    <w:rsid w:val="00297CC0"/>
    <w:rsid w:val="00297F76"/>
    <w:rsid w:val="002A1EED"/>
    <w:rsid w:val="002A389A"/>
    <w:rsid w:val="002A42CD"/>
    <w:rsid w:val="002A4F26"/>
    <w:rsid w:val="002A5724"/>
    <w:rsid w:val="002A5ED8"/>
    <w:rsid w:val="002A665E"/>
    <w:rsid w:val="002A66D4"/>
    <w:rsid w:val="002B0698"/>
    <w:rsid w:val="002B11BB"/>
    <w:rsid w:val="002B26E3"/>
    <w:rsid w:val="002B4243"/>
    <w:rsid w:val="002B546C"/>
    <w:rsid w:val="002B62CD"/>
    <w:rsid w:val="002B7235"/>
    <w:rsid w:val="002B79D3"/>
    <w:rsid w:val="002C2029"/>
    <w:rsid w:val="002C2370"/>
    <w:rsid w:val="002C3355"/>
    <w:rsid w:val="002D05BB"/>
    <w:rsid w:val="002D0F28"/>
    <w:rsid w:val="002D119B"/>
    <w:rsid w:val="002D1687"/>
    <w:rsid w:val="002D2ED2"/>
    <w:rsid w:val="002D4554"/>
    <w:rsid w:val="002D536F"/>
    <w:rsid w:val="002D5C8C"/>
    <w:rsid w:val="002D5E09"/>
    <w:rsid w:val="002D65E4"/>
    <w:rsid w:val="002E0843"/>
    <w:rsid w:val="002E29B6"/>
    <w:rsid w:val="002E2F68"/>
    <w:rsid w:val="002E33EC"/>
    <w:rsid w:val="002E3A04"/>
    <w:rsid w:val="002E3BA1"/>
    <w:rsid w:val="002E71E2"/>
    <w:rsid w:val="002F06F2"/>
    <w:rsid w:val="002F1040"/>
    <w:rsid w:val="002F12E5"/>
    <w:rsid w:val="002F1949"/>
    <w:rsid w:val="002F23C8"/>
    <w:rsid w:val="002F479A"/>
    <w:rsid w:val="002F4F07"/>
    <w:rsid w:val="002F7494"/>
    <w:rsid w:val="00300473"/>
    <w:rsid w:val="003004DC"/>
    <w:rsid w:val="00301214"/>
    <w:rsid w:val="00301685"/>
    <w:rsid w:val="003020BE"/>
    <w:rsid w:val="003046F0"/>
    <w:rsid w:val="00305731"/>
    <w:rsid w:val="00306DF8"/>
    <w:rsid w:val="003075C7"/>
    <w:rsid w:val="0031009F"/>
    <w:rsid w:val="00311726"/>
    <w:rsid w:val="00311D1D"/>
    <w:rsid w:val="00311E06"/>
    <w:rsid w:val="00311E8F"/>
    <w:rsid w:val="00312299"/>
    <w:rsid w:val="00312466"/>
    <w:rsid w:val="00314121"/>
    <w:rsid w:val="003229FA"/>
    <w:rsid w:val="0032325E"/>
    <w:rsid w:val="0032354E"/>
    <w:rsid w:val="00326CB8"/>
    <w:rsid w:val="0032740E"/>
    <w:rsid w:val="00331B05"/>
    <w:rsid w:val="00331DD1"/>
    <w:rsid w:val="00333E68"/>
    <w:rsid w:val="00334588"/>
    <w:rsid w:val="00334E84"/>
    <w:rsid w:val="003364D8"/>
    <w:rsid w:val="00336723"/>
    <w:rsid w:val="00337790"/>
    <w:rsid w:val="0034066F"/>
    <w:rsid w:val="003408D2"/>
    <w:rsid w:val="00341B93"/>
    <w:rsid w:val="0034225F"/>
    <w:rsid w:val="00342B50"/>
    <w:rsid w:val="00342D92"/>
    <w:rsid w:val="00346ABB"/>
    <w:rsid w:val="00347F36"/>
    <w:rsid w:val="00354766"/>
    <w:rsid w:val="0035606D"/>
    <w:rsid w:val="00356147"/>
    <w:rsid w:val="003562CA"/>
    <w:rsid w:val="00357B42"/>
    <w:rsid w:val="00357C76"/>
    <w:rsid w:val="00357CF4"/>
    <w:rsid w:val="00361987"/>
    <w:rsid w:val="00361EE0"/>
    <w:rsid w:val="0036309B"/>
    <w:rsid w:val="00363F04"/>
    <w:rsid w:val="003643AF"/>
    <w:rsid w:val="00366285"/>
    <w:rsid w:val="003678DD"/>
    <w:rsid w:val="00371B6B"/>
    <w:rsid w:val="00372D06"/>
    <w:rsid w:val="0037499B"/>
    <w:rsid w:val="00375782"/>
    <w:rsid w:val="0037742F"/>
    <w:rsid w:val="00380573"/>
    <w:rsid w:val="0038249F"/>
    <w:rsid w:val="003834E4"/>
    <w:rsid w:val="003864DD"/>
    <w:rsid w:val="00387488"/>
    <w:rsid w:val="00390660"/>
    <w:rsid w:val="00392B76"/>
    <w:rsid w:val="00392B88"/>
    <w:rsid w:val="00392C2C"/>
    <w:rsid w:val="00392F49"/>
    <w:rsid w:val="0039342C"/>
    <w:rsid w:val="00393B39"/>
    <w:rsid w:val="0039475E"/>
    <w:rsid w:val="00395096"/>
    <w:rsid w:val="003A01E5"/>
    <w:rsid w:val="003A0720"/>
    <w:rsid w:val="003A2CE3"/>
    <w:rsid w:val="003A3B75"/>
    <w:rsid w:val="003A543C"/>
    <w:rsid w:val="003A5778"/>
    <w:rsid w:val="003A5F05"/>
    <w:rsid w:val="003A6C4C"/>
    <w:rsid w:val="003A7C2C"/>
    <w:rsid w:val="003B1512"/>
    <w:rsid w:val="003B2C66"/>
    <w:rsid w:val="003B2D53"/>
    <w:rsid w:val="003B4823"/>
    <w:rsid w:val="003B4B94"/>
    <w:rsid w:val="003B5B65"/>
    <w:rsid w:val="003B6008"/>
    <w:rsid w:val="003B64BC"/>
    <w:rsid w:val="003C00E8"/>
    <w:rsid w:val="003C03F1"/>
    <w:rsid w:val="003C066C"/>
    <w:rsid w:val="003C2291"/>
    <w:rsid w:val="003C2821"/>
    <w:rsid w:val="003C7482"/>
    <w:rsid w:val="003D026A"/>
    <w:rsid w:val="003D02E0"/>
    <w:rsid w:val="003D0A30"/>
    <w:rsid w:val="003D1526"/>
    <w:rsid w:val="003D15E1"/>
    <w:rsid w:val="003D4F16"/>
    <w:rsid w:val="003D5B69"/>
    <w:rsid w:val="003D5FFE"/>
    <w:rsid w:val="003E004A"/>
    <w:rsid w:val="003E09D7"/>
    <w:rsid w:val="003E0C74"/>
    <w:rsid w:val="003E5FB5"/>
    <w:rsid w:val="003E6CFA"/>
    <w:rsid w:val="003F0C28"/>
    <w:rsid w:val="003F0D8C"/>
    <w:rsid w:val="003F11BC"/>
    <w:rsid w:val="003F2B16"/>
    <w:rsid w:val="003F2CA4"/>
    <w:rsid w:val="003F36F2"/>
    <w:rsid w:val="003F7626"/>
    <w:rsid w:val="00401FBB"/>
    <w:rsid w:val="00403C7D"/>
    <w:rsid w:val="00403F2F"/>
    <w:rsid w:val="00404617"/>
    <w:rsid w:val="00404C2D"/>
    <w:rsid w:val="00405E6C"/>
    <w:rsid w:val="00413E5F"/>
    <w:rsid w:val="0041743D"/>
    <w:rsid w:val="00417C87"/>
    <w:rsid w:val="0042143F"/>
    <w:rsid w:val="00422175"/>
    <w:rsid w:val="00422AAD"/>
    <w:rsid w:val="0042317E"/>
    <w:rsid w:val="00424F4B"/>
    <w:rsid w:val="00425F66"/>
    <w:rsid w:val="00426198"/>
    <w:rsid w:val="004267ED"/>
    <w:rsid w:val="00426D53"/>
    <w:rsid w:val="004271FC"/>
    <w:rsid w:val="004276F5"/>
    <w:rsid w:val="00432759"/>
    <w:rsid w:val="00432FE6"/>
    <w:rsid w:val="004333B2"/>
    <w:rsid w:val="004337F7"/>
    <w:rsid w:val="00434061"/>
    <w:rsid w:val="00434297"/>
    <w:rsid w:val="00434A97"/>
    <w:rsid w:val="00434E52"/>
    <w:rsid w:val="00434F40"/>
    <w:rsid w:val="00435B25"/>
    <w:rsid w:val="004361E3"/>
    <w:rsid w:val="00437931"/>
    <w:rsid w:val="00440C7C"/>
    <w:rsid w:val="00440E12"/>
    <w:rsid w:val="00443383"/>
    <w:rsid w:val="004437C9"/>
    <w:rsid w:val="004450B5"/>
    <w:rsid w:val="004458F1"/>
    <w:rsid w:val="00446630"/>
    <w:rsid w:val="004502A2"/>
    <w:rsid w:val="00451488"/>
    <w:rsid w:val="004516B1"/>
    <w:rsid w:val="004544B3"/>
    <w:rsid w:val="00457F33"/>
    <w:rsid w:val="004600E8"/>
    <w:rsid w:val="0046294F"/>
    <w:rsid w:val="00463D7E"/>
    <w:rsid w:val="00467ADD"/>
    <w:rsid w:val="00467C8A"/>
    <w:rsid w:val="004701DF"/>
    <w:rsid w:val="00472FD0"/>
    <w:rsid w:val="004737D5"/>
    <w:rsid w:val="00474208"/>
    <w:rsid w:val="00474CB5"/>
    <w:rsid w:val="00475171"/>
    <w:rsid w:val="00475E93"/>
    <w:rsid w:val="004762C9"/>
    <w:rsid w:val="00476549"/>
    <w:rsid w:val="00476827"/>
    <w:rsid w:val="00476B45"/>
    <w:rsid w:val="00481AF0"/>
    <w:rsid w:val="00483DC7"/>
    <w:rsid w:val="00491178"/>
    <w:rsid w:val="00491C44"/>
    <w:rsid w:val="004920C8"/>
    <w:rsid w:val="0049275D"/>
    <w:rsid w:val="0049301E"/>
    <w:rsid w:val="00493537"/>
    <w:rsid w:val="00496531"/>
    <w:rsid w:val="004966D0"/>
    <w:rsid w:val="004978C9"/>
    <w:rsid w:val="004A0FED"/>
    <w:rsid w:val="004A2CEE"/>
    <w:rsid w:val="004A363E"/>
    <w:rsid w:val="004A4A96"/>
    <w:rsid w:val="004A4CEC"/>
    <w:rsid w:val="004A4D72"/>
    <w:rsid w:val="004A5A59"/>
    <w:rsid w:val="004A6190"/>
    <w:rsid w:val="004A76B9"/>
    <w:rsid w:val="004B1296"/>
    <w:rsid w:val="004B257D"/>
    <w:rsid w:val="004B381E"/>
    <w:rsid w:val="004B6E18"/>
    <w:rsid w:val="004B6E6B"/>
    <w:rsid w:val="004B7D10"/>
    <w:rsid w:val="004B7E30"/>
    <w:rsid w:val="004C5E02"/>
    <w:rsid w:val="004C5E55"/>
    <w:rsid w:val="004C6C7C"/>
    <w:rsid w:val="004C7888"/>
    <w:rsid w:val="004C7C48"/>
    <w:rsid w:val="004D14E5"/>
    <w:rsid w:val="004D27C8"/>
    <w:rsid w:val="004D4797"/>
    <w:rsid w:val="004D5C77"/>
    <w:rsid w:val="004D6146"/>
    <w:rsid w:val="004D6D90"/>
    <w:rsid w:val="004E09FA"/>
    <w:rsid w:val="004E0FFC"/>
    <w:rsid w:val="004E2228"/>
    <w:rsid w:val="004E31E1"/>
    <w:rsid w:val="004E4E91"/>
    <w:rsid w:val="004E5D84"/>
    <w:rsid w:val="004F1AEB"/>
    <w:rsid w:val="004F47C3"/>
    <w:rsid w:val="004F4823"/>
    <w:rsid w:val="004F5256"/>
    <w:rsid w:val="004F6E26"/>
    <w:rsid w:val="004F6FD3"/>
    <w:rsid w:val="004F74F7"/>
    <w:rsid w:val="004F79F8"/>
    <w:rsid w:val="00500187"/>
    <w:rsid w:val="00501E9E"/>
    <w:rsid w:val="00503049"/>
    <w:rsid w:val="00503D3C"/>
    <w:rsid w:val="00503E64"/>
    <w:rsid w:val="005047C0"/>
    <w:rsid w:val="00505CDA"/>
    <w:rsid w:val="00506729"/>
    <w:rsid w:val="00510658"/>
    <w:rsid w:val="00512749"/>
    <w:rsid w:val="00513EF8"/>
    <w:rsid w:val="00514981"/>
    <w:rsid w:val="00514CED"/>
    <w:rsid w:val="00514DE1"/>
    <w:rsid w:val="00515B87"/>
    <w:rsid w:val="00515FE0"/>
    <w:rsid w:val="00516841"/>
    <w:rsid w:val="0051699D"/>
    <w:rsid w:val="005176BE"/>
    <w:rsid w:val="00517CCE"/>
    <w:rsid w:val="00520B7B"/>
    <w:rsid w:val="0052243B"/>
    <w:rsid w:val="00524639"/>
    <w:rsid w:val="00526078"/>
    <w:rsid w:val="00530CFD"/>
    <w:rsid w:val="005346E6"/>
    <w:rsid w:val="00536BB7"/>
    <w:rsid w:val="00537876"/>
    <w:rsid w:val="005378EB"/>
    <w:rsid w:val="005410B3"/>
    <w:rsid w:val="0054200E"/>
    <w:rsid w:val="005425D3"/>
    <w:rsid w:val="0054293F"/>
    <w:rsid w:val="005435FE"/>
    <w:rsid w:val="005449B6"/>
    <w:rsid w:val="0054543D"/>
    <w:rsid w:val="0054555E"/>
    <w:rsid w:val="00546859"/>
    <w:rsid w:val="00550657"/>
    <w:rsid w:val="00550B7D"/>
    <w:rsid w:val="0055289F"/>
    <w:rsid w:val="00552D22"/>
    <w:rsid w:val="00553D89"/>
    <w:rsid w:val="00553D8D"/>
    <w:rsid w:val="00556106"/>
    <w:rsid w:val="00557638"/>
    <w:rsid w:val="00560904"/>
    <w:rsid w:val="00566479"/>
    <w:rsid w:val="005669AB"/>
    <w:rsid w:val="005669C8"/>
    <w:rsid w:val="00567E59"/>
    <w:rsid w:val="005714A0"/>
    <w:rsid w:val="00572681"/>
    <w:rsid w:val="00575324"/>
    <w:rsid w:val="005774DC"/>
    <w:rsid w:val="005777AB"/>
    <w:rsid w:val="00580DBA"/>
    <w:rsid w:val="00582154"/>
    <w:rsid w:val="00582832"/>
    <w:rsid w:val="00584699"/>
    <w:rsid w:val="00585B81"/>
    <w:rsid w:val="00586AB5"/>
    <w:rsid w:val="00587552"/>
    <w:rsid w:val="00587A0C"/>
    <w:rsid w:val="005909BC"/>
    <w:rsid w:val="00590E6F"/>
    <w:rsid w:val="00590FEA"/>
    <w:rsid w:val="00591493"/>
    <w:rsid w:val="00592C44"/>
    <w:rsid w:val="005945E2"/>
    <w:rsid w:val="00596930"/>
    <w:rsid w:val="00597A7F"/>
    <w:rsid w:val="005A1C32"/>
    <w:rsid w:val="005A237D"/>
    <w:rsid w:val="005A2B30"/>
    <w:rsid w:val="005A3958"/>
    <w:rsid w:val="005A572E"/>
    <w:rsid w:val="005A6D8C"/>
    <w:rsid w:val="005A7390"/>
    <w:rsid w:val="005A7C3A"/>
    <w:rsid w:val="005B1E9F"/>
    <w:rsid w:val="005B2585"/>
    <w:rsid w:val="005B37D3"/>
    <w:rsid w:val="005B4D83"/>
    <w:rsid w:val="005B5B66"/>
    <w:rsid w:val="005B5C4C"/>
    <w:rsid w:val="005B5C87"/>
    <w:rsid w:val="005C086B"/>
    <w:rsid w:val="005C0D96"/>
    <w:rsid w:val="005C124E"/>
    <w:rsid w:val="005C1D2A"/>
    <w:rsid w:val="005C4E02"/>
    <w:rsid w:val="005C4E75"/>
    <w:rsid w:val="005C4F5D"/>
    <w:rsid w:val="005C6343"/>
    <w:rsid w:val="005D018D"/>
    <w:rsid w:val="005D3472"/>
    <w:rsid w:val="005D4688"/>
    <w:rsid w:val="005D47E8"/>
    <w:rsid w:val="005D6107"/>
    <w:rsid w:val="005E0E7A"/>
    <w:rsid w:val="005E25CE"/>
    <w:rsid w:val="005E30A9"/>
    <w:rsid w:val="005E3630"/>
    <w:rsid w:val="005E390D"/>
    <w:rsid w:val="005E3F0F"/>
    <w:rsid w:val="005E495C"/>
    <w:rsid w:val="005E4CA9"/>
    <w:rsid w:val="005E53AA"/>
    <w:rsid w:val="005E5616"/>
    <w:rsid w:val="005E5A65"/>
    <w:rsid w:val="005E5B2E"/>
    <w:rsid w:val="005E5C6D"/>
    <w:rsid w:val="005E6C05"/>
    <w:rsid w:val="005F05CF"/>
    <w:rsid w:val="005F133F"/>
    <w:rsid w:val="005F1D41"/>
    <w:rsid w:val="005F2AA2"/>
    <w:rsid w:val="005F456A"/>
    <w:rsid w:val="005F4D89"/>
    <w:rsid w:val="005F5022"/>
    <w:rsid w:val="005F52E7"/>
    <w:rsid w:val="005F5A07"/>
    <w:rsid w:val="005F7FB2"/>
    <w:rsid w:val="00601820"/>
    <w:rsid w:val="00602271"/>
    <w:rsid w:val="0060313B"/>
    <w:rsid w:val="00603725"/>
    <w:rsid w:val="0060546B"/>
    <w:rsid w:val="0060659C"/>
    <w:rsid w:val="00606B32"/>
    <w:rsid w:val="0060740D"/>
    <w:rsid w:val="00612761"/>
    <w:rsid w:val="00615238"/>
    <w:rsid w:val="0061562E"/>
    <w:rsid w:val="0061659A"/>
    <w:rsid w:val="0061702B"/>
    <w:rsid w:val="00617144"/>
    <w:rsid w:val="006172C3"/>
    <w:rsid w:val="00621A04"/>
    <w:rsid w:val="00622995"/>
    <w:rsid w:val="00623302"/>
    <w:rsid w:val="0062343A"/>
    <w:rsid w:val="0062396F"/>
    <w:rsid w:val="00623E0D"/>
    <w:rsid w:val="0062512C"/>
    <w:rsid w:val="00625171"/>
    <w:rsid w:val="00627EFF"/>
    <w:rsid w:val="00631C75"/>
    <w:rsid w:val="00633162"/>
    <w:rsid w:val="0063424E"/>
    <w:rsid w:val="006364EE"/>
    <w:rsid w:val="00636627"/>
    <w:rsid w:val="0063669F"/>
    <w:rsid w:val="0063798A"/>
    <w:rsid w:val="0064036A"/>
    <w:rsid w:val="00642466"/>
    <w:rsid w:val="00642D86"/>
    <w:rsid w:val="0064368A"/>
    <w:rsid w:val="0064460B"/>
    <w:rsid w:val="00644993"/>
    <w:rsid w:val="00646760"/>
    <w:rsid w:val="00646B77"/>
    <w:rsid w:val="006473D2"/>
    <w:rsid w:val="00651A22"/>
    <w:rsid w:val="00654395"/>
    <w:rsid w:val="00655607"/>
    <w:rsid w:val="006562DA"/>
    <w:rsid w:val="00656C12"/>
    <w:rsid w:val="0065788D"/>
    <w:rsid w:val="006616F6"/>
    <w:rsid w:val="006620B6"/>
    <w:rsid w:val="00667A10"/>
    <w:rsid w:val="0067021E"/>
    <w:rsid w:val="00670513"/>
    <w:rsid w:val="00670A6F"/>
    <w:rsid w:val="0067143B"/>
    <w:rsid w:val="00672152"/>
    <w:rsid w:val="006736E4"/>
    <w:rsid w:val="00673893"/>
    <w:rsid w:val="00673D4E"/>
    <w:rsid w:val="00674BA0"/>
    <w:rsid w:val="00675CF5"/>
    <w:rsid w:val="00676AAE"/>
    <w:rsid w:val="00677756"/>
    <w:rsid w:val="00681152"/>
    <w:rsid w:val="00681A80"/>
    <w:rsid w:val="0068213B"/>
    <w:rsid w:val="006827B8"/>
    <w:rsid w:val="00684108"/>
    <w:rsid w:val="006852B8"/>
    <w:rsid w:val="00685A37"/>
    <w:rsid w:val="00690536"/>
    <w:rsid w:val="00691207"/>
    <w:rsid w:val="0069241C"/>
    <w:rsid w:val="00696448"/>
    <w:rsid w:val="00697EE2"/>
    <w:rsid w:val="006A1575"/>
    <w:rsid w:val="006A19A8"/>
    <w:rsid w:val="006A47DF"/>
    <w:rsid w:val="006A5AA8"/>
    <w:rsid w:val="006A6AB1"/>
    <w:rsid w:val="006A773C"/>
    <w:rsid w:val="006B26F9"/>
    <w:rsid w:val="006B2BA9"/>
    <w:rsid w:val="006B3083"/>
    <w:rsid w:val="006B46AF"/>
    <w:rsid w:val="006B50BE"/>
    <w:rsid w:val="006B561D"/>
    <w:rsid w:val="006B58D2"/>
    <w:rsid w:val="006B5F7E"/>
    <w:rsid w:val="006B662C"/>
    <w:rsid w:val="006B6F77"/>
    <w:rsid w:val="006B7BF9"/>
    <w:rsid w:val="006C0EBB"/>
    <w:rsid w:val="006C18DA"/>
    <w:rsid w:val="006C19EE"/>
    <w:rsid w:val="006C1E65"/>
    <w:rsid w:val="006C2B8F"/>
    <w:rsid w:val="006C32B6"/>
    <w:rsid w:val="006C75C5"/>
    <w:rsid w:val="006D084E"/>
    <w:rsid w:val="006D0C7F"/>
    <w:rsid w:val="006D167D"/>
    <w:rsid w:val="006D262B"/>
    <w:rsid w:val="006D55C8"/>
    <w:rsid w:val="006D5680"/>
    <w:rsid w:val="006D6264"/>
    <w:rsid w:val="006E05D9"/>
    <w:rsid w:val="006E062C"/>
    <w:rsid w:val="006E11C0"/>
    <w:rsid w:val="006E189C"/>
    <w:rsid w:val="006E1D6A"/>
    <w:rsid w:val="006E281A"/>
    <w:rsid w:val="006E3476"/>
    <w:rsid w:val="006E35D5"/>
    <w:rsid w:val="006E4123"/>
    <w:rsid w:val="006E5CF6"/>
    <w:rsid w:val="006E6E1C"/>
    <w:rsid w:val="006E7EF1"/>
    <w:rsid w:val="006F6CE8"/>
    <w:rsid w:val="006F6D3E"/>
    <w:rsid w:val="00700503"/>
    <w:rsid w:val="00700660"/>
    <w:rsid w:val="00701F1B"/>
    <w:rsid w:val="007021F6"/>
    <w:rsid w:val="00702706"/>
    <w:rsid w:val="0070499F"/>
    <w:rsid w:val="007049AE"/>
    <w:rsid w:val="0071030E"/>
    <w:rsid w:val="007109A8"/>
    <w:rsid w:val="00713B82"/>
    <w:rsid w:val="007140D1"/>
    <w:rsid w:val="00714776"/>
    <w:rsid w:val="0071648A"/>
    <w:rsid w:val="007169E1"/>
    <w:rsid w:val="007206E6"/>
    <w:rsid w:val="0072175A"/>
    <w:rsid w:val="00721BFD"/>
    <w:rsid w:val="00721CB8"/>
    <w:rsid w:val="007221BB"/>
    <w:rsid w:val="007223F8"/>
    <w:rsid w:val="0072242E"/>
    <w:rsid w:val="00726A8A"/>
    <w:rsid w:val="00727177"/>
    <w:rsid w:val="007272E3"/>
    <w:rsid w:val="00727B84"/>
    <w:rsid w:val="00730164"/>
    <w:rsid w:val="00730450"/>
    <w:rsid w:val="00731D71"/>
    <w:rsid w:val="0073263F"/>
    <w:rsid w:val="00732671"/>
    <w:rsid w:val="0073293A"/>
    <w:rsid w:val="00735F61"/>
    <w:rsid w:val="00740751"/>
    <w:rsid w:val="00740DD5"/>
    <w:rsid w:val="007421FD"/>
    <w:rsid w:val="0074249F"/>
    <w:rsid w:val="007432C0"/>
    <w:rsid w:val="0074598A"/>
    <w:rsid w:val="00745B3A"/>
    <w:rsid w:val="007460BA"/>
    <w:rsid w:val="00747457"/>
    <w:rsid w:val="007505F7"/>
    <w:rsid w:val="00751F1B"/>
    <w:rsid w:val="007527F5"/>
    <w:rsid w:val="0075280F"/>
    <w:rsid w:val="00752964"/>
    <w:rsid w:val="007547B8"/>
    <w:rsid w:val="00754966"/>
    <w:rsid w:val="007567D8"/>
    <w:rsid w:val="00757F03"/>
    <w:rsid w:val="0076081B"/>
    <w:rsid w:val="00761B27"/>
    <w:rsid w:val="00761F8B"/>
    <w:rsid w:val="00766F38"/>
    <w:rsid w:val="00766F71"/>
    <w:rsid w:val="0076765A"/>
    <w:rsid w:val="00771AFC"/>
    <w:rsid w:val="00772309"/>
    <w:rsid w:val="0077560B"/>
    <w:rsid w:val="0077639D"/>
    <w:rsid w:val="00776897"/>
    <w:rsid w:val="00777A4C"/>
    <w:rsid w:val="00780EB4"/>
    <w:rsid w:val="00781EF8"/>
    <w:rsid w:val="0078275D"/>
    <w:rsid w:val="00784C71"/>
    <w:rsid w:val="0078748C"/>
    <w:rsid w:val="007918CD"/>
    <w:rsid w:val="00791BE4"/>
    <w:rsid w:val="00792177"/>
    <w:rsid w:val="00793864"/>
    <w:rsid w:val="007974E1"/>
    <w:rsid w:val="007A0315"/>
    <w:rsid w:val="007A271F"/>
    <w:rsid w:val="007A2BB1"/>
    <w:rsid w:val="007A6B64"/>
    <w:rsid w:val="007B0E32"/>
    <w:rsid w:val="007B2592"/>
    <w:rsid w:val="007B2776"/>
    <w:rsid w:val="007B2990"/>
    <w:rsid w:val="007B49FC"/>
    <w:rsid w:val="007B5081"/>
    <w:rsid w:val="007B6BF0"/>
    <w:rsid w:val="007B7851"/>
    <w:rsid w:val="007C062A"/>
    <w:rsid w:val="007C226C"/>
    <w:rsid w:val="007C4E0F"/>
    <w:rsid w:val="007C50A9"/>
    <w:rsid w:val="007C576C"/>
    <w:rsid w:val="007C5CC9"/>
    <w:rsid w:val="007D1C66"/>
    <w:rsid w:val="007D2573"/>
    <w:rsid w:val="007D29CC"/>
    <w:rsid w:val="007D3657"/>
    <w:rsid w:val="007D4B6F"/>
    <w:rsid w:val="007D6A66"/>
    <w:rsid w:val="007D714A"/>
    <w:rsid w:val="007E07A5"/>
    <w:rsid w:val="007E09F1"/>
    <w:rsid w:val="007E0EC2"/>
    <w:rsid w:val="007E1EC2"/>
    <w:rsid w:val="007E2F2A"/>
    <w:rsid w:val="007E38D3"/>
    <w:rsid w:val="007E5C40"/>
    <w:rsid w:val="007E6432"/>
    <w:rsid w:val="007F0D6C"/>
    <w:rsid w:val="007F485D"/>
    <w:rsid w:val="007F6B67"/>
    <w:rsid w:val="007F7F7C"/>
    <w:rsid w:val="00800558"/>
    <w:rsid w:val="00800684"/>
    <w:rsid w:val="0080147E"/>
    <w:rsid w:val="008057AE"/>
    <w:rsid w:val="008067C7"/>
    <w:rsid w:val="00806FAE"/>
    <w:rsid w:val="00807B6E"/>
    <w:rsid w:val="0081004D"/>
    <w:rsid w:val="00812C6C"/>
    <w:rsid w:val="00812CE4"/>
    <w:rsid w:val="00813E03"/>
    <w:rsid w:val="00817933"/>
    <w:rsid w:val="00820E97"/>
    <w:rsid w:val="00821969"/>
    <w:rsid w:val="00821E7B"/>
    <w:rsid w:val="00822028"/>
    <w:rsid w:val="00822752"/>
    <w:rsid w:val="00824065"/>
    <w:rsid w:val="0082606D"/>
    <w:rsid w:val="008266A8"/>
    <w:rsid w:val="00826B92"/>
    <w:rsid w:val="00827C34"/>
    <w:rsid w:val="00827D42"/>
    <w:rsid w:val="0083002C"/>
    <w:rsid w:val="008313D0"/>
    <w:rsid w:val="008339CA"/>
    <w:rsid w:val="00833C7D"/>
    <w:rsid w:val="008346B1"/>
    <w:rsid w:val="00834E4E"/>
    <w:rsid w:val="00835254"/>
    <w:rsid w:val="0083556D"/>
    <w:rsid w:val="0083677A"/>
    <w:rsid w:val="00836D30"/>
    <w:rsid w:val="00837DCD"/>
    <w:rsid w:val="00840167"/>
    <w:rsid w:val="00840670"/>
    <w:rsid w:val="00842E33"/>
    <w:rsid w:val="00843B64"/>
    <w:rsid w:val="008442C7"/>
    <w:rsid w:val="0084440F"/>
    <w:rsid w:val="0084500A"/>
    <w:rsid w:val="008460E6"/>
    <w:rsid w:val="00846E06"/>
    <w:rsid w:val="00850045"/>
    <w:rsid w:val="00851898"/>
    <w:rsid w:val="00852A87"/>
    <w:rsid w:val="00852ADF"/>
    <w:rsid w:val="008553B1"/>
    <w:rsid w:val="0085628F"/>
    <w:rsid w:val="0085754E"/>
    <w:rsid w:val="00861397"/>
    <w:rsid w:val="008615E1"/>
    <w:rsid w:val="00861796"/>
    <w:rsid w:val="008618F4"/>
    <w:rsid w:val="008632C2"/>
    <w:rsid w:val="008656A0"/>
    <w:rsid w:val="00866432"/>
    <w:rsid w:val="0086669B"/>
    <w:rsid w:val="00871913"/>
    <w:rsid w:val="008728FE"/>
    <w:rsid w:val="008816D2"/>
    <w:rsid w:val="00881D32"/>
    <w:rsid w:val="00883586"/>
    <w:rsid w:val="00883843"/>
    <w:rsid w:val="00884995"/>
    <w:rsid w:val="00884EE1"/>
    <w:rsid w:val="00886188"/>
    <w:rsid w:val="00886777"/>
    <w:rsid w:val="008931D7"/>
    <w:rsid w:val="008933E8"/>
    <w:rsid w:val="00894730"/>
    <w:rsid w:val="0089485A"/>
    <w:rsid w:val="00895874"/>
    <w:rsid w:val="008A760E"/>
    <w:rsid w:val="008B0529"/>
    <w:rsid w:val="008B05C3"/>
    <w:rsid w:val="008B19F5"/>
    <w:rsid w:val="008B25A1"/>
    <w:rsid w:val="008B4F87"/>
    <w:rsid w:val="008C0069"/>
    <w:rsid w:val="008C07B4"/>
    <w:rsid w:val="008C0DF6"/>
    <w:rsid w:val="008C1043"/>
    <w:rsid w:val="008C1AA5"/>
    <w:rsid w:val="008C28A0"/>
    <w:rsid w:val="008C5ED0"/>
    <w:rsid w:val="008D061A"/>
    <w:rsid w:val="008D1B27"/>
    <w:rsid w:val="008D2E6F"/>
    <w:rsid w:val="008D3718"/>
    <w:rsid w:val="008D4108"/>
    <w:rsid w:val="008D6ABF"/>
    <w:rsid w:val="008E002D"/>
    <w:rsid w:val="008E0302"/>
    <w:rsid w:val="008E10E2"/>
    <w:rsid w:val="008E2927"/>
    <w:rsid w:val="008E7BF9"/>
    <w:rsid w:val="008F09AD"/>
    <w:rsid w:val="008F14ED"/>
    <w:rsid w:val="008F1E5F"/>
    <w:rsid w:val="008F2BFB"/>
    <w:rsid w:val="008F4DC6"/>
    <w:rsid w:val="008F5AB3"/>
    <w:rsid w:val="00900566"/>
    <w:rsid w:val="00900A4C"/>
    <w:rsid w:val="0090329C"/>
    <w:rsid w:val="00904AA1"/>
    <w:rsid w:val="009068A1"/>
    <w:rsid w:val="009105C4"/>
    <w:rsid w:val="009108CD"/>
    <w:rsid w:val="00910AA8"/>
    <w:rsid w:val="00910FBB"/>
    <w:rsid w:val="0091690D"/>
    <w:rsid w:val="00922FCC"/>
    <w:rsid w:val="00923722"/>
    <w:rsid w:val="009261D4"/>
    <w:rsid w:val="00931C38"/>
    <w:rsid w:val="00932061"/>
    <w:rsid w:val="009333AD"/>
    <w:rsid w:val="00933759"/>
    <w:rsid w:val="00933885"/>
    <w:rsid w:val="00934D8A"/>
    <w:rsid w:val="00936528"/>
    <w:rsid w:val="0093672A"/>
    <w:rsid w:val="00936E4E"/>
    <w:rsid w:val="00937740"/>
    <w:rsid w:val="0094069A"/>
    <w:rsid w:val="00941571"/>
    <w:rsid w:val="00943BB1"/>
    <w:rsid w:val="00944A70"/>
    <w:rsid w:val="00947826"/>
    <w:rsid w:val="009478FB"/>
    <w:rsid w:val="00950FAB"/>
    <w:rsid w:val="00953C02"/>
    <w:rsid w:val="00955A90"/>
    <w:rsid w:val="0095687B"/>
    <w:rsid w:val="00956913"/>
    <w:rsid w:val="00957FB9"/>
    <w:rsid w:val="0096064D"/>
    <w:rsid w:val="0096122B"/>
    <w:rsid w:val="00962CA9"/>
    <w:rsid w:val="00963BD0"/>
    <w:rsid w:val="0096468C"/>
    <w:rsid w:val="0096550C"/>
    <w:rsid w:val="00965636"/>
    <w:rsid w:val="0096568A"/>
    <w:rsid w:val="00965B5B"/>
    <w:rsid w:val="0097065E"/>
    <w:rsid w:val="0097147F"/>
    <w:rsid w:val="00973720"/>
    <w:rsid w:val="00973955"/>
    <w:rsid w:val="00974025"/>
    <w:rsid w:val="009744DF"/>
    <w:rsid w:val="00974606"/>
    <w:rsid w:val="009750B8"/>
    <w:rsid w:val="00975ECF"/>
    <w:rsid w:val="0098302F"/>
    <w:rsid w:val="009841B9"/>
    <w:rsid w:val="009861E2"/>
    <w:rsid w:val="00991AD3"/>
    <w:rsid w:val="0099459A"/>
    <w:rsid w:val="00995252"/>
    <w:rsid w:val="009971D8"/>
    <w:rsid w:val="009A03E4"/>
    <w:rsid w:val="009A3C65"/>
    <w:rsid w:val="009A43FC"/>
    <w:rsid w:val="009A6BF0"/>
    <w:rsid w:val="009B1BE6"/>
    <w:rsid w:val="009B4EF3"/>
    <w:rsid w:val="009B5A1F"/>
    <w:rsid w:val="009B6320"/>
    <w:rsid w:val="009B6D91"/>
    <w:rsid w:val="009B709E"/>
    <w:rsid w:val="009C157B"/>
    <w:rsid w:val="009C2D0B"/>
    <w:rsid w:val="009C2E83"/>
    <w:rsid w:val="009C433D"/>
    <w:rsid w:val="009C58A8"/>
    <w:rsid w:val="009C6A61"/>
    <w:rsid w:val="009C71AA"/>
    <w:rsid w:val="009C7D25"/>
    <w:rsid w:val="009D17C7"/>
    <w:rsid w:val="009D237F"/>
    <w:rsid w:val="009D282B"/>
    <w:rsid w:val="009D383A"/>
    <w:rsid w:val="009D7539"/>
    <w:rsid w:val="009D7958"/>
    <w:rsid w:val="009E07F6"/>
    <w:rsid w:val="009E1C56"/>
    <w:rsid w:val="009E442C"/>
    <w:rsid w:val="009E4B0C"/>
    <w:rsid w:val="009E6818"/>
    <w:rsid w:val="009E6D28"/>
    <w:rsid w:val="009F1D40"/>
    <w:rsid w:val="009F2026"/>
    <w:rsid w:val="009F2105"/>
    <w:rsid w:val="009F29A3"/>
    <w:rsid w:val="009F4F6F"/>
    <w:rsid w:val="009F4FEE"/>
    <w:rsid w:val="009F6647"/>
    <w:rsid w:val="00A02B8E"/>
    <w:rsid w:val="00A0404D"/>
    <w:rsid w:val="00A06A5E"/>
    <w:rsid w:val="00A077D7"/>
    <w:rsid w:val="00A10155"/>
    <w:rsid w:val="00A123B8"/>
    <w:rsid w:val="00A142A9"/>
    <w:rsid w:val="00A149A9"/>
    <w:rsid w:val="00A14CC8"/>
    <w:rsid w:val="00A20575"/>
    <w:rsid w:val="00A21019"/>
    <w:rsid w:val="00A24173"/>
    <w:rsid w:val="00A245CA"/>
    <w:rsid w:val="00A24811"/>
    <w:rsid w:val="00A26868"/>
    <w:rsid w:val="00A26FAA"/>
    <w:rsid w:val="00A27D52"/>
    <w:rsid w:val="00A301F4"/>
    <w:rsid w:val="00A3084C"/>
    <w:rsid w:val="00A30B7B"/>
    <w:rsid w:val="00A3190F"/>
    <w:rsid w:val="00A327C4"/>
    <w:rsid w:val="00A33256"/>
    <w:rsid w:val="00A3677D"/>
    <w:rsid w:val="00A36AE7"/>
    <w:rsid w:val="00A3738B"/>
    <w:rsid w:val="00A379E4"/>
    <w:rsid w:val="00A37D26"/>
    <w:rsid w:val="00A41A89"/>
    <w:rsid w:val="00A42D43"/>
    <w:rsid w:val="00A46F8A"/>
    <w:rsid w:val="00A502A5"/>
    <w:rsid w:val="00A503BF"/>
    <w:rsid w:val="00A50B92"/>
    <w:rsid w:val="00A514B6"/>
    <w:rsid w:val="00A521F1"/>
    <w:rsid w:val="00A5256F"/>
    <w:rsid w:val="00A529B9"/>
    <w:rsid w:val="00A53410"/>
    <w:rsid w:val="00A53881"/>
    <w:rsid w:val="00A5483A"/>
    <w:rsid w:val="00A549A9"/>
    <w:rsid w:val="00A555EA"/>
    <w:rsid w:val="00A61C06"/>
    <w:rsid w:val="00A61E06"/>
    <w:rsid w:val="00A630CB"/>
    <w:rsid w:val="00A631B2"/>
    <w:rsid w:val="00A634E5"/>
    <w:rsid w:val="00A6416A"/>
    <w:rsid w:val="00A64BE9"/>
    <w:rsid w:val="00A6573B"/>
    <w:rsid w:val="00A65F43"/>
    <w:rsid w:val="00A672CD"/>
    <w:rsid w:val="00A6783D"/>
    <w:rsid w:val="00A702A2"/>
    <w:rsid w:val="00A71334"/>
    <w:rsid w:val="00A719D8"/>
    <w:rsid w:val="00A75258"/>
    <w:rsid w:val="00A808AB"/>
    <w:rsid w:val="00A83DB5"/>
    <w:rsid w:val="00A8412E"/>
    <w:rsid w:val="00A84154"/>
    <w:rsid w:val="00A86AC8"/>
    <w:rsid w:val="00A8716B"/>
    <w:rsid w:val="00A87729"/>
    <w:rsid w:val="00A90393"/>
    <w:rsid w:val="00A90B2B"/>
    <w:rsid w:val="00A91983"/>
    <w:rsid w:val="00A91D06"/>
    <w:rsid w:val="00A92A09"/>
    <w:rsid w:val="00A93829"/>
    <w:rsid w:val="00A942CD"/>
    <w:rsid w:val="00A95232"/>
    <w:rsid w:val="00A9534B"/>
    <w:rsid w:val="00A95F9D"/>
    <w:rsid w:val="00AA0563"/>
    <w:rsid w:val="00AA0AC2"/>
    <w:rsid w:val="00AA106B"/>
    <w:rsid w:val="00AA18CB"/>
    <w:rsid w:val="00AA1A79"/>
    <w:rsid w:val="00AA1A9B"/>
    <w:rsid w:val="00AA1B20"/>
    <w:rsid w:val="00AA1E3C"/>
    <w:rsid w:val="00AA3A00"/>
    <w:rsid w:val="00AA485A"/>
    <w:rsid w:val="00AA4F7B"/>
    <w:rsid w:val="00AA58DE"/>
    <w:rsid w:val="00AA6114"/>
    <w:rsid w:val="00AA79F6"/>
    <w:rsid w:val="00AB744B"/>
    <w:rsid w:val="00AB773C"/>
    <w:rsid w:val="00AC28C6"/>
    <w:rsid w:val="00AC352F"/>
    <w:rsid w:val="00AC3DE1"/>
    <w:rsid w:val="00AC4F77"/>
    <w:rsid w:val="00AC5B27"/>
    <w:rsid w:val="00AC7880"/>
    <w:rsid w:val="00AC7D81"/>
    <w:rsid w:val="00AC7E3F"/>
    <w:rsid w:val="00AD0EF4"/>
    <w:rsid w:val="00AD1F6D"/>
    <w:rsid w:val="00AD224B"/>
    <w:rsid w:val="00AD3D4C"/>
    <w:rsid w:val="00AD4A3C"/>
    <w:rsid w:val="00AE4BFA"/>
    <w:rsid w:val="00AE60B3"/>
    <w:rsid w:val="00AE7198"/>
    <w:rsid w:val="00AE7A8D"/>
    <w:rsid w:val="00AF1DD7"/>
    <w:rsid w:val="00AF2A0F"/>
    <w:rsid w:val="00AF413E"/>
    <w:rsid w:val="00B00961"/>
    <w:rsid w:val="00B00DBD"/>
    <w:rsid w:val="00B00F7D"/>
    <w:rsid w:val="00B01EA2"/>
    <w:rsid w:val="00B04C8E"/>
    <w:rsid w:val="00B11452"/>
    <w:rsid w:val="00B12833"/>
    <w:rsid w:val="00B148A9"/>
    <w:rsid w:val="00B14CA3"/>
    <w:rsid w:val="00B14F0B"/>
    <w:rsid w:val="00B152FF"/>
    <w:rsid w:val="00B1591E"/>
    <w:rsid w:val="00B2008B"/>
    <w:rsid w:val="00B2042D"/>
    <w:rsid w:val="00B22C32"/>
    <w:rsid w:val="00B257EC"/>
    <w:rsid w:val="00B267DD"/>
    <w:rsid w:val="00B2743D"/>
    <w:rsid w:val="00B3197D"/>
    <w:rsid w:val="00B34422"/>
    <w:rsid w:val="00B34A67"/>
    <w:rsid w:val="00B351EC"/>
    <w:rsid w:val="00B36CC6"/>
    <w:rsid w:val="00B40B84"/>
    <w:rsid w:val="00B42051"/>
    <w:rsid w:val="00B444AE"/>
    <w:rsid w:val="00B44760"/>
    <w:rsid w:val="00B4509F"/>
    <w:rsid w:val="00B45623"/>
    <w:rsid w:val="00B456C4"/>
    <w:rsid w:val="00B46371"/>
    <w:rsid w:val="00B4789E"/>
    <w:rsid w:val="00B47A28"/>
    <w:rsid w:val="00B5028B"/>
    <w:rsid w:val="00B504E4"/>
    <w:rsid w:val="00B50A59"/>
    <w:rsid w:val="00B51A9C"/>
    <w:rsid w:val="00B54C9C"/>
    <w:rsid w:val="00B54D26"/>
    <w:rsid w:val="00B55683"/>
    <w:rsid w:val="00B55D16"/>
    <w:rsid w:val="00B56108"/>
    <w:rsid w:val="00B621EB"/>
    <w:rsid w:val="00B65BCF"/>
    <w:rsid w:val="00B702F2"/>
    <w:rsid w:val="00B7135E"/>
    <w:rsid w:val="00B747D5"/>
    <w:rsid w:val="00B7761D"/>
    <w:rsid w:val="00B814B8"/>
    <w:rsid w:val="00B820EF"/>
    <w:rsid w:val="00B82DC7"/>
    <w:rsid w:val="00B85275"/>
    <w:rsid w:val="00B861C8"/>
    <w:rsid w:val="00B864B4"/>
    <w:rsid w:val="00B86521"/>
    <w:rsid w:val="00B871AE"/>
    <w:rsid w:val="00B87F60"/>
    <w:rsid w:val="00B904FA"/>
    <w:rsid w:val="00B908AA"/>
    <w:rsid w:val="00B9115D"/>
    <w:rsid w:val="00B928E2"/>
    <w:rsid w:val="00B94250"/>
    <w:rsid w:val="00B95F1D"/>
    <w:rsid w:val="00B976EE"/>
    <w:rsid w:val="00B97A38"/>
    <w:rsid w:val="00BA0CB6"/>
    <w:rsid w:val="00BA0E01"/>
    <w:rsid w:val="00BA2F15"/>
    <w:rsid w:val="00BA4FB3"/>
    <w:rsid w:val="00BA52E1"/>
    <w:rsid w:val="00BA643C"/>
    <w:rsid w:val="00BA6ADF"/>
    <w:rsid w:val="00BB2385"/>
    <w:rsid w:val="00BB2656"/>
    <w:rsid w:val="00BB48A0"/>
    <w:rsid w:val="00BB75B2"/>
    <w:rsid w:val="00BC1CDF"/>
    <w:rsid w:val="00BC203A"/>
    <w:rsid w:val="00BC46F8"/>
    <w:rsid w:val="00BC5243"/>
    <w:rsid w:val="00BC64A8"/>
    <w:rsid w:val="00BD0A71"/>
    <w:rsid w:val="00BD131A"/>
    <w:rsid w:val="00BD2298"/>
    <w:rsid w:val="00BD2744"/>
    <w:rsid w:val="00BD3237"/>
    <w:rsid w:val="00BD4396"/>
    <w:rsid w:val="00BD5123"/>
    <w:rsid w:val="00BD6252"/>
    <w:rsid w:val="00BD6531"/>
    <w:rsid w:val="00BD78B9"/>
    <w:rsid w:val="00BD7B3B"/>
    <w:rsid w:val="00BD7CAA"/>
    <w:rsid w:val="00BE0BE7"/>
    <w:rsid w:val="00BE3A80"/>
    <w:rsid w:val="00BE5DC8"/>
    <w:rsid w:val="00BE5FC8"/>
    <w:rsid w:val="00BE6193"/>
    <w:rsid w:val="00BE740B"/>
    <w:rsid w:val="00BE7488"/>
    <w:rsid w:val="00BE76E5"/>
    <w:rsid w:val="00BE7909"/>
    <w:rsid w:val="00BF0459"/>
    <w:rsid w:val="00BF18E3"/>
    <w:rsid w:val="00BF1F0F"/>
    <w:rsid w:val="00BF39ED"/>
    <w:rsid w:val="00BF4646"/>
    <w:rsid w:val="00BF783D"/>
    <w:rsid w:val="00BF7CA5"/>
    <w:rsid w:val="00C01969"/>
    <w:rsid w:val="00C02024"/>
    <w:rsid w:val="00C0288D"/>
    <w:rsid w:val="00C02B5B"/>
    <w:rsid w:val="00C043EA"/>
    <w:rsid w:val="00C05DEF"/>
    <w:rsid w:val="00C0609D"/>
    <w:rsid w:val="00C1109C"/>
    <w:rsid w:val="00C12179"/>
    <w:rsid w:val="00C12604"/>
    <w:rsid w:val="00C13DD3"/>
    <w:rsid w:val="00C13F89"/>
    <w:rsid w:val="00C145F8"/>
    <w:rsid w:val="00C1575B"/>
    <w:rsid w:val="00C20AFD"/>
    <w:rsid w:val="00C214CE"/>
    <w:rsid w:val="00C21E6B"/>
    <w:rsid w:val="00C22882"/>
    <w:rsid w:val="00C23CD1"/>
    <w:rsid w:val="00C24663"/>
    <w:rsid w:val="00C24C64"/>
    <w:rsid w:val="00C24E11"/>
    <w:rsid w:val="00C260C5"/>
    <w:rsid w:val="00C26486"/>
    <w:rsid w:val="00C30A7B"/>
    <w:rsid w:val="00C31055"/>
    <w:rsid w:val="00C31DEE"/>
    <w:rsid w:val="00C36979"/>
    <w:rsid w:val="00C37268"/>
    <w:rsid w:val="00C426FD"/>
    <w:rsid w:val="00C44564"/>
    <w:rsid w:val="00C446F0"/>
    <w:rsid w:val="00C45043"/>
    <w:rsid w:val="00C45BE0"/>
    <w:rsid w:val="00C4749F"/>
    <w:rsid w:val="00C47AD8"/>
    <w:rsid w:val="00C47BE4"/>
    <w:rsid w:val="00C50FBB"/>
    <w:rsid w:val="00C51457"/>
    <w:rsid w:val="00C5242E"/>
    <w:rsid w:val="00C5385B"/>
    <w:rsid w:val="00C60F43"/>
    <w:rsid w:val="00C617D0"/>
    <w:rsid w:val="00C628F0"/>
    <w:rsid w:val="00C643D5"/>
    <w:rsid w:val="00C64EA6"/>
    <w:rsid w:val="00C6579C"/>
    <w:rsid w:val="00C65CC9"/>
    <w:rsid w:val="00C70749"/>
    <w:rsid w:val="00C750E2"/>
    <w:rsid w:val="00C75A78"/>
    <w:rsid w:val="00C772D4"/>
    <w:rsid w:val="00C810B2"/>
    <w:rsid w:val="00C832BC"/>
    <w:rsid w:val="00C845DC"/>
    <w:rsid w:val="00C864D4"/>
    <w:rsid w:val="00C9017F"/>
    <w:rsid w:val="00C91609"/>
    <w:rsid w:val="00C91B71"/>
    <w:rsid w:val="00C9236A"/>
    <w:rsid w:val="00C923C7"/>
    <w:rsid w:val="00C93A8C"/>
    <w:rsid w:val="00C945DC"/>
    <w:rsid w:val="00C95FF3"/>
    <w:rsid w:val="00C96580"/>
    <w:rsid w:val="00CA0575"/>
    <w:rsid w:val="00CA208C"/>
    <w:rsid w:val="00CA358E"/>
    <w:rsid w:val="00CA3B70"/>
    <w:rsid w:val="00CA6619"/>
    <w:rsid w:val="00CB06D3"/>
    <w:rsid w:val="00CB152C"/>
    <w:rsid w:val="00CB2578"/>
    <w:rsid w:val="00CB3942"/>
    <w:rsid w:val="00CB649B"/>
    <w:rsid w:val="00CB6C3D"/>
    <w:rsid w:val="00CC2025"/>
    <w:rsid w:val="00CC336B"/>
    <w:rsid w:val="00CC432F"/>
    <w:rsid w:val="00CC4DF8"/>
    <w:rsid w:val="00CD0EF7"/>
    <w:rsid w:val="00CD1871"/>
    <w:rsid w:val="00CD1CE1"/>
    <w:rsid w:val="00CD205B"/>
    <w:rsid w:val="00CD3CA1"/>
    <w:rsid w:val="00CD4715"/>
    <w:rsid w:val="00CD57D0"/>
    <w:rsid w:val="00CD6D36"/>
    <w:rsid w:val="00CD7C1C"/>
    <w:rsid w:val="00CE2577"/>
    <w:rsid w:val="00CE326C"/>
    <w:rsid w:val="00CE7C24"/>
    <w:rsid w:val="00CF0A8A"/>
    <w:rsid w:val="00CF1179"/>
    <w:rsid w:val="00CF1D8A"/>
    <w:rsid w:val="00CF3788"/>
    <w:rsid w:val="00CF4504"/>
    <w:rsid w:val="00CF4F5A"/>
    <w:rsid w:val="00CF5C4D"/>
    <w:rsid w:val="00CF62AE"/>
    <w:rsid w:val="00CF776A"/>
    <w:rsid w:val="00D014A8"/>
    <w:rsid w:val="00D01571"/>
    <w:rsid w:val="00D023D2"/>
    <w:rsid w:val="00D03EF3"/>
    <w:rsid w:val="00D06D27"/>
    <w:rsid w:val="00D10DEA"/>
    <w:rsid w:val="00D14068"/>
    <w:rsid w:val="00D14E4E"/>
    <w:rsid w:val="00D16B2A"/>
    <w:rsid w:val="00D173CE"/>
    <w:rsid w:val="00D2035F"/>
    <w:rsid w:val="00D209B8"/>
    <w:rsid w:val="00D21754"/>
    <w:rsid w:val="00D2286D"/>
    <w:rsid w:val="00D22899"/>
    <w:rsid w:val="00D23D9E"/>
    <w:rsid w:val="00D24FA3"/>
    <w:rsid w:val="00D25333"/>
    <w:rsid w:val="00D25A29"/>
    <w:rsid w:val="00D26708"/>
    <w:rsid w:val="00D26976"/>
    <w:rsid w:val="00D31401"/>
    <w:rsid w:val="00D33977"/>
    <w:rsid w:val="00D3463C"/>
    <w:rsid w:val="00D34D94"/>
    <w:rsid w:val="00D35271"/>
    <w:rsid w:val="00D36675"/>
    <w:rsid w:val="00D37AE6"/>
    <w:rsid w:val="00D415B8"/>
    <w:rsid w:val="00D42963"/>
    <w:rsid w:val="00D42BE3"/>
    <w:rsid w:val="00D42F9D"/>
    <w:rsid w:val="00D44D5A"/>
    <w:rsid w:val="00D45805"/>
    <w:rsid w:val="00D46ACE"/>
    <w:rsid w:val="00D479C1"/>
    <w:rsid w:val="00D47A79"/>
    <w:rsid w:val="00D50C57"/>
    <w:rsid w:val="00D55F50"/>
    <w:rsid w:val="00D56F2C"/>
    <w:rsid w:val="00D5787C"/>
    <w:rsid w:val="00D60F00"/>
    <w:rsid w:val="00D638B8"/>
    <w:rsid w:val="00D639B3"/>
    <w:rsid w:val="00D64B8E"/>
    <w:rsid w:val="00D64D55"/>
    <w:rsid w:val="00D65AB6"/>
    <w:rsid w:val="00D65C65"/>
    <w:rsid w:val="00D669B7"/>
    <w:rsid w:val="00D70557"/>
    <w:rsid w:val="00D707F8"/>
    <w:rsid w:val="00D70AB8"/>
    <w:rsid w:val="00D70CFC"/>
    <w:rsid w:val="00D72AB5"/>
    <w:rsid w:val="00D73240"/>
    <w:rsid w:val="00D737AE"/>
    <w:rsid w:val="00D73CDF"/>
    <w:rsid w:val="00D7458F"/>
    <w:rsid w:val="00D74BF9"/>
    <w:rsid w:val="00D75637"/>
    <w:rsid w:val="00D76F75"/>
    <w:rsid w:val="00D77508"/>
    <w:rsid w:val="00D809DF"/>
    <w:rsid w:val="00D81452"/>
    <w:rsid w:val="00D8167F"/>
    <w:rsid w:val="00D82A27"/>
    <w:rsid w:val="00D82B74"/>
    <w:rsid w:val="00D83891"/>
    <w:rsid w:val="00D844FF"/>
    <w:rsid w:val="00D8754D"/>
    <w:rsid w:val="00D917C1"/>
    <w:rsid w:val="00D9234E"/>
    <w:rsid w:val="00D92C35"/>
    <w:rsid w:val="00D92D0A"/>
    <w:rsid w:val="00D94B54"/>
    <w:rsid w:val="00D95A44"/>
    <w:rsid w:val="00D97B99"/>
    <w:rsid w:val="00DA1DD3"/>
    <w:rsid w:val="00DA3D66"/>
    <w:rsid w:val="00DA3FD8"/>
    <w:rsid w:val="00DA4674"/>
    <w:rsid w:val="00DA4A7A"/>
    <w:rsid w:val="00DA54DF"/>
    <w:rsid w:val="00DA5C8E"/>
    <w:rsid w:val="00DA6AB3"/>
    <w:rsid w:val="00DA6FBB"/>
    <w:rsid w:val="00DA6FC5"/>
    <w:rsid w:val="00DB2468"/>
    <w:rsid w:val="00DB2934"/>
    <w:rsid w:val="00DB49D2"/>
    <w:rsid w:val="00DB69EB"/>
    <w:rsid w:val="00DC08D2"/>
    <w:rsid w:val="00DC0F5E"/>
    <w:rsid w:val="00DC12ED"/>
    <w:rsid w:val="00DC1852"/>
    <w:rsid w:val="00DC18EF"/>
    <w:rsid w:val="00DC1EE9"/>
    <w:rsid w:val="00DC4140"/>
    <w:rsid w:val="00DC6541"/>
    <w:rsid w:val="00DC670B"/>
    <w:rsid w:val="00DC6D72"/>
    <w:rsid w:val="00DC7F8A"/>
    <w:rsid w:val="00DD3311"/>
    <w:rsid w:val="00DD3DDF"/>
    <w:rsid w:val="00DD5BAF"/>
    <w:rsid w:val="00DD5E75"/>
    <w:rsid w:val="00DD6421"/>
    <w:rsid w:val="00DD6AC7"/>
    <w:rsid w:val="00DD70F0"/>
    <w:rsid w:val="00DD7B57"/>
    <w:rsid w:val="00DE061C"/>
    <w:rsid w:val="00DE39C6"/>
    <w:rsid w:val="00DE5852"/>
    <w:rsid w:val="00DE59E5"/>
    <w:rsid w:val="00DF0E2F"/>
    <w:rsid w:val="00DF19F4"/>
    <w:rsid w:val="00DF1B10"/>
    <w:rsid w:val="00DF2074"/>
    <w:rsid w:val="00DF2D22"/>
    <w:rsid w:val="00DF5965"/>
    <w:rsid w:val="00DF59D1"/>
    <w:rsid w:val="00DF5B33"/>
    <w:rsid w:val="00DF64EE"/>
    <w:rsid w:val="00E02871"/>
    <w:rsid w:val="00E04DCD"/>
    <w:rsid w:val="00E05369"/>
    <w:rsid w:val="00E06811"/>
    <w:rsid w:val="00E06E1C"/>
    <w:rsid w:val="00E074F0"/>
    <w:rsid w:val="00E07D44"/>
    <w:rsid w:val="00E1002C"/>
    <w:rsid w:val="00E10C88"/>
    <w:rsid w:val="00E1266B"/>
    <w:rsid w:val="00E13242"/>
    <w:rsid w:val="00E15699"/>
    <w:rsid w:val="00E16759"/>
    <w:rsid w:val="00E16FCC"/>
    <w:rsid w:val="00E20C5D"/>
    <w:rsid w:val="00E214AF"/>
    <w:rsid w:val="00E21833"/>
    <w:rsid w:val="00E229DB"/>
    <w:rsid w:val="00E235CC"/>
    <w:rsid w:val="00E24365"/>
    <w:rsid w:val="00E300F3"/>
    <w:rsid w:val="00E32739"/>
    <w:rsid w:val="00E3336F"/>
    <w:rsid w:val="00E349A6"/>
    <w:rsid w:val="00E352DD"/>
    <w:rsid w:val="00E36CB9"/>
    <w:rsid w:val="00E40F84"/>
    <w:rsid w:val="00E41946"/>
    <w:rsid w:val="00E41D45"/>
    <w:rsid w:val="00E43E69"/>
    <w:rsid w:val="00E44476"/>
    <w:rsid w:val="00E44902"/>
    <w:rsid w:val="00E469B8"/>
    <w:rsid w:val="00E47E09"/>
    <w:rsid w:val="00E518BF"/>
    <w:rsid w:val="00E56323"/>
    <w:rsid w:val="00E61109"/>
    <w:rsid w:val="00E61255"/>
    <w:rsid w:val="00E62A82"/>
    <w:rsid w:val="00E6306B"/>
    <w:rsid w:val="00E63D8A"/>
    <w:rsid w:val="00E65CD2"/>
    <w:rsid w:val="00E6681D"/>
    <w:rsid w:val="00E67A8B"/>
    <w:rsid w:val="00E67AC4"/>
    <w:rsid w:val="00E719C9"/>
    <w:rsid w:val="00E71A68"/>
    <w:rsid w:val="00E71FDA"/>
    <w:rsid w:val="00E729C7"/>
    <w:rsid w:val="00E736F1"/>
    <w:rsid w:val="00E7485D"/>
    <w:rsid w:val="00E75998"/>
    <w:rsid w:val="00E75DEB"/>
    <w:rsid w:val="00E76737"/>
    <w:rsid w:val="00E76C6B"/>
    <w:rsid w:val="00E804F2"/>
    <w:rsid w:val="00E80638"/>
    <w:rsid w:val="00E80B2B"/>
    <w:rsid w:val="00E80FEF"/>
    <w:rsid w:val="00E815BE"/>
    <w:rsid w:val="00E82032"/>
    <w:rsid w:val="00E82C79"/>
    <w:rsid w:val="00E8476E"/>
    <w:rsid w:val="00E851B1"/>
    <w:rsid w:val="00E8554B"/>
    <w:rsid w:val="00E85A0D"/>
    <w:rsid w:val="00E86FD5"/>
    <w:rsid w:val="00E879E1"/>
    <w:rsid w:val="00E9014A"/>
    <w:rsid w:val="00E90DB7"/>
    <w:rsid w:val="00E91E5C"/>
    <w:rsid w:val="00E91F39"/>
    <w:rsid w:val="00E97473"/>
    <w:rsid w:val="00E97BF0"/>
    <w:rsid w:val="00EA381D"/>
    <w:rsid w:val="00EA4FA2"/>
    <w:rsid w:val="00EA5654"/>
    <w:rsid w:val="00EA5A00"/>
    <w:rsid w:val="00EA64B6"/>
    <w:rsid w:val="00EA7427"/>
    <w:rsid w:val="00EB1022"/>
    <w:rsid w:val="00EB5ECD"/>
    <w:rsid w:val="00EB6C1A"/>
    <w:rsid w:val="00EC0019"/>
    <w:rsid w:val="00EC0145"/>
    <w:rsid w:val="00EC0821"/>
    <w:rsid w:val="00EC095E"/>
    <w:rsid w:val="00EC10B5"/>
    <w:rsid w:val="00EC15F6"/>
    <w:rsid w:val="00EC4D89"/>
    <w:rsid w:val="00EC4E18"/>
    <w:rsid w:val="00EC6A23"/>
    <w:rsid w:val="00EC6DA3"/>
    <w:rsid w:val="00EC71CB"/>
    <w:rsid w:val="00EC7D2E"/>
    <w:rsid w:val="00ED0848"/>
    <w:rsid w:val="00ED0EAB"/>
    <w:rsid w:val="00ED2B0E"/>
    <w:rsid w:val="00ED3F0A"/>
    <w:rsid w:val="00ED6025"/>
    <w:rsid w:val="00EE2CE4"/>
    <w:rsid w:val="00EE300C"/>
    <w:rsid w:val="00EE65C6"/>
    <w:rsid w:val="00EF2107"/>
    <w:rsid w:val="00EF4E9C"/>
    <w:rsid w:val="00EF56BC"/>
    <w:rsid w:val="00F01743"/>
    <w:rsid w:val="00F03CC8"/>
    <w:rsid w:val="00F04397"/>
    <w:rsid w:val="00F04863"/>
    <w:rsid w:val="00F052F4"/>
    <w:rsid w:val="00F05691"/>
    <w:rsid w:val="00F06DEA"/>
    <w:rsid w:val="00F10A5D"/>
    <w:rsid w:val="00F11030"/>
    <w:rsid w:val="00F164E8"/>
    <w:rsid w:val="00F20F90"/>
    <w:rsid w:val="00F22752"/>
    <w:rsid w:val="00F228B2"/>
    <w:rsid w:val="00F242AE"/>
    <w:rsid w:val="00F26006"/>
    <w:rsid w:val="00F26C77"/>
    <w:rsid w:val="00F275CD"/>
    <w:rsid w:val="00F27AD2"/>
    <w:rsid w:val="00F30020"/>
    <w:rsid w:val="00F35533"/>
    <w:rsid w:val="00F3597A"/>
    <w:rsid w:val="00F35A7B"/>
    <w:rsid w:val="00F35E16"/>
    <w:rsid w:val="00F36B02"/>
    <w:rsid w:val="00F3766F"/>
    <w:rsid w:val="00F37A5E"/>
    <w:rsid w:val="00F42085"/>
    <w:rsid w:val="00F42AC5"/>
    <w:rsid w:val="00F43488"/>
    <w:rsid w:val="00F44596"/>
    <w:rsid w:val="00F455C9"/>
    <w:rsid w:val="00F46A2E"/>
    <w:rsid w:val="00F50EBC"/>
    <w:rsid w:val="00F51080"/>
    <w:rsid w:val="00F52986"/>
    <w:rsid w:val="00F55EB7"/>
    <w:rsid w:val="00F5689B"/>
    <w:rsid w:val="00F607C9"/>
    <w:rsid w:val="00F6103C"/>
    <w:rsid w:val="00F61692"/>
    <w:rsid w:val="00F6236A"/>
    <w:rsid w:val="00F6283C"/>
    <w:rsid w:val="00F62F33"/>
    <w:rsid w:val="00F64B79"/>
    <w:rsid w:val="00F6524C"/>
    <w:rsid w:val="00F6749A"/>
    <w:rsid w:val="00F67B33"/>
    <w:rsid w:val="00F67E01"/>
    <w:rsid w:val="00F70241"/>
    <w:rsid w:val="00F70604"/>
    <w:rsid w:val="00F70925"/>
    <w:rsid w:val="00F709E6"/>
    <w:rsid w:val="00F71255"/>
    <w:rsid w:val="00F72D55"/>
    <w:rsid w:val="00F80D74"/>
    <w:rsid w:val="00F82C81"/>
    <w:rsid w:val="00F82D36"/>
    <w:rsid w:val="00F83CC9"/>
    <w:rsid w:val="00F83F9F"/>
    <w:rsid w:val="00F86B5D"/>
    <w:rsid w:val="00F8728C"/>
    <w:rsid w:val="00F90F46"/>
    <w:rsid w:val="00F91466"/>
    <w:rsid w:val="00F91EE5"/>
    <w:rsid w:val="00F9289C"/>
    <w:rsid w:val="00F9339D"/>
    <w:rsid w:val="00F96412"/>
    <w:rsid w:val="00F9680E"/>
    <w:rsid w:val="00FA1E42"/>
    <w:rsid w:val="00FA1FFD"/>
    <w:rsid w:val="00FA3E64"/>
    <w:rsid w:val="00FA46F1"/>
    <w:rsid w:val="00FA49FC"/>
    <w:rsid w:val="00FA4B35"/>
    <w:rsid w:val="00FA5D8F"/>
    <w:rsid w:val="00FA688D"/>
    <w:rsid w:val="00FA740E"/>
    <w:rsid w:val="00FA742C"/>
    <w:rsid w:val="00FB0248"/>
    <w:rsid w:val="00FB2EE7"/>
    <w:rsid w:val="00FB425C"/>
    <w:rsid w:val="00FB6B12"/>
    <w:rsid w:val="00FC0743"/>
    <w:rsid w:val="00FC1731"/>
    <w:rsid w:val="00FC2B91"/>
    <w:rsid w:val="00FD12C1"/>
    <w:rsid w:val="00FD43C4"/>
    <w:rsid w:val="00FD5525"/>
    <w:rsid w:val="00FD77DA"/>
    <w:rsid w:val="00FE2607"/>
    <w:rsid w:val="00FE276E"/>
    <w:rsid w:val="00FE2E76"/>
    <w:rsid w:val="00FE31EB"/>
    <w:rsid w:val="00FE33EE"/>
    <w:rsid w:val="00FE41C7"/>
    <w:rsid w:val="00FE4282"/>
    <w:rsid w:val="00FE474D"/>
    <w:rsid w:val="00FE72AA"/>
    <w:rsid w:val="00FE7547"/>
    <w:rsid w:val="00FF020D"/>
    <w:rsid w:val="00FF07D2"/>
    <w:rsid w:val="00FF3961"/>
    <w:rsid w:val="00FF6DA1"/>
    <w:rsid w:val="4B6FA26F"/>
    <w:rsid w:val="5EDB6058"/>
    <w:rsid w:val="B65E9B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4"/>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9"/>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5">
    <w:name w:val="Default Paragraph Font"/>
    <w:semiHidden/>
    <w:unhideWhenUsed/>
    <w:qFormat/>
    <w:uiPriority w:val="1"/>
  </w:style>
  <w:style w:type="table" w:default="1" w:styleId="13">
    <w:name w:val="Normal Table"/>
    <w:semiHidden/>
    <w:unhideWhenUsed/>
    <w:uiPriority w:val="99"/>
    <w:tblPr>
      <w:tblCellMar>
        <w:top w:w="0" w:type="dxa"/>
        <w:left w:w="108" w:type="dxa"/>
        <w:bottom w:w="0" w:type="dxa"/>
        <w:right w:w="108" w:type="dxa"/>
      </w:tblCellMar>
    </w:tblPr>
  </w:style>
  <w:style w:type="paragraph" w:styleId="6">
    <w:name w:val="toc 3"/>
    <w:basedOn w:val="1"/>
    <w:next w:val="1"/>
    <w:semiHidden/>
    <w:unhideWhenUsed/>
    <w:uiPriority w:val="39"/>
    <w:pPr>
      <w:ind w:left="840" w:leftChars="400"/>
    </w:pPr>
  </w:style>
  <w:style w:type="paragraph" w:styleId="7">
    <w:name w:val="footer"/>
    <w:basedOn w:val="1"/>
    <w:link w:val="20"/>
    <w:unhideWhenUsed/>
    <w:uiPriority w:val="99"/>
    <w:pPr>
      <w:tabs>
        <w:tab w:val="center" w:pos="4680"/>
        <w:tab w:val="right" w:pos="9360"/>
      </w:tabs>
      <w:spacing w:after="0" w:line="240" w:lineRule="auto"/>
    </w:pPr>
  </w:style>
  <w:style w:type="paragraph" w:styleId="8">
    <w:name w:val="header"/>
    <w:basedOn w:val="1"/>
    <w:link w:val="19"/>
    <w:unhideWhenUsed/>
    <w:uiPriority w:val="99"/>
    <w:pPr>
      <w:tabs>
        <w:tab w:val="center" w:pos="4680"/>
        <w:tab w:val="right" w:pos="9360"/>
      </w:tabs>
      <w:spacing w:after="0" w:line="240" w:lineRule="auto"/>
    </w:pPr>
  </w:style>
  <w:style w:type="paragraph" w:styleId="9">
    <w:name w:val="toc 1"/>
    <w:basedOn w:val="1"/>
    <w:next w:val="1"/>
    <w:semiHidden/>
    <w:unhideWhenUsed/>
    <w:uiPriority w:val="39"/>
  </w:style>
  <w:style w:type="paragraph" w:styleId="10">
    <w:name w:val="toc 4"/>
    <w:basedOn w:val="1"/>
    <w:next w:val="1"/>
    <w:semiHidden/>
    <w:unhideWhenUsed/>
    <w:uiPriority w:val="39"/>
    <w:pPr>
      <w:ind w:left="1260" w:leftChars="600"/>
    </w:pPr>
  </w:style>
  <w:style w:type="paragraph" w:styleId="11">
    <w:name w:val="toc 2"/>
    <w:basedOn w:val="1"/>
    <w:next w:val="1"/>
    <w:semiHidden/>
    <w:unhideWhenUsed/>
    <w:uiPriority w:val="39"/>
    <w:pPr>
      <w:ind w:left="420" w:leftChars="200"/>
    </w:pPr>
  </w:style>
  <w:style w:type="paragraph" w:styleId="12">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table" w:styleId="14">
    <w:name w:val="Table Grid"/>
    <w:basedOn w:val="13"/>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Emphasis"/>
    <w:basedOn w:val="15"/>
    <w:qFormat/>
    <w:uiPriority w:val="20"/>
    <w:rPr>
      <w:i/>
      <w:iCs/>
    </w:rPr>
  </w:style>
  <w:style w:type="character" w:styleId="17">
    <w:name w:val="Hyperlink"/>
    <w:basedOn w:val="15"/>
    <w:unhideWhenUsed/>
    <w:uiPriority w:val="99"/>
    <w:rPr>
      <w:color w:val="0563C1" w:themeColor="hyperlink"/>
      <w:u w:val="single"/>
      <w14:textFill>
        <w14:solidFill>
          <w14:schemeClr w14:val="hlink"/>
        </w14:solidFill>
      </w14:textFill>
    </w:rPr>
  </w:style>
  <w:style w:type="paragraph" w:styleId="18">
    <w:name w:val="List Paragraph"/>
    <w:basedOn w:val="1"/>
    <w:qFormat/>
    <w:uiPriority w:val="34"/>
    <w:pPr>
      <w:ind w:left="720"/>
      <w:contextualSpacing/>
    </w:pPr>
  </w:style>
  <w:style w:type="character" w:customStyle="1" w:styleId="19">
    <w:name w:val="Header Char"/>
    <w:basedOn w:val="15"/>
    <w:link w:val="8"/>
    <w:uiPriority w:val="99"/>
  </w:style>
  <w:style w:type="character" w:customStyle="1" w:styleId="20">
    <w:name w:val="Footer Char"/>
    <w:basedOn w:val="15"/>
    <w:link w:val="7"/>
    <w:uiPriority w:val="99"/>
  </w:style>
  <w:style w:type="paragraph" w:customStyle="1" w:styleId="21">
    <w:name w:val="WPSOffice手动目录 1"/>
    <w:uiPriority w:val="0"/>
    <w:pPr>
      <w:ind w:leftChars="0"/>
    </w:pPr>
    <w:rPr>
      <w:sz w:val="20"/>
      <w:szCs w:val="20"/>
    </w:rPr>
  </w:style>
  <w:style w:type="paragraph" w:customStyle="1" w:styleId="22">
    <w:name w:val="WPSOffice手动目录 2"/>
    <w:uiPriority w:val="0"/>
    <w:pPr>
      <w:ind w:leftChars="200"/>
    </w:pPr>
    <w:rPr>
      <w:sz w:val="20"/>
      <w:szCs w:val="20"/>
    </w:rPr>
  </w:style>
  <w:style w:type="paragraph" w:customStyle="1" w:styleId="23">
    <w:name w:val="WPSOffice手动目录 3"/>
    <w:uiPriority w:val="0"/>
    <w:pPr>
      <w:ind w:leftChars="400"/>
    </w:pPr>
    <w:rPr>
      <w:sz w:val="20"/>
      <w:szCs w:val="20"/>
    </w:rPr>
  </w:style>
  <w:style w:type="character" w:customStyle="1" w:styleId="24">
    <w:name w:val="标题 2 Char"/>
    <w:link w:val="3"/>
    <w:uiPriority w:val="0"/>
    <w:rPr>
      <w:rFonts w:ascii="Arial" w:hAnsi="Arial" w:eastAsia="黑体"/>
      <w:b/>
      <w:sz w:val="32"/>
    </w:rPr>
  </w:style>
  <w:style w:type="paragraph" w:customStyle="1" w:styleId="25">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27</Pages>
  <Words>7021</Words>
  <Characters>40022</Characters>
  <Lines>333</Lines>
  <Paragraphs>93</Paragraphs>
  <TotalTime>2</TotalTime>
  <ScaleCrop>false</ScaleCrop>
  <LinksUpToDate>false</LinksUpToDate>
  <CharactersWithSpaces>46950</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2023-07-20T19:23:00Z</dcterms:created>
  <dc:creator>ronne</dc:creator>
  <cp:lastModifiedBy>王</cp:lastModifiedBy>
  <dcterms:modified xsi:type="dcterms:W3CDTF">2023-07-24T19:03:47Z</dcterms:modified>
  <cp:revision>1814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560f97da-aca7-4e0f-91ec-df1949d9bf72</vt:lpwstr>
  </property>
  <property fmtid="{D5CDD505-2E9C-101B-9397-08002B2CF9AE}" pid="3" name="KSOProductBuildVer">
    <vt:lpwstr>2052-5.4.0.7910</vt:lpwstr>
  </property>
  <property fmtid="{D5CDD505-2E9C-101B-9397-08002B2CF9AE}" pid="4" name="ICV">
    <vt:lpwstr>E6459FD8B4F0F76E935ABE644BA8D967_43</vt:lpwstr>
  </property>
</Properties>
</file>