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eastAsia="Calibri" w:cs="Times New Roman"/>
          <w:b/>
          <w:sz w:val="48"/>
          <w:szCs w:val="48"/>
        </w:rPr>
      </w:pPr>
      <w:r>
        <w:rPr>
          <w:rFonts w:ascii="宋体" w:hAnsi="宋体" w:eastAsia="宋体" w:cs="宋体"/>
          <w:kern w:val="0"/>
          <w:sz w:val="24"/>
          <w:szCs w:val="24"/>
          <w:lang w:bidi="ar"/>
        </w:rPr>
        <w:drawing>
          <wp:inline distT="0" distB="0" distL="114300" distR="114300">
            <wp:extent cx="5250180" cy="2061210"/>
            <wp:effectExtent l="0" t="0" r="7620" b="11430"/>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5"/>
                    <a:stretch>
                      <a:fillRect/>
                    </a:stretch>
                  </pic:blipFill>
                  <pic:spPr>
                    <a:xfrm>
                      <a:off x="0" y="0"/>
                      <a:ext cx="5250180" cy="2061210"/>
                    </a:xfrm>
                    <a:prstGeom prst="rect">
                      <a:avLst/>
                    </a:prstGeom>
                    <a:noFill/>
                    <a:ln w="9525">
                      <a:noFill/>
                    </a:ln>
                  </pic:spPr>
                </pic:pic>
              </a:graphicData>
            </a:graphic>
          </wp:inline>
        </w:drawing>
      </w: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r>
        <w:rPr>
          <w:rFonts w:hint="default" w:ascii="Times New Roman" w:hAnsi="Times New Roman" w:eastAsia="Calibri" w:cs="Times New Roman"/>
          <w:b/>
          <w:sz w:val="48"/>
          <w:szCs w:val="48"/>
        </w:rPr>
        <w:t>International Business Communications</w:t>
      </w:r>
    </w:p>
    <w:p>
      <w:pPr>
        <w:rPr>
          <w:rFonts w:hint="default" w:eastAsia="宋体" w:cs="Times New Roman"/>
          <w:b/>
          <w:sz w:val="48"/>
          <w:szCs w:val="48"/>
          <w:lang w:val="en-US" w:eastAsia="zh-CN"/>
        </w:rPr>
      </w:pPr>
      <w:r>
        <w:rPr>
          <w:rFonts w:hint="eastAsia" w:eastAsia="宋体" w:cs="Times New Roman"/>
          <w:b/>
          <w:sz w:val="48"/>
          <w:szCs w:val="48"/>
          <w:lang w:val="en-US" w:eastAsia="zh-CN"/>
        </w:rPr>
        <w:t xml:space="preserve">             Handout</w:t>
      </w:r>
    </w:p>
    <w:p>
      <w:pPr>
        <w:ind w:firstLine="3373" w:firstLineChars="700"/>
        <w:rPr>
          <w:rFonts w:hint="eastAsia" w:eastAsia="宋体" w:cs="Times New Roman"/>
          <w:b/>
          <w:sz w:val="48"/>
          <w:szCs w:val="48"/>
          <w:lang w:val="en-US" w:eastAsia="zh-CN"/>
        </w:rPr>
      </w:pPr>
      <w:r>
        <w:rPr>
          <w:rFonts w:hint="eastAsia" w:eastAsia="宋体" w:cs="Times New Roman"/>
          <w:b/>
          <w:sz w:val="48"/>
          <w:szCs w:val="48"/>
          <w:lang w:val="en-US" w:eastAsia="zh-CN"/>
        </w:rPr>
        <w:t>Group 7</w:t>
      </w:r>
    </w:p>
    <w:p>
      <w:pPr>
        <w:rPr>
          <w:rFonts w:hint="eastAsia" w:eastAsia="宋体" w:cs="Times New Roman"/>
          <w:b/>
          <w:sz w:val="48"/>
          <w:szCs w:val="48"/>
          <w:lang w:val="en-US" w:eastAsia="zh-CN"/>
        </w:rPr>
      </w:pPr>
    </w:p>
    <w:p>
      <w:pPr>
        <w:ind w:firstLine="2711" w:firstLineChars="900"/>
        <w:rPr>
          <w:rFonts w:hint="default" w:ascii="Times New Roman" w:hAnsi="Times New Roman" w:eastAsia="宋体" w:cs="Times New Roman"/>
          <w:b/>
          <w:sz w:val="30"/>
          <w:szCs w:val="30"/>
          <w:lang w:val="en-US" w:eastAsia="zh-CN"/>
        </w:rPr>
      </w:pPr>
      <w:r>
        <w:rPr>
          <w:rFonts w:hint="eastAsia" w:ascii="Times New Roman" w:hAnsi="Times New Roman" w:eastAsia="宋体" w:cs="Times New Roman"/>
          <w:b/>
          <w:sz w:val="30"/>
          <w:szCs w:val="30"/>
          <w:lang w:val="en-US" w:eastAsia="zh-CN"/>
        </w:rPr>
        <w:t>Lecturer: Lisa Knight</w:t>
      </w:r>
    </w:p>
    <w:p>
      <w:pPr>
        <w:ind w:firstLine="2409" w:firstLineChars="800"/>
        <w:rPr>
          <w:rFonts w:hint="eastAsia" w:eastAsia="宋体" w:cs="Times New Roman"/>
          <w:b/>
          <w:sz w:val="30"/>
          <w:szCs w:val="30"/>
          <w:lang w:val="en-US" w:eastAsia="zh-CN"/>
        </w:rPr>
      </w:pPr>
      <w:r>
        <w:rPr>
          <w:rFonts w:hint="eastAsia" w:eastAsia="宋体" w:cs="Times New Roman"/>
          <w:b/>
          <w:sz w:val="30"/>
          <w:szCs w:val="30"/>
          <w:lang w:val="en-US" w:eastAsia="zh-CN"/>
        </w:rPr>
        <w:t>Group members: Yuhang Wu</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Chuanjing Ai</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Haotian Peng</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Tianchang Tan</w:t>
      </w:r>
    </w:p>
    <w:p>
      <w:pPr>
        <w:rPr>
          <w:rFonts w:hint="default" w:eastAsia="宋体" w:cs="Times New Roman"/>
          <w:b/>
          <w:sz w:val="30"/>
          <w:szCs w:val="30"/>
          <w:lang w:val="en-US" w:eastAsia="zh-CN"/>
        </w:rPr>
      </w:pP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lang w:val="en-US" w:eastAsia="zh-CN"/>
        </w:rPr>
        <w:sectPr>
          <w:pgSz w:w="11906" w:h="16838"/>
          <w:pgMar w:top="1440" w:right="1800" w:bottom="1440" w:left="1800" w:header="851" w:footer="992" w:gutter="0"/>
          <w:pgNumType w:fmt="decimal" w:start="1"/>
          <w:cols w:space="425" w:num="1"/>
          <w:docGrid w:type="lines" w:linePitch="312" w:charSpace="0"/>
        </w:sectPr>
      </w:pPr>
    </w:p>
    <w:p>
      <w:pPr>
        <w:rPr>
          <w:rFonts w:hint="default" w:ascii="Times New Roman" w:hAnsi="Times New Roman" w:cs="Times New Roman"/>
          <w:b/>
          <w:bCs/>
          <w:sz w:val="44"/>
          <w:szCs w:val="44"/>
          <w:lang w:val="en-US" w:eastAsia="zh-CN"/>
        </w:rPr>
      </w:pPr>
      <w:r>
        <w:rPr>
          <w:rFonts w:hint="default" w:ascii="Times New Roman" w:hAnsi="Times New Roman" w:cs="Times New Roman"/>
          <w:b/>
          <w:bCs/>
          <w:sz w:val="44"/>
          <w:szCs w:val="44"/>
          <w:lang w:val="en-US" w:eastAsia="zh-CN"/>
        </w:rPr>
        <w:t>Content</w:t>
      </w:r>
    </w:p>
    <w:p>
      <w:pPr>
        <w:pStyle w:val="8"/>
        <w:tabs>
          <w:tab w:val="right" w:leader="dot" w:pos="8306"/>
        </w:tabs>
        <w:rPr>
          <w:sz w:val="28"/>
          <w:szCs w:val="28"/>
        </w:rPr>
      </w:pPr>
    </w:p>
    <w:p>
      <w:pPr>
        <w:pStyle w:val="8"/>
        <w:tabs>
          <w:tab w:val="right" w:leader="dot" w:pos="8306"/>
        </w:tabs>
      </w:pPr>
      <w:r>
        <w:rPr>
          <w:sz w:val="28"/>
          <w:szCs w:val="28"/>
        </w:rPr>
        <w:fldChar w:fldCharType="begin"/>
      </w:r>
      <w:r>
        <w:rPr>
          <w:sz w:val="28"/>
          <w:szCs w:val="28"/>
        </w:rPr>
        <w:instrText xml:space="preserve">TOC \o "1-3" \h \u </w:instrText>
      </w:r>
      <w:r>
        <w:rPr>
          <w:sz w:val="28"/>
          <w:szCs w:val="28"/>
        </w:rPr>
        <w:fldChar w:fldCharType="separate"/>
      </w:r>
      <w:r>
        <w:rPr>
          <w:szCs w:val="28"/>
        </w:rPr>
        <w:fldChar w:fldCharType="begin"/>
      </w:r>
      <w:r>
        <w:rPr>
          <w:szCs w:val="28"/>
        </w:rPr>
        <w:instrText xml:space="preserve"> HYPERLINK \l _Toc19302 </w:instrText>
      </w:r>
      <w:r>
        <w:rPr>
          <w:szCs w:val="28"/>
        </w:rPr>
        <w:fldChar w:fldCharType="separate"/>
      </w:r>
      <w:r>
        <w:rPr>
          <w:rFonts w:hint="default"/>
          <w:lang w:val="en-US" w:eastAsia="zh-CN"/>
        </w:rPr>
        <w:t xml:space="preserve">1.0 </w:t>
      </w:r>
      <w:r>
        <w:rPr>
          <w:rFonts w:hint="eastAsia"/>
          <w:lang w:val="en-US" w:eastAsia="zh-CN"/>
        </w:rPr>
        <w:t>I</w:t>
      </w:r>
      <w:r>
        <w:rPr>
          <w:rFonts w:hint="default"/>
          <w:lang w:val="en-US" w:eastAsia="zh-CN"/>
        </w:rPr>
        <w:t>ntroduction</w:t>
      </w:r>
      <w:r>
        <w:tab/>
      </w:r>
      <w:r>
        <w:fldChar w:fldCharType="begin"/>
      </w:r>
      <w:r>
        <w:instrText xml:space="preserve"> PAGEREF _Toc19302 \h </w:instrText>
      </w:r>
      <w:r>
        <w:fldChar w:fldCharType="separate"/>
      </w:r>
      <w:r>
        <w:t>1</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_Toc25962 </w:instrText>
      </w:r>
      <w:r>
        <w:rPr>
          <w:szCs w:val="28"/>
        </w:rPr>
        <w:fldChar w:fldCharType="separate"/>
      </w:r>
      <w:r>
        <w:rPr>
          <w:rFonts w:hint="eastAsia"/>
          <w:lang w:val="en-US" w:eastAsia="zh-CN"/>
        </w:rPr>
        <w:t>2.0 Definition of international communication</w:t>
      </w:r>
      <w:r>
        <w:tab/>
      </w:r>
      <w:r>
        <w:fldChar w:fldCharType="begin"/>
      </w:r>
      <w:r>
        <w:instrText xml:space="preserve"> PAGEREF _Toc25962 \h </w:instrText>
      </w:r>
      <w:r>
        <w:fldChar w:fldCharType="separate"/>
      </w:r>
      <w:r>
        <w:t>1</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_Toc16660 </w:instrText>
      </w:r>
      <w:r>
        <w:rPr>
          <w:szCs w:val="28"/>
        </w:rPr>
        <w:fldChar w:fldCharType="separate"/>
      </w:r>
      <w:r>
        <w:rPr>
          <w:rFonts w:hint="eastAsia"/>
          <w:lang w:val="en-US" w:eastAsia="zh-CN"/>
        </w:rPr>
        <w:t>3.0 Establishing relationships is important for establishing good international business communication</w:t>
      </w:r>
      <w:r>
        <w:tab/>
      </w:r>
      <w:r>
        <w:fldChar w:fldCharType="begin"/>
      </w:r>
      <w:r>
        <w:instrText xml:space="preserve"> PAGEREF _Toc16660 \h </w:instrText>
      </w:r>
      <w:r>
        <w:fldChar w:fldCharType="separate"/>
      </w:r>
      <w:r>
        <w:t>1</w:t>
      </w:r>
      <w:r>
        <w:fldChar w:fldCharType="end"/>
      </w:r>
      <w:r>
        <w:rPr>
          <w:szCs w:val="28"/>
        </w:rPr>
        <w:fldChar w:fldCharType="end"/>
      </w:r>
    </w:p>
    <w:p>
      <w:pPr>
        <w:pStyle w:val="9"/>
        <w:tabs>
          <w:tab w:val="right" w:leader="dot" w:pos="8306"/>
        </w:tabs>
      </w:pPr>
      <w:r>
        <w:rPr>
          <w:szCs w:val="28"/>
        </w:rPr>
        <w:fldChar w:fldCharType="begin"/>
      </w:r>
      <w:r>
        <w:rPr>
          <w:szCs w:val="28"/>
        </w:rPr>
        <w:instrText xml:space="preserve"> HYPERLINK \l _Toc30372 </w:instrText>
      </w:r>
      <w:r>
        <w:rPr>
          <w:szCs w:val="28"/>
        </w:rPr>
        <w:fldChar w:fldCharType="separate"/>
      </w:r>
      <w:r>
        <w:rPr>
          <w:rFonts w:hint="eastAsia"/>
          <w:lang w:val="en-US" w:eastAsia="zh-CN"/>
        </w:rPr>
        <w:t>3.1 High context and Low context cultures</w:t>
      </w:r>
      <w:r>
        <w:tab/>
      </w:r>
      <w:r>
        <w:fldChar w:fldCharType="begin"/>
      </w:r>
      <w:r>
        <w:instrText xml:space="preserve"> PAGEREF _Toc30372 \h </w:instrText>
      </w:r>
      <w:r>
        <w:fldChar w:fldCharType="separate"/>
      </w:r>
      <w:r>
        <w:t>1</w:t>
      </w:r>
      <w:r>
        <w:fldChar w:fldCharType="end"/>
      </w:r>
      <w:r>
        <w:rPr>
          <w:szCs w:val="28"/>
        </w:rPr>
        <w:fldChar w:fldCharType="end"/>
      </w:r>
    </w:p>
    <w:p>
      <w:pPr>
        <w:pStyle w:val="9"/>
        <w:tabs>
          <w:tab w:val="right" w:leader="dot" w:pos="8306"/>
        </w:tabs>
      </w:pPr>
      <w:r>
        <w:rPr>
          <w:szCs w:val="28"/>
        </w:rPr>
        <w:fldChar w:fldCharType="begin"/>
      </w:r>
      <w:r>
        <w:rPr>
          <w:szCs w:val="28"/>
        </w:rPr>
        <w:instrText xml:space="preserve"> HYPERLINK \l _Toc27448 </w:instrText>
      </w:r>
      <w:r>
        <w:rPr>
          <w:szCs w:val="28"/>
        </w:rPr>
        <w:fldChar w:fldCharType="separate"/>
      </w:r>
      <w:r>
        <w:rPr>
          <w:rFonts w:hint="default" w:ascii="Times New Roman" w:hAnsi="Times New Roman" w:cs="Times New Roman"/>
          <w:lang w:val="en-US" w:eastAsia="zh-CN"/>
        </w:rPr>
        <w:t>3.2  Hofstede’s Cultural Dimension</w:t>
      </w:r>
      <w:r>
        <w:tab/>
      </w:r>
      <w:r>
        <w:fldChar w:fldCharType="begin"/>
      </w:r>
      <w:r>
        <w:instrText xml:space="preserve"> PAGEREF _Toc27448 \h </w:instrText>
      </w:r>
      <w:r>
        <w:fldChar w:fldCharType="separate"/>
      </w:r>
      <w:r>
        <w:t>2</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_Toc16610 </w:instrText>
      </w:r>
      <w:r>
        <w:rPr>
          <w:szCs w:val="28"/>
        </w:rPr>
        <w:fldChar w:fldCharType="separate"/>
      </w:r>
      <w:r>
        <w:rPr>
          <w:rFonts w:hint="eastAsia"/>
          <w:lang w:val="en-US" w:eastAsia="zh-CN"/>
        </w:rPr>
        <w:t>4.0 Potentially fail</w:t>
      </w:r>
      <w:r>
        <w:tab/>
      </w:r>
      <w:r>
        <w:fldChar w:fldCharType="begin"/>
      </w:r>
      <w:r>
        <w:instrText xml:space="preserve"> PAGEREF _Toc16610 \h </w:instrText>
      </w:r>
      <w:r>
        <w:fldChar w:fldCharType="separate"/>
      </w:r>
      <w:r>
        <w:t>3</w:t>
      </w:r>
      <w:r>
        <w:fldChar w:fldCharType="end"/>
      </w:r>
      <w:r>
        <w:rPr>
          <w:szCs w:val="28"/>
        </w:rPr>
        <w:fldChar w:fldCharType="end"/>
      </w:r>
    </w:p>
    <w:p>
      <w:pPr>
        <w:pStyle w:val="9"/>
        <w:tabs>
          <w:tab w:val="right" w:leader="dot" w:pos="8306"/>
        </w:tabs>
      </w:pPr>
      <w:r>
        <w:rPr>
          <w:szCs w:val="28"/>
        </w:rPr>
        <w:fldChar w:fldCharType="begin"/>
      </w:r>
      <w:r>
        <w:rPr>
          <w:szCs w:val="28"/>
        </w:rPr>
        <w:instrText xml:space="preserve"> HYPERLINK \l _Toc3106 </w:instrText>
      </w:r>
      <w:r>
        <w:rPr>
          <w:szCs w:val="28"/>
        </w:rPr>
        <w:fldChar w:fldCharType="separate"/>
      </w:r>
      <w:r>
        <w:rPr>
          <w:rFonts w:hint="eastAsia"/>
          <w:lang w:val="en-US" w:eastAsia="zh-CN"/>
        </w:rPr>
        <w:t>4.1 Barriers to communication between UK and Asia</w:t>
      </w:r>
      <w:r>
        <w:tab/>
      </w:r>
      <w:r>
        <w:fldChar w:fldCharType="begin"/>
      </w:r>
      <w:r>
        <w:instrText xml:space="preserve"> PAGEREF _Toc3106 \h </w:instrText>
      </w:r>
      <w:r>
        <w:fldChar w:fldCharType="separate"/>
      </w:r>
      <w:r>
        <w:t>3</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_Toc21087 </w:instrText>
      </w:r>
      <w:r>
        <w:rPr>
          <w:szCs w:val="28"/>
        </w:rPr>
        <w:fldChar w:fldCharType="separate"/>
      </w:r>
      <w:r>
        <w:rPr>
          <w:rFonts w:hint="eastAsia"/>
          <w:lang w:val="en-US" w:eastAsia="zh-CN"/>
        </w:rPr>
        <w:t>4.1.1 cultural barriers</w:t>
      </w:r>
      <w:r>
        <w:tab/>
      </w:r>
      <w:r>
        <w:fldChar w:fldCharType="begin"/>
      </w:r>
      <w:r>
        <w:instrText xml:space="preserve"> PAGEREF _Toc21087 \h </w:instrText>
      </w:r>
      <w:r>
        <w:fldChar w:fldCharType="separate"/>
      </w:r>
      <w:r>
        <w:t>3</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_Toc8605 </w:instrText>
      </w:r>
      <w:r>
        <w:rPr>
          <w:szCs w:val="28"/>
        </w:rPr>
        <w:fldChar w:fldCharType="separate"/>
      </w:r>
      <w:r>
        <w:rPr>
          <w:rFonts w:hint="eastAsia"/>
          <w:lang w:val="en-US" w:eastAsia="zh-CN"/>
        </w:rPr>
        <w:t>4.2.2 language barriers</w:t>
      </w:r>
      <w:r>
        <w:tab/>
      </w:r>
      <w:r>
        <w:fldChar w:fldCharType="begin"/>
      </w:r>
      <w:r>
        <w:instrText xml:space="preserve"> PAGEREF _Toc8605 \h </w:instrText>
      </w:r>
      <w:r>
        <w:fldChar w:fldCharType="separate"/>
      </w:r>
      <w:r>
        <w:t>3</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_Toc16431 </w:instrText>
      </w:r>
      <w:r>
        <w:rPr>
          <w:szCs w:val="28"/>
        </w:rPr>
        <w:fldChar w:fldCharType="separate"/>
      </w:r>
      <w:r>
        <w:rPr>
          <w:rFonts w:hint="eastAsia"/>
          <w:lang w:val="en-US" w:eastAsia="zh-CN"/>
        </w:rPr>
        <w:t>4.2.3 interpersonal barriers</w:t>
      </w:r>
      <w:r>
        <w:tab/>
      </w:r>
      <w:r>
        <w:fldChar w:fldCharType="begin"/>
      </w:r>
      <w:r>
        <w:instrText xml:space="preserve"> PAGEREF _Toc16431 \h </w:instrText>
      </w:r>
      <w:r>
        <w:fldChar w:fldCharType="separate"/>
      </w:r>
      <w:r>
        <w:t>3</w:t>
      </w:r>
      <w:r>
        <w:fldChar w:fldCharType="end"/>
      </w:r>
      <w:r>
        <w:rPr>
          <w:szCs w:val="28"/>
        </w:rPr>
        <w:fldChar w:fldCharType="end"/>
      </w:r>
    </w:p>
    <w:p>
      <w:pPr>
        <w:pStyle w:val="9"/>
        <w:tabs>
          <w:tab w:val="right" w:leader="dot" w:pos="8306"/>
        </w:tabs>
      </w:pPr>
      <w:r>
        <w:rPr>
          <w:szCs w:val="28"/>
        </w:rPr>
        <w:fldChar w:fldCharType="begin"/>
      </w:r>
      <w:r>
        <w:rPr>
          <w:szCs w:val="28"/>
        </w:rPr>
        <w:instrText xml:space="preserve"> HYPERLINK \l _Toc10503 </w:instrText>
      </w:r>
      <w:r>
        <w:rPr>
          <w:szCs w:val="28"/>
        </w:rPr>
        <w:fldChar w:fldCharType="separate"/>
      </w:r>
      <w:r>
        <w:rPr>
          <w:rFonts w:hint="eastAsia"/>
          <w:lang w:val="en-US" w:eastAsia="zh-CN"/>
        </w:rPr>
        <w:t>4.2 cultural differences between UK and Asia</w:t>
      </w:r>
      <w:r>
        <w:tab/>
      </w:r>
      <w:r>
        <w:fldChar w:fldCharType="begin"/>
      </w:r>
      <w:r>
        <w:instrText xml:space="preserve"> PAGEREF _Toc10503 \h </w:instrText>
      </w:r>
      <w:r>
        <w:fldChar w:fldCharType="separate"/>
      </w:r>
      <w:r>
        <w:t>4</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_Toc9350 </w:instrText>
      </w:r>
      <w:r>
        <w:rPr>
          <w:szCs w:val="28"/>
        </w:rPr>
        <w:fldChar w:fldCharType="separate"/>
      </w:r>
      <w:r>
        <w:rPr>
          <w:rFonts w:hint="eastAsia"/>
          <w:lang w:val="en-US" w:eastAsia="zh-CN"/>
        </w:rPr>
        <w:t>4.2.1</w:t>
      </w:r>
      <w:r>
        <w:rPr>
          <w:rFonts w:hint="eastAsia"/>
        </w:rPr>
        <w:t xml:space="preserve"> Differences in living environment</w:t>
      </w:r>
      <w:r>
        <w:tab/>
      </w:r>
      <w:r>
        <w:fldChar w:fldCharType="begin"/>
      </w:r>
      <w:r>
        <w:instrText xml:space="preserve"> PAGEREF _Toc9350 \h </w:instrText>
      </w:r>
      <w:r>
        <w:fldChar w:fldCharType="separate"/>
      </w:r>
      <w:r>
        <w:t>4</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_Toc17632 </w:instrText>
      </w:r>
      <w:r>
        <w:rPr>
          <w:szCs w:val="28"/>
        </w:rPr>
        <w:fldChar w:fldCharType="separate"/>
      </w:r>
      <w:r>
        <w:rPr>
          <w:rFonts w:hint="eastAsia"/>
          <w:lang w:val="en-US" w:eastAsia="zh-CN"/>
        </w:rPr>
        <w:t>4.</w:t>
      </w:r>
      <w:r>
        <w:rPr>
          <w:rFonts w:hint="eastAsia"/>
        </w:rPr>
        <w:t>2</w:t>
      </w:r>
      <w:r>
        <w:rPr>
          <w:rFonts w:hint="eastAsia"/>
          <w:lang w:val="en-US" w:eastAsia="zh-CN"/>
        </w:rPr>
        <w:t>.2</w:t>
      </w:r>
      <w:r>
        <w:rPr>
          <w:rFonts w:hint="eastAsia"/>
        </w:rPr>
        <w:t xml:space="preserve"> Differences in customs</w:t>
      </w:r>
      <w:r>
        <w:tab/>
      </w:r>
      <w:r>
        <w:fldChar w:fldCharType="begin"/>
      </w:r>
      <w:r>
        <w:instrText xml:space="preserve"> PAGEREF _Toc17632 \h </w:instrText>
      </w:r>
      <w:r>
        <w:fldChar w:fldCharType="separate"/>
      </w:r>
      <w:r>
        <w:t>4</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_Toc19582 </w:instrText>
      </w:r>
      <w:r>
        <w:rPr>
          <w:szCs w:val="28"/>
        </w:rPr>
        <w:fldChar w:fldCharType="separate"/>
      </w:r>
      <w:r>
        <w:rPr>
          <w:rFonts w:hint="eastAsia"/>
          <w:lang w:val="en-US" w:eastAsia="zh-CN"/>
        </w:rPr>
        <w:t>5.0 Conclusion</w:t>
      </w:r>
      <w:r>
        <w:tab/>
      </w:r>
      <w:r>
        <w:fldChar w:fldCharType="begin"/>
      </w:r>
      <w:r>
        <w:instrText xml:space="preserve"> PAGEREF _Toc19582 \h </w:instrText>
      </w:r>
      <w:r>
        <w:fldChar w:fldCharType="separate"/>
      </w:r>
      <w:r>
        <w:t>5</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_Toc22543 </w:instrText>
      </w:r>
      <w:r>
        <w:rPr>
          <w:szCs w:val="28"/>
        </w:rPr>
        <w:fldChar w:fldCharType="separate"/>
      </w:r>
      <w:r>
        <w:rPr>
          <w:rFonts w:hint="eastAsia"/>
          <w:lang w:val="en-US" w:eastAsia="zh-CN"/>
        </w:rPr>
        <w:t>Reference</w:t>
      </w:r>
      <w:r>
        <w:tab/>
      </w:r>
      <w:r>
        <w:fldChar w:fldCharType="begin"/>
      </w:r>
      <w:r>
        <w:instrText xml:space="preserve"> PAGEREF _Toc22543 \h </w:instrText>
      </w:r>
      <w:r>
        <w:fldChar w:fldCharType="separate"/>
      </w:r>
      <w:r>
        <w:t>6</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_Toc30923 </w:instrText>
      </w:r>
      <w:r>
        <w:rPr>
          <w:szCs w:val="28"/>
        </w:rPr>
        <w:fldChar w:fldCharType="separate"/>
      </w:r>
      <w:r>
        <w:rPr>
          <w:rFonts w:hint="eastAsia"/>
          <w:lang w:val="en-US" w:eastAsia="zh-CN"/>
        </w:rPr>
        <w:t>Appendix</w:t>
      </w:r>
      <w:r>
        <w:tab/>
      </w:r>
      <w:r>
        <w:fldChar w:fldCharType="begin"/>
      </w:r>
      <w:r>
        <w:instrText xml:space="preserve"> PAGEREF _Toc30923 \h </w:instrText>
      </w:r>
      <w:r>
        <w:fldChar w:fldCharType="separate"/>
      </w:r>
      <w:r>
        <w:t>8</w:t>
      </w:r>
      <w:r>
        <w:fldChar w:fldCharType="end"/>
      </w:r>
      <w:r>
        <w:rPr>
          <w:szCs w:val="28"/>
        </w:rPr>
        <w:fldChar w:fldCharType="end"/>
      </w:r>
    </w:p>
    <w:p>
      <w:r>
        <w:rPr>
          <w:szCs w:val="28"/>
        </w:rPr>
        <w:fldChar w:fldCharType="end"/>
      </w:r>
    </w:p>
    <w:p>
      <w:pPr>
        <w:pStyle w:val="2"/>
        <w:bidi w:val="0"/>
        <w:rPr>
          <w:rFonts w:hint="default"/>
          <w:lang w:val="en-US" w:eastAsia="zh-CN"/>
        </w:rPr>
        <w:sectPr>
          <w:pgSz w:w="11906" w:h="16838"/>
          <w:pgMar w:top="1440" w:right="1800" w:bottom="1440" w:left="1800" w:header="851" w:footer="992" w:gutter="0"/>
          <w:pgNumType w:fmt="decimal" w:start="1"/>
          <w:cols w:space="425" w:num="1"/>
          <w:docGrid w:type="lines" w:linePitch="312" w:charSpace="0"/>
        </w:sectPr>
      </w:pPr>
    </w:p>
    <w:p>
      <w:pPr>
        <w:pStyle w:val="2"/>
        <w:bidi w:val="0"/>
        <w:rPr>
          <w:rFonts w:hint="default"/>
          <w:lang w:val="en-US" w:eastAsia="zh-CN"/>
        </w:rPr>
      </w:pPr>
      <w:bookmarkStart w:id="0" w:name="_Toc19302"/>
      <w:r>
        <w:rPr>
          <w:rFonts w:hint="default"/>
          <w:lang w:val="en-US" w:eastAsia="zh-CN"/>
        </w:rPr>
        <w:t xml:space="preserve">1.0 </w:t>
      </w:r>
      <w:r>
        <w:rPr>
          <w:rFonts w:hint="eastAsia"/>
          <w:lang w:val="en-US" w:eastAsia="zh-CN"/>
        </w:rPr>
        <w:t>I</w:t>
      </w:r>
      <w:r>
        <w:rPr>
          <w:rFonts w:hint="default"/>
          <w:lang w:val="en-US" w:eastAsia="zh-CN"/>
        </w:rPr>
        <w:t>ntroduction</w:t>
      </w:r>
      <w:bookmarkEnd w:id="0"/>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describes the policies and methods to help a British shoe company expand into the Asian market, and evaluates and puts forward suggestions for the company. This report introduces what is international communication, communication skills, high context and low context cultures, Hofstede's cultural dimension</w:t>
      </w:r>
      <w:r>
        <w:rPr>
          <w:rFonts w:hint="eastAsia" w:cs="Times New Roman"/>
          <w:sz w:val="24"/>
          <w:szCs w:val="24"/>
          <w:lang w:val="en-US" w:eastAsia="zh-CN"/>
        </w:rPr>
        <w:t>，</w:t>
      </w:r>
      <w:r>
        <w:rPr>
          <w:rFonts w:hint="default" w:ascii="Times New Roman" w:hAnsi="Times New Roman" w:cs="Times New Roman"/>
          <w:sz w:val="24"/>
          <w:szCs w:val="24"/>
          <w:lang w:val="en-US" w:eastAsia="zh-CN"/>
        </w:rPr>
        <w:t>barriers to communication</w:t>
      </w:r>
      <w:r>
        <w:rPr>
          <w:rFonts w:hint="eastAsia" w:cs="Times New Roman"/>
          <w:sz w:val="24"/>
          <w:szCs w:val="24"/>
          <w:lang w:val="en-US" w:eastAsia="zh-CN"/>
        </w:rPr>
        <w:t xml:space="preserve"> and the culture differences between UK and Asia.</w:t>
      </w:r>
    </w:p>
    <w:p>
      <w:pPr>
        <w:pStyle w:val="2"/>
        <w:bidi w:val="0"/>
        <w:rPr>
          <w:rFonts w:hint="eastAsia"/>
          <w:lang w:val="en-US" w:eastAsia="zh-CN"/>
        </w:rPr>
      </w:pPr>
      <w:bookmarkStart w:id="1" w:name="_Toc25962"/>
      <w:r>
        <w:rPr>
          <w:rFonts w:hint="eastAsia"/>
          <w:lang w:val="en-US" w:eastAsia="zh-CN"/>
        </w:rPr>
        <w:t>2.0 Definition of international communication</w:t>
      </w:r>
      <w:bookmarkEnd w:id="1"/>
    </w:p>
    <w:p>
      <w:pPr>
        <w:rPr>
          <w:rFonts w:hint="eastAsia" w:eastAsia="宋体"/>
          <w:lang w:val="en-US" w:eastAsia="zh-CN"/>
        </w:rPr>
      </w:pPr>
      <w:r>
        <w:rPr>
          <w:rFonts w:hint="eastAsia"/>
          <w:b w:val="0"/>
          <w:bCs w:val="0"/>
        </w:rPr>
        <w:t>This field involves a variety of communication disciplines, such as different cultural backgrounds, political factors, health concepts, media technology, crisis awareness, and so on.</w:t>
      </w:r>
      <w:r>
        <w:rPr>
          <w:rFonts w:hint="eastAsia" w:eastAsia="宋体"/>
          <w:b w:val="0"/>
          <w:bCs w:val="0"/>
          <w:lang w:val="en-US" w:eastAsia="zh-CN"/>
        </w:rPr>
        <w:t xml:space="preserve"> </w:t>
      </w:r>
      <w:r>
        <w:rPr>
          <w:rFonts w:hint="eastAsia"/>
        </w:rPr>
        <w:t>International communication is an act of communication between countries. Affected by globalization, international communication is becoming more and more important. As a research field, international communication</w:t>
      </w:r>
      <w:r>
        <w:rPr>
          <w:rFonts w:hint="eastAsia"/>
          <w:lang w:val="en-US" w:eastAsia="zh-CN"/>
        </w:rPr>
        <w:t xml:space="preserve"> </w:t>
      </w:r>
      <w:r>
        <w:rPr>
          <w:rFonts w:hint="eastAsia"/>
        </w:rPr>
        <w:t>focusing on the scope of "government-to-government", "business-to-business" and "person-to-person" interactions on a global scale. Due to the increasing globalization of the market, employees with cross-cultural and effective communication skills are in great demand. The expansion of business to overseas markets is inseparable from the field of international communication.</w:t>
      </w:r>
      <w:r>
        <w:rPr>
          <w:rFonts w:hint="eastAsia" w:eastAsia="宋体"/>
          <w:lang w:val="en-US" w:eastAsia="zh-CN"/>
        </w:rPr>
        <w:t xml:space="preserve"> </w:t>
      </w:r>
    </w:p>
    <w:p>
      <w:pPr>
        <w:rPr>
          <w:rFonts w:hint="eastAsia"/>
          <w:lang w:val="en-US" w:eastAsia="zh-CN"/>
        </w:rPr>
      </w:pPr>
    </w:p>
    <w:p>
      <w:pPr>
        <w:pStyle w:val="2"/>
        <w:bidi w:val="0"/>
        <w:rPr>
          <w:rFonts w:hint="eastAsia"/>
          <w:lang w:val="en-US" w:eastAsia="zh-CN"/>
        </w:rPr>
      </w:pPr>
      <w:bookmarkStart w:id="2" w:name="_Toc16660"/>
      <w:r>
        <w:rPr>
          <w:rFonts w:hint="eastAsia"/>
          <w:lang w:val="en-US" w:eastAsia="zh-CN"/>
        </w:rPr>
        <w:t>3.0 Establishing relationships is important for establishing good international business communication</w:t>
      </w:r>
      <w:bookmarkEnd w:id="2"/>
    </w:p>
    <w:p>
      <w:pPr>
        <w:bidi w:val="0"/>
        <w:rPr>
          <w:rFonts w:hint="default"/>
          <w:lang w:val="en-US" w:eastAsia="zh-CN"/>
        </w:rPr>
      </w:pPr>
      <w:r>
        <w:rPr>
          <w:rFonts w:hint="eastAsia"/>
          <w:lang w:val="en-US" w:eastAsia="zh-CN"/>
        </w:rPr>
        <w:t>Establishing a good international business communication can help the organization to complete the business trade.</w:t>
      </w:r>
      <w:r>
        <w:rPr>
          <w:rFonts w:hint="default"/>
          <w:lang w:val="en-US" w:eastAsia="zh-CN"/>
        </w:rPr>
        <w:t xml:space="preserve"> On the contrary, if the organization does not master this skill, this may result in a lower degree of completion of the organization's business, and even affect the national situation</w:t>
      </w:r>
      <w:r>
        <w:rPr>
          <w:rFonts w:hint="eastAsia"/>
          <w:lang w:val="en-US" w:eastAsia="zh-CN"/>
        </w:rPr>
        <w:t>（Bizfluent, 2019)。</w:t>
      </w:r>
    </w:p>
    <w:p>
      <w:pPr>
        <w:pStyle w:val="3"/>
        <w:bidi w:val="0"/>
        <w:rPr>
          <w:rFonts w:hint="eastAsia"/>
          <w:lang w:val="en-US" w:eastAsia="zh-CN"/>
        </w:rPr>
      </w:pPr>
      <w:bookmarkStart w:id="3" w:name="_Toc30372"/>
      <w:r>
        <w:rPr>
          <w:rFonts w:hint="eastAsia"/>
          <w:lang w:val="en-US" w:eastAsia="zh-CN"/>
        </w:rPr>
        <w:t>3.1 High and low context cultures</w:t>
      </w:r>
      <w:bookmarkEnd w:id="3"/>
    </w:p>
    <w:p>
      <w:pPr>
        <w:rPr>
          <w:rFonts w:hint="eastAsia"/>
          <w:lang w:val="en-US" w:eastAsia="zh-CN"/>
        </w:rPr>
      </w:pPr>
      <w:r>
        <w:rPr>
          <w:rFonts w:hint="eastAsia"/>
          <w:lang w:val="en-US" w:eastAsia="zh-CN"/>
        </w:rPr>
        <w:t>Edward T. Hall published Beyond Culture in 1976 and wrote about the concept of high and low context in the book. For high-context cultures</w:t>
      </w:r>
      <w:bookmarkStart w:id="16" w:name="_GoBack"/>
      <w:bookmarkEnd w:id="16"/>
      <w:r>
        <w:rPr>
          <w:rFonts w:hint="eastAsia"/>
          <w:lang w:val="en-US" w:eastAsia="zh-CN"/>
        </w:rPr>
        <w:t>, context and relationship are more important than actual words. For low-context cultures, it pays more attention to accuracy, and almost all information is conveyed by words.</w:t>
      </w:r>
    </w:p>
    <w:p>
      <w:pPr>
        <w:pStyle w:val="3"/>
        <w:bidi w:val="0"/>
        <w:rPr>
          <w:rFonts w:hint="default" w:ascii="Times New Roman" w:hAnsi="Times New Roman" w:cs="Times New Roman"/>
          <w:lang w:val="en-US" w:eastAsia="zh-CN"/>
        </w:rPr>
      </w:pPr>
      <w:bookmarkStart w:id="4" w:name="_Toc27448"/>
      <w:r>
        <w:rPr>
          <w:rFonts w:hint="default" w:ascii="Times New Roman" w:hAnsi="Times New Roman" w:cs="Times New Roman"/>
          <w:lang w:val="en-US" w:eastAsia="zh-CN"/>
        </w:rPr>
        <w:t>3.2  Hofstede’s Cultural Dimension</w:t>
      </w:r>
      <w:bookmarkEnd w:id="4"/>
    </w:p>
    <w:p>
      <w:pPr>
        <w:rPr>
          <w:rFonts w:hint="default" w:ascii="Times New Roman" w:hAnsi="Times New Roman" w:eastAsia="宋体" w:cs="Times New Roman"/>
          <w:i w:val="0"/>
          <w:iCs w:val="0"/>
          <w:caps w:val="0"/>
          <w:color w:val="373737"/>
          <w:spacing w:val="0"/>
          <w:sz w:val="24"/>
          <w:szCs w:val="24"/>
          <w:shd w:val="clear" w:fill="FFFFFF"/>
          <w:lang w:val="en-US" w:eastAsia="zh-CN"/>
        </w:rPr>
      </w:pPr>
      <w:r>
        <w:rPr>
          <w:rFonts w:hint="default" w:ascii="Times New Roman" w:hAnsi="Times New Roman" w:eastAsia="Helvetica" w:cs="Times New Roman"/>
          <w:i w:val="0"/>
          <w:iCs w:val="0"/>
          <w:caps w:val="0"/>
          <w:color w:val="373737"/>
          <w:spacing w:val="0"/>
          <w:sz w:val="24"/>
          <w:szCs w:val="24"/>
          <w:shd w:val="clear" w:fill="FFFFFF"/>
        </w:rPr>
        <w:t>Hofstede's cultural dimensions theory proposed by Geert Hofstede is a concept used to measure cultural differences between different countries. Hofstede proposed that culture is a psychological process shared by people in an environment. He categorized the distinctions between cultures into six major cultural value dimensions: Power Distance, Uncertainty Avoidance, Individualism vs. Collectivism, Masculinity vs. Femininity, Long-term vs. Short-term, Indulgence vs. Restraint, and Long-term vs. Short-term</w:t>
      </w:r>
      <w:r>
        <w:rPr>
          <w:rFonts w:hint="eastAsia" w:eastAsia="宋体" w:cs="Times New Roman"/>
          <w:i w:val="0"/>
          <w:iCs w:val="0"/>
          <w:caps w:val="0"/>
          <w:color w:val="373737"/>
          <w:spacing w:val="0"/>
          <w:sz w:val="24"/>
          <w:szCs w:val="24"/>
          <w:shd w:val="clear" w:fill="FFFFFF"/>
          <w:lang w:val="en-US" w:eastAsia="zh-CN"/>
        </w:rPr>
        <w:t xml:space="preserve"> </w:t>
      </w:r>
      <w:r>
        <w:rPr>
          <w:rFonts w:hint="eastAsia" w:ascii="Times New Roman" w:hAnsi="Times New Roman" w:eastAsia="宋体" w:cs="Times New Roman"/>
          <w:i w:val="0"/>
          <w:iCs w:val="0"/>
          <w:caps w:val="0"/>
          <w:color w:val="373737"/>
          <w:spacing w:val="0"/>
          <w:sz w:val="24"/>
          <w:szCs w:val="24"/>
          <w:shd w:val="clear" w:fill="FFFFFF"/>
          <w:lang w:val="en-US" w:eastAsia="zh-CN"/>
        </w:rPr>
        <w:t xml:space="preserve">( </w:t>
      </w:r>
      <w:r>
        <w:rPr>
          <w:rFonts w:hint="default" w:ascii="Times New Roman" w:hAnsi="Times New Roman" w:eastAsia="Helvetica" w:cs="Times New Roman"/>
          <w:i w:val="0"/>
          <w:iCs w:val="0"/>
          <w:caps w:val="0"/>
          <w:color w:val="373737"/>
          <w:spacing w:val="0"/>
          <w:sz w:val="24"/>
          <w:szCs w:val="24"/>
          <w:shd w:val="clear" w:fill="FFFFFF"/>
        </w:rPr>
        <w:t>Hofstede</w:t>
      </w:r>
      <w:r>
        <w:rPr>
          <w:rFonts w:hint="eastAsia" w:ascii="Times New Roman" w:hAnsi="Times New Roman" w:eastAsia="宋体" w:cs="Times New Roman"/>
          <w:i w:val="0"/>
          <w:iCs w:val="0"/>
          <w:caps w:val="0"/>
          <w:color w:val="373737"/>
          <w:spacing w:val="0"/>
          <w:sz w:val="24"/>
          <w:szCs w:val="24"/>
          <w:shd w:val="clear" w:fill="FFFFFF"/>
          <w:lang w:val="en-US" w:eastAsia="zh-CN"/>
        </w:rPr>
        <w:t>, 1970)</w:t>
      </w:r>
      <w:r>
        <w:rPr>
          <w:rFonts w:hint="eastAsia" w:eastAsia="宋体" w:cs="Times New Roman"/>
          <w:i w:val="0"/>
          <w:iCs w:val="0"/>
          <w:caps w:val="0"/>
          <w:color w:val="373737"/>
          <w:spacing w:val="0"/>
          <w:sz w:val="24"/>
          <w:szCs w:val="24"/>
          <w:shd w:val="clear" w:fill="FFFFFF"/>
          <w:lang w:val="en-US" w:eastAsia="zh-CN"/>
        </w:rPr>
        <w:t>.</w:t>
      </w:r>
    </w:p>
    <w:p>
      <w:pPr>
        <w:rPr>
          <w:rFonts w:hint="eastAsia" w:cs="Times New Roman"/>
          <w:i w:val="0"/>
          <w:iCs w:val="0"/>
          <w:sz w:val="24"/>
          <w:szCs w:val="24"/>
          <w:lang w:val="en-US" w:eastAsia="zh-CN"/>
        </w:rPr>
      </w:pPr>
    </w:p>
    <w:p>
      <w:pPr>
        <w:rPr>
          <w:rFonts w:hint="eastAsia" w:ascii="Times New Roman" w:hAnsi="Times New Roman" w:cs="Times New Roman"/>
          <w:i w:val="0"/>
          <w:iCs w:val="0"/>
          <w:kern w:val="2"/>
          <w:sz w:val="24"/>
          <w:szCs w:val="24"/>
          <w:lang w:val="en-US" w:eastAsia="zh-CN" w:bidi="ar-SA"/>
        </w:rPr>
      </w:pPr>
      <w:r>
        <w:rPr>
          <w:rFonts w:hint="eastAsia" w:ascii="Times New Roman" w:hAnsi="Times New Roman" w:cs="Times New Roman"/>
          <w:i w:val="0"/>
          <w:iCs w:val="0"/>
          <w:kern w:val="2"/>
          <w:sz w:val="24"/>
          <w:szCs w:val="24"/>
          <w:lang w:val="en-US" w:eastAsia="zh-CN" w:bidi="ar-SA"/>
        </w:rPr>
        <w:t>Also, There are some</w:t>
      </w:r>
      <w:r>
        <w:rPr>
          <w:rFonts w:hint="default" w:ascii="Times New Roman" w:hAnsi="Times New Roman" w:cs="Times New Roman" w:eastAsiaTheme="minorEastAsia"/>
          <w:i w:val="0"/>
          <w:iCs w:val="0"/>
          <w:kern w:val="2"/>
          <w:sz w:val="24"/>
          <w:szCs w:val="24"/>
          <w:lang w:val="en-US" w:eastAsia="zh-CN" w:bidi="ar-SA"/>
        </w:rPr>
        <w:t xml:space="preserve"> </w:t>
      </w:r>
      <w:r>
        <w:rPr>
          <w:rFonts w:hint="eastAsia" w:ascii="Times New Roman" w:hAnsi="Times New Roman" w:cs="Times New Roman" w:eastAsiaTheme="minorEastAsia"/>
          <w:i w:val="0"/>
          <w:iCs w:val="0"/>
          <w:kern w:val="2"/>
          <w:sz w:val="24"/>
          <w:szCs w:val="24"/>
          <w:lang w:val="en-US" w:eastAsia="zh-CN" w:bidi="ar-SA"/>
        </w:rPr>
        <w:t>advantages</w:t>
      </w:r>
      <w:r>
        <w:rPr>
          <w:rFonts w:hint="default" w:ascii="Times New Roman" w:hAnsi="Times New Roman" w:cs="Times New Roman" w:eastAsiaTheme="minorEastAsia"/>
          <w:i w:val="0"/>
          <w:iCs w:val="0"/>
          <w:kern w:val="2"/>
          <w:sz w:val="24"/>
          <w:szCs w:val="24"/>
          <w:lang w:val="en-US" w:eastAsia="zh-CN" w:bidi="ar-SA"/>
        </w:rPr>
        <w:t xml:space="preserve"> </w:t>
      </w:r>
      <w:r>
        <w:rPr>
          <w:rFonts w:hint="eastAsia" w:ascii="Times New Roman" w:hAnsi="Times New Roman" w:cs="Times New Roman"/>
          <w:i w:val="0"/>
          <w:iCs w:val="0"/>
          <w:kern w:val="2"/>
          <w:sz w:val="24"/>
          <w:szCs w:val="24"/>
          <w:lang w:val="en-US" w:eastAsia="zh-CN" w:bidi="ar-SA"/>
        </w:rPr>
        <w:t xml:space="preserve">and disadvantages </w:t>
      </w:r>
      <w:r>
        <w:rPr>
          <w:rFonts w:hint="default" w:ascii="Times New Roman" w:hAnsi="Times New Roman" w:cs="Times New Roman" w:eastAsiaTheme="minorEastAsia"/>
          <w:i w:val="0"/>
          <w:iCs w:val="0"/>
          <w:kern w:val="2"/>
          <w:sz w:val="24"/>
          <w:szCs w:val="24"/>
          <w:lang w:val="en-US" w:eastAsia="zh-CN" w:bidi="ar-SA"/>
        </w:rPr>
        <w:t>of Hofstede’s Cultural Dimension</w:t>
      </w:r>
      <w:r>
        <w:rPr>
          <w:rFonts w:hint="eastAsia" w:ascii="Times New Roman" w:hAnsi="Times New Roman" w:cs="Times New Roman"/>
          <w:i w:val="0"/>
          <w:iCs w:val="0"/>
          <w:kern w:val="2"/>
          <w:sz w:val="24"/>
          <w:szCs w:val="24"/>
          <w:lang w:val="en-US" w:eastAsia="zh-CN" w:bidi="ar-SA"/>
        </w:rPr>
        <w:t xml:space="preserve">. </w:t>
      </w:r>
    </w:p>
    <w:p>
      <w:pPr>
        <w:rPr>
          <w:rFonts w:hint="eastAsia" w:ascii="Times New Roman" w:hAnsi="Times New Roman" w:cs="Times New Roman"/>
          <w:i w:val="0"/>
          <w:iCs w:val="0"/>
          <w:kern w:val="2"/>
          <w:sz w:val="24"/>
          <w:szCs w:val="24"/>
          <w:lang w:val="en-US" w:eastAsia="zh-CN" w:bidi="ar-SA"/>
        </w:rPr>
      </w:pPr>
    </w:p>
    <w:p>
      <w:pPr>
        <w:rPr>
          <w:rFonts w:hint="eastAsia" w:ascii="Times New Roman" w:hAnsi="Times New Roman" w:cs="Times New Roman"/>
          <w:i w:val="0"/>
          <w:iCs w:val="0"/>
          <w:kern w:val="2"/>
          <w:sz w:val="24"/>
          <w:szCs w:val="24"/>
          <w:lang w:val="en-US" w:eastAsia="zh-CN" w:bidi="ar-SA"/>
        </w:rPr>
      </w:pPr>
      <w:r>
        <w:rPr>
          <w:rFonts w:hint="eastAsia" w:ascii="Times New Roman" w:hAnsi="Times New Roman" w:cs="Times New Roman"/>
          <w:i w:val="0"/>
          <w:iCs w:val="0"/>
          <w:kern w:val="2"/>
          <w:sz w:val="24"/>
          <w:szCs w:val="24"/>
          <w:lang w:val="en-US" w:eastAsia="zh-CN" w:bidi="ar-SA"/>
        </w:rPr>
        <w:t xml:space="preserve">For the advantages, This theory provides a measurement standard for organizations and people, which is used in the national cultural preferences of a particular country. At the same time, the managers of the organization can better observe the business trends of consumers, which provides a foundation for the organization's cross-cultural management. </w:t>
      </w:r>
    </w:p>
    <w:p>
      <w:pPr>
        <w:rPr>
          <w:rFonts w:hint="eastAsia" w:ascii="Times New Roman" w:hAnsi="Times New Roman" w:cs="Times New Roman"/>
          <w:i w:val="0"/>
          <w:iCs w:val="0"/>
          <w:kern w:val="2"/>
          <w:sz w:val="24"/>
          <w:szCs w:val="24"/>
          <w:lang w:val="en-US" w:eastAsia="zh-CN" w:bidi="ar-SA"/>
        </w:rPr>
      </w:pPr>
    </w:p>
    <w:p>
      <w:pPr>
        <w:rPr>
          <w:rFonts w:hint="default" w:cs="Times New Roman"/>
          <w:i w:val="0"/>
          <w:iCs w:val="0"/>
          <w:sz w:val="24"/>
          <w:szCs w:val="24"/>
          <w:lang w:val="en-US" w:eastAsia="zh-CN"/>
        </w:rPr>
      </w:pPr>
      <w:r>
        <w:rPr>
          <w:rFonts w:hint="eastAsia" w:ascii="Times New Roman" w:hAnsi="Times New Roman" w:cs="Times New Roman"/>
          <w:i w:val="0"/>
          <w:iCs w:val="0"/>
          <w:kern w:val="2"/>
          <w:sz w:val="24"/>
          <w:szCs w:val="24"/>
          <w:lang w:val="en-US" w:eastAsia="zh-CN" w:bidi="ar-SA"/>
        </w:rPr>
        <w:t>On the contrary, for the disadvantages, The theory is only applicable to the national cultural level or the entire social level, but not to the different cultural levels of the same country. There is no class culture subdivision, cultural subdivision of each age group, and no consideration of the various regional cultures of each country. It may also be different. In addition, the theory does not involve a culture without a research organization. Therefore, this theory can be used to judge the direction of the organization's business strategy. However, because the organization's market positioning is different, the consumer positioning is different, and the research results may not be accurate. Therefore, the organization should still conduct research with consumers as the center.</w:t>
      </w:r>
    </w:p>
    <w:p>
      <w:pPr>
        <w:pStyle w:val="2"/>
        <w:bidi w:val="0"/>
        <w:rPr>
          <w:rFonts w:hint="default"/>
          <w:lang w:val="en-US" w:eastAsia="zh-CN"/>
        </w:rPr>
      </w:pPr>
      <w:bookmarkStart w:id="5" w:name="_Toc16610"/>
      <w:r>
        <w:rPr>
          <w:rFonts w:hint="eastAsia"/>
          <w:lang w:val="en-US" w:eastAsia="zh-CN"/>
        </w:rPr>
        <w:t>4.0 Potentially fail</w:t>
      </w:r>
      <w:bookmarkEnd w:id="5"/>
    </w:p>
    <w:p>
      <w:pPr>
        <w:pStyle w:val="3"/>
        <w:bidi w:val="0"/>
        <w:rPr>
          <w:rFonts w:hint="eastAsia"/>
          <w:lang w:val="en-US" w:eastAsia="zh-CN"/>
        </w:rPr>
      </w:pPr>
      <w:bookmarkStart w:id="6" w:name="_Toc3106"/>
      <w:r>
        <w:rPr>
          <w:rFonts w:hint="eastAsia"/>
          <w:lang w:val="en-US" w:eastAsia="zh-CN"/>
        </w:rPr>
        <w:t>4.1 Barriers to communication between UK and Asia</w:t>
      </w:r>
      <w:bookmarkEnd w:id="6"/>
    </w:p>
    <w:p>
      <w:pPr>
        <w:pStyle w:val="4"/>
        <w:bidi w:val="0"/>
        <w:rPr>
          <w:rFonts w:hint="default"/>
          <w:lang w:val="en-US" w:eastAsia="zh-CN"/>
        </w:rPr>
      </w:pPr>
      <w:bookmarkStart w:id="7" w:name="_Toc21087"/>
      <w:r>
        <w:rPr>
          <w:rFonts w:hint="eastAsia"/>
          <w:lang w:val="en-US" w:eastAsia="zh-CN"/>
        </w:rPr>
        <w:t>4.1.1 cultural barriers</w:t>
      </w:r>
      <w:bookmarkEnd w:id="7"/>
      <w:r>
        <w:rPr>
          <w:rFonts w:hint="eastAsia"/>
          <w:lang w:val="en-US" w:eastAsia="zh-CN"/>
        </w:rPr>
        <w:t xml:space="preserve">  </w:t>
      </w:r>
    </w:p>
    <w:p>
      <w:pPr>
        <w:rPr>
          <w:rFonts w:hint="default"/>
          <w:lang w:val="en-US" w:eastAsia="zh-CN"/>
        </w:rPr>
      </w:pPr>
      <w:r>
        <w:rPr>
          <w:rFonts w:hint="eastAsia"/>
          <w:lang w:val="en-US" w:eastAsia="zh-CN"/>
        </w:rPr>
        <w:t xml:space="preserve">Due to the different historical backgrounds of Asia and UK, the company will encounter cultural barriers when entering the Asian market. For example, in terms of religious beliefs, most people in Britain believe in Christianity, but in Asia, most people believe in Buddhism（Rigby，2018）. In terms of negotiation, there are also cultural barriers. For example, in China, negotiators should first enter the conference room and sit in front of the team to avoid confusion about the identity of leaders. In addition, if the speaker makes a mistake during the speech, he can't directly interrupt his speech, but should correct and put forward it after the meeting. In terms of addressing people, when negotiating and meeting, we should also avoid calling people comprehensive, but should add suffixes, such as professors or directors, which has barriers to British culture(Goh, 1996). </w:t>
      </w:r>
    </w:p>
    <w:p>
      <w:pPr>
        <w:pStyle w:val="4"/>
        <w:bidi w:val="0"/>
        <w:rPr>
          <w:rFonts w:hint="eastAsia"/>
          <w:lang w:val="en-US" w:eastAsia="zh-CN"/>
        </w:rPr>
      </w:pPr>
      <w:bookmarkStart w:id="8" w:name="_Toc8605"/>
      <w:r>
        <w:rPr>
          <w:rFonts w:hint="eastAsia"/>
          <w:lang w:val="en-US" w:eastAsia="zh-CN"/>
        </w:rPr>
        <w:t>4.2.2 language barriers</w:t>
      </w:r>
      <w:bookmarkEnd w:id="8"/>
    </w:p>
    <w:p>
      <w:pPr>
        <w:rPr>
          <w:rFonts w:hint="default"/>
          <w:lang w:val="en-US" w:eastAsia="zh-CN"/>
        </w:rPr>
      </w:pPr>
      <w:r>
        <w:rPr>
          <w:rFonts w:hint="eastAsia"/>
          <w:lang w:val="en-US" w:eastAsia="zh-CN"/>
        </w:rPr>
        <w:t>When the company enters the Asian market, the most direct problem is the language problem. Language barrier will become the biggest barrier for companies to enter the Asian market. When trying to talk to people in different languages, it is almost impossible to reach a perfect consensus（Rigby，2018）. Language barrier is not only related to different dialects, but also related to industry terms. For example, enterprises use industry terms when talking to others in the Asian market. In the case of language barriers, it is inevitable to misinterpret each other's meaning. In Asia, especially in China, people prefer to communicate with others through indirect communication, which will be regarded as ambiguous by their peers in Britain(Casse, 1981). Language barriers will bring many communication problems to enterprises and misunderstandings between the two sides.</w:t>
      </w:r>
    </w:p>
    <w:p>
      <w:pPr>
        <w:pStyle w:val="4"/>
        <w:bidi w:val="0"/>
        <w:rPr>
          <w:rFonts w:hint="eastAsia"/>
          <w:lang w:val="en-US" w:eastAsia="zh-CN"/>
        </w:rPr>
      </w:pPr>
      <w:bookmarkStart w:id="9" w:name="_Toc16431"/>
      <w:r>
        <w:rPr>
          <w:rFonts w:hint="eastAsia"/>
          <w:lang w:val="en-US" w:eastAsia="zh-CN"/>
        </w:rPr>
        <w:t>4.2.3 interpersonal barriers</w:t>
      </w:r>
      <w:bookmarkEnd w:id="9"/>
    </w:p>
    <w:p>
      <w:pPr>
        <w:rPr>
          <w:rFonts w:hint="default"/>
          <w:lang w:val="en-US" w:eastAsia="zh-CN"/>
        </w:rPr>
      </w:pPr>
      <w:r>
        <w:rPr>
          <w:rFonts w:hint="eastAsia"/>
          <w:lang w:val="en-US" w:eastAsia="zh-CN"/>
        </w:rPr>
        <w:t>When enterprises enter the Asian market, the Asian market is a new working environment for both enterprises and employees. Employees need to adapt to the new environment, so there will be more or less anxiety and tension, which will produce interpersonal barriers. In the UK, the interpersonal relationship between enterprises is more rule-based, mainly contract. In the Asian market, especially in China, enterprises pay more attention to human sophistication and believe that business transactions are under the establishment of interpersonal relationships (Chen, 1995). In China, interpersonal relationship is one of the key factors in the process of entity negotiation. The personal relationship that connects people is not through the expression of sympathy and friendship, but through the exchange of grace. China attaches importance to social capital in the interpersonal context, while Britain attaches more importance to networks, information and institutions (Graham and Lam, 2003). Therefore, when enterprises enter the Asian market, due to the new working environment and interpersonal relationships, the enterprise's interpersonal network cannot be expanded, and the interpersonal barriers will bring many troubles and troubles to the enterprise's work(Butlery and Leung, 1998).</w:t>
      </w:r>
    </w:p>
    <w:p>
      <w:pPr>
        <w:pStyle w:val="3"/>
        <w:bidi w:val="0"/>
        <w:rPr>
          <w:rFonts w:hint="eastAsia"/>
          <w:lang w:val="en-US" w:eastAsia="zh-CN"/>
        </w:rPr>
      </w:pPr>
      <w:bookmarkStart w:id="10" w:name="_Toc10503"/>
      <w:r>
        <w:rPr>
          <w:rFonts w:hint="eastAsia"/>
          <w:lang w:val="en-US" w:eastAsia="zh-CN"/>
        </w:rPr>
        <w:t>4.2 cultural differences between UK and Asia</w:t>
      </w:r>
      <w:bookmarkEnd w:id="10"/>
    </w:p>
    <w:p>
      <w:pPr>
        <w:pStyle w:val="4"/>
        <w:bidi w:val="0"/>
      </w:pPr>
      <w:bookmarkStart w:id="11" w:name="_Toc9350"/>
      <w:r>
        <w:rPr>
          <w:rFonts w:hint="eastAsia"/>
          <w:lang w:val="en-US" w:eastAsia="zh-CN"/>
        </w:rPr>
        <w:t>4.2.1</w:t>
      </w:r>
      <w:r>
        <w:rPr>
          <w:rFonts w:hint="eastAsia"/>
        </w:rPr>
        <w:t xml:space="preserve"> Differences in living environment</w:t>
      </w:r>
      <w:bookmarkEnd w:id="11"/>
    </w:p>
    <w:p>
      <w:pPr>
        <w:pStyle w:val="4"/>
        <w:bidi w:val="0"/>
        <w:spacing w:line="240" w:lineRule="auto"/>
        <w:rPr>
          <w:rFonts w:hint="eastAsia" w:ascii="Times New Roman" w:hAnsi="Times New Roman" w:eastAsiaTheme="minorAscii" w:cstheme="minorBidi"/>
          <w:kern w:val="2"/>
          <w:sz w:val="24"/>
          <w:szCs w:val="24"/>
          <w:lang w:val="en-US" w:eastAsia="zh-CN" w:bidi="ar-SA"/>
        </w:rPr>
      </w:pPr>
      <w:bookmarkStart w:id="12" w:name="_Toc17632"/>
      <w:r>
        <w:rPr>
          <w:rFonts w:hint="eastAsia" w:ascii="Times New Roman" w:hAnsi="Times New Roman" w:eastAsiaTheme="minorAscii" w:cstheme="minorBidi"/>
          <w:kern w:val="2"/>
          <w:sz w:val="24"/>
          <w:szCs w:val="24"/>
          <w:lang w:val="en-US" w:eastAsia="zh-CN" w:bidi="ar-SA"/>
        </w:rPr>
        <w:t>The appearance of idioms is closely related to people's labor and life. The United Kingdom is an island country, and the navigation industry of the United Kingdom was once ahead of the world; while the Chinese were mainly born on land, and the land is closely related to people's lives. If you describe people spending money lavishly. The English means "spend money like water", while the Chinese translation will become "spend money like soil". Such as "to rest on one's oars", "to keep one's head above water", "all at sea".</w:t>
      </w:r>
    </w:p>
    <w:p>
      <w:pPr>
        <w:pStyle w:val="4"/>
        <w:bidi w:val="0"/>
      </w:pPr>
      <w:r>
        <w:rPr>
          <w:rFonts w:hint="eastAsia"/>
          <w:lang w:val="en-US" w:eastAsia="zh-CN"/>
        </w:rPr>
        <w:t>4.</w:t>
      </w:r>
      <w:r>
        <w:rPr>
          <w:rFonts w:hint="eastAsia"/>
        </w:rPr>
        <w:t>2</w:t>
      </w:r>
      <w:r>
        <w:rPr>
          <w:rFonts w:hint="eastAsia"/>
          <w:lang w:val="en-US" w:eastAsia="zh-CN"/>
        </w:rPr>
        <w:t>.2</w:t>
      </w:r>
      <w:r>
        <w:rPr>
          <w:rFonts w:hint="eastAsia"/>
        </w:rPr>
        <w:t xml:space="preserve"> Differences in customs</w:t>
      </w:r>
      <w:bookmarkEnd w:id="12"/>
    </w:p>
    <w:p>
      <w:pPr>
        <w:pStyle w:val="2"/>
        <w:bidi w:val="0"/>
        <w:spacing w:line="24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There are many differences between British and Chinese customs. Among them, the most typical one is the two countries' views on dogs as animals. In ancient China, dogs were often used to describe humble people. In Chinese language, idioms about dogs often express derogatory meanings, such as "husband and dog party", "dogs jump over the wall", "wolf heart and dog lungs", and "dog legs". Although there are more and more dog-raising families, it feels that the "status" of the dog in China has changed slightly, but the derogatory meaning of the dog's vocabulary is actually deeply ingrained in Chinese culture. In this regard, Britain is very different. In Britain, the dog represents loyalty, and it will never betray humans. Except for a small part of English because it is influenced by the languages of other countries, most of the meanings expressed by dog idioms are commendatory. In English idioms, vocabulary related to dogs is often used to describe a certain behavior of a person. For example, "You are a lucky dog", "Every dog has his day", "Old dog will not learn new tricks" these idioms express most of the meanings are also well-meaning. On the contrary, the cat is a symbol of friendship in the Chinese mind. For example, "little greedy cat" is used to describe a greedy child, which is a kind nickname. However, in the English context, cats are often used to describe female characters with malicious intent.</w:t>
      </w:r>
    </w:p>
    <w:p>
      <w:pPr>
        <w:rPr>
          <w:rFonts w:hint="eastAsia"/>
          <w:lang w:val="en-US" w:eastAsia="zh-CN"/>
        </w:rPr>
      </w:pPr>
      <w:r>
        <w:rPr>
          <w:rFonts w:hint="eastAsia"/>
          <w:lang w:val="en-US" w:eastAsia="zh-CN"/>
        </w:rPr>
        <w:br w:type="page"/>
      </w:r>
    </w:p>
    <w:p>
      <w:pPr>
        <w:pStyle w:val="2"/>
        <w:bidi w:val="0"/>
        <w:rPr>
          <w:rFonts w:hint="eastAsia"/>
          <w:lang w:val="en-US" w:eastAsia="zh-CN"/>
        </w:rPr>
      </w:pPr>
      <w:bookmarkStart w:id="13" w:name="_Toc19582"/>
      <w:r>
        <w:rPr>
          <w:rFonts w:hint="eastAsia"/>
          <w:lang w:val="en-US" w:eastAsia="zh-CN"/>
        </w:rPr>
        <w:t>5.0 Conclusion</w:t>
      </w:r>
      <w:bookmarkEnd w:id="13"/>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Through group discussion and theoretical demonstration, we understand what international communication is. It is very important to establish good business international communication relations. Good communication relationship can help the company expand its business better.</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order to improve our communication skills, we understand the concepts and differences between high context and low context, and introduce Hofstede's six cultural dimensions. This shows the impact of different social cultures on people</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When companies expand to Asia, we also need to consider the impact and disadvantages of different cultural backgrounds on communication between the UK and Asia. It includes some potential threats, such as language barriers, cultural barriers and interpersonal barriers. We can better avoid unnecessary trouble</w:t>
      </w:r>
    </w:p>
    <w:p>
      <w:pPr>
        <w:rPr>
          <w:rFonts w:hint="default" w:ascii="Times New Roman" w:hAnsi="Times New Roman" w:eastAsia="宋体" w:cs="Times New Roman"/>
          <w:sz w:val="24"/>
          <w:szCs w:val="24"/>
        </w:rPr>
      </w:pPr>
    </w:p>
    <w:p>
      <w:pPr>
        <w:rPr>
          <w:rFonts w:hint="default"/>
          <w:lang w:val="en-US" w:eastAsia="zh-CN"/>
        </w:rPr>
      </w:pPr>
      <w:r>
        <w:rPr>
          <w:rFonts w:hint="default" w:ascii="Times New Roman" w:hAnsi="Times New Roman" w:eastAsia="宋体" w:cs="Times New Roman"/>
          <w:sz w:val="24"/>
          <w:szCs w:val="24"/>
        </w:rPr>
        <w:t>We should study and verify the geographical environment and local customs. Different geographical environment will affect people's clothing, diet, outdoor activities and so on. Different customs will directly affect communication.</w:t>
      </w:r>
      <w:r>
        <w:rPr>
          <w:rFonts w:hint="default"/>
          <w:lang w:val="en-US" w:eastAsia="zh-CN"/>
        </w:rPr>
        <w:br w:type="page"/>
      </w:r>
    </w:p>
    <w:p>
      <w:pPr>
        <w:pStyle w:val="2"/>
        <w:bidi w:val="0"/>
        <w:rPr>
          <w:rFonts w:hint="default"/>
          <w:lang w:val="en-US" w:eastAsia="zh-CN"/>
        </w:rPr>
      </w:pPr>
      <w:bookmarkStart w:id="14" w:name="_Toc22543"/>
      <w:r>
        <w:rPr>
          <w:rFonts w:hint="eastAsia"/>
          <w:lang w:val="en-US" w:eastAsia="zh-CN"/>
        </w:rPr>
        <w:t>Reference</w:t>
      </w:r>
      <w:bookmarkEnd w:id="14"/>
    </w:p>
    <w:p>
      <w:pPr>
        <w:numPr>
          <w:ilvl w:val="0"/>
          <w:numId w:val="1"/>
        </w:numPr>
      </w:pPr>
      <w:r>
        <w:rPr>
          <w:rFonts w:hint="eastAsia" w:eastAsia="宋体" w:cs="Times New Roman"/>
          <w:i w:val="0"/>
          <w:iCs w:val="0"/>
          <w:caps w:val="0"/>
          <w:color w:val="373737"/>
          <w:spacing w:val="0"/>
          <w:sz w:val="24"/>
          <w:szCs w:val="24"/>
          <w:shd w:val="clear" w:fill="FFFFFF"/>
          <w:lang w:val="en-US" w:eastAsia="zh-CN"/>
        </w:rPr>
        <w:fldChar w:fldCharType="begin"/>
      </w:r>
      <w:r>
        <w:rPr>
          <w:rFonts w:hint="eastAsia" w:eastAsia="宋体" w:cs="Times New Roman"/>
          <w:i w:val="0"/>
          <w:iCs w:val="0"/>
          <w:caps w:val="0"/>
          <w:color w:val="373737"/>
          <w:spacing w:val="0"/>
          <w:sz w:val="24"/>
          <w:szCs w:val="24"/>
          <w:shd w:val="clear" w:fill="FFFFFF"/>
          <w:lang w:val="en-US" w:eastAsia="zh-CN"/>
        </w:rPr>
        <w:instrText xml:space="preserve"> HYPERLINK "https://mainecampus.com/author/bbenson/" \o "Posts by Brawley Benson" </w:instrText>
      </w:r>
      <w:r>
        <w:rPr>
          <w:rFonts w:hint="eastAsia" w:eastAsia="宋体" w:cs="Times New Roman"/>
          <w:i w:val="0"/>
          <w:iCs w:val="0"/>
          <w:caps w:val="0"/>
          <w:color w:val="373737"/>
          <w:spacing w:val="0"/>
          <w:sz w:val="24"/>
          <w:szCs w:val="24"/>
          <w:shd w:val="clear" w:fill="FFFFFF"/>
          <w:lang w:val="en-US" w:eastAsia="zh-CN"/>
        </w:rPr>
        <w:fldChar w:fldCharType="separate"/>
      </w:r>
      <w:r>
        <w:rPr>
          <w:rFonts w:hint="eastAsia" w:eastAsia="宋体" w:cs="Times New Roman"/>
          <w:i w:val="0"/>
          <w:iCs w:val="0"/>
          <w:caps w:val="0"/>
          <w:color w:val="373737"/>
          <w:spacing w:val="0"/>
          <w:sz w:val="24"/>
          <w:szCs w:val="24"/>
          <w:shd w:val="clear" w:fill="FFFFFF"/>
          <w:lang w:val="en-US" w:eastAsia="zh-CN"/>
        </w:rPr>
        <w:t>Brawley Benson</w:t>
      </w:r>
      <w:r>
        <w:rPr>
          <w:rFonts w:hint="eastAsia" w:eastAsia="宋体" w:cs="Times New Roman"/>
          <w:i w:val="0"/>
          <w:iCs w:val="0"/>
          <w:caps w:val="0"/>
          <w:color w:val="373737"/>
          <w:spacing w:val="0"/>
          <w:sz w:val="24"/>
          <w:szCs w:val="24"/>
          <w:shd w:val="clear" w:fill="FFFFFF"/>
          <w:lang w:val="en-US" w:eastAsia="zh-CN"/>
        </w:rPr>
        <w:fldChar w:fldCharType="end"/>
      </w:r>
      <w:r>
        <w:rPr>
          <w:rFonts w:hint="eastAsia" w:eastAsia="宋体" w:cs="Times New Roman"/>
          <w:i w:val="0"/>
          <w:iCs w:val="0"/>
          <w:caps w:val="0"/>
          <w:color w:val="373737"/>
          <w:spacing w:val="0"/>
          <w:sz w:val="24"/>
          <w:szCs w:val="24"/>
          <w:shd w:val="clear" w:fill="FFFFFF"/>
          <w:lang w:val="en-US" w:eastAsia="zh-CN"/>
        </w:rPr>
        <w:t xml:space="preserve"> (2018) The importance of international communication [Online] Available form: </w:t>
      </w:r>
      <w:r>
        <w:rPr>
          <w:rFonts w:hint="eastAsia" w:eastAsia="宋体" w:cs="Times New Roman"/>
          <w:i w:val="0"/>
          <w:iCs w:val="0"/>
          <w:caps w:val="0"/>
          <w:color w:val="373737"/>
          <w:spacing w:val="0"/>
          <w:sz w:val="24"/>
          <w:szCs w:val="24"/>
          <w:shd w:val="clear" w:fill="FFFFFF"/>
          <w:lang w:val="en-US" w:eastAsia="zh-CN"/>
        </w:rPr>
        <w:fldChar w:fldCharType="begin"/>
      </w:r>
      <w:r>
        <w:rPr>
          <w:rFonts w:hint="eastAsia" w:eastAsia="宋体" w:cs="Times New Roman"/>
          <w:i w:val="0"/>
          <w:iCs w:val="0"/>
          <w:caps w:val="0"/>
          <w:color w:val="373737"/>
          <w:spacing w:val="0"/>
          <w:sz w:val="24"/>
          <w:szCs w:val="24"/>
          <w:shd w:val="clear" w:fill="FFFFFF"/>
          <w:lang w:val="en-US" w:eastAsia="zh-CN"/>
        </w:rPr>
        <w:instrText xml:space="preserve"> HYPERLINK "https://mainecampus.com/2018/04/the-importance-of-international-communication/" </w:instrText>
      </w:r>
      <w:r>
        <w:rPr>
          <w:rFonts w:hint="eastAsia" w:eastAsia="宋体" w:cs="Times New Roman"/>
          <w:i w:val="0"/>
          <w:iCs w:val="0"/>
          <w:caps w:val="0"/>
          <w:color w:val="373737"/>
          <w:spacing w:val="0"/>
          <w:sz w:val="24"/>
          <w:szCs w:val="24"/>
          <w:shd w:val="clear" w:fill="FFFFFF"/>
          <w:lang w:val="en-US" w:eastAsia="zh-CN"/>
        </w:rPr>
        <w:fldChar w:fldCharType="separate"/>
      </w:r>
      <w:r>
        <w:rPr>
          <w:rStyle w:val="14"/>
          <w:rFonts w:hint="eastAsia" w:eastAsia="宋体" w:cs="Times New Roman"/>
          <w:i w:val="0"/>
          <w:iCs w:val="0"/>
          <w:caps w:val="0"/>
          <w:color w:val="373737"/>
          <w:spacing w:val="0"/>
          <w:sz w:val="24"/>
          <w:szCs w:val="24"/>
          <w:shd w:val="clear" w:fill="FFFFFF"/>
          <w:lang w:val="en-US" w:eastAsia="zh-CN"/>
        </w:rPr>
        <w:t>https://mainecampus.com/2018/04/the-importance-of-international-communication/</w:t>
      </w:r>
      <w:r>
        <w:rPr>
          <w:rFonts w:hint="eastAsia" w:eastAsia="宋体" w:cs="Times New Roman"/>
          <w:i w:val="0"/>
          <w:iCs w:val="0"/>
          <w:caps w:val="0"/>
          <w:color w:val="373737"/>
          <w:spacing w:val="0"/>
          <w:sz w:val="24"/>
          <w:szCs w:val="24"/>
          <w:shd w:val="clear" w:fill="FFFFFF"/>
          <w:lang w:val="en-US" w:eastAsia="zh-CN"/>
        </w:rPr>
        <w:fldChar w:fldCharType="end"/>
      </w:r>
      <w:r>
        <w:rPr>
          <w:rFonts w:hint="eastAsia" w:eastAsia="宋体" w:cs="Times New Roman"/>
          <w:i w:val="0"/>
          <w:iCs w:val="0"/>
          <w:caps w:val="0"/>
          <w:color w:val="373737"/>
          <w:spacing w:val="0"/>
          <w:sz w:val="24"/>
          <w:szCs w:val="24"/>
          <w:shd w:val="clear" w:fill="FFFFFF"/>
          <w:lang w:val="en-US" w:eastAsia="zh-CN"/>
        </w:rPr>
        <w:t xml:space="preserve"> (Accessed 5 November 2021)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textAlignment w:val="auto"/>
        <w:rPr>
          <w:rFonts w:hint="default" w:ascii="Times New Roman" w:hAnsi="Times New Roman" w:eastAsia="宋体" w:cs="Times New Roman"/>
          <w:i w:val="0"/>
          <w:iCs w:val="0"/>
          <w:caps w:val="0"/>
          <w:color w:val="373737"/>
          <w:spacing w:val="0"/>
          <w:sz w:val="24"/>
          <w:szCs w:val="24"/>
          <w:shd w:val="clear" w:fill="FFFFFF"/>
          <w:lang w:val="en-US" w:eastAsia="zh-CN"/>
        </w:rPr>
      </w:pPr>
      <w:r>
        <w:rPr>
          <w:rFonts w:hint="eastAsia" w:ascii="Times New Roman" w:hAnsi="Times New Roman" w:eastAsia="宋体" w:cs="Times New Roman"/>
          <w:i w:val="0"/>
          <w:iCs w:val="0"/>
          <w:caps w:val="0"/>
          <w:color w:val="373737"/>
          <w:spacing w:val="0"/>
          <w:sz w:val="24"/>
          <w:szCs w:val="24"/>
          <w:shd w:val="clear" w:fill="FFFFFF"/>
          <w:lang w:val="en-US" w:eastAsia="zh-CN"/>
        </w:rPr>
        <w:t>C</w:t>
      </w:r>
      <w:r>
        <w:rPr>
          <w:rFonts w:hint="default" w:ascii="Times New Roman" w:hAnsi="Times New Roman" w:eastAsia="Helvetica" w:cs="Times New Roman"/>
          <w:i w:val="0"/>
          <w:iCs w:val="0"/>
          <w:caps w:val="0"/>
          <w:color w:val="373737"/>
          <w:spacing w:val="0"/>
          <w:sz w:val="24"/>
          <w:szCs w:val="24"/>
          <w:shd w:val="clear" w:fill="FFFFFF"/>
        </w:rPr>
        <w:t xml:space="preserve">ultural </w:t>
      </w:r>
      <w:r>
        <w:rPr>
          <w:rFonts w:hint="eastAsia" w:ascii="Times New Roman" w:hAnsi="Times New Roman" w:eastAsia="宋体" w:cs="Times New Roman"/>
          <w:i w:val="0"/>
          <w:iCs w:val="0"/>
          <w:caps w:val="0"/>
          <w:color w:val="373737"/>
          <w:spacing w:val="0"/>
          <w:sz w:val="24"/>
          <w:szCs w:val="24"/>
          <w:shd w:val="clear" w:fill="FFFFFF"/>
          <w:lang w:val="en-US" w:eastAsia="zh-CN"/>
        </w:rPr>
        <w:t>D</w:t>
      </w:r>
      <w:r>
        <w:rPr>
          <w:rFonts w:hint="default" w:ascii="Times New Roman" w:hAnsi="Times New Roman" w:eastAsia="Helvetica" w:cs="Times New Roman"/>
          <w:i w:val="0"/>
          <w:iCs w:val="0"/>
          <w:caps w:val="0"/>
          <w:color w:val="373737"/>
          <w:spacing w:val="0"/>
          <w:sz w:val="24"/>
          <w:szCs w:val="24"/>
          <w:shd w:val="clear" w:fill="FFFFFF"/>
        </w:rPr>
        <w:t xml:space="preserve">imensions </w:t>
      </w:r>
      <w:r>
        <w:rPr>
          <w:rFonts w:hint="eastAsia" w:ascii="Times New Roman" w:hAnsi="Times New Roman" w:eastAsia="宋体" w:cs="Times New Roman"/>
          <w:i w:val="0"/>
          <w:iCs w:val="0"/>
          <w:caps w:val="0"/>
          <w:color w:val="373737"/>
          <w:spacing w:val="0"/>
          <w:sz w:val="24"/>
          <w:szCs w:val="24"/>
          <w:shd w:val="clear" w:fill="FFFFFF"/>
          <w:lang w:val="en-US" w:eastAsia="zh-CN"/>
        </w:rPr>
        <w:t>T</w:t>
      </w:r>
      <w:r>
        <w:rPr>
          <w:rFonts w:hint="default" w:ascii="Times New Roman" w:hAnsi="Times New Roman" w:eastAsia="Helvetica" w:cs="Times New Roman"/>
          <w:i w:val="0"/>
          <w:iCs w:val="0"/>
          <w:caps w:val="0"/>
          <w:color w:val="373737"/>
          <w:spacing w:val="0"/>
          <w:sz w:val="24"/>
          <w:szCs w:val="24"/>
          <w:shd w:val="clear" w:fill="FFFFFF"/>
        </w:rPr>
        <w:t>heory</w:t>
      </w:r>
      <w:r>
        <w:rPr>
          <w:rFonts w:hint="eastAsia" w:ascii="Times New Roman" w:hAnsi="Times New Roman" w:eastAsia="宋体" w:cs="Times New Roman"/>
          <w:i w:val="0"/>
          <w:iCs w:val="0"/>
          <w:caps w:val="0"/>
          <w:color w:val="373737"/>
          <w:spacing w:val="0"/>
          <w:sz w:val="24"/>
          <w:szCs w:val="24"/>
          <w:shd w:val="clear" w:fill="FFFFFF"/>
          <w:lang w:val="en-US" w:eastAsia="zh-CN"/>
        </w:rPr>
        <w:t xml:space="preserve">, (2020), </w:t>
      </w:r>
      <w:r>
        <w:rPr>
          <w:rFonts w:hint="eastAsia" w:ascii="Times New Roman" w:hAnsi="Times New Roman" w:eastAsia="宋体" w:cs="Times New Roman"/>
          <w:i/>
          <w:iCs/>
          <w:caps w:val="0"/>
          <w:color w:val="373737"/>
          <w:spacing w:val="0"/>
          <w:sz w:val="24"/>
          <w:szCs w:val="24"/>
          <w:shd w:val="clear" w:fill="FFFFFF"/>
          <w:lang w:val="en-US" w:eastAsia="zh-CN"/>
        </w:rPr>
        <w:t>Marketing91</w:t>
      </w:r>
      <w:r>
        <w:rPr>
          <w:rFonts w:hint="eastAsia"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available from:</w:t>
      </w:r>
      <w:r>
        <w:rPr>
          <w:rFonts w:hint="eastAsia" w:ascii="Times New Roman" w:hAnsi="Times New Roman"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"https://www.marketing91.com/hofstedes-cultural-dimensions/#What-is-Hofstedes-Cultural-Dimension" </w:instrText>
      </w:r>
      <w:r>
        <w:rPr>
          <w:rFonts w:hint="eastAsia" w:ascii="Times New Roman" w:hAnsi="Times New Roman" w:cs="Times New Roman"/>
          <w:i w:val="0"/>
          <w:iCs w:val="0"/>
          <w:sz w:val="24"/>
          <w:szCs w:val="24"/>
          <w:lang w:val="en-US" w:eastAsia="zh-CN"/>
        </w:rPr>
        <w:fldChar w:fldCharType="separate"/>
      </w:r>
      <w:r>
        <w:rPr>
          <w:rStyle w:val="14"/>
          <w:rFonts w:hint="eastAsia" w:ascii="Times New Roman" w:hAnsi="Times New Roman" w:cs="Times New Roman"/>
          <w:i w:val="0"/>
          <w:iCs w:val="0"/>
          <w:sz w:val="24"/>
          <w:szCs w:val="24"/>
          <w:lang w:val="en-US" w:eastAsia="zh-CN"/>
        </w:rPr>
        <w:t>https://www.marketing91.com/hofstedes-cultural-dimensions/#What-is-Hofstedes-Cultural-Dimension</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(Accessed </w:t>
      </w:r>
      <w:r>
        <w:rPr>
          <w:rFonts w:hint="eastAsia" w:ascii="Times New Roman" w:hAnsi="Times New Roman" w:cs="Times New Roman"/>
          <w:i w:val="0"/>
          <w:iCs w:val="0"/>
          <w:sz w:val="24"/>
          <w:szCs w:val="24"/>
          <w:lang w:val="en-US" w:eastAsia="zh-CN"/>
        </w:rPr>
        <w:t>4</w:t>
      </w:r>
      <w:r>
        <w:rPr>
          <w:rFonts w:hint="default" w:ascii="Times New Roman" w:hAnsi="Times New Roman" w:cs="Times New Roman"/>
          <w:i w:val="0"/>
          <w:iCs w:val="0"/>
          <w:sz w:val="24"/>
          <w:szCs w:val="24"/>
          <w:lang w:val="en-US" w:eastAsia="zh-CN"/>
        </w:rPr>
        <w:t xml:space="preserve"> November 2021)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Edward Burnett Taylor, "Primitive Culture" (1871)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textAlignment w:val="auto"/>
        <w:rPr>
          <w:rFonts w:hint="default" w:ascii="Times New Roman" w:hAnsi="Times New Roman" w:eastAsia="Helvetica" w:cs="Times New Roman"/>
          <w:i w:val="0"/>
          <w:iCs w:val="0"/>
          <w:caps w:val="0"/>
          <w:color w:val="373737"/>
          <w:spacing w:val="0"/>
          <w:sz w:val="24"/>
          <w:szCs w:val="24"/>
          <w:shd w:val="clear" w:fill="FFFFFF"/>
        </w:rPr>
      </w:pPr>
      <w:r>
        <w:rPr>
          <w:rFonts w:hint="default" w:ascii="Times New Roman" w:hAnsi="Times New Roman" w:eastAsia="Helvetica" w:cs="Times New Roman"/>
          <w:i w:val="0"/>
          <w:iCs w:val="0"/>
          <w:caps w:val="0"/>
          <w:color w:val="373737"/>
          <w:spacing w:val="0"/>
          <w:sz w:val="24"/>
          <w:szCs w:val="24"/>
          <w:shd w:val="clear" w:fill="FFFFFF"/>
        </w:rPr>
        <w:t>Edward T. Hall, </w:t>
      </w:r>
      <w:r>
        <w:rPr>
          <w:rFonts w:hint="default" w:ascii="Times New Roman" w:hAnsi="Times New Roman" w:eastAsia="宋体" w:cs="Times New Roman"/>
          <w:i/>
          <w:iCs/>
          <w:caps w:val="0"/>
          <w:color w:val="373737"/>
          <w:spacing w:val="0"/>
          <w:sz w:val="24"/>
          <w:szCs w:val="24"/>
          <w:shd w:val="clear" w:fill="FFFFFF"/>
          <w:lang w:val="en-US" w:eastAsia="zh-CN"/>
        </w:rPr>
        <w:t>Beyond</w:t>
      </w:r>
      <w:r>
        <w:rPr>
          <w:rFonts w:hint="default" w:ascii="Times New Roman" w:hAnsi="Times New Roman" w:eastAsia="Helvetica" w:cs="Times New Roman"/>
          <w:i w:val="0"/>
          <w:iCs w:val="0"/>
          <w:caps w:val="0"/>
          <w:color w:val="373737"/>
          <w:spacing w:val="0"/>
          <w:sz w:val="24"/>
          <w:szCs w:val="24"/>
          <w:shd w:val="clear" w:fill="FFFFFF"/>
        </w:rPr>
        <w:t>, Anchor Books, 1977, p. 91-131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eastAsia" w:cs="Times New Roman"/>
          <w:i w:val="0"/>
          <w:iCs w:val="0"/>
          <w:sz w:val="24"/>
          <w:szCs w:val="24"/>
          <w:lang w:val="en-US" w:eastAsia="zh-CN"/>
        </w:rPr>
        <w:t>Harappa, (2021). Interpersonal Barriers To Communication. [Online]. Available from:</w:t>
      </w:r>
      <w:r>
        <w:rPr>
          <w:rFonts w:hint="eastAsia" w:cs="Times New Roman"/>
          <w:i w:val="0"/>
          <w:iCs w:val="0"/>
          <w:sz w:val="24"/>
          <w:szCs w:val="24"/>
          <w:lang w:val="en-US" w:eastAsia="zh-CN"/>
        </w:rPr>
        <w:fldChar w:fldCharType="begin"/>
      </w:r>
      <w:r>
        <w:rPr>
          <w:rFonts w:hint="eastAsia" w:cs="Times New Roman"/>
          <w:i w:val="0"/>
          <w:iCs w:val="0"/>
          <w:sz w:val="24"/>
          <w:szCs w:val="24"/>
          <w:lang w:val="en-US" w:eastAsia="zh-CN"/>
        </w:rPr>
        <w:instrText xml:space="preserve"> HYPERLINK "https://harappa.education/harappa-diaries/interpersonal-barriers-to-communication/" </w:instrText>
      </w:r>
      <w:r>
        <w:rPr>
          <w:rFonts w:hint="eastAsia" w:cs="Times New Roman"/>
          <w:i w:val="0"/>
          <w:iCs w:val="0"/>
          <w:sz w:val="24"/>
          <w:szCs w:val="24"/>
          <w:lang w:val="en-US" w:eastAsia="zh-CN"/>
        </w:rPr>
        <w:fldChar w:fldCharType="separate"/>
      </w:r>
      <w:r>
        <w:rPr>
          <w:rStyle w:val="14"/>
          <w:rFonts w:hint="eastAsia" w:cs="Times New Roman"/>
          <w:i w:val="0"/>
          <w:iCs w:val="0"/>
          <w:sz w:val="24"/>
          <w:szCs w:val="24"/>
          <w:lang w:val="en-US" w:eastAsia="zh-CN"/>
        </w:rPr>
        <w:t>https://harappa.education/harappa-diaries/interpersonal-barriers-to-communication/</w:t>
      </w:r>
      <w:r>
        <w:rPr>
          <w:rFonts w:hint="eastAsia" w:cs="Times New Roman"/>
          <w:i w:val="0"/>
          <w:iCs w:val="0"/>
          <w:sz w:val="24"/>
          <w:szCs w:val="24"/>
          <w:lang w:val="en-US" w:eastAsia="zh-CN"/>
        </w:rPr>
        <w:fldChar w:fldCharType="end"/>
      </w:r>
      <w:r>
        <w:rPr>
          <w:rFonts w:hint="eastAsia" w:cs="Times New Roman"/>
          <w:i w:val="0"/>
          <w:iCs w:val="0"/>
          <w:sz w:val="24"/>
          <w:szCs w:val="24"/>
          <w:lang w:val="en-US" w:eastAsia="zh-CN"/>
        </w:rPr>
        <w:t xml:space="preserve"> (Accessed 9 November 2021)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He Ziran, "Pragmatics and English Learning" (</w:t>
      </w:r>
      <w:r>
        <w:rPr>
          <w:rFonts w:hint="eastAsia" w:cs="Times New Roman"/>
          <w:i w:val="0"/>
          <w:iCs w:val="0"/>
          <w:sz w:val="24"/>
          <w:szCs w:val="24"/>
          <w:lang w:val="en-US" w:eastAsia="zh-CN"/>
        </w:rPr>
        <w:t>Sep，</w:t>
      </w:r>
      <w:r>
        <w:rPr>
          <w:rFonts w:hint="default" w:ascii="Times New Roman" w:hAnsi="Times New Roman" w:cs="Times New Roman"/>
          <w:i w:val="0"/>
          <w:iCs w:val="0"/>
          <w:sz w:val="24"/>
          <w:szCs w:val="24"/>
          <w:lang w:val="en-US" w:eastAsia="zh-CN"/>
        </w:rPr>
        <w:t>1997)</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eastAsia" w:ascii="Times New Roman" w:hAnsi="Times New Roman" w:cs="Times New Roman"/>
          <w:i w:val="0"/>
          <w:iCs w:val="0"/>
          <w:sz w:val="24"/>
          <w:szCs w:val="24"/>
          <w:lang w:val="en-US" w:eastAsia="zh-CN"/>
        </w:rPr>
      </w:pPr>
      <w:r>
        <w:rPr>
          <w:rFonts w:hint="eastAsia" w:ascii="Times New Roman" w:hAnsi="Times New Roman" w:eastAsia="宋体" w:cs="Times New Roman"/>
          <w:i w:val="0"/>
          <w:iCs w:val="0"/>
          <w:caps w:val="0"/>
          <w:color w:val="373737"/>
          <w:spacing w:val="0"/>
          <w:sz w:val="24"/>
          <w:szCs w:val="24"/>
          <w:shd w:val="clear" w:fill="FFFFFF"/>
          <w:lang w:val="en-US" w:eastAsia="zh-CN"/>
        </w:rPr>
        <w:t xml:space="preserve">High and Low Context Cultures, (2020), </w:t>
      </w:r>
      <w:r>
        <w:rPr>
          <w:rFonts w:hint="eastAsia" w:ascii="Times New Roman" w:hAnsi="Times New Roman" w:eastAsia="宋体" w:cs="Times New Roman"/>
          <w:i/>
          <w:iCs/>
          <w:caps w:val="0"/>
          <w:color w:val="373737"/>
          <w:spacing w:val="0"/>
          <w:sz w:val="24"/>
          <w:szCs w:val="24"/>
          <w:shd w:val="clear" w:fill="FFFFFF"/>
          <w:lang w:val="en-US" w:eastAsia="zh-CN"/>
        </w:rPr>
        <w:t>United Language Group</w:t>
      </w:r>
      <w:r>
        <w:rPr>
          <w:rFonts w:hint="eastAsia"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available from:</w:t>
      </w:r>
      <w:r>
        <w:rPr>
          <w:rFonts w:hint="eastAsia" w:ascii="Times New Roman" w:hAnsi="Times New Roman"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"https://www.unitedlanguagegroup.com/blog/communicating-high-context-vs-low-context-cultures" </w:instrText>
      </w:r>
      <w:r>
        <w:rPr>
          <w:rFonts w:hint="eastAsia" w:ascii="Times New Roman" w:hAnsi="Times New Roman" w:cs="Times New Roman"/>
          <w:i w:val="0"/>
          <w:iCs w:val="0"/>
          <w:sz w:val="24"/>
          <w:szCs w:val="24"/>
          <w:lang w:val="en-US" w:eastAsia="zh-CN"/>
        </w:rPr>
        <w:fldChar w:fldCharType="separate"/>
      </w:r>
      <w:r>
        <w:rPr>
          <w:rStyle w:val="14"/>
          <w:rFonts w:hint="eastAsia" w:ascii="Times New Roman" w:hAnsi="Times New Roman" w:cs="Times New Roman"/>
          <w:i w:val="0"/>
          <w:iCs w:val="0"/>
          <w:sz w:val="24"/>
          <w:szCs w:val="24"/>
          <w:lang w:val="en-US" w:eastAsia="zh-CN"/>
        </w:rPr>
        <w:t>https://www.unitedlanguagegroup.com/blog/communicating-high-context-vs-low-context-cultures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(Accessed </w:t>
      </w:r>
      <w:r>
        <w:rPr>
          <w:rFonts w:hint="eastAsia" w:ascii="Times New Roman" w:hAnsi="Times New Roman" w:cs="Times New Roman"/>
          <w:i w:val="0"/>
          <w:iCs w:val="0"/>
          <w:sz w:val="24"/>
          <w:szCs w:val="24"/>
          <w:lang w:val="en-US" w:eastAsia="zh-CN"/>
        </w:rPr>
        <w:t>4</w:t>
      </w:r>
      <w:r>
        <w:rPr>
          <w:rFonts w:hint="default" w:ascii="Times New Roman" w:hAnsi="Times New Roman" w:cs="Times New Roman"/>
          <w:i w:val="0"/>
          <w:iCs w:val="0"/>
          <w:sz w:val="24"/>
          <w:szCs w:val="24"/>
          <w:lang w:val="en-US" w:eastAsia="zh-CN"/>
        </w:rPr>
        <w:t xml:space="preserve"> November 2021)</w:t>
      </w:r>
      <w:r>
        <w:rPr>
          <w:rFonts w:hint="eastAsia" w:ascii="Times New Roman" w:hAnsi="Times New Roman" w:cs="Times New Roman"/>
          <w:i w:val="0"/>
          <w:iCs w:val="0"/>
          <w:sz w:val="24"/>
          <w:szCs w:val="24"/>
          <w:lang w:val="en-US" w:eastAsia="zh-CN"/>
        </w:rPr>
        <w:t xml:space="preserve"> </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eastAsia" w:ascii="Times New Roman" w:hAnsi="Times New Roman" w:eastAsia="宋体" w:cs="Times New Roman"/>
          <w:i w:val="0"/>
          <w:iCs w:val="0"/>
          <w:caps w:val="0"/>
          <w:color w:val="373737"/>
          <w:spacing w:val="0"/>
          <w:sz w:val="24"/>
          <w:szCs w:val="24"/>
          <w:shd w:val="clear" w:fill="FFFFFF"/>
          <w:lang w:val="en-US" w:eastAsia="zh-CN"/>
        </w:rPr>
        <w:t xml:space="preserve">Hofstede’s Cultural Dimensions Theory, (2019), </w:t>
      </w:r>
      <w:r>
        <w:rPr>
          <w:rFonts w:hint="eastAsia" w:ascii="Times New Roman" w:hAnsi="Times New Roman" w:eastAsia="宋体" w:cs="Times New Roman"/>
          <w:i/>
          <w:iCs/>
          <w:caps w:val="0"/>
          <w:color w:val="373737"/>
          <w:spacing w:val="0"/>
          <w:sz w:val="24"/>
          <w:szCs w:val="24"/>
          <w:shd w:val="clear" w:fill="FFFFFF"/>
          <w:lang w:val="en-US" w:eastAsia="zh-CN"/>
        </w:rPr>
        <w:t>CFI</w:t>
      </w:r>
      <w:r>
        <w:rPr>
          <w:rFonts w:hint="eastAsia"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available from:</w:t>
      </w:r>
      <w:r>
        <w:rPr>
          <w:rFonts w:hint="eastAsia" w:ascii="Times New Roman" w:hAnsi="Times New Roman"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"https://corporatefinanceinstitute.com/resources/knowledge/other/hofstedes-cultural-dimensions-theory/" </w:instrText>
      </w:r>
      <w:r>
        <w:rPr>
          <w:rFonts w:hint="eastAsia" w:ascii="Times New Roman" w:hAnsi="Times New Roman" w:cs="Times New Roman"/>
          <w:i w:val="0"/>
          <w:iCs w:val="0"/>
          <w:sz w:val="24"/>
          <w:szCs w:val="24"/>
          <w:lang w:val="en-US" w:eastAsia="zh-CN"/>
        </w:rPr>
        <w:fldChar w:fldCharType="separate"/>
      </w:r>
      <w:r>
        <w:rPr>
          <w:rStyle w:val="14"/>
          <w:rFonts w:hint="eastAsia" w:ascii="Times New Roman" w:hAnsi="Times New Roman" w:cs="Times New Roman"/>
          <w:i w:val="0"/>
          <w:iCs w:val="0"/>
          <w:sz w:val="24"/>
          <w:szCs w:val="24"/>
          <w:lang w:val="en-US" w:eastAsia="zh-CN"/>
        </w:rPr>
        <w:t>https://corporatefinanceinstitute.com/resources/knowledge/other/hofstedes-cultural-dimensions-theory/</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(Accessed </w:t>
      </w:r>
      <w:r>
        <w:rPr>
          <w:rFonts w:hint="eastAsia" w:ascii="Times New Roman" w:hAnsi="Times New Roman" w:cs="Times New Roman"/>
          <w:i w:val="0"/>
          <w:iCs w:val="0"/>
          <w:sz w:val="24"/>
          <w:szCs w:val="24"/>
          <w:lang w:val="en-US" w:eastAsia="zh-CN"/>
        </w:rPr>
        <w:t>4</w:t>
      </w:r>
      <w:r>
        <w:rPr>
          <w:rFonts w:hint="default" w:ascii="Times New Roman" w:hAnsi="Times New Roman" w:cs="Times New Roman"/>
          <w:i w:val="0"/>
          <w:iCs w:val="0"/>
          <w:sz w:val="24"/>
          <w:szCs w:val="24"/>
          <w:lang w:val="en-US" w:eastAsia="zh-CN"/>
        </w:rPr>
        <w:t xml:space="preserve"> November 2021)</w:t>
      </w:r>
      <w:r>
        <w:rPr>
          <w:rFonts w:hint="eastAsia" w:ascii="Times New Roman" w:hAnsi="Times New Roman" w:cs="Times New Roman"/>
          <w:i w:val="0"/>
          <w:iCs w:val="0"/>
          <w:sz w:val="24"/>
          <w:szCs w:val="24"/>
          <w:lang w:val="en-US" w:eastAsia="zh-CN"/>
        </w:rPr>
        <w:t xml:space="preserve"> </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International Communication, (2019), Bizfluent[online],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"https://bizfluent.com/info-7761139-importance-communication-international-business.html"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https://bizfluent.com/info-7761139-importance-communication-international-business.html</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LAURING, J (2008). “Rethinking social identity theory in international encounters: Language use as a negotiated object for identity making”, in:. International Journal of Cross Cultural Management, 8(3), pp.343- 361.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LUNENBURG, FC (2010). “Communication: The process, barriers, and improving effectiveness.”, in:Schooling, 1(1), pp.1-10.</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Lu Peiai, Poetry is Criticism of Life, Tongji University Press, June 2017, p.89</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Master’s in Communications [Online]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"https://www.mastersincommunications.com/faqs/what-is-global-communication"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https://www.mastersincommunications.com/faqs/what-is-global-communication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 </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Northouse, P. G. (2016). Leadership Theory and Practice Seventh Edition. Western Michigan: Sage</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Paul Grice "Meaning" (1957)</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Rigby, (2018). What are the 7 barriers to communication. [Online]. Available from:</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"https://www.fingerprintforsuccess.com/blog/what-are-the-7-barriers-to-communication"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https://www.fingerprintforsuccess.com/blog/what-are-the-7-barriers-to-communication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9 November 2021)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The "High German Translation" of the Bible (1868)</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The importance of global communications in the world today [Online] Available from:https://www.global-business-school.org/announcements/the_importance_of_global_communications_in_the_world_today (Accessed 5 November 2021)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The importance of a successful international communication strategy [Online= Available from</w:t>
      </w:r>
      <w:r>
        <w:rPr>
          <w:rFonts w:hint="eastAsia" w:cs="Times New Roman"/>
          <w:i w:val="0"/>
          <w:iCs w:val="0"/>
          <w:sz w:val="24"/>
          <w:szCs w:val="24"/>
          <w:lang w:val="en-US" w:eastAsia="zh-CN"/>
        </w:rPr>
        <w:t>：</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"https://abbeycommunication.com/the-importance-of-a-successful-international-communication-strategy/"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https://abbeycommunication.com/the-importance-of-a-successful-international-communication-strategy/</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5 November 2021) </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Tung, R. (1995), “International Organizational Behaviour”, Luthans Virtual OB McGraw-Hill, pp 487-518</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UKEssays, (2018). Cultural Differences Between UK and China in Business. [Online].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"https://www.ukessays.com/essays/management/cultural-differences-between-the-uk-and-china-management-essay.php?vref=1"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https://www.ukessays.com/essays/management/cultural-differences-between-the-uk-and-china-management-essay.php?vref=1</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9 November 2021)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What is the international communication [Online] Available from: https://www.mastersincommunications.com/faqs/what-is-global-communication （Accessed 5 November 2021)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What does international communication means [Online]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"https://www.definitions.net/definition/International%20Communication"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https://www.definitions.net/definition/International%20Communication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Zhang Zhongli/Zong Wenju "Introduction to Chinese and Western Culture" (April 1, 2002)</w:t>
      </w: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Zhu Guangqian（1948）“On Translation”</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360" w:lineRule="auto"/>
        <w:ind w:leftChars="0"/>
        <w:jc w:val="both"/>
        <w:textAlignment w:val="auto"/>
        <w:rPr>
          <w:rFonts w:hint="default" w:ascii="Times New Roman" w:hAnsi="Times New Roman" w:cs="Times New Roman"/>
          <w:i w:val="0"/>
          <w:iCs w:val="0"/>
          <w:sz w:val="24"/>
          <w:szCs w:val="24"/>
          <w:lang w:val="en-US" w:eastAsia="zh-CN"/>
        </w:rPr>
      </w:pPr>
    </w:p>
    <w:p>
      <w:pPr>
        <w:widowControl w:val="0"/>
        <w:numPr>
          <w:ilvl w:val="0"/>
          <w:numId w:val="0"/>
        </w:numPr>
        <w:ind w:leftChars="0"/>
        <w:jc w:val="both"/>
        <w:rPr>
          <w:rFonts w:hint="default" w:ascii="Times New Roman" w:hAnsi="Times New Roman" w:cs="Times New Roman"/>
          <w:i w:val="0"/>
          <w:iCs w:val="0"/>
          <w:sz w:val="24"/>
          <w:szCs w:val="24"/>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pStyle w:val="2"/>
        <w:bidi w:val="0"/>
        <w:rPr>
          <w:rFonts w:hint="eastAsia"/>
          <w:lang w:val="en-US" w:eastAsia="zh-CN"/>
        </w:rPr>
      </w:pPr>
      <w:bookmarkStart w:id="15" w:name="_Toc30923"/>
      <w:r>
        <w:rPr>
          <w:rFonts w:hint="eastAsia"/>
          <w:lang w:val="en-US" w:eastAsia="zh-CN"/>
        </w:rPr>
        <w:t>Appendix</w:t>
      </w:r>
      <w:bookmarkEnd w:id="15"/>
    </w:p>
    <w:p>
      <w:pPr>
        <w:rPr>
          <w:rFonts w:hint="eastAsia"/>
          <w:lang w:val="en-US" w:eastAsia="zh-CN"/>
        </w:rPr>
      </w:pPr>
    </w:p>
    <w:p>
      <w:r>
        <w:drawing>
          <wp:inline distT="0" distB="0" distL="114300" distR="114300">
            <wp:extent cx="5269865" cy="2941955"/>
            <wp:effectExtent l="0" t="0" r="3175" b="146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5269865" cy="2941955"/>
                    </a:xfrm>
                    <a:prstGeom prst="rect">
                      <a:avLst/>
                    </a:prstGeom>
                    <a:noFill/>
                    <a:ln>
                      <a:noFill/>
                    </a:ln>
                  </pic:spPr>
                </pic:pic>
              </a:graphicData>
            </a:graphic>
          </wp:inline>
        </w:drawing>
      </w:r>
    </w:p>
    <w:p/>
    <w:p/>
    <w:p>
      <w:r>
        <w:drawing>
          <wp:inline distT="0" distB="0" distL="114300" distR="114300">
            <wp:extent cx="5273675" cy="2994660"/>
            <wp:effectExtent l="0" t="0" r="14605" b="762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7"/>
                    <a:stretch>
                      <a:fillRect/>
                    </a:stretch>
                  </pic:blipFill>
                  <pic:spPr>
                    <a:xfrm>
                      <a:off x="0" y="0"/>
                      <a:ext cx="5273675" cy="2994660"/>
                    </a:xfrm>
                    <a:prstGeom prst="rect">
                      <a:avLst/>
                    </a:prstGeom>
                    <a:noFill/>
                    <a:ln>
                      <a:noFill/>
                    </a:ln>
                  </pic:spPr>
                </pic:pic>
              </a:graphicData>
            </a:graphic>
          </wp:inline>
        </w:drawing>
      </w:r>
    </w:p>
    <w:p/>
    <w:p>
      <w:r>
        <w:drawing>
          <wp:inline distT="0" distB="0" distL="114300" distR="114300">
            <wp:extent cx="5265420" cy="2969260"/>
            <wp:effectExtent l="0" t="0" r="7620" b="254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8"/>
                    <a:stretch>
                      <a:fillRect/>
                    </a:stretch>
                  </pic:blipFill>
                  <pic:spPr>
                    <a:xfrm>
                      <a:off x="0" y="0"/>
                      <a:ext cx="5265420" cy="2969260"/>
                    </a:xfrm>
                    <a:prstGeom prst="rect">
                      <a:avLst/>
                    </a:prstGeom>
                    <a:noFill/>
                    <a:ln>
                      <a:noFill/>
                    </a:ln>
                  </pic:spPr>
                </pic:pic>
              </a:graphicData>
            </a:graphic>
          </wp:inline>
        </w:drawing>
      </w:r>
    </w:p>
    <w:p/>
    <w:p/>
    <w:p/>
    <w:p>
      <w:r>
        <w:drawing>
          <wp:inline distT="0" distB="0" distL="114300" distR="114300">
            <wp:extent cx="5273675" cy="2955290"/>
            <wp:effectExtent l="0" t="0" r="14605" b="1270"/>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9"/>
                    <a:stretch>
                      <a:fillRect/>
                    </a:stretch>
                  </pic:blipFill>
                  <pic:spPr>
                    <a:xfrm>
                      <a:off x="0" y="0"/>
                      <a:ext cx="5273675" cy="2955290"/>
                    </a:xfrm>
                    <a:prstGeom prst="rect">
                      <a:avLst/>
                    </a:prstGeom>
                    <a:noFill/>
                    <a:ln>
                      <a:noFill/>
                    </a:ln>
                  </pic:spPr>
                </pic:pic>
              </a:graphicData>
            </a:graphic>
          </wp:inline>
        </w:drawing>
      </w:r>
    </w:p>
    <w:p/>
    <w:p>
      <w:r>
        <w:drawing>
          <wp:inline distT="0" distB="0" distL="114300" distR="114300">
            <wp:extent cx="5269865" cy="2990850"/>
            <wp:effectExtent l="0" t="0" r="3175" b="11430"/>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10"/>
                    <a:stretch>
                      <a:fillRect/>
                    </a:stretch>
                  </pic:blipFill>
                  <pic:spPr>
                    <a:xfrm>
                      <a:off x="0" y="0"/>
                      <a:ext cx="5269865" cy="2990850"/>
                    </a:xfrm>
                    <a:prstGeom prst="rect">
                      <a:avLst/>
                    </a:prstGeom>
                    <a:noFill/>
                    <a:ln>
                      <a:noFill/>
                    </a:ln>
                  </pic:spPr>
                </pic:pic>
              </a:graphicData>
            </a:graphic>
          </wp:inline>
        </w:drawing>
      </w:r>
    </w:p>
    <w:p/>
    <w:p/>
    <w:p>
      <w:r>
        <w:drawing>
          <wp:inline distT="0" distB="0" distL="114300" distR="114300">
            <wp:extent cx="5265420" cy="2994660"/>
            <wp:effectExtent l="0" t="0" r="7620" b="7620"/>
            <wp:docPr id="8"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pic:cNvPicPr>
                      <a:picLocks noChangeAspect="1"/>
                    </pic:cNvPicPr>
                  </pic:nvPicPr>
                  <pic:blipFill>
                    <a:blip r:embed="rId11"/>
                    <a:stretch>
                      <a:fillRect/>
                    </a:stretch>
                  </pic:blipFill>
                  <pic:spPr>
                    <a:xfrm>
                      <a:off x="0" y="0"/>
                      <a:ext cx="5265420" cy="2994660"/>
                    </a:xfrm>
                    <a:prstGeom prst="rect">
                      <a:avLst/>
                    </a:prstGeom>
                    <a:noFill/>
                    <a:ln>
                      <a:noFill/>
                    </a:ln>
                  </pic:spPr>
                </pic:pic>
              </a:graphicData>
            </a:graphic>
          </wp:inline>
        </w:drawing>
      </w:r>
    </w:p>
    <w:p/>
    <w:p>
      <w:r>
        <w:drawing>
          <wp:inline distT="0" distB="0" distL="114300" distR="114300">
            <wp:extent cx="5265420" cy="2972435"/>
            <wp:effectExtent l="0" t="0" r="7620" b="14605"/>
            <wp:docPr id="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pic:cNvPicPr>
                      <a:picLocks noChangeAspect="1"/>
                    </pic:cNvPicPr>
                  </pic:nvPicPr>
                  <pic:blipFill>
                    <a:blip r:embed="rId12"/>
                    <a:stretch>
                      <a:fillRect/>
                    </a:stretch>
                  </pic:blipFill>
                  <pic:spPr>
                    <a:xfrm>
                      <a:off x="0" y="0"/>
                      <a:ext cx="5265420" cy="2972435"/>
                    </a:xfrm>
                    <a:prstGeom prst="rect">
                      <a:avLst/>
                    </a:prstGeom>
                    <a:noFill/>
                    <a:ln>
                      <a:noFill/>
                    </a:ln>
                  </pic:spPr>
                </pic:pic>
              </a:graphicData>
            </a:graphic>
          </wp:inline>
        </w:drawing>
      </w:r>
    </w:p>
    <w:p/>
    <w:p>
      <w:r>
        <w:drawing>
          <wp:inline distT="0" distB="0" distL="114300" distR="114300">
            <wp:extent cx="5265420" cy="2999740"/>
            <wp:effectExtent l="0" t="0" r="7620" b="2540"/>
            <wp:docPr id="1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pic:cNvPicPr>
                      <a:picLocks noChangeAspect="1"/>
                    </pic:cNvPicPr>
                  </pic:nvPicPr>
                  <pic:blipFill>
                    <a:blip r:embed="rId13"/>
                    <a:stretch>
                      <a:fillRect/>
                    </a:stretch>
                  </pic:blipFill>
                  <pic:spPr>
                    <a:xfrm>
                      <a:off x="0" y="0"/>
                      <a:ext cx="5265420" cy="2999740"/>
                    </a:xfrm>
                    <a:prstGeom prst="rect">
                      <a:avLst/>
                    </a:prstGeom>
                    <a:noFill/>
                    <a:ln>
                      <a:noFill/>
                    </a:ln>
                  </pic:spPr>
                </pic:pic>
              </a:graphicData>
            </a:graphic>
          </wp:inline>
        </w:drawing>
      </w:r>
    </w:p>
    <w:p/>
    <w:p>
      <w:r>
        <w:drawing>
          <wp:inline distT="0" distB="0" distL="114300" distR="114300">
            <wp:extent cx="5269865" cy="2990850"/>
            <wp:effectExtent l="0" t="0" r="3175" b="11430"/>
            <wp:docPr id="11"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0"/>
                    <pic:cNvPicPr>
                      <a:picLocks noChangeAspect="1"/>
                    </pic:cNvPicPr>
                  </pic:nvPicPr>
                  <pic:blipFill>
                    <a:blip r:embed="rId14"/>
                    <a:stretch>
                      <a:fillRect/>
                    </a:stretch>
                  </pic:blipFill>
                  <pic:spPr>
                    <a:xfrm>
                      <a:off x="0" y="0"/>
                      <a:ext cx="5269865" cy="2990850"/>
                    </a:xfrm>
                    <a:prstGeom prst="rect">
                      <a:avLst/>
                    </a:prstGeom>
                    <a:noFill/>
                    <a:ln>
                      <a:noFill/>
                    </a:ln>
                  </pic:spPr>
                </pic:pic>
              </a:graphicData>
            </a:graphic>
          </wp:inline>
        </w:drawing>
      </w:r>
    </w:p>
    <w:p/>
    <w:p>
      <w:r>
        <w:drawing>
          <wp:inline distT="0" distB="0" distL="114300" distR="114300">
            <wp:extent cx="5265420" cy="2981325"/>
            <wp:effectExtent l="0" t="0" r="7620" b="5715"/>
            <wp:docPr id="12"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1"/>
                    <pic:cNvPicPr>
                      <a:picLocks noChangeAspect="1"/>
                    </pic:cNvPicPr>
                  </pic:nvPicPr>
                  <pic:blipFill>
                    <a:blip r:embed="rId15"/>
                    <a:stretch>
                      <a:fillRect/>
                    </a:stretch>
                  </pic:blipFill>
                  <pic:spPr>
                    <a:xfrm>
                      <a:off x="0" y="0"/>
                      <a:ext cx="5265420" cy="2981325"/>
                    </a:xfrm>
                    <a:prstGeom prst="rect">
                      <a:avLst/>
                    </a:prstGeom>
                    <a:noFill/>
                    <a:ln>
                      <a:noFill/>
                    </a:ln>
                  </pic:spPr>
                </pic:pic>
              </a:graphicData>
            </a:graphic>
          </wp:inline>
        </w:drawing>
      </w:r>
    </w:p>
    <w:p/>
    <w:p>
      <w:r>
        <w:drawing>
          <wp:inline distT="0" distB="0" distL="114300" distR="114300">
            <wp:extent cx="5269865" cy="2986405"/>
            <wp:effectExtent l="0" t="0" r="3175" b="635"/>
            <wp:docPr id="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pic:cNvPicPr>
                      <a:picLocks noChangeAspect="1"/>
                    </pic:cNvPicPr>
                  </pic:nvPicPr>
                  <pic:blipFill>
                    <a:blip r:embed="rId16"/>
                    <a:stretch>
                      <a:fillRect/>
                    </a:stretch>
                  </pic:blipFill>
                  <pic:spPr>
                    <a:xfrm>
                      <a:off x="0" y="0"/>
                      <a:ext cx="5269865" cy="2986405"/>
                    </a:xfrm>
                    <a:prstGeom prst="rect">
                      <a:avLst/>
                    </a:prstGeom>
                    <a:noFill/>
                    <a:ln>
                      <a:noFill/>
                    </a:ln>
                  </pic:spPr>
                </pic:pic>
              </a:graphicData>
            </a:graphic>
          </wp:inline>
        </w:drawing>
      </w:r>
    </w:p>
    <w:p/>
    <w:p>
      <w:r>
        <w:drawing>
          <wp:inline distT="0" distB="0" distL="114300" distR="114300">
            <wp:extent cx="5265420" cy="3256915"/>
            <wp:effectExtent l="0" t="0" r="7620" b="4445"/>
            <wp:docPr id="14"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3"/>
                    <pic:cNvPicPr>
                      <a:picLocks noChangeAspect="1"/>
                    </pic:cNvPicPr>
                  </pic:nvPicPr>
                  <pic:blipFill>
                    <a:blip r:embed="rId17"/>
                    <a:stretch>
                      <a:fillRect/>
                    </a:stretch>
                  </pic:blipFill>
                  <pic:spPr>
                    <a:xfrm>
                      <a:off x="0" y="0"/>
                      <a:ext cx="5265420" cy="3256915"/>
                    </a:xfrm>
                    <a:prstGeom prst="rect">
                      <a:avLst/>
                    </a:prstGeom>
                    <a:noFill/>
                    <a:ln>
                      <a:noFill/>
                    </a:ln>
                  </pic:spPr>
                </pic:pic>
              </a:graphicData>
            </a:graphic>
          </wp:inline>
        </w:drawing>
      </w:r>
    </w:p>
    <w:p/>
    <w:p>
      <w:r>
        <w:drawing>
          <wp:inline distT="0" distB="0" distL="114300" distR="114300">
            <wp:extent cx="5265420" cy="3200400"/>
            <wp:effectExtent l="0" t="0" r="7620" b="0"/>
            <wp:docPr id="15"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4"/>
                    <pic:cNvPicPr>
                      <a:picLocks noChangeAspect="1"/>
                    </pic:cNvPicPr>
                  </pic:nvPicPr>
                  <pic:blipFill>
                    <a:blip r:embed="rId18"/>
                    <a:stretch>
                      <a:fillRect/>
                    </a:stretch>
                  </pic:blipFill>
                  <pic:spPr>
                    <a:xfrm>
                      <a:off x="0" y="0"/>
                      <a:ext cx="5265420" cy="3200400"/>
                    </a:xfrm>
                    <a:prstGeom prst="rect">
                      <a:avLst/>
                    </a:prstGeom>
                    <a:noFill/>
                    <a:ln>
                      <a:noFill/>
                    </a:ln>
                  </pic:spPr>
                </pic:pic>
              </a:graphicData>
            </a:graphic>
          </wp:inline>
        </w:drawing>
      </w:r>
    </w:p>
    <w:p/>
    <w:p>
      <w:r>
        <w:drawing>
          <wp:inline distT="0" distB="0" distL="114300" distR="114300">
            <wp:extent cx="5269865" cy="3247390"/>
            <wp:effectExtent l="0" t="0" r="3175" b="13970"/>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a:blip r:embed="rId19"/>
                    <a:stretch>
                      <a:fillRect/>
                    </a:stretch>
                  </pic:blipFill>
                  <pic:spPr>
                    <a:xfrm>
                      <a:off x="0" y="0"/>
                      <a:ext cx="5269865" cy="3247390"/>
                    </a:xfrm>
                    <a:prstGeom prst="rect">
                      <a:avLst/>
                    </a:prstGeom>
                    <a:noFill/>
                    <a:ln>
                      <a:noFill/>
                    </a:ln>
                  </pic:spPr>
                </pic:pic>
              </a:graphicData>
            </a:graphic>
          </wp:inline>
        </w:drawing>
      </w:r>
    </w:p>
    <w:p/>
    <w:p>
      <w:r>
        <w:drawing>
          <wp:inline distT="0" distB="0" distL="114300" distR="114300">
            <wp:extent cx="5270500" cy="3219450"/>
            <wp:effectExtent l="0" t="0" r="2540" b="11430"/>
            <wp:docPr id="1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6"/>
                    <pic:cNvPicPr>
                      <a:picLocks noChangeAspect="1"/>
                    </pic:cNvPicPr>
                  </pic:nvPicPr>
                  <pic:blipFill>
                    <a:blip r:embed="rId20"/>
                    <a:stretch>
                      <a:fillRect/>
                    </a:stretch>
                  </pic:blipFill>
                  <pic:spPr>
                    <a:xfrm>
                      <a:off x="0" y="0"/>
                      <a:ext cx="5270500" cy="3219450"/>
                    </a:xfrm>
                    <a:prstGeom prst="rect">
                      <a:avLst/>
                    </a:prstGeom>
                    <a:noFill/>
                    <a:ln>
                      <a:noFill/>
                    </a:ln>
                  </pic:spPr>
                </pic:pic>
              </a:graphicData>
            </a:graphic>
          </wp:inline>
        </w:drawing>
      </w:r>
    </w:p>
    <w:p/>
    <w:p>
      <w:r>
        <w:drawing>
          <wp:inline distT="0" distB="0" distL="114300" distR="114300">
            <wp:extent cx="5265420" cy="3008630"/>
            <wp:effectExtent l="0" t="0" r="7620" b="8890"/>
            <wp:docPr id="18"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7"/>
                    <pic:cNvPicPr>
                      <a:picLocks noChangeAspect="1"/>
                    </pic:cNvPicPr>
                  </pic:nvPicPr>
                  <pic:blipFill>
                    <a:blip r:embed="rId21"/>
                    <a:stretch>
                      <a:fillRect/>
                    </a:stretch>
                  </pic:blipFill>
                  <pic:spPr>
                    <a:xfrm>
                      <a:off x="0" y="0"/>
                      <a:ext cx="5265420" cy="3008630"/>
                    </a:xfrm>
                    <a:prstGeom prst="rect">
                      <a:avLst/>
                    </a:prstGeom>
                    <a:noFill/>
                    <a:ln>
                      <a:noFill/>
                    </a:ln>
                  </pic:spPr>
                </pic:pic>
              </a:graphicData>
            </a:graphic>
          </wp:inline>
        </w:drawing>
      </w:r>
    </w:p>
    <w:p/>
    <w:p>
      <w:r>
        <w:drawing>
          <wp:inline distT="0" distB="0" distL="114300" distR="114300">
            <wp:extent cx="5265420" cy="2986405"/>
            <wp:effectExtent l="0" t="0" r="7620" b="635"/>
            <wp:docPr id="19"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8"/>
                    <pic:cNvPicPr>
                      <a:picLocks noChangeAspect="1"/>
                    </pic:cNvPicPr>
                  </pic:nvPicPr>
                  <pic:blipFill>
                    <a:blip r:embed="rId22"/>
                    <a:stretch>
                      <a:fillRect/>
                    </a:stretch>
                  </pic:blipFill>
                  <pic:spPr>
                    <a:xfrm>
                      <a:off x="0" y="0"/>
                      <a:ext cx="5265420" cy="2986405"/>
                    </a:xfrm>
                    <a:prstGeom prst="rect">
                      <a:avLst/>
                    </a:prstGeom>
                    <a:noFill/>
                    <a:ln>
                      <a:noFill/>
                    </a:ln>
                  </pic:spPr>
                </pic:pic>
              </a:graphicData>
            </a:graphic>
          </wp:inline>
        </w:drawing>
      </w:r>
    </w:p>
    <w:p/>
    <w:p>
      <w:r>
        <w:drawing>
          <wp:inline distT="0" distB="0" distL="114300" distR="114300">
            <wp:extent cx="5269865" cy="2977515"/>
            <wp:effectExtent l="0" t="0" r="3175" b="9525"/>
            <wp:docPr id="20"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9"/>
                    <pic:cNvPicPr>
                      <a:picLocks noChangeAspect="1"/>
                    </pic:cNvPicPr>
                  </pic:nvPicPr>
                  <pic:blipFill>
                    <a:blip r:embed="rId23"/>
                    <a:stretch>
                      <a:fillRect/>
                    </a:stretch>
                  </pic:blipFill>
                  <pic:spPr>
                    <a:xfrm>
                      <a:off x="0" y="0"/>
                      <a:ext cx="5269865" cy="2977515"/>
                    </a:xfrm>
                    <a:prstGeom prst="rect">
                      <a:avLst/>
                    </a:prstGeom>
                    <a:noFill/>
                    <a:ln>
                      <a:noFill/>
                    </a:ln>
                  </pic:spPr>
                </pic:pic>
              </a:graphicData>
            </a:graphic>
          </wp:inline>
        </w:drawing>
      </w:r>
    </w:p>
    <w:p/>
    <w:p>
      <w:r>
        <w:drawing>
          <wp:inline distT="0" distB="0" distL="114300" distR="114300">
            <wp:extent cx="5273675" cy="2967355"/>
            <wp:effectExtent l="0" t="0" r="14605" b="4445"/>
            <wp:docPr id="21"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0"/>
                    <pic:cNvPicPr>
                      <a:picLocks noChangeAspect="1"/>
                    </pic:cNvPicPr>
                  </pic:nvPicPr>
                  <pic:blipFill>
                    <a:blip r:embed="rId24"/>
                    <a:stretch>
                      <a:fillRect/>
                    </a:stretch>
                  </pic:blipFill>
                  <pic:spPr>
                    <a:xfrm>
                      <a:off x="0" y="0"/>
                      <a:ext cx="5273675" cy="2967355"/>
                    </a:xfrm>
                    <a:prstGeom prst="rect">
                      <a:avLst/>
                    </a:prstGeom>
                    <a:noFill/>
                    <a:ln>
                      <a:noFill/>
                    </a:ln>
                  </pic:spPr>
                </pic:pic>
              </a:graphicData>
            </a:graphic>
          </wp:inline>
        </w:drawing>
      </w:r>
    </w:p>
    <w:p/>
    <w:p>
      <w:pPr>
        <w:rPr>
          <w:rFonts w:hint="default"/>
          <w:lang w:val="en-US" w:eastAsia="zh-CN"/>
        </w:rPr>
      </w:pPr>
      <w:r>
        <w:drawing>
          <wp:inline distT="0" distB="0" distL="114300" distR="114300">
            <wp:extent cx="5266055" cy="2956560"/>
            <wp:effectExtent l="0" t="0" r="6985" b="0"/>
            <wp:docPr id="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1"/>
                    <pic:cNvPicPr>
                      <a:picLocks noChangeAspect="1"/>
                    </pic:cNvPicPr>
                  </pic:nvPicPr>
                  <pic:blipFill>
                    <a:blip r:embed="rId25"/>
                    <a:stretch>
                      <a:fillRect/>
                    </a:stretch>
                  </pic:blipFill>
                  <pic:spPr>
                    <a:xfrm>
                      <a:off x="0" y="0"/>
                      <a:ext cx="5266055" cy="2956560"/>
                    </a:xfrm>
                    <a:prstGeom prst="rect">
                      <a:avLst/>
                    </a:prstGeom>
                    <a:noFill/>
                    <a:ln>
                      <a:noFill/>
                    </a:ln>
                  </pic:spPr>
                </pic:pic>
              </a:graphicData>
            </a:graphic>
          </wp:inline>
        </w:drawing>
      </w: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3B34892"/>
    <w:multiLevelType w:val="singleLevel"/>
    <w:tmpl w:val="B3B34892"/>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2C62086"/>
    <w:rsid w:val="107D6568"/>
    <w:rsid w:val="108E0357"/>
    <w:rsid w:val="110C3AA5"/>
    <w:rsid w:val="17EA3959"/>
    <w:rsid w:val="181D34AD"/>
    <w:rsid w:val="1AE631F0"/>
    <w:rsid w:val="20FC0072"/>
    <w:rsid w:val="22D06ECA"/>
    <w:rsid w:val="231F36E7"/>
    <w:rsid w:val="295A6337"/>
    <w:rsid w:val="2C725CCF"/>
    <w:rsid w:val="2DAA3EFD"/>
    <w:rsid w:val="2FED02E8"/>
    <w:rsid w:val="31E742C1"/>
    <w:rsid w:val="320D5094"/>
    <w:rsid w:val="386C12AB"/>
    <w:rsid w:val="395A37A5"/>
    <w:rsid w:val="39A961C5"/>
    <w:rsid w:val="3E1F60DB"/>
    <w:rsid w:val="3E3F6DF9"/>
    <w:rsid w:val="46896F19"/>
    <w:rsid w:val="47DD2682"/>
    <w:rsid w:val="48CE5620"/>
    <w:rsid w:val="49C1449E"/>
    <w:rsid w:val="649056EE"/>
    <w:rsid w:val="64FF7052"/>
    <w:rsid w:val="6A2323B9"/>
    <w:rsid w:val="6C461914"/>
    <w:rsid w:val="70967A88"/>
    <w:rsid w:val="73B76F88"/>
    <w:rsid w:val="748C3DA1"/>
    <w:rsid w:val="7CAB55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Ascii"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eastAsiaTheme="minorEastAsia"/>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sz w:val="30"/>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eastAsiaTheme="minorEastAsia"/>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Emphasis"/>
    <w:basedOn w:val="12"/>
    <w:qFormat/>
    <w:uiPriority w:val="0"/>
    <w:rPr>
      <w:i/>
    </w:rPr>
  </w:style>
  <w:style w:type="character" w:styleId="14">
    <w:name w:val="Hyperlink"/>
    <w:basedOn w:val="12"/>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47</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2021-11-08T19:23:00Z</dcterms:created>
  <dc:creator>Lenovo</dc:creator>
  <cp:lastModifiedBy>WPS_1547003711</cp:lastModifiedBy>
  <dcterms:modified xsi:type="dcterms:W3CDTF">2021-11-11T16:43:34Z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B0F53BF199574974868F11045F1E769E</vt:lpwstr>
  </property>
</Properties>
</file>