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A18E1" w14:textId="77777777" w:rsidR="00252F76" w:rsidRDefault="00000000">
      <w:r>
        <w:rPr>
          <w:noProof/>
        </w:rPr>
        <w:drawing>
          <wp:inline distT="0" distB="0" distL="0" distR="0" wp14:anchorId="6863E1F0" wp14:editId="5ADFA268">
            <wp:extent cx="5943600" cy="3302000"/>
            <wp:effectExtent l="0" t="0" r="0" b="0"/>
            <wp:docPr id="182411799"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11799"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943600" cy="3302000"/>
                    </a:xfrm>
                    <a:prstGeom prst="rect">
                      <a:avLst/>
                    </a:prstGeom>
                    <a:noFill/>
                    <a:ln>
                      <a:noFill/>
                    </a:ln>
                  </pic:spPr>
                </pic:pic>
              </a:graphicData>
            </a:graphic>
          </wp:inline>
        </w:drawing>
      </w:r>
      <w:r>
        <w:t xml:space="preserve"> </w:t>
      </w:r>
    </w:p>
    <w:p w14:paraId="52D963BA" w14:textId="77777777" w:rsidR="00252F76" w:rsidRDefault="00252F76"/>
    <w:p w14:paraId="78D3B74D" w14:textId="77777777" w:rsidR="00252F76" w:rsidRDefault="00000000">
      <w:pPr>
        <w:jc w:val="both"/>
        <w:rPr>
          <w:rFonts w:ascii="Arial" w:hAnsi="Arial" w:cs="Arial"/>
          <w:b/>
          <w:bCs/>
          <w:sz w:val="36"/>
          <w:szCs w:val="36"/>
        </w:rPr>
      </w:pPr>
      <w:r>
        <w:rPr>
          <w:rFonts w:ascii="Arial" w:hAnsi="Arial" w:cs="Arial"/>
          <w:b/>
          <w:bCs/>
          <w:sz w:val="36"/>
          <w:szCs w:val="36"/>
        </w:rPr>
        <w:t xml:space="preserve">Programme Name         </w:t>
      </w:r>
      <w:r>
        <w:rPr>
          <w:rFonts w:ascii="Arial" w:hAnsi="Arial" w:cs="Arial"/>
          <w:b/>
          <w:bCs/>
          <w:sz w:val="28"/>
          <w:szCs w:val="28"/>
        </w:rPr>
        <w:t>Master of Business Administration</w:t>
      </w:r>
    </w:p>
    <w:p w14:paraId="6D2BF1EA" w14:textId="77777777" w:rsidR="00252F76" w:rsidRDefault="00000000">
      <w:pPr>
        <w:jc w:val="both"/>
        <w:rPr>
          <w:rFonts w:ascii="Arial" w:hAnsi="Arial" w:cs="Arial"/>
          <w:b/>
          <w:bCs/>
          <w:sz w:val="36"/>
          <w:szCs w:val="36"/>
        </w:rPr>
      </w:pPr>
      <w:r>
        <w:rPr>
          <w:rFonts w:ascii="Arial" w:hAnsi="Arial" w:cs="Arial"/>
          <w:b/>
          <w:bCs/>
          <w:sz w:val="36"/>
          <w:szCs w:val="36"/>
        </w:rPr>
        <w:t xml:space="preserve">Module                                     </w:t>
      </w:r>
      <w:r>
        <w:rPr>
          <w:rFonts w:ascii="Arial" w:hAnsi="Arial" w:cs="Arial"/>
          <w:b/>
          <w:bCs/>
          <w:sz w:val="28"/>
          <w:szCs w:val="28"/>
        </w:rPr>
        <w:t>Marketing Management</w:t>
      </w:r>
      <w:r>
        <w:rPr>
          <w:rFonts w:ascii="Arial" w:hAnsi="Arial" w:cs="Arial"/>
          <w:b/>
          <w:bCs/>
          <w:sz w:val="36"/>
          <w:szCs w:val="36"/>
        </w:rPr>
        <w:t xml:space="preserve"> </w:t>
      </w:r>
    </w:p>
    <w:p w14:paraId="49ECA268" w14:textId="77777777" w:rsidR="00252F76" w:rsidRDefault="00000000">
      <w:pPr>
        <w:jc w:val="both"/>
        <w:rPr>
          <w:rFonts w:ascii="Arial" w:hAnsi="Arial" w:cs="Arial"/>
          <w:b/>
          <w:bCs/>
          <w:sz w:val="36"/>
          <w:szCs w:val="36"/>
        </w:rPr>
      </w:pPr>
      <w:r>
        <w:rPr>
          <w:rFonts w:ascii="Arial" w:hAnsi="Arial" w:cs="Arial"/>
          <w:b/>
          <w:bCs/>
          <w:sz w:val="36"/>
          <w:szCs w:val="36"/>
        </w:rPr>
        <w:t xml:space="preserve">Module Code                            </w:t>
      </w:r>
      <w:r>
        <w:rPr>
          <w:rFonts w:ascii="Arial" w:hAnsi="Arial" w:cs="Arial"/>
          <w:b/>
          <w:bCs/>
          <w:sz w:val="28"/>
          <w:szCs w:val="28"/>
        </w:rPr>
        <w:t>LCMB7024</w:t>
      </w:r>
    </w:p>
    <w:p w14:paraId="161F4820" w14:textId="77777777" w:rsidR="00252F76" w:rsidRDefault="00000000">
      <w:pPr>
        <w:jc w:val="both"/>
        <w:rPr>
          <w:rFonts w:ascii="Arial" w:hAnsi="Arial" w:cs="Arial"/>
          <w:b/>
          <w:bCs/>
          <w:sz w:val="28"/>
          <w:szCs w:val="28"/>
        </w:rPr>
      </w:pPr>
      <w:r>
        <w:rPr>
          <w:rFonts w:ascii="Arial" w:hAnsi="Arial" w:cs="Arial"/>
          <w:b/>
          <w:bCs/>
          <w:sz w:val="36"/>
          <w:szCs w:val="36"/>
        </w:rPr>
        <w:t xml:space="preserve">Lecturer                                     </w:t>
      </w:r>
      <w:r>
        <w:rPr>
          <w:rFonts w:ascii="Arial" w:hAnsi="Arial" w:cs="Arial"/>
          <w:b/>
          <w:bCs/>
          <w:sz w:val="28"/>
          <w:szCs w:val="28"/>
        </w:rPr>
        <w:t>Dr Laila Maazouz</w:t>
      </w:r>
    </w:p>
    <w:p w14:paraId="491EAD05" w14:textId="77777777" w:rsidR="00252F76" w:rsidRDefault="00000000">
      <w:pPr>
        <w:jc w:val="both"/>
        <w:rPr>
          <w:rFonts w:ascii="Arial" w:hAnsi="Arial" w:cs="Arial"/>
          <w:b/>
          <w:bCs/>
          <w:sz w:val="36"/>
          <w:szCs w:val="36"/>
        </w:rPr>
      </w:pPr>
      <w:r>
        <w:rPr>
          <w:rFonts w:ascii="Arial" w:hAnsi="Arial" w:cs="Arial"/>
          <w:b/>
          <w:bCs/>
          <w:sz w:val="36"/>
          <w:szCs w:val="36"/>
        </w:rPr>
        <w:t xml:space="preserve">Student Name                           </w:t>
      </w:r>
      <w:r>
        <w:rPr>
          <w:rFonts w:ascii="Arial" w:hAnsi="Arial" w:cs="Arial"/>
          <w:b/>
          <w:bCs/>
          <w:sz w:val="28"/>
          <w:szCs w:val="28"/>
        </w:rPr>
        <w:t xml:space="preserve">Abdul Aziz </w:t>
      </w:r>
    </w:p>
    <w:p w14:paraId="16649FA7" w14:textId="58F1EE0D" w:rsidR="00252F76" w:rsidRDefault="00000000">
      <w:pPr>
        <w:jc w:val="both"/>
        <w:rPr>
          <w:rFonts w:ascii="Arial" w:hAnsi="Arial" w:cs="Arial"/>
          <w:b/>
          <w:bCs/>
          <w:sz w:val="36"/>
          <w:szCs w:val="36"/>
        </w:rPr>
      </w:pPr>
      <w:r>
        <w:rPr>
          <w:rFonts w:ascii="Arial" w:hAnsi="Arial" w:cs="Arial"/>
          <w:b/>
          <w:bCs/>
          <w:sz w:val="36"/>
          <w:szCs w:val="36"/>
        </w:rPr>
        <w:t xml:space="preserve">Student ID                                 </w:t>
      </w:r>
      <w:r>
        <w:rPr>
          <w:rFonts w:ascii="Arial" w:hAnsi="Arial" w:cs="Arial"/>
          <w:b/>
          <w:bCs/>
          <w:sz w:val="28"/>
          <w:szCs w:val="28"/>
        </w:rPr>
        <w:t>2425625</w:t>
      </w:r>
      <w:r>
        <w:rPr>
          <w:rFonts w:ascii="Arial" w:hAnsi="Arial" w:cs="Arial"/>
          <w:b/>
          <w:bCs/>
          <w:sz w:val="36"/>
          <w:szCs w:val="36"/>
        </w:rPr>
        <w:t xml:space="preserve">                        </w:t>
      </w:r>
    </w:p>
    <w:p w14:paraId="2D4D8F21" w14:textId="55113FA3" w:rsidR="00252F76" w:rsidRDefault="00000000">
      <w:pPr>
        <w:jc w:val="both"/>
        <w:rPr>
          <w:rFonts w:ascii="Arial" w:hAnsi="Arial" w:cs="Arial"/>
          <w:b/>
          <w:bCs/>
          <w:sz w:val="36"/>
          <w:szCs w:val="36"/>
        </w:rPr>
      </w:pPr>
      <w:r>
        <w:rPr>
          <w:rFonts w:ascii="Arial" w:hAnsi="Arial" w:cs="Arial"/>
          <w:b/>
          <w:bCs/>
          <w:sz w:val="36"/>
          <w:szCs w:val="36"/>
        </w:rPr>
        <w:t xml:space="preserve">Submission Date                      </w:t>
      </w:r>
      <w:r>
        <w:rPr>
          <w:rFonts w:ascii="Arial" w:hAnsi="Arial" w:cs="Arial"/>
          <w:b/>
          <w:bCs/>
          <w:sz w:val="28"/>
          <w:szCs w:val="28"/>
        </w:rPr>
        <w:t>2</w:t>
      </w:r>
      <w:r w:rsidR="008C4ECD">
        <w:rPr>
          <w:rFonts w:ascii="Arial" w:hAnsi="Arial" w:cs="Arial"/>
          <w:b/>
          <w:bCs/>
          <w:sz w:val="28"/>
          <w:szCs w:val="28"/>
        </w:rPr>
        <w:t>7</w:t>
      </w:r>
      <w:r>
        <w:rPr>
          <w:rFonts w:ascii="Arial" w:hAnsi="Arial" w:cs="Arial"/>
          <w:b/>
          <w:bCs/>
          <w:sz w:val="28"/>
          <w:szCs w:val="28"/>
          <w:vertAlign w:val="superscript"/>
        </w:rPr>
        <w:t>th</w:t>
      </w:r>
      <w:r>
        <w:rPr>
          <w:rFonts w:ascii="Arial" w:hAnsi="Arial" w:cs="Arial"/>
          <w:b/>
          <w:bCs/>
          <w:sz w:val="28"/>
          <w:szCs w:val="28"/>
        </w:rPr>
        <w:t xml:space="preserve"> March, 2025</w:t>
      </w:r>
    </w:p>
    <w:p w14:paraId="1378A714" w14:textId="77777777" w:rsidR="00252F76" w:rsidRDefault="00252F76">
      <w:pPr>
        <w:pStyle w:val="TOCHeading1"/>
        <w:jc w:val="both"/>
        <w:rPr>
          <w:rFonts w:ascii="Arial" w:hAnsi="Arial" w:cs="Arial"/>
          <w:b/>
          <w:bCs/>
        </w:rPr>
      </w:pPr>
    </w:p>
    <w:p w14:paraId="16AE65B0" w14:textId="77777777" w:rsidR="00252F76" w:rsidRDefault="00252F76">
      <w:pPr>
        <w:pStyle w:val="TOCHeading1"/>
        <w:spacing w:line="360" w:lineRule="auto"/>
        <w:rPr>
          <w:rFonts w:asciiTheme="minorHAnsi" w:eastAsiaTheme="minorEastAsia" w:hAnsiTheme="minorHAnsi" w:cstheme="minorBidi"/>
          <w:color w:val="auto"/>
          <w:sz w:val="21"/>
          <w:szCs w:val="21"/>
        </w:rPr>
      </w:pPr>
    </w:p>
    <w:p w14:paraId="3B7FC5FD" w14:textId="77777777" w:rsidR="00252F76" w:rsidRDefault="00252F76"/>
    <w:p w14:paraId="2FDB4577" w14:textId="77777777" w:rsidR="00252F76" w:rsidRDefault="00252F76"/>
    <w:p w14:paraId="0A04B5CF" w14:textId="77777777" w:rsidR="00252F76" w:rsidRDefault="00252F76"/>
    <w:p w14:paraId="71BF75ED" w14:textId="77777777" w:rsidR="00252F76" w:rsidRDefault="00252F76"/>
    <w:p w14:paraId="591BF9FC" w14:textId="77777777" w:rsidR="00252F76" w:rsidRDefault="00252F76"/>
    <w:p w14:paraId="2152202D" w14:textId="77777777" w:rsidR="00252F76" w:rsidRDefault="00252F76"/>
    <w:p w14:paraId="66A919D7" w14:textId="77777777" w:rsidR="00252F76" w:rsidRDefault="00252F76"/>
    <w:p w14:paraId="00512F7E" w14:textId="77777777" w:rsidR="00252F76" w:rsidRDefault="00252F76"/>
    <w:p w14:paraId="459794D8" w14:textId="77777777" w:rsidR="00252F76" w:rsidRDefault="00252F76"/>
    <w:sdt>
      <w:sdtPr>
        <w:rPr>
          <w:rFonts w:asciiTheme="minorHAnsi" w:eastAsiaTheme="minorEastAsia" w:hAnsiTheme="minorHAnsi" w:cstheme="minorBidi"/>
          <w:color w:val="auto"/>
          <w:sz w:val="21"/>
          <w:szCs w:val="21"/>
        </w:rPr>
        <w:id w:val="2036988509"/>
        <w:docPartObj>
          <w:docPartGallery w:val="Table of Contents"/>
          <w:docPartUnique/>
        </w:docPartObj>
      </w:sdtPr>
      <w:sdtEndPr>
        <w:rPr>
          <w:b/>
          <w:bCs/>
        </w:rPr>
      </w:sdtEndPr>
      <w:sdtContent>
        <w:p w14:paraId="6335F26B" w14:textId="77777777" w:rsidR="00252F76" w:rsidRDefault="00000000">
          <w:pPr>
            <w:pStyle w:val="TOCHeading1"/>
            <w:spacing w:line="360" w:lineRule="auto"/>
          </w:pPr>
          <w:r>
            <w:t>Table of Contents</w:t>
          </w:r>
        </w:p>
        <w:p w14:paraId="27A1D3D5" w14:textId="77777777" w:rsidR="00252F76" w:rsidRDefault="00000000">
          <w:pPr>
            <w:pStyle w:val="TOC1"/>
            <w:tabs>
              <w:tab w:val="right" w:leader="dot" w:pos="9350"/>
            </w:tabs>
            <w:rPr>
              <w:sz w:val="22"/>
              <w:szCs w:val="22"/>
            </w:rPr>
          </w:pPr>
          <w:r>
            <w:rPr>
              <w:b/>
              <w:bCs/>
            </w:rPr>
            <w:fldChar w:fldCharType="begin"/>
          </w:r>
          <w:r>
            <w:rPr>
              <w:b/>
              <w:bCs/>
            </w:rPr>
            <w:instrText xml:space="preserve"> TOC \o "1-3" \h \z \u </w:instrText>
          </w:r>
          <w:r>
            <w:rPr>
              <w:b/>
              <w:bCs/>
            </w:rPr>
            <w:fldChar w:fldCharType="separate"/>
          </w:r>
          <w:hyperlink w:anchor="_Toc193910964" w:history="1">
            <w:r>
              <w:rPr>
                <w:rStyle w:val="Hyperlink"/>
              </w:rPr>
              <w:t>Introduction</w:t>
            </w:r>
            <w:r>
              <w:tab/>
            </w:r>
            <w:r>
              <w:fldChar w:fldCharType="begin"/>
            </w:r>
            <w:r>
              <w:instrText xml:space="preserve"> PAGEREF _Toc193910964 \h </w:instrText>
            </w:r>
            <w:r>
              <w:fldChar w:fldCharType="separate"/>
            </w:r>
            <w:r>
              <w:t>3</w:t>
            </w:r>
            <w:r>
              <w:fldChar w:fldCharType="end"/>
            </w:r>
          </w:hyperlink>
        </w:p>
        <w:p w14:paraId="06484782" w14:textId="77777777" w:rsidR="00252F76" w:rsidRDefault="00000000">
          <w:pPr>
            <w:pStyle w:val="TOC1"/>
            <w:tabs>
              <w:tab w:val="right" w:leader="dot" w:pos="9350"/>
            </w:tabs>
            <w:rPr>
              <w:sz w:val="22"/>
              <w:szCs w:val="22"/>
            </w:rPr>
          </w:pPr>
          <w:hyperlink w:anchor="_Toc193910965" w:history="1">
            <w:r>
              <w:rPr>
                <w:rStyle w:val="Hyperlink"/>
              </w:rPr>
              <w:t>Advantages of Being a Pioneer</w:t>
            </w:r>
            <w:r>
              <w:tab/>
            </w:r>
            <w:r>
              <w:fldChar w:fldCharType="begin"/>
            </w:r>
            <w:r>
              <w:instrText xml:space="preserve"> PAGEREF _Toc193910965 \h </w:instrText>
            </w:r>
            <w:r>
              <w:fldChar w:fldCharType="separate"/>
            </w:r>
            <w:r>
              <w:t>3</w:t>
            </w:r>
            <w:r>
              <w:fldChar w:fldCharType="end"/>
            </w:r>
          </w:hyperlink>
        </w:p>
        <w:p w14:paraId="1DEBF163" w14:textId="77777777" w:rsidR="00252F76" w:rsidRDefault="00000000">
          <w:pPr>
            <w:pStyle w:val="TOC2"/>
            <w:tabs>
              <w:tab w:val="right" w:leader="dot" w:pos="9350"/>
            </w:tabs>
            <w:rPr>
              <w:sz w:val="22"/>
              <w:szCs w:val="22"/>
            </w:rPr>
          </w:pPr>
          <w:hyperlink w:anchor="_Toc193910966" w:history="1">
            <w:r>
              <w:rPr>
                <w:rStyle w:val="Hyperlink"/>
              </w:rPr>
              <w:t>Market Leadership and Brand Recognition</w:t>
            </w:r>
            <w:r>
              <w:tab/>
            </w:r>
            <w:r>
              <w:fldChar w:fldCharType="begin"/>
            </w:r>
            <w:r>
              <w:instrText xml:space="preserve"> PAGEREF _Toc193910966 \h </w:instrText>
            </w:r>
            <w:r>
              <w:fldChar w:fldCharType="separate"/>
            </w:r>
            <w:r>
              <w:t>3</w:t>
            </w:r>
            <w:r>
              <w:fldChar w:fldCharType="end"/>
            </w:r>
          </w:hyperlink>
        </w:p>
        <w:p w14:paraId="7F982E6A" w14:textId="77777777" w:rsidR="00252F76" w:rsidRDefault="00000000">
          <w:pPr>
            <w:pStyle w:val="TOC2"/>
            <w:tabs>
              <w:tab w:val="right" w:leader="dot" w:pos="9350"/>
            </w:tabs>
            <w:rPr>
              <w:sz w:val="22"/>
              <w:szCs w:val="22"/>
            </w:rPr>
          </w:pPr>
          <w:hyperlink w:anchor="_Toc193910967" w:history="1">
            <w:r>
              <w:rPr>
                <w:rStyle w:val="Hyperlink"/>
              </w:rPr>
              <w:t>Strong Customer Loyalty and Switching Costs</w:t>
            </w:r>
            <w:r>
              <w:tab/>
            </w:r>
            <w:r>
              <w:fldChar w:fldCharType="begin"/>
            </w:r>
            <w:r>
              <w:instrText xml:space="preserve"> PAGEREF _Toc193910967 \h </w:instrText>
            </w:r>
            <w:r>
              <w:fldChar w:fldCharType="separate"/>
            </w:r>
            <w:r>
              <w:t>4</w:t>
            </w:r>
            <w:r>
              <w:fldChar w:fldCharType="end"/>
            </w:r>
          </w:hyperlink>
        </w:p>
        <w:p w14:paraId="0C399558" w14:textId="77777777" w:rsidR="00252F76" w:rsidRDefault="00000000">
          <w:pPr>
            <w:pStyle w:val="TOC2"/>
            <w:tabs>
              <w:tab w:val="right" w:leader="dot" w:pos="9350"/>
            </w:tabs>
            <w:rPr>
              <w:sz w:val="22"/>
              <w:szCs w:val="22"/>
            </w:rPr>
          </w:pPr>
          <w:hyperlink w:anchor="_Toc193910968" w:history="1">
            <w:r>
              <w:rPr>
                <w:rStyle w:val="Hyperlink"/>
              </w:rPr>
              <w:t>Higher Profit Margins and Pricing Power</w:t>
            </w:r>
            <w:r>
              <w:tab/>
            </w:r>
            <w:r>
              <w:fldChar w:fldCharType="begin"/>
            </w:r>
            <w:r>
              <w:instrText xml:space="preserve"> PAGEREF _Toc193910968 \h </w:instrText>
            </w:r>
            <w:r>
              <w:fldChar w:fldCharType="separate"/>
            </w:r>
            <w:r>
              <w:t>4</w:t>
            </w:r>
            <w:r>
              <w:fldChar w:fldCharType="end"/>
            </w:r>
          </w:hyperlink>
        </w:p>
        <w:p w14:paraId="1822F5C3" w14:textId="77777777" w:rsidR="00252F76" w:rsidRDefault="00000000">
          <w:pPr>
            <w:pStyle w:val="TOC2"/>
            <w:tabs>
              <w:tab w:val="right" w:leader="dot" w:pos="9350"/>
            </w:tabs>
            <w:rPr>
              <w:sz w:val="22"/>
              <w:szCs w:val="22"/>
            </w:rPr>
          </w:pPr>
          <w:hyperlink w:anchor="_Toc193910969" w:history="1">
            <w:r>
              <w:rPr>
                <w:rStyle w:val="Hyperlink"/>
              </w:rPr>
              <w:t>Control Over Supply chain and Distribution</w:t>
            </w:r>
            <w:r>
              <w:tab/>
            </w:r>
            <w:r>
              <w:fldChar w:fldCharType="begin"/>
            </w:r>
            <w:r>
              <w:instrText xml:space="preserve"> PAGEREF _Toc193910969 \h </w:instrText>
            </w:r>
            <w:r>
              <w:fldChar w:fldCharType="separate"/>
            </w:r>
            <w:r>
              <w:t>5</w:t>
            </w:r>
            <w:r>
              <w:fldChar w:fldCharType="end"/>
            </w:r>
          </w:hyperlink>
        </w:p>
        <w:p w14:paraId="103AF470" w14:textId="77777777" w:rsidR="00252F76" w:rsidRDefault="00000000">
          <w:pPr>
            <w:pStyle w:val="TOC1"/>
            <w:tabs>
              <w:tab w:val="right" w:leader="dot" w:pos="9350"/>
            </w:tabs>
            <w:rPr>
              <w:sz w:val="22"/>
              <w:szCs w:val="22"/>
            </w:rPr>
          </w:pPr>
          <w:hyperlink w:anchor="_Toc193910970" w:history="1">
            <w:r>
              <w:rPr>
                <w:rStyle w:val="Hyperlink"/>
              </w:rPr>
              <w:t>Advantages of Being a Follower</w:t>
            </w:r>
            <w:r>
              <w:tab/>
            </w:r>
            <w:r>
              <w:fldChar w:fldCharType="begin"/>
            </w:r>
            <w:r>
              <w:instrText xml:space="preserve"> PAGEREF _Toc193910970 \h </w:instrText>
            </w:r>
            <w:r>
              <w:fldChar w:fldCharType="separate"/>
            </w:r>
            <w:r>
              <w:t>5</w:t>
            </w:r>
            <w:r>
              <w:fldChar w:fldCharType="end"/>
            </w:r>
          </w:hyperlink>
        </w:p>
        <w:p w14:paraId="40C021D0" w14:textId="77777777" w:rsidR="00252F76" w:rsidRDefault="00000000">
          <w:pPr>
            <w:pStyle w:val="TOC2"/>
            <w:tabs>
              <w:tab w:val="right" w:leader="dot" w:pos="9350"/>
            </w:tabs>
            <w:rPr>
              <w:sz w:val="22"/>
              <w:szCs w:val="22"/>
            </w:rPr>
          </w:pPr>
          <w:hyperlink w:anchor="_Toc193910971" w:history="1">
            <w:r>
              <w:rPr>
                <w:rStyle w:val="Hyperlink"/>
              </w:rPr>
              <w:t>Learning from Pioneers’ Mistakes</w:t>
            </w:r>
            <w:r>
              <w:tab/>
            </w:r>
            <w:r>
              <w:fldChar w:fldCharType="begin"/>
            </w:r>
            <w:r>
              <w:instrText xml:space="preserve"> PAGEREF _Toc193910971 \h </w:instrText>
            </w:r>
            <w:r>
              <w:fldChar w:fldCharType="separate"/>
            </w:r>
            <w:r>
              <w:t>5</w:t>
            </w:r>
            <w:r>
              <w:fldChar w:fldCharType="end"/>
            </w:r>
          </w:hyperlink>
        </w:p>
        <w:p w14:paraId="25DDFA16" w14:textId="77777777" w:rsidR="00252F76" w:rsidRDefault="00000000">
          <w:pPr>
            <w:pStyle w:val="TOC2"/>
            <w:tabs>
              <w:tab w:val="right" w:leader="dot" w:pos="9350"/>
            </w:tabs>
            <w:rPr>
              <w:sz w:val="22"/>
              <w:szCs w:val="22"/>
            </w:rPr>
          </w:pPr>
          <w:hyperlink w:anchor="_Toc193910972" w:history="1">
            <w:r>
              <w:rPr>
                <w:rStyle w:val="Hyperlink"/>
              </w:rPr>
              <w:t>Lower R&amp;D and Market Education Costs</w:t>
            </w:r>
            <w:r>
              <w:tab/>
            </w:r>
            <w:r>
              <w:fldChar w:fldCharType="begin"/>
            </w:r>
            <w:r>
              <w:instrText xml:space="preserve"> PAGEREF _Toc193910972 \h </w:instrText>
            </w:r>
            <w:r>
              <w:fldChar w:fldCharType="separate"/>
            </w:r>
            <w:r>
              <w:t>6</w:t>
            </w:r>
            <w:r>
              <w:fldChar w:fldCharType="end"/>
            </w:r>
          </w:hyperlink>
        </w:p>
        <w:p w14:paraId="4FCFE972" w14:textId="77777777" w:rsidR="00252F76" w:rsidRDefault="00000000">
          <w:pPr>
            <w:pStyle w:val="TOC2"/>
            <w:tabs>
              <w:tab w:val="right" w:leader="dot" w:pos="9350"/>
            </w:tabs>
            <w:rPr>
              <w:sz w:val="22"/>
              <w:szCs w:val="22"/>
            </w:rPr>
          </w:pPr>
          <w:hyperlink w:anchor="_Toc193910973" w:history="1">
            <w:r>
              <w:rPr>
                <w:rStyle w:val="Hyperlink"/>
              </w:rPr>
              <w:t>Improved Product Offerings and Competitive Pricing</w:t>
            </w:r>
            <w:r>
              <w:tab/>
            </w:r>
            <w:r>
              <w:fldChar w:fldCharType="begin"/>
            </w:r>
            <w:r>
              <w:instrText xml:space="preserve"> PAGEREF _Toc193910973 \h </w:instrText>
            </w:r>
            <w:r>
              <w:fldChar w:fldCharType="separate"/>
            </w:r>
            <w:r>
              <w:t>6</w:t>
            </w:r>
            <w:r>
              <w:fldChar w:fldCharType="end"/>
            </w:r>
          </w:hyperlink>
        </w:p>
        <w:p w14:paraId="763B90E1" w14:textId="77777777" w:rsidR="00252F76" w:rsidRDefault="00000000">
          <w:pPr>
            <w:pStyle w:val="TOC2"/>
            <w:tabs>
              <w:tab w:val="right" w:leader="dot" w:pos="9350"/>
            </w:tabs>
            <w:rPr>
              <w:sz w:val="22"/>
              <w:szCs w:val="22"/>
            </w:rPr>
          </w:pPr>
          <w:hyperlink w:anchor="_Toc193910974" w:history="1">
            <w:r>
              <w:rPr>
                <w:rStyle w:val="Hyperlink"/>
              </w:rPr>
              <w:t>Avoiding Market Uncertainty and Reducing Risk</w:t>
            </w:r>
            <w:r>
              <w:tab/>
            </w:r>
            <w:r>
              <w:fldChar w:fldCharType="begin"/>
            </w:r>
            <w:r>
              <w:instrText xml:space="preserve"> PAGEREF _Toc193910974 \h </w:instrText>
            </w:r>
            <w:r>
              <w:fldChar w:fldCharType="separate"/>
            </w:r>
            <w:r>
              <w:t>7</w:t>
            </w:r>
            <w:r>
              <w:fldChar w:fldCharType="end"/>
            </w:r>
          </w:hyperlink>
        </w:p>
        <w:p w14:paraId="6631F91A" w14:textId="77777777" w:rsidR="00252F76" w:rsidRDefault="00000000">
          <w:pPr>
            <w:pStyle w:val="TOC1"/>
            <w:tabs>
              <w:tab w:val="right" w:leader="dot" w:pos="9350"/>
            </w:tabs>
            <w:rPr>
              <w:sz w:val="22"/>
              <w:szCs w:val="22"/>
            </w:rPr>
          </w:pPr>
          <w:hyperlink w:anchor="_Toc193910975" w:history="1">
            <w:r>
              <w:rPr>
                <w:rStyle w:val="Hyperlink"/>
              </w:rPr>
              <w:t>Morrisons: A Follower in Retail with Strategic Adaptations</w:t>
            </w:r>
            <w:r>
              <w:tab/>
            </w:r>
            <w:r>
              <w:fldChar w:fldCharType="begin"/>
            </w:r>
            <w:r>
              <w:instrText xml:space="preserve"> PAGEREF _Toc193910975 \h </w:instrText>
            </w:r>
            <w:r>
              <w:fldChar w:fldCharType="separate"/>
            </w:r>
            <w:r>
              <w:t>7</w:t>
            </w:r>
            <w:r>
              <w:fldChar w:fldCharType="end"/>
            </w:r>
          </w:hyperlink>
        </w:p>
        <w:p w14:paraId="262E53E8" w14:textId="77777777" w:rsidR="00252F76" w:rsidRDefault="00000000">
          <w:pPr>
            <w:pStyle w:val="TOC2"/>
            <w:tabs>
              <w:tab w:val="right" w:leader="dot" w:pos="9350"/>
            </w:tabs>
            <w:rPr>
              <w:sz w:val="22"/>
              <w:szCs w:val="22"/>
            </w:rPr>
          </w:pPr>
          <w:hyperlink w:anchor="_Toc193910976" w:history="1">
            <w:r>
              <w:rPr>
                <w:rStyle w:val="Hyperlink"/>
              </w:rPr>
              <w:t>Late Entry into Online Retail</w:t>
            </w:r>
            <w:r>
              <w:tab/>
            </w:r>
            <w:r>
              <w:fldChar w:fldCharType="begin"/>
            </w:r>
            <w:r>
              <w:instrText xml:space="preserve"> PAGEREF _Toc193910976 \h </w:instrText>
            </w:r>
            <w:r>
              <w:fldChar w:fldCharType="separate"/>
            </w:r>
            <w:r>
              <w:t>7</w:t>
            </w:r>
            <w:r>
              <w:fldChar w:fldCharType="end"/>
            </w:r>
          </w:hyperlink>
        </w:p>
        <w:p w14:paraId="5A55AF9D" w14:textId="77777777" w:rsidR="00252F76" w:rsidRDefault="00000000">
          <w:pPr>
            <w:pStyle w:val="TOC2"/>
            <w:tabs>
              <w:tab w:val="right" w:leader="dot" w:pos="9350"/>
            </w:tabs>
            <w:rPr>
              <w:sz w:val="22"/>
              <w:szCs w:val="22"/>
            </w:rPr>
          </w:pPr>
          <w:hyperlink w:anchor="_Toc193910977" w:history="1">
            <w:r>
              <w:rPr>
                <w:rStyle w:val="Hyperlink"/>
              </w:rPr>
              <w:t>Delayed Expansion into Convenience Stores</w:t>
            </w:r>
            <w:r>
              <w:tab/>
            </w:r>
            <w:r>
              <w:fldChar w:fldCharType="begin"/>
            </w:r>
            <w:r>
              <w:instrText xml:space="preserve"> PAGEREF _Toc193910977 \h </w:instrText>
            </w:r>
            <w:r>
              <w:fldChar w:fldCharType="separate"/>
            </w:r>
            <w:r>
              <w:t>7</w:t>
            </w:r>
            <w:r>
              <w:fldChar w:fldCharType="end"/>
            </w:r>
          </w:hyperlink>
        </w:p>
        <w:p w14:paraId="243F0D0D" w14:textId="77777777" w:rsidR="00252F76" w:rsidRDefault="00000000">
          <w:pPr>
            <w:pStyle w:val="TOC2"/>
            <w:tabs>
              <w:tab w:val="right" w:leader="dot" w:pos="9350"/>
            </w:tabs>
            <w:rPr>
              <w:sz w:val="22"/>
              <w:szCs w:val="22"/>
            </w:rPr>
          </w:pPr>
          <w:hyperlink w:anchor="_Toc193910978" w:history="1">
            <w:r>
              <w:rPr>
                <w:rStyle w:val="Hyperlink"/>
              </w:rPr>
              <w:t>Leveraging Data and Technology Later</w:t>
            </w:r>
            <w:r>
              <w:tab/>
            </w:r>
            <w:r>
              <w:fldChar w:fldCharType="begin"/>
            </w:r>
            <w:r>
              <w:instrText xml:space="preserve"> PAGEREF _Toc193910978 \h </w:instrText>
            </w:r>
            <w:r>
              <w:fldChar w:fldCharType="separate"/>
            </w:r>
            <w:r>
              <w:t>8</w:t>
            </w:r>
            <w:r>
              <w:fldChar w:fldCharType="end"/>
            </w:r>
          </w:hyperlink>
        </w:p>
        <w:p w14:paraId="21E47E98" w14:textId="77777777" w:rsidR="00252F76" w:rsidRDefault="00000000">
          <w:pPr>
            <w:pStyle w:val="TOC1"/>
            <w:tabs>
              <w:tab w:val="right" w:leader="dot" w:pos="9350"/>
            </w:tabs>
            <w:rPr>
              <w:sz w:val="22"/>
              <w:szCs w:val="22"/>
            </w:rPr>
          </w:pPr>
          <w:hyperlink w:anchor="_Toc193910979" w:history="1">
            <w:r>
              <w:rPr>
                <w:rStyle w:val="Hyperlink"/>
              </w:rPr>
              <w:t>Product Life Cycle Strategies for Pioneers and Followers –</w:t>
            </w:r>
            <w:r>
              <w:tab/>
            </w:r>
            <w:r>
              <w:fldChar w:fldCharType="begin"/>
            </w:r>
            <w:r>
              <w:instrText xml:space="preserve"> PAGEREF _Toc193910979 \h </w:instrText>
            </w:r>
            <w:r>
              <w:fldChar w:fldCharType="separate"/>
            </w:r>
            <w:r>
              <w:t>8</w:t>
            </w:r>
            <w:r>
              <w:fldChar w:fldCharType="end"/>
            </w:r>
          </w:hyperlink>
        </w:p>
        <w:p w14:paraId="55D96303" w14:textId="77777777" w:rsidR="00252F76" w:rsidRDefault="00000000">
          <w:pPr>
            <w:pStyle w:val="TOC2"/>
            <w:tabs>
              <w:tab w:val="right" w:leader="dot" w:pos="9350"/>
            </w:tabs>
            <w:rPr>
              <w:sz w:val="22"/>
              <w:szCs w:val="22"/>
            </w:rPr>
          </w:pPr>
          <w:hyperlink w:anchor="_Toc193910980" w:history="1">
            <w:r>
              <w:rPr>
                <w:rStyle w:val="Hyperlink"/>
              </w:rPr>
              <w:t>Pioneers’ Strategies to Sustain Growth and Maturity</w:t>
            </w:r>
            <w:r>
              <w:tab/>
            </w:r>
            <w:r>
              <w:fldChar w:fldCharType="begin"/>
            </w:r>
            <w:r>
              <w:instrText xml:space="preserve"> PAGEREF _Toc193910980 \h </w:instrText>
            </w:r>
            <w:r>
              <w:fldChar w:fldCharType="separate"/>
            </w:r>
            <w:r>
              <w:t>8</w:t>
            </w:r>
            <w:r>
              <w:fldChar w:fldCharType="end"/>
            </w:r>
          </w:hyperlink>
        </w:p>
        <w:p w14:paraId="0FB8431C" w14:textId="77777777" w:rsidR="00252F76" w:rsidRDefault="00000000">
          <w:pPr>
            <w:pStyle w:val="TOC2"/>
            <w:tabs>
              <w:tab w:val="right" w:leader="dot" w:pos="9350"/>
            </w:tabs>
            <w:rPr>
              <w:sz w:val="22"/>
              <w:szCs w:val="22"/>
            </w:rPr>
          </w:pPr>
          <w:hyperlink w:anchor="_Toc193910981" w:history="1">
            <w:r>
              <w:rPr>
                <w:rStyle w:val="Hyperlink"/>
              </w:rPr>
              <w:t>Followers' Strategies to Maintain Competitiveness</w:t>
            </w:r>
            <w:r>
              <w:tab/>
            </w:r>
            <w:r>
              <w:fldChar w:fldCharType="begin"/>
            </w:r>
            <w:r>
              <w:instrText xml:space="preserve"> PAGEREF _Toc193910981 \h </w:instrText>
            </w:r>
            <w:r>
              <w:fldChar w:fldCharType="separate"/>
            </w:r>
            <w:r>
              <w:t>10</w:t>
            </w:r>
            <w:r>
              <w:fldChar w:fldCharType="end"/>
            </w:r>
          </w:hyperlink>
        </w:p>
        <w:p w14:paraId="2AF3348F" w14:textId="77777777" w:rsidR="00252F76" w:rsidRDefault="00000000">
          <w:pPr>
            <w:pStyle w:val="TOC1"/>
            <w:tabs>
              <w:tab w:val="right" w:leader="dot" w:pos="9350"/>
            </w:tabs>
            <w:rPr>
              <w:sz w:val="22"/>
              <w:szCs w:val="22"/>
            </w:rPr>
          </w:pPr>
          <w:hyperlink w:anchor="_Toc193910982" w:history="1">
            <w:r>
              <w:rPr>
                <w:rStyle w:val="Hyperlink"/>
              </w:rPr>
              <w:t>Conclusion</w:t>
            </w:r>
            <w:r>
              <w:tab/>
            </w:r>
            <w:r>
              <w:fldChar w:fldCharType="begin"/>
            </w:r>
            <w:r>
              <w:instrText xml:space="preserve"> PAGEREF _Toc193910982 \h </w:instrText>
            </w:r>
            <w:r>
              <w:fldChar w:fldCharType="separate"/>
            </w:r>
            <w:r>
              <w:t>10</w:t>
            </w:r>
            <w:r>
              <w:fldChar w:fldCharType="end"/>
            </w:r>
          </w:hyperlink>
        </w:p>
        <w:p w14:paraId="4F340BF1" w14:textId="77777777" w:rsidR="00252F76" w:rsidRDefault="00000000">
          <w:pPr>
            <w:pStyle w:val="TOC1"/>
            <w:tabs>
              <w:tab w:val="right" w:leader="dot" w:pos="9350"/>
            </w:tabs>
            <w:rPr>
              <w:sz w:val="22"/>
              <w:szCs w:val="22"/>
            </w:rPr>
          </w:pPr>
          <w:hyperlink w:anchor="_Toc193910983" w:history="1">
            <w:r>
              <w:rPr>
                <w:rStyle w:val="Hyperlink"/>
              </w:rPr>
              <w:t>References</w:t>
            </w:r>
            <w:r>
              <w:tab/>
            </w:r>
            <w:r>
              <w:fldChar w:fldCharType="begin"/>
            </w:r>
            <w:r>
              <w:instrText xml:space="preserve"> PAGEREF _Toc193910983 \h </w:instrText>
            </w:r>
            <w:r>
              <w:fldChar w:fldCharType="separate"/>
            </w:r>
            <w:r>
              <w:t>12</w:t>
            </w:r>
            <w:r>
              <w:fldChar w:fldCharType="end"/>
            </w:r>
          </w:hyperlink>
        </w:p>
        <w:p w14:paraId="1ABB0D05" w14:textId="77777777" w:rsidR="00252F76" w:rsidRDefault="00000000">
          <w:pPr>
            <w:spacing w:line="360" w:lineRule="auto"/>
          </w:pPr>
          <w:r>
            <w:rPr>
              <w:b/>
              <w:bCs/>
            </w:rPr>
            <w:fldChar w:fldCharType="end"/>
          </w:r>
        </w:p>
      </w:sdtContent>
    </w:sdt>
    <w:p w14:paraId="14EF44F2" w14:textId="77777777" w:rsidR="00252F76" w:rsidRDefault="00000000">
      <w:pPr>
        <w:spacing w:line="360" w:lineRule="auto"/>
        <w:rPr>
          <w:rFonts w:asciiTheme="majorHAnsi" w:eastAsiaTheme="majorEastAsia" w:hAnsiTheme="majorHAnsi" w:cstheme="majorBidi"/>
          <w:color w:val="032348" w:themeColor="accent1" w:themeShade="BF"/>
          <w:sz w:val="36"/>
          <w:szCs w:val="36"/>
        </w:rPr>
      </w:pPr>
      <w:r>
        <w:br w:type="page"/>
      </w:r>
    </w:p>
    <w:p w14:paraId="3A34C05F" w14:textId="77777777" w:rsidR="00252F76" w:rsidRDefault="00000000">
      <w:pPr>
        <w:pStyle w:val="Heading1"/>
        <w:spacing w:line="360" w:lineRule="auto"/>
        <w:jc w:val="both"/>
      </w:pPr>
      <w:bookmarkStart w:id="0" w:name="_Toc193910964"/>
      <w:r>
        <w:lastRenderedPageBreak/>
        <w:t>Introduction</w:t>
      </w:r>
      <w:bookmarkEnd w:id="0"/>
    </w:p>
    <w:p w14:paraId="14C4C8CB" w14:textId="77777777" w:rsidR="00252F76" w:rsidRDefault="00000000">
      <w:pPr>
        <w:spacing w:line="360" w:lineRule="auto"/>
        <w:jc w:val="both"/>
      </w:pPr>
      <w:r>
        <w:t xml:space="preserve">Business leaders must decide when to launch new products and enter new markets among the most vital strategic marketing choices they encounter. The final choice in this matter amounts to becoming an industry adrenaline or staying at the rear. The chances of success for pioneer or follower strategies depends upon both company capabilities alongside market conditions alongside environmental external elements. This paper analyzes pioneering and following approaches with specific illustrations from the competitive retail market where it assesses Morrisons' retail segment decisions </w:t>
      </w:r>
      <w:sdt>
        <w:sdtPr>
          <w:id w:val="789868804"/>
        </w:sdtPr>
        <w:sdtContent>
          <w:r>
            <w:fldChar w:fldCharType="begin"/>
          </w:r>
          <w:r>
            <w:instrText xml:space="preserve"> CITATION Wil201 \l 1033 </w:instrText>
          </w:r>
          <w:r>
            <w:fldChar w:fldCharType="separate"/>
          </w:r>
          <w:r>
            <w:rPr>
              <w:rFonts w:eastAsiaTheme="minorHAnsi"/>
            </w:rPr>
            <w:t>(Willink, 2020)</w:t>
          </w:r>
          <w:r>
            <w:fldChar w:fldCharType="end"/>
          </w:r>
        </w:sdtContent>
      </w:sdt>
      <w:r>
        <w:t>.</w:t>
      </w:r>
    </w:p>
    <w:p w14:paraId="5C57C3C6" w14:textId="77777777" w:rsidR="00252F76" w:rsidRDefault="00000000">
      <w:pPr>
        <w:pStyle w:val="Heading1"/>
        <w:spacing w:line="360" w:lineRule="auto"/>
        <w:jc w:val="both"/>
      </w:pPr>
      <w:bookmarkStart w:id="1" w:name="_Toc193910965"/>
      <w:r>
        <w:t>Advantages of Being a Pioneer</w:t>
      </w:r>
      <w:bookmarkEnd w:id="1"/>
    </w:p>
    <w:p w14:paraId="2DFE6D54" w14:textId="77777777" w:rsidR="00252F76" w:rsidRDefault="00000000">
      <w:pPr>
        <w:spacing w:line="360" w:lineRule="auto"/>
        <w:jc w:val="both"/>
      </w:pPr>
      <w:r>
        <w:t>A pioneering company is a business that creates new markets or launches original products before other rivals appear in the marketplace. Because pioneering positions businesses optimally they achieve both market dominance and strong brand power and dedicated customer following and total control as suppliers and pricing master.</w:t>
      </w:r>
    </w:p>
    <w:p w14:paraId="14B506A9" w14:textId="77777777" w:rsidR="00252F76" w:rsidRDefault="00000000">
      <w:pPr>
        <w:pStyle w:val="Heading2"/>
        <w:spacing w:line="360" w:lineRule="auto"/>
        <w:jc w:val="both"/>
      </w:pPr>
      <w:bookmarkStart w:id="2" w:name="_Toc193910966"/>
      <w:r>
        <w:t>Market Leadership and Brand Recognition</w:t>
      </w:r>
      <w:bookmarkEnd w:id="2"/>
    </w:p>
    <w:p w14:paraId="7FCD3E62" w14:textId="77777777" w:rsidR="00252F76" w:rsidRDefault="00000000">
      <w:pPr>
        <w:spacing w:line="360" w:lineRule="auto"/>
        <w:jc w:val="both"/>
      </w:pPr>
      <w:r>
        <w:t xml:space="preserve">The main benefit of pioneering a market is to create dominance in that industry. Market leadership emerges from being the first company to enter an untapped market because this establishes industry standards that consumers eventually accept. Amazon and Apple represent organizations that demonstrate this business advantage. Through its first-mover position Amazon created a worldwide marketplace which made it challenging for rivals to duplicate. Phone changed the smartphone market with its iPhone which became the benchmark for mobile innovation </w:t>
      </w:r>
      <w:sdt>
        <w:sdtPr>
          <w:id w:val="1898856084"/>
        </w:sdtPr>
        <w:sdtContent>
          <w:r>
            <w:fldChar w:fldCharType="begin"/>
          </w:r>
          <w:r>
            <w:instrText xml:space="preserve"> CITATION Kot161 \l 1033 </w:instrText>
          </w:r>
          <w:r>
            <w:fldChar w:fldCharType="separate"/>
          </w:r>
          <w:r>
            <w:rPr>
              <w:rFonts w:eastAsiaTheme="minorHAnsi"/>
            </w:rPr>
            <w:t>(Kotler, 2016)</w:t>
          </w:r>
          <w:r>
            <w:fldChar w:fldCharType="end"/>
          </w:r>
        </w:sdtContent>
      </w:sdt>
      <w:r>
        <w:t xml:space="preserve">. The main benefit which comes from pioneering efforts is attaining market dominance. A company that launches its product or service initially maintains leadership position in the market by determining new standards which customers then expect from competitors. Pioneering businesses have succeeded through their market leadership system demonstrated by Amazon and Apple. Amazon used its initial market entry to create an unprecedented global marketplace that makes it challenging for competitors to compete. The release of iPhone by Apple transformed the smartphone sector by establishing new mobile technology benchmarks </w:t>
      </w:r>
      <w:sdt>
        <w:sdtPr>
          <w:id w:val="1875424486"/>
        </w:sdtPr>
        <w:sdtContent>
          <w:r>
            <w:fldChar w:fldCharType="begin"/>
          </w:r>
          <w:r>
            <w:instrText xml:space="preserve"> CITATION Doo21 \l 1033 </w:instrText>
          </w:r>
          <w:r>
            <w:fldChar w:fldCharType="separate"/>
          </w:r>
          <w:r>
            <w:t>(Doody, 2021)</w:t>
          </w:r>
          <w:r>
            <w:fldChar w:fldCharType="end"/>
          </w:r>
        </w:sdtContent>
      </w:sdt>
      <w:r>
        <w:t>.</w:t>
      </w:r>
    </w:p>
    <w:p w14:paraId="7FDF3041" w14:textId="77777777" w:rsidR="00252F76" w:rsidRDefault="00000000">
      <w:pPr>
        <w:pStyle w:val="Heading2"/>
        <w:spacing w:line="360" w:lineRule="auto"/>
        <w:jc w:val="both"/>
      </w:pPr>
      <w:bookmarkStart w:id="3" w:name="_Toc193910967"/>
      <w:r>
        <w:lastRenderedPageBreak/>
        <w:t>Strong Customer Loyalty and Switching Costs</w:t>
      </w:r>
      <w:bookmarkEnd w:id="3"/>
    </w:p>
    <w:p w14:paraId="304B3B27" w14:textId="77777777" w:rsidR="00252F76" w:rsidRDefault="00000000">
      <w:pPr>
        <w:spacing w:line="360" w:lineRule="auto"/>
        <w:jc w:val="both"/>
      </w:pPr>
      <w:r>
        <w:t xml:space="preserve">Pioneer organizations maintain robust customer loyalty through the production of brand bonds that originate from early market adopters. The more customers know about a brand and its merchandise the more resistant they become to change brands. The creation of high switching obstacles by pioneering firms occurs through specific features including proprietary technology combined with ecosystem integration and loyalty programs. Microsoft demonstrates this phenomenon with its Windows operating system products. Businesses that used Windows closed off the move to Linux or macOS since their migration costs became excessive which permitted Microsoft to continue dominating the market. First companies gain enthusiastic customer loyalty because their early adopters develop long-term brand connections </w:t>
      </w:r>
      <w:sdt>
        <w:sdtPr>
          <w:id w:val="-1118446948"/>
        </w:sdtPr>
        <w:sdtContent>
          <w:r>
            <w:fldChar w:fldCharType="begin"/>
          </w:r>
          <w:r>
            <w:instrText xml:space="preserve"> CITATION Gra21 \l 1033 </w:instrText>
          </w:r>
          <w:r>
            <w:fldChar w:fldCharType="separate"/>
          </w:r>
          <w:r>
            <w:rPr>
              <w:rFonts w:eastAsiaTheme="minorHAnsi"/>
            </w:rPr>
            <w:t>(Grant, 2021)</w:t>
          </w:r>
          <w:r>
            <w:fldChar w:fldCharType="end"/>
          </w:r>
        </w:sdtContent>
      </w:sdt>
      <w:r>
        <w:t xml:space="preserve">. People who understand a specific brand tend to stay with their existing brand rather than move to alternative vendors. When pioneering companies establish distinct technology and integrate ecosystems and develop loyalty programs they increase the difficulty customers face when trying to change providers. Windows operating system from Microsoft demonstrates this phenomenon. Businesses together with individual users committed to Windows which led to prohibitive switching expenses for Linux or macOS thereby enabling Microsoft to keep its leadership position </w:t>
      </w:r>
      <w:sdt>
        <w:sdtPr>
          <w:id w:val="1147166397"/>
        </w:sdtPr>
        <w:sdtContent>
          <w:r>
            <w:fldChar w:fldCharType="begin"/>
          </w:r>
          <w:r>
            <w:instrText xml:space="preserve"> CITATION Fun211 \l 1033 </w:instrText>
          </w:r>
          <w:r>
            <w:fldChar w:fldCharType="separate"/>
          </w:r>
          <w:r>
            <w:t>(Fun, 2021)</w:t>
          </w:r>
          <w:r>
            <w:fldChar w:fldCharType="end"/>
          </w:r>
        </w:sdtContent>
      </w:sdt>
      <w:r>
        <w:t>.</w:t>
      </w:r>
    </w:p>
    <w:p w14:paraId="512925A7" w14:textId="77777777" w:rsidR="00252F76" w:rsidRDefault="00252F76">
      <w:pPr>
        <w:spacing w:line="360" w:lineRule="auto"/>
        <w:jc w:val="both"/>
      </w:pPr>
    </w:p>
    <w:p w14:paraId="32965362" w14:textId="77777777" w:rsidR="00252F76" w:rsidRDefault="00000000">
      <w:pPr>
        <w:pStyle w:val="Heading2"/>
        <w:spacing w:line="360" w:lineRule="auto"/>
        <w:jc w:val="both"/>
      </w:pPr>
      <w:bookmarkStart w:id="4" w:name="_Toc193910968"/>
      <w:r>
        <w:t>Higher Profit Margins and Pricing Power</w:t>
      </w:r>
      <w:bookmarkEnd w:id="4"/>
    </w:p>
    <w:p w14:paraId="4C0996AA" w14:textId="77777777" w:rsidR="00252F76" w:rsidRDefault="00000000">
      <w:pPr>
        <w:spacing w:line="360" w:lineRule="auto"/>
        <w:jc w:val="both"/>
      </w:pPr>
      <w:r>
        <w:t xml:space="preserve">Because they establish initial market price points first movers manage to amass better profits until their competitors enter to reduce market prices. The most extreme case of price control happens in fast-moving industrial sectors including pharmaceutical research. Pfizer maintains its advantage from launching first drugs by using patent protection which grants it monopoly rights to both market and set prices for its new pharmaceuticals. A new market gets its pricing structure from the first mover who benefits from higher profit margins which competitors cannot match when they enter </w:t>
      </w:r>
      <w:sdt>
        <w:sdtPr>
          <w:id w:val="1463607528"/>
        </w:sdtPr>
        <w:sdtContent>
          <w:r>
            <w:fldChar w:fldCharType="begin"/>
          </w:r>
          <w:r>
            <w:instrText xml:space="preserve"> CITATION Joh202 \l 1033 </w:instrText>
          </w:r>
          <w:r>
            <w:fldChar w:fldCharType="separate"/>
          </w:r>
          <w:r>
            <w:rPr>
              <w:rFonts w:eastAsiaTheme="minorHAnsi"/>
            </w:rPr>
            <w:t>(Johnson, 2020)</w:t>
          </w:r>
          <w:r>
            <w:fldChar w:fldCharType="end"/>
          </w:r>
        </w:sdtContent>
      </w:sdt>
      <w:r>
        <w:t xml:space="preserve">. First mover advantage becomes most significant when industry innovation occurs at rapid speeds like it does in pharmaceutical businesses. Pfizer gains maximum advantage through its early positioning in launching new drugs because exclusive patent rights let it manage the product pricing and marketing independently </w:t>
      </w:r>
      <w:sdt>
        <w:sdtPr>
          <w:id w:val="889074499"/>
        </w:sdtPr>
        <w:sdtContent>
          <w:r>
            <w:fldChar w:fldCharType="begin"/>
          </w:r>
          <w:r>
            <w:instrText xml:space="preserve"> CITATION Gra21 \l 1033 </w:instrText>
          </w:r>
          <w:r>
            <w:fldChar w:fldCharType="separate"/>
          </w:r>
          <w:r>
            <w:t>(Grant, 2021)</w:t>
          </w:r>
          <w:r>
            <w:fldChar w:fldCharType="end"/>
          </w:r>
        </w:sdtContent>
      </w:sdt>
      <w:r>
        <w:t>.</w:t>
      </w:r>
    </w:p>
    <w:p w14:paraId="26E5DD36" w14:textId="77777777" w:rsidR="00252F76" w:rsidRDefault="00000000">
      <w:pPr>
        <w:pStyle w:val="Heading2"/>
        <w:spacing w:line="360" w:lineRule="auto"/>
        <w:jc w:val="both"/>
      </w:pPr>
      <w:bookmarkStart w:id="5" w:name="_Toc193910969"/>
      <w:r>
        <w:lastRenderedPageBreak/>
        <w:t>Control Over Supply chain and Distribution</w:t>
      </w:r>
      <w:bookmarkEnd w:id="5"/>
    </w:p>
    <w:p w14:paraId="5B643835" w14:textId="77777777" w:rsidR="00252F76" w:rsidRDefault="00000000">
      <w:pPr>
        <w:spacing w:line="360" w:lineRule="auto"/>
        <w:jc w:val="both"/>
      </w:pPr>
      <w:r>
        <w:t xml:space="preserve">Early firms obtain better relationships with significant suppliers and distributors and retailers that provide them exclusive advantages. Strong partnerships created by early companies prevent later businesses from getting their hands on components that are essential to supply chain management. Tesla implemented unique agreements with battery suppliers to achieve superiority against automotive manufacturers entering the electric market after Tesla did </w:t>
      </w:r>
      <w:sdt>
        <w:sdtPr>
          <w:id w:val="2126580425"/>
        </w:sdtPr>
        <w:sdtContent>
          <w:r>
            <w:fldChar w:fldCharType="begin"/>
          </w:r>
          <w:r>
            <w:instrText xml:space="preserve"> CITATION Por08 \l 1033 </w:instrText>
          </w:r>
          <w:r>
            <w:fldChar w:fldCharType="separate"/>
          </w:r>
          <w:r>
            <w:rPr>
              <w:rFonts w:eastAsiaTheme="minorHAnsi"/>
            </w:rPr>
            <w:t>(Porter, 2008)</w:t>
          </w:r>
          <w:r>
            <w:fldChar w:fldCharType="end"/>
          </w:r>
        </w:sdtContent>
      </w:sdt>
      <w:r>
        <w:t xml:space="preserve">. Pioneering enterprises initially obtain superior access to partner with crucial suppliers and distributors and retailers. Partnerships built early on by companies provide protection against competitors who attempt to acquire vital supply chain assets at a later time. Through exclusive battery supply agreements Tesla managed to dominate the electric vehicle market against companies that initiated production of electric vehicles after Tesla started operating </w:t>
      </w:r>
      <w:sdt>
        <w:sdtPr>
          <w:id w:val="-1007749725"/>
        </w:sdtPr>
        <w:sdtContent>
          <w:r>
            <w:fldChar w:fldCharType="begin"/>
          </w:r>
          <w:r>
            <w:instrText xml:space="preserve"> CITATION Kot161 \l 1033 </w:instrText>
          </w:r>
          <w:r>
            <w:fldChar w:fldCharType="separate"/>
          </w:r>
          <w:r>
            <w:t>(Kotler, 2016)</w:t>
          </w:r>
          <w:r>
            <w:fldChar w:fldCharType="end"/>
          </w:r>
        </w:sdtContent>
      </w:sdt>
      <w:r>
        <w:t>.</w:t>
      </w:r>
    </w:p>
    <w:p w14:paraId="2ECD300F" w14:textId="77777777" w:rsidR="00252F76" w:rsidRDefault="00000000">
      <w:pPr>
        <w:pStyle w:val="Heading1"/>
        <w:spacing w:line="360" w:lineRule="auto"/>
        <w:jc w:val="both"/>
      </w:pPr>
      <w:bookmarkStart w:id="6" w:name="_Toc193910970"/>
      <w:r>
        <w:t>Advantages of Being a Follower</w:t>
      </w:r>
      <w:bookmarkEnd w:id="6"/>
    </w:p>
    <w:p w14:paraId="10B96B05" w14:textId="77777777" w:rsidR="00252F76" w:rsidRDefault="00000000">
      <w:pPr>
        <w:spacing w:line="360" w:lineRule="auto"/>
        <w:jc w:val="both"/>
      </w:pPr>
      <w:r>
        <w:t xml:space="preserve">Followers in business obtain various valuable advantages that can match the benefits received by pioneers. Companies that join after initial market entrants can use first-mover mistakes to save development costs and avoid substantial market entrance risks. A pioneering company steps into new business markets or starts selling original products before its competitors do. Using this strategy brings significant advantages such as gaining market leadership roles combined with well-known brand recognition and a strong customer base and control of both price structures and supply networks </w:t>
      </w:r>
      <w:sdt>
        <w:sdtPr>
          <w:id w:val="1542483665"/>
        </w:sdtPr>
        <w:sdtContent>
          <w:r>
            <w:fldChar w:fldCharType="begin"/>
          </w:r>
          <w:r>
            <w:instrText xml:space="preserve"> CITATION Hor201 \l 1033 </w:instrText>
          </w:r>
          <w:r>
            <w:fldChar w:fldCharType="separate"/>
          </w:r>
          <w:r>
            <w:rPr>
              <w:rFonts w:eastAsiaTheme="minorHAnsi"/>
            </w:rPr>
            <w:t>(Hordern, 2020)</w:t>
          </w:r>
          <w:r>
            <w:fldChar w:fldCharType="end"/>
          </w:r>
        </w:sdtContent>
      </w:sdt>
      <w:r>
        <w:t>.</w:t>
      </w:r>
    </w:p>
    <w:p w14:paraId="344B61CE" w14:textId="77777777" w:rsidR="00252F76" w:rsidRDefault="00000000">
      <w:pPr>
        <w:pStyle w:val="Heading2"/>
        <w:spacing w:line="360" w:lineRule="auto"/>
        <w:jc w:val="both"/>
      </w:pPr>
      <w:bookmarkStart w:id="7" w:name="_Toc193910971"/>
      <w:r>
        <w:t>Learning from Pioneers’ Mistakes</w:t>
      </w:r>
      <w:bookmarkEnd w:id="7"/>
    </w:p>
    <w:p w14:paraId="4AF3DE26" w14:textId="77777777" w:rsidR="00252F76" w:rsidRDefault="00000000">
      <w:pPr>
        <w:spacing w:line="360" w:lineRule="auto"/>
        <w:jc w:val="both"/>
      </w:pPr>
      <w:r>
        <w:t xml:space="preserve">The main benefit that followers gain stems from their ability to study the problems and mistakes made by pioneers in the market. Numerous pioneering companies spend large amounts of research funds on development before market resistance and technical problems and regulatory barriers lead to their failure. Followers benefit when they evaluate initial strategies that failed to enhance their own future plans. The first search engine predated Google yet its developers studied both Yahoo and AltaVista to build a more powerful algorithm that secured its market victory </w:t>
      </w:r>
      <w:sdt>
        <w:sdtPr>
          <w:id w:val="1865947286"/>
        </w:sdtPr>
        <w:sdtContent>
          <w:r>
            <w:fldChar w:fldCharType="begin"/>
          </w:r>
          <w:r>
            <w:instrText xml:space="preserve"> CITATION Mor23 \l 1033 </w:instrText>
          </w:r>
          <w:r>
            <w:fldChar w:fldCharType="separate"/>
          </w:r>
          <w:r>
            <w:t>(Morrison, 2023)</w:t>
          </w:r>
          <w:r>
            <w:fldChar w:fldCharType="end"/>
          </w:r>
        </w:sdtContent>
      </w:sdt>
      <w:r>
        <w:t xml:space="preserve">. The major benefit that followers gain comes from studying the difficulties facing pioneer companies. First-movers normally spend large amounts in research and development however they fail to succeed because people do not accept </w:t>
      </w:r>
      <w:r>
        <w:lastRenderedPageBreak/>
        <w:t xml:space="preserve">their products or face technology or rules problems. These failures serve as a resource for follower companies to develop their strategies through efficient evaluation. Before becoming the market leader Google received its search expertise from prior search engines Yahoo and AltaVista which let it develop better search capabilities leading to its market dominance </w:t>
      </w:r>
      <w:sdt>
        <w:sdtPr>
          <w:id w:val="-1749960688"/>
        </w:sdtPr>
        <w:sdtContent>
          <w:r>
            <w:fldChar w:fldCharType="begin"/>
          </w:r>
          <w:r>
            <w:instrText xml:space="preserve"> CITATION Fun211 \l 1033 </w:instrText>
          </w:r>
          <w:r>
            <w:fldChar w:fldCharType="separate"/>
          </w:r>
          <w:r>
            <w:rPr>
              <w:rFonts w:eastAsiaTheme="minorHAnsi"/>
            </w:rPr>
            <w:t>(Fun, 2021)</w:t>
          </w:r>
          <w:r>
            <w:fldChar w:fldCharType="end"/>
          </w:r>
        </w:sdtContent>
      </w:sdt>
      <w:r>
        <w:t>.</w:t>
      </w:r>
    </w:p>
    <w:p w14:paraId="089E2822" w14:textId="77777777" w:rsidR="00252F76" w:rsidRDefault="00000000">
      <w:pPr>
        <w:pStyle w:val="Heading2"/>
        <w:spacing w:line="360" w:lineRule="auto"/>
        <w:jc w:val="both"/>
      </w:pPr>
      <w:bookmarkStart w:id="8" w:name="_Toc193910972"/>
      <w:r>
        <w:t>Lower R&amp;D and Market Education Costs</w:t>
      </w:r>
      <w:bookmarkEnd w:id="8"/>
    </w:p>
    <w:p w14:paraId="3676490A" w14:textId="77777777" w:rsidR="00252F76" w:rsidRDefault="00000000">
      <w:pPr>
        <w:spacing w:line="360" w:lineRule="auto"/>
        <w:jc w:val="both"/>
      </w:pPr>
      <w:r>
        <w:t xml:space="preserve">Pioneers typically undergo a double responsibility to lead market education regarding new products by dedicating substantial funds to marketing and consumer education. Such groundwork allows imitators to introduce same products at a lower cost to market them. Samsung mastered the smartphone industry by taking advantage of Apple's market gaps through technology improvement and product variability including price and display sizes </w:t>
      </w:r>
      <w:sdt>
        <w:sdtPr>
          <w:id w:val="1842266163"/>
        </w:sdtPr>
        <w:sdtContent>
          <w:r>
            <w:fldChar w:fldCharType="begin"/>
          </w:r>
          <w:r>
            <w:instrText xml:space="preserve"> CITATION Wil201 \l 1033 </w:instrText>
          </w:r>
          <w:r>
            <w:fldChar w:fldCharType="separate"/>
          </w:r>
          <w:r>
            <w:t>(Willink, 2020)</w:t>
          </w:r>
          <w:r>
            <w:fldChar w:fldCharType="end"/>
          </w:r>
        </w:sdtContent>
      </w:sdt>
      <w:r>
        <w:t xml:space="preserve">. The initial companies which introduce new products must take responsibility for market education by funding substantial consumer awareness campaigns and marketing investment. This groundwork provided by followers allows them to launch competitive products at reduced marketing expenditures. From its entry into the smartphone market after Apple Samsung quickly emerged as a leader through its approach of improving already existing technological advancements while filling empty spaces in the market by offering multiple price points and various screen sizes </w:t>
      </w:r>
      <w:sdt>
        <w:sdtPr>
          <w:id w:val="631376786"/>
        </w:sdtPr>
        <w:sdtContent>
          <w:r>
            <w:fldChar w:fldCharType="begin"/>
          </w:r>
          <w:r>
            <w:instrText xml:space="preserve"> CITATION Mor23 \l 1033 </w:instrText>
          </w:r>
          <w:r>
            <w:fldChar w:fldCharType="separate"/>
          </w:r>
          <w:r>
            <w:rPr>
              <w:rFonts w:eastAsiaTheme="minorHAnsi"/>
            </w:rPr>
            <w:t>(Morrison, 2023)</w:t>
          </w:r>
          <w:r>
            <w:fldChar w:fldCharType="end"/>
          </w:r>
        </w:sdtContent>
      </w:sdt>
      <w:r>
        <w:t>.</w:t>
      </w:r>
    </w:p>
    <w:p w14:paraId="72DCD04F" w14:textId="77777777" w:rsidR="00252F76" w:rsidRDefault="00000000">
      <w:pPr>
        <w:pStyle w:val="Heading2"/>
        <w:spacing w:line="360" w:lineRule="auto"/>
        <w:jc w:val="both"/>
      </w:pPr>
      <w:bookmarkStart w:id="9" w:name="_Toc193910973"/>
      <w:r>
        <w:t>Improved Product Offerings and Competitive Pricing</w:t>
      </w:r>
      <w:bookmarkEnd w:id="9"/>
    </w:p>
    <w:p w14:paraId="1C305213" w14:textId="77777777" w:rsidR="00252F76" w:rsidRDefault="00000000">
      <w:pPr>
        <w:spacing w:line="360" w:lineRule="auto"/>
        <w:jc w:val="both"/>
      </w:pPr>
      <w:r>
        <w:t xml:space="preserve">Through product development capabilities followers create better finalized versions of pioneer products which improve design quality as well as features and affordability. The wait enables companies to capitalize on contemporary technologies that lead to reduced manufacturing costs combined with products that become more enticing to customers. Facebook rose above MySpace and Friendster because it provided users with enhanced features to better connect with other members through improved interfaces appealing to more users globally. The followers benefit from groundwork to develop improved versions of pioneering products that excel in design or features or cost effectiveness </w:t>
      </w:r>
      <w:sdt>
        <w:sdtPr>
          <w:id w:val="1831859348"/>
        </w:sdtPr>
        <w:sdtContent>
          <w:r>
            <w:fldChar w:fldCharType="begin"/>
          </w:r>
          <w:r>
            <w:instrText xml:space="preserve"> CITATION Joh202 \l 1033 </w:instrText>
          </w:r>
          <w:r>
            <w:fldChar w:fldCharType="separate"/>
          </w:r>
          <w:r>
            <w:t>(Johnson, 2020)</w:t>
          </w:r>
          <w:r>
            <w:fldChar w:fldCharType="end"/>
          </w:r>
        </w:sdtContent>
      </w:sdt>
      <w:r>
        <w:t xml:space="preserve">. Waiting allows companies to take advantage of newer technologies that produce cheaper products and make them more appealing to consumers. The arrival of Facebook after MySpace and Friendster did not keep it from surpassing older platforms because Facebook offered better user experience combined with targeted audiences and smart engagement systems </w:t>
      </w:r>
      <w:sdt>
        <w:sdtPr>
          <w:id w:val="-1145735050"/>
        </w:sdtPr>
        <w:sdtContent>
          <w:r>
            <w:fldChar w:fldCharType="begin"/>
          </w:r>
          <w:r>
            <w:instrText xml:space="preserve"> CITATION Gra21 \l 1033 </w:instrText>
          </w:r>
          <w:r>
            <w:fldChar w:fldCharType="separate"/>
          </w:r>
          <w:r>
            <w:t>(Grant, 2021)</w:t>
          </w:r>
          <w:r>
            <w:fldChar w:fldCharType="end"/>
          </w:r>
        </w:sdtContent>
      </w:sdt>
      <w:r>
        <w:t>.</w:t>
      </w:r>
    </w:p>
    <w:p w14:paraId="04C9619F" w14:textId="77777777" w:rsidR="00252F76" w:rsidRDefault="00000000">
      <w:pPr>
        <w:pStyle w:val="Heading2"/>
        <w:spacing w:line="360" w:lineRule="auto"/>
        <w:jc w:val="both"/>
      </w:pPr>
      <w:bookmarkStart w:id="10" w:name="_Toc193910974"/>
      <w:r>
        <w:lastRenderedPageBreak/>
        <w:t>Avoiding Market Uncertainty and Reducing Risk</w:t>
      </w:r>
      <w:bookmarkEnd w:id="10"/>
    </w:p>
    <w:p w14:paraId="3CB2C583" w14:textId="77777777" w:rsidR="00252F76" w:rsidRDefault="00000000">
      <w:pPr>
        <w:spacing w:line="360" w:lineRule="auto"/>
        <w:jc w:val="both"/>
      </w:pPr>
      <w:r>
        <w:t xml:space="preserve">Available information about customer preferences together with regulatory compliance requirements and technology integration uncertainties primarily affect pioneering ventures. When followers enter validated markets they lower the investment risks for new participants in the market. The shift from Blockbuster’s video rental model to streaming by Netflix happened after the company identified market potential enabling its dominance over Blockbuster </w:t>
      </w:r>
      <w:sdt>
        <w:sdtPr>
          <w:id w:val="-897745541"/>
        </w:sdtPr>
        <w:sdtContent>
          <w:r>
            <w:fldChar w:fldCharType="begin"/>
          </w:r>
          <w:r>
            <w:instrText xml:space="preserve"> CITATION Fun211 \l 1033 </w:instrText>
          </w:r>
          <w:r>
            <w:fldChar w:fldCharType="separate"/>
          </w:r>
          <w:r>
            <w:t>(Fun, 2021)</w:t>
          </w:r>
          <w:r>
            <w:fldChar w:fldCharType="end"/>
          </w:r>
        </w:sdtContent>
      </w:sdt>
      <w:r>
        <w:t>. The pioneers in new markets need to navigate through uncertain conditions regarding customer needs as well as regulatory requirements and technology adoption challenges. Entering a validated market provides followers with risk reduction since market uncertainties have already been addressed. The market demonstrated potential for streaming so Netflix modified its strategy from Blockbuster’s video rental business model to deliver superior results beyond Blockbuster’s reach.</w:t>
      </w:r>
    </w:p>
    <w:p w14:paraId="315007A2" w14:textId="77777777" w:rsidR="00252F76" w:rsidRDefault="00252F76">
      <w:pPr>
        <w:spacing w:line="360" w:lineRule="auto"/>
        <w:jc w:val="both"/>
      </w:pPr>
    </w:p>
    <w:p w14:paraId="6641B1E8" w14:textId="77777777" w:rsidR="00252F76" w:rsidRDefault="00000000">
      <w:pPr>
        <w:pStyle w:val="Heading1"/>
        <w:spacing w:line="360" w:lineRule="auto"/>
        <w:jc w:val="both"/>
      </w:pPr>
      <w:bookmarkStart w:id="11" w:name="_Toc193910975"/>
      <w:r>
        <w:t>Morrisons: A Follower in Retail with Strategic Adaptations</w:t>
      </w:r>
      <w:bookmarkEnd w:id="11"/>
    </w:p>
    <w:p w14:paraId="01530C3E" w14:textId="77777777" w:rsidR="00252F76" w:rsidRDefault="00000000">
      <w:pPr>
        <w:spacing w:line="360" w:lineRule="auto"/>
        <w:jc w:val="both"/>
      </w:pPr>
      <w:r>
        <w:t>Morrisons operates as a follower in the competitive UK retail sector among supermarket chains. Morrisons began operations in 1899 by building its business through traditional supermarket expansion before adopting what competitors made popular in retail.</w:t>
      </w:r>
    </w:p>
    <w:p w14:paraId="6A095CC5" w14:textId="77777777" w:rsidR="00252F76" w:rsidRDefault="00000000">
      <w:pPr>
        <w:pStyle w:val="Heading2"/>
        <w:spacing w:line="360" w:lineRule="auto"/>
        <w:jc w:val="both"/>
      </w:pPr>
      <w:bookmarkStart w:id="12" w:name="_Toc193910976"/>
      <w:r>
        <w:t>Late Entry into Online Retail</w:t>
      </w:r>
      <w:bookmarkEnd w:id="12"/>
    </w:p>
    <w:p w14:paraId="0438DEE4" w14:textId="77777777" w:rsidR="00252F76" w:rsidRDefault="00000000">
      <w:pPr>
        <w:spacing w:line="360" w:lineRule="auto"/>
        <w:jc w:val="both"/>
      </w:pPr>
      <w:r>
        <w:t xml:space="preserve">Online grocery shopping arrived at Morrisons after Tesco and Sainsbury's had already established this service. Tesco introduced its online shopping service in the late 1990s yet Morrisons became part of the market in 2014 by partnering with Ocado. As a late market entrant Morrison was able to reduce its expenses connected to technological innovation and avoid logistical problems that early adopters encountered. The online marketplace expansion of Morrisons has proven successful by avoiding the initial difficulties experienced by other retailers </w:t>
      </w:r>
      <w:sdt>
        <w:sdtPr>
          <w:id w:val="-976453516"/>
        </w:sdtPr>
        <w:sdtContent>
          <w:r>
            <w:fldChar w:fldCharType="begin"/>
          </w:r>
          <w:r>
            <w:instrText xml:space="preserve"> CITATION Hor201 \l 1033 </w:instrText>
          </w:r>
          <w:r>
            <w:fldChar w:fldCharType="separate"/>
          </w:r>
          <w:r>
            <w:t>(Hordern, 2020)</w:t>
          </w:r>
          <w:r>
            <w:fldChar w:fldCharType="end"/>
          </w:r>
        </w:sdtContent>
      </w:sdt>
      <w:r>
        <w:t>.</w:t>
      </w:r>
    </w:p>
    <w:p w14:paraId="14CB904C" w14:textId="77777777" w:rsidR="00252F76" w:rsidRDefault="00000000">
      <w:pPr>
        <w:pStyle w:val="Heading2"/>
        <w:spacing w:line="360" w:lineRule="auto"/>
        <w:jc w:val="both"/>
      </w:pPr>
      <w:bookmarkStart w:id="13" w:name="_Toc193910977"/>
      <w:r>
        <w:t>Delayed Expansion into Convenience Stores</w:t>
      </w:r>
      <w:bookmarkEnd w:id="13"/>
    </w:p>
    <w:p w14:paraId="606B6150" w14:textId="77777777" w:rsidR="00252F76" w:rsidRDefault="00000000">
      <w:pPr>
        <w:spacing w:line="360" w:lineRule="auto"/>
        <w:jc w:val="both"/>
      </w:pPr>
      <w:r>
        <w:t xml:space="preserve">Morrisons chose to remind its primary focus on supermarket operations before entering the convenience store market space where multiple competitors aggressively competed. The </w:t>
      </w:r>
      <w:r>
        <w:lastRenderedPageBreak/>
        <w:t xml:space="preserve">convenience store brand Morrisons Daily debuted in 2013 after Morrisons performed market research on the successful strategies that Tesco Express and Sainsbury’s Local were using. Morrisons adopted a strategic entry plan to the convenience store market that prevented expensive business failures while enabling it to bring an efficient operation to this sector </w:t>
      </w:r>
      <w:sdt>
        <w:sdtPr>
          <w:id w:val="1172845993"/>
        </w:sdtPr>
        <w:sdtContent>
          <w:r>
            <w:fldChar w:fldCharType="begin"/>
          </w:r>
          <w:r>
            <w:instrText xml:space="preserve"> CITATION Doo21 \l 1033 </w:instrText>
          </w:r>
          <w:r>
            <w:fldChar w:fldCharType="separate"/>
          </w:r>
          <w:r>
            <w:rPr>
              <w:rFonts w:eastAsiaTheme="minorHAnsi"/>
            </w:rPr>
            <w:t>(Doody, 2021)</w:t>
          </w:r>
          <w:r>
            <w:fldChar w:fldCharType="end"/>
          </w:r>
        </w:sdtContent>
      </w:sdt>
      <w:r>
        <w:t>.</w:t>
      </w:r>
    </w:p>
    <w:p w14:paraId="128132A0" w14:textId="77777777" w:rsidR="00252F76" w:rsidRDefault="00000000">
      <w:pPr>
        <w:pStyle w:val="Heading2"/>
        <w:spacing w:line="360" w:lineRule="auto"/>
        <w:jc w:val="both"/>
      </w:pPr>
      <w:bookmarkStart w:id="14" w:name="_Toc193910978"/>
      <w:r>
        <w:t>Leveraging Data and Technology Later</w:t>
      </w:r>
      <w:bookmarkEnd w:id="14"/>
    </w:p>
    <w:p w14:paraId="017FE192" w14:textId="77777777" w:rsidR="00252F76" w:rsidRDefault="00000000">
      <w:pPr>
        <w:spacing w:line="360" w:lineRule="auto"/>
        <w:jc w:val="both"/>
      </w:pPr>
      <w:r>
        <w:t xml:space="preserve">Morrisons adopted a deliberate development of data analytics and loyalty programs at a pace slower than other supermarkets did. The companies Tesco and Sainsbury’s designed their Clubcard and Nectar programs in advance therefore acquiring larger customer databases. The More Card launch from Morrisons occurred after the existing major competitors already had their programs in place but still managed to establish successful customer interaction </w:t>
      </w:r>
      <w:sdt>
        <w:sdtPr>
          <w:id w:val="-1106492364"/>
        </w:sdtPr>
        <w:sdtContent>
          <w:r>
            <w:fldChar w:fldCharType="begin"/>
          </w:r>
          <w:r>
            <w:instrText xml:space="preserve"> CITATION Mor23 \l 1033 </w:instrText>
          </w:r>
          <w:r>
            <w:fldChar w:fldCharType="separate"/>
          </w:r>
          <w:r>
            <w:t>(Morrison, 2023)</w:t>
          </w:r>
          <w:r>
            <w:fldChar w:fldCharType="end"/>
          </w:r>
        </w:sdtContent>
      </w:sdt>
      <w:r>
        <w:t>.</w:t>
      </w:r>
    </w:p>
    <w:p w14:paraId="21FD4F6B" w14:textId="77777777" w:rsidR="00252F76" w:rsidRDefault="00000000">
      <w:pPr>
        <w:spacing w:line="360" w:lineRule="auto"/>
        <w:jc w:val="both"/>
      </w:pPr>
      <w:r>
        <w:t xml:space="preserve">Business leaders need to determine their perfect timing for introducing new products and entering new markets as one of their main strategic marketing decisions. Strategic business leaders must decide whether they want to lead as pioneers or follow others in the market. The effectiveness of each strategy depends on both organizational capabilities together with market situations and external forces in the environment. This paper investigates pioneering and following strategies through concrete retail examples with specific focus on Morrisons within their competitive market sector </w:t>
      </w:r>
      <w:sdt>
        <w:sdtPr>
          <w:id w:val="1517357624"/>
        </w:sdtPr>
        <w:sdtContent>
          <w:r>
            <w:fldChar w:fldCharType="begin"/>
          </w:r>
          <w:r>
            <w:instrText xml:space="preserve"> CITATION Mor23 \l 1033 </w:instrText>
          </w:r>
          <w:r>
            <w:fldChar w:fldCharType="separate"/>
          </w:r>
          <w:r>
            <w:t>(Morrison, 2023)</w:t>
          </w:r>
          <w:r>
            <w:fldChar w:fldCharType="end"/>
          </w:r>
        </w:sdtContent>
      </w:sdt>
      <w:r>
        <w:t>.</w:t>
      </w:r>
    </w:p>
    <w:p w14:paraId="0DDC8A40" w14:textId="77777777" w:rsidR="00252F76" w:rsidRDefault="00000000">
      <w:pPr>
        <w:pStyle w:val="Heading1"/>
        <w:spacing w:line="360" w:lineRule="auto"/>
        <w:jc w:val="both"/>
        <w:rPr>
          <w:b/>
          <w:bCs/>
          <w:sz w:val="44"/>
          <w:szCs w:val="44"/>
        </w:rPr>
      </w:pPr>
      <w:bookmarkStart w:id="15" w:name="_Toc193910979"/>
      <w:r>
        <w:t>Product Life Cycle Strategies for Pioneers and Followers –</w:t>
      </w:r>
      <w:bookmarkEnd w:id="15"/>
      <w:r>
        <w:t xml:space="preserve"> </w:t>
      </w:r>
    </w:p>
    <w:p w14:paraId="60B07813" w14:textId="77777777" w:rsidR="00252F76" w:rsidRDefault="00000000">
      <w:pPr>
        <w:pStyle w:val="Heading2"/>
      </w:pPr>
      <w:bookmarkStart w:id="16" w:name="_Toc193910980"/>
      <w:r>
        <w:t>Pioneers’ Strategies to Sustain Growth and Maturity</w:t>
      </w:r>
      <w:bookmarkEnd w:id="16"/>
    </w:p>
    <w:p w14:paraId="6CFB69A6" w14:textId="77777777" w:rsidR="00252F76" w:rsidRDefault="00000000">
      <w:pPr>
        <w:spacing w:line="360" w:lineRule="auto"/>
        <w:jc w:val="both"/>
      </w:pPr>
      <w:r>
        <w:t xml:space="preserve">In the post-pioneer </w:t>
      </w:r>
      <w:r>
        <w:rPr>
          <w:b/>
        </w:rPr>
        <w:t>growth stage</w:t>
      </w:r>
      <w:r>
        <w:t xml:space="preserve"> where the intent is consolidation of early market advantages and to </w:t>
      </w:r>
      <w:r>
        <w:rPr>
          <w:b/>
        </w:rPr>
        <w:t>accelerate adoption, companies relentlessly pursue accelerating adoption and continue developing the product.</w:t>
      </w:r>
      <w:r>
        <w:t xml:space="preserve"> Continuous product innovation is the one primary strategy. As an example, the electric vehicle industry was pioneered by </w:t>
      </w:r>
      <w:r>
        <w:rPr>
          <w:b/>
        </w:rPr>
        <w:t>Tesla</w:t>
      </w:r>
      <w:r>
        <w:t xml:space="preserve">, which frequently upgrades and fine-tunes its vehicle software, adds to a vehicle’s life, and introduces a new variety of models. This commitment to technological advancement not only makes the </w:t>
      </w:r>
      <w:r>
        <w:lastRenderedPageBreak/>
        <w:t xml:space="preserve">company’s market dominance stronger but also ensures the company’s retention of customers who cannot do without its technology </w:t>
      </w:r>
      <w:sdt>
        <w:sdtPr>
          <w:id w:val="-391199474"/>
        </w:sdtPr>
        <w:sdtContent>
          <w:r>
            <w:fldChar w:fldCharType="begin"/>
          </w:r>
          <w:r>
            <w:instrText xml:space="preserve"> CITATION Kot161 \l 1033 </w:instrText>
          </w:r>
          <w:r>
            <w:fldChar w:fldCharType="separate"/>
          </w:r>
          <w:r>
            <w:t>(Kotler, 2016)</w:t>
          </w:r>
          <w:r>
            <w:fldChar w:fldCharType="end"/>
          </w:r>
        </w:sdtContent>
      </w:sdt>
      <w:r>
        <w:t>.</w:t>
      </w:r>
    </w:p>
    <w:p w14:paraId="0410E751" w14:textId="77777777" w:rsidR="00252F76" w:rsidRDefault="00000000">
      <w:pPr>
        <w:spacing w:line="360" w:lineRule="auto"/>
        <w:jc w:val="both"/>
      </w:pPr>
      <w:r>
        <w:t xml:space="preserve">A </w:t>
      </w:r>
      <w:r>
        <w:rPr>
          <w:b/>
        </w:rPr>
        <w:t>rapid market expansion</w:t>
      </w:r>
      <w:r>
        <w:t xml:space="preserve"> is also a key strategy during the growth phase. Pioneers are often very aggressive in scaling while at the same time maximizing their first mover advantage prior the followers gaining some momentum. </w:t>
      </w:r>
      <w:r>
        <w:rPr>
          <w:b/>
        </w:rPr>
        <w:t>Spotify</w:t>
      </w:r>
      <w:r>
        <w:t xml:space="preserve">, a pioneer in music streaming, first began to expand globally from early on by securing licensing deals and user bases in several regions before competitors such as Apple Music ever had been heard of </w:t>
      </w:r>
      <w:sdt>
        <w:sdtPr>
          <w:id w:val="363323750"/>
        </w:sdtPr>
        <w:sdtContent>
          <w:r>
            <w:fldChar w:fldCharType="begin"/>
          </w:r>
          <w:r>
            <w:instrText xml:space="preserve"> CITATION Fun211 \l 1033 </w:instrText>
          </w:r>
          <w:r>
            <w:fldChar w:fldCharType="separate"/>
          </w:r>
          <w:r>
            <w:t>(Fun, 2021)</w:t>
          </w:r>
          <w:r>
            <w:fldChar w:fldCharType="end"/>
          </w:r>
        </w:sdtContent>
      </w:sdt>
      <w:r>
        <w:t>.</w:t>
      </w:r>
    </w:p>
    <w:p w14:paraId="1786B205" w14:textId="77777777" w:rsidR="00252F76" w:rsidRDefault="00000000">
      <w:pPr>
        <w:spacing w:line="360" w:lineRule="auto"/>
        <w:jc w:val="both"/>
      </w:pPr>
      <w:r>
        <w:t xml:space="preserve">The companies in </w:t>
      </w:r>
      <w:r>
        <w:rPr>
          <w:b/>
        </w:rPr>
        <w:t>Maturity stage</w:t>
      </w:r>
      <w:r>
        <w:t xml:space="preserve"> (where market is maturing, growth approaches slow down, and competition increases) shift their focus to brand differentiation and efficiency optimization. The intention is to leave a mark on people’s minds for always, in order to constantly keep a high market share and also maintain brand loyalty in the industry as more competition comes up. One such example is Amazon, which continues to be at the top of the stack in terms of e-commerce by staying at the top in logistics, customer experiences using the personalized services, and artificial intelligence driven recommendation engines. In addition Amazon makes its value proposition even stronger with Amazon Prime, bringing along faster delivery and entertainment services and has proven to be a great offer to retain customers </w:t>
      </w:r>
      <w:sdt>
        <w:sdtPr>
          <w:id w:val="370891125"/>
        </w:sdtPr>
        <w:sdtContent>
          <w:r>
            <w:fldChar w:fldCharType="begin"/>
          </w:r>
          <w:r>
            <w:instrText xml:space="preserve"> CITATION Por08 \l 1033 </w:instrText>
          </w:r>
          <w:r>
            <w:fldChar w:fldCharType="separate"/>
          </w:r>
          <w:r>
            <w:t>(Porter, 2008)</w:t>
          </w:r>
          <w:r>
            <w:fldChar w:fldCharType="end"/>
          </w:r>
        </w:sdtContent>
      </w:sdt>
      <w:r>
        <w:t>.</w:t>
      </w:r>
    </w:p>
    <w:p w14:paraId="25682802" w14:textId="77777777" w:rsidR="00252F76" w:rsidRDefault="00000000">
      <w:pPr>
        <w:spacing w:line="360" w:lineRule="auto"/>
        <w:jc w:val="both"/>
      </w:pPr>
      <w:r>
        <w:t>It becomes critical at this stage to reinforce your brand and having customer loyalty programs. It improves the customer’s journey, enables optimization of digital platforms and personalizes the communication. For instance, Apple extracts its success in transitioning customers from devices like iPhones, iPads and other endpoints through its integrated ecosystem of phones, iPads, Macs and cloud and streaming services such as Apple Music.</w:t>
      </w:r>
    </w:p>
    <w:p w14:paraId="27D3A56D" w14:textId="77777777" w:rsidR="00252F76" w:rsidRDefault="00000000">
      <w:pPr>
        <w:spacing w:line="360" w:lineRule="auto"/>
        <w:jc w:val="both"/>
      </w:pPr>
      <w:r>
        <w:t xml:space="preserve">Additionally, mature pioneers are also likely to </w:t>
      </w:r>
      <w:r>
        <w:rPr>
          <w:b/>
        </w:rPr>
        <w:t>diversify its product</w:t>
      </w:r>
      <w:r>
        <w:t xml:space="preserve"> portfolio in order to enter into adjacent markets. As a search engine pioneer, Google ventured into the mobile (Android), cloud computing (Google Cloud) and productivity tools (Google Workspace) that kept the company’s growth going even when its primary search product began to age </w:t>
      </w:r>
      <w:sdt>
        <w:sdtPr>
          <w:id w:val="207615302"/>
        </w:sdtPr>
        <w:sdtContent>
          <w:r>
            <w:fldChar w:fldCharType="begin"/>
          </w:r>
          <w:r>
            <w:instrText xml:space="preserve"> CITATION Wil201 \l 1033 </w:instrText>
          </w:r>
          <w:r>
            <w:fldChar w:fldCharType="separate"/>
          </w:r>
          <w:r>
            <w:t>(Willink, 2020)</w:t>
          </w:r>
          <w:r>
            <w:fldChar w:fldCharType="end"/>
          </w:r>
        </w:sdtContent>
      </w:sdt>
      <w:r>
        <w:t>.</w:t>
      </w:r>
    </w:p>
    <w:p w14:paraId="7D7E121F" w14:textId="77777777" w:rsidR="00252F76" w:rsidRDefault="00000000">
      <w:pPr>
        <w:spacing w:line="360" w:lineRule="auto"/>
        <w:jc w:val="both"/>
      </w:pPr>
      <w:r>
        <w:t xml:space="preserve">With some combination of ongoing innovation, brand loyalty, operational excellence, pioneering companies can survive the withering after metamorphosis of their innovation's early hype. The responses to the </w:t>
      </w:r>
      <w:r>
        <w:rPr>
          <w:b/>
        </w:rPr>
        <w:t>growth and maturity stages</w:t>
      </w:r>
      <w:r>
        <w:t xml:space="preserve"> allow them to still have resistance to pressure to </w:t>
      </w:r>
      <w:r>
        <w:rPr>
          <w:b/>
        </w:rPr>
        <w:t>maintain competitive advantage</w:t>
      </w:r>
      <w:r>
        <w:t xml:space="preserve"> and to create resilience in the dynamic market.</w:t>
      </w:r>
    </w:p>
    <w:p w14:paraId="688A330F" w14:textId="77777777" w:rsidR="00252F76" w:rsidRDefault="00000000">
      <w:pPr>
        <w:pStyle w:val="Heading2"/>
        <w:spacing w:line="360" w:lineRule="auto"/>
        <w:jc w:val="both"/>
      </w:pPr>
      <w:bookmarkStart w:id="17" w:name="_Toc193910981"/>
      <w:r>
        <w:lastRenderedPageBreak/>
        <w:t>Followers' Strategies to Maintain Competitiveness</w:t>
      </w:r>
      <w:bookmarkEnd w:id="17"/>
    </w:p>
    <w:p w14:paraId="18D5B3C6" w14:textId="77777777" w:rsidR="00252F76" w:rsidRDefault="00000000">
      <w:pPr>
        <w:spacing w:line="360" w:lineRule="auto"/>
        <w:jc w:val="both"/>
      </w:pPr>
      <w:r>
        <w:t>1. Companies that join during an introduction stage launch better versions of pioneer products at market rates. Samsung launched its smartphones after Apple made its entry and increased its market share through a wide array of products available at various prices.</w:t>
      </w:r>
    </w:p>
    <w:p w14:paraId="595E66EE" w14:textId="77777777" w:rsidR="00252F76" w:rsidRDefault="00000000">
      <w:pPr>
        <w:spacing w:line="360" w:lineRule="auto"/>
        <w:jc w:val="both"/>
      </w:pPr>
      <w:r>
        <w:t>2. Followers utilize the work of pioneers to increase market penetration point while establishing their brands in the market (Growth Stage). Google competed with Amazon Web Services (AWS) in cloud computing through its price-driven strategy along with Artificial Intelligence analytics to establish market relevance.</w:t>
      </w:r>
    </w:p>
    <w:p w14:paraId="159F948D" w14:textId="77777777" w:rsidR="00252F76" w:rsidRDefault="00000000">
      <w:pPr>
        <w:spacing w:line="360" w:lineRule="auto"/>
        <w:jc w:val="both"/>
      </w:pPr>
      <w:r>
        <w:t>3. In response to rivaling competition followers establish customer retention programs together with loyalty benefits for sustained patronage. The late entrance of Morrisons to its More Card loyalty program enabled the retailer to leverage data analytics for better customer retention strategies.</w:t>
      </w:r>
    </w:p>
    <w:p w14:paraId="2612A1C4" w14:textId="77777777" w:rsidR="00252F76" w:rsidRDefault="00000000">
      <w:pPr>
        <w:spacing w:line="360" w:lineRule="auto"/>
        <w:jc w:val="both"/>
      </w:pPr>
      <w:r>
        <w:t>4. During the decline stage followers should innovate to maintain position within current markets or change directions as markets evolve. After following Blockbuster's model at first Netflix adopted streaming services early on which resulted in taking over the entertainment industry leader position.</w:t>
      </w:r>
    </w:p>
    <w:p w14:paraId="33D4AD0D" w14:textId="77777777" w:rsidR="00252F76" w:rsidRDefault="00000000">
      <w:pPr>
        <w:pStyle w:val="Heading1"/>
        <w:spacing w:line="360" w:lineRule="auto"/>
        <w:jc w:val="both"/>
      </w:pPr>
      <w:bookmarkStart w:id="18" w:name="_Toc193910982"/>
      <w:r>
        <w:t>Conclusion</w:t>
      </w:r>
      <w:bookmarkEnd w:id="18"/>
    </w:p>
    <w:p w14:paraId="00FFA531" w14:textId="77777777" w:rsidR="00252F76" w:rsidRDefault="00000000">
      <w:pPr>
        <w:spacing w:line="360" w:lineRule="auto"/>
        <w:jc w:val="both"/>
      </w:pPr>
      <w:r>
        <w:t>Companies operating at the forefront or following behind use specific product life cycle approaches to develop their markets and stay ahead of competitors. The pioneer category must consistently conduct innovative advances and maintain cost efficiency and differentiation while followers achieve growth through market understanding and enhanced products and strategic planning. Successful firms such as Apple along with Tesla and Amazon and Morrisons demonstrate their capability to handle product life cycle stages for retaining industry traction. A company should choose its PLC strategy by evaluating its market standing alongside its available resources and its capability to meet changing customer needs.</w:t>
      </w:r>
    </w:p>
    <w:p w14:paraId="6A70F7A1" w14:textId="77777777" w:rsidR="00252F76" w:rsidRDefault="00000000">
      <w:pPr>
        <w:spacing w:line="360" w:lineRule="auto"/>
        <w:jc w:val="both"/>
      </w:pPr>
      <w:r>
        <w:t xml:space="preserve">The UK retail industry presents Morrisons as one of its most successful companies which maintain a following strategy. The company achieves operational advantages by delaying its market entry after its competitors which allows it to profit from industry observations and establish a financially solid business framework. A company's decision to act as pioneer or follower depends on its ability to capitalize on its selected approach alongside the elimination </w:t>
      </w:r>
      <w:r>
        <w:lastRenderedPageBreak/>
        <w:t>of related business risks. Strategic implementation with market trends and business capabilities produces successful outcomes for both pioneer and follower strategies in the market.</w:t>
      </w:r>
    </w:p>
    <w:p w14:paraId="0AD8C97D" w14:textId="77777777" w:rsidR="00252F76" w:rsidRDefault="00000000">
      <w:pPr>
        <w:jc w:val="both"/>
      </w:pPr>
      <w:r>
        <w:br w:type="page"/>
      </w:r>
    </w:p>
    <w:bookmarkStart w:id="19" w:name="_Toc193910983" w:displacedByCustomXml="next"/>
    <w:sdt>
      <w:sdtPr>
        <w:rPr>
          <w:rFonts w:asciiTheme="minorHAnsi" w:eastAsiaTheme="minorEastAsia" w:hAnsiTheme="minorHAnsi" w:cstheme="minorBidi"/>
          <w:color w:val="auto"/>
          <w:sz w:val="21"/>
          <w:szCs w:val="21"/>
        </w:rPr>
        <w:id w:val="-114285014"/>
      </w:sdtPr>
      <w:sdtContent>
        <w:p w14:paraId="39B671DD" w14:textId="77777777" w:rsidR="00252F76" w:rsidRDefault="00000000">
          <w:pPr>
            <w:pStyle w:val="Heading1"/>
            <w:jc w:val="both"/>
          </w:pPr>
          <w:r>
            <w:t>References</w:t>
          </w:r>
          <w:bookmarkEnd w:id="19"/>
        </w:p>
        <w:sdt>
          <w:sdtPr>
            <w:id w:val="-573587230"/>
          </w:sdtPr>
          <w:sdtContent>
            <w:p w14:paraId="273B00A1" w14:textId="77777777" w:rsidR="00252F76" w:rsidRDefault="00000000">
              <w:pPr>
                <w:pStyle w:val="Bibliography1"/>
                <w:jc w:val="both"/>
                <w:rPr>
                  <w:sz w:val="24"/>
                  <w:szCs w:val="24"/>
                </w:rPr>
              </w:pPr>
              <w:r>
                <w:fldChar w:fldCharType="begin"/>
              </w:r>
              <w:r>
                <w:instrText xml:space="preserve"> BIBLIOGRAPHY </w:instrText>
              </w:r>
              <w:r>
                <w:fldChar w:fldCharType="separate"/>
              </w:r>
              <w:r>
                <w:t xml:space="preserve">Doody, K., 2021. Tesco, Asda and Morrisons among UK supermarkets issuing urgent products recalls. Dunfermline Press (Dunfermline, Scotland), pp.NA-NA.. </w:t>
              </w:r>
            </w:p>
            <w:p w14:paraId="1D93F60F" w14:textId="77777777" w:rsidR="00252F76" w:rsidRDefault="00000000">
              <w:pPr>
                <w:pStyle w:val="Bibliography1"/>
                <w:jc w:val="both"/>
              </w:pPr>
              <w:r>
                <w:t xml:space="preserve">Fun, J. a. T. D., 2021. The EBB and flow of vicarious liability in tort law: Barclays Bank plc v Various Claimants; WM Morrison Supermarkets plc v Various Claimants. Singapore Journal of Legal Studies, (Mar 2021), pp.206-219.. </w:t>
              </w:r>
            </w:p>
            <w:p w14:paraId="5053618F" w14:textId="77777777" w:rsidR="00252F76" w:rsidRDefault="00000000">
              <w:pPr>
                <w:pStyle w:val="Bibliography1"/>
                <w:jc w:val="both"/>
              </w:pPr>
              <w:r>
                <w:t xml:space="preserve">Grant, R., 2021. Contemporary strategy analysis: text and cases edition. 11th ed. Hoboken: Wiley.. </w:t>
              </w:r>
            </w:p>
            <w:p w14:paraId="29D28910" w14:textId="77777777" w:rsidR="00252F76" w:rsidRDefault="00000000">
              <w:pPr>
                <w:pStyle w:val="Bibliography1"/>
                <w:jc w:val="both"/>
              </w:pPr>
              <w:r>
                <w:t xml:space="preserve">Hordern, V., 2020. The vicarious liability of employers for employees in the context of UK data protection law–WM Morrison Supermarkets plc v Various Claimants, 1st April, 2020. Journal of Data Protection &amp; Privacy, 3(4), 455-459.. </w:t>
              </w:r>
            </w:p>
            <w:p w14:paraId="0CE0E3B0" w14:textId="77777777" w:rsidR="00252F76" w:rsidRDefault="00000000">
              <w:pPr>
                <w:pStyle w:val="Bibliography1"/>
                <w:jc w:val="both"/>
              </w:pPr>
              <w:r>
                <w:t xml:space="preserve">Johnson, G. S. K. a. W. R., 2020. Exploring corporate strategy: text and cases. 12th ed. Harlow: Pearson.. </w:t>
              </w:r>
            </w:p>
            <w:p w14:paraId="2A8B853F" w14:textId="77777777" w:rsidR="00252F76" w:rsidRDefault="00000000">
              <w:pPr>
                <w:pStyle w:val="Bibliography1"/>
                <w:jc w:val="both"/>
              </w:pPr>
              <w:r>
                <w:t xml:space="preserve">Kotler, P. a. K. K., 2016. Marketing management. 15th ed. Harlow: Pearson. </w:t>
              </w:r>
            </w:p>
            <w:p w14:paraId="45837F1A" w14:textId="77777777" w:rsidR="00252F76" w:rsidRDefault="00000000">
              <w:pPr>
                <w:pStyle w:val="Bibliography1"/>
                <w:jc w:val="both"/>
              </w:pPr>
              <w:r>
                <w:t xml:space="preserve">Morrison, K., 2023. The great new shopping idea: introducing self-service retailing in the British Isles. History of Retailing and Consumption, 9(1), pp.57-81.. </w:t>
              </w:r>
            </w:p>
            <w:p w14:paraId="60AFF1A5" w14:textId="77777777" w:rsidR="00252F76" w:rsidRDefault="00000000">
              <w:pPr>
                <w:pStyle w:val="Bibliography1"/>
                <w:jc w:val="both"/>
              </w:pPr>
              <w:r>
                <w:t xml:space="preserve">Porter, M., 2008. Competitive strategy: techniques for analyzing industries and competitors. New York: Free Press.. </w:t>
              </w:r>
            </w:p>
            <w:p w14:paraId="58D621AE" w14:textId="77777777" w:rsidR="00252F76" w:rsidRDefault="00000000">
              <w:pPr>
                <w:pStyle w:val="Bibliography1"/>
                <w:jc w:val="both"/>
              </w:pPr>
              <w:r>
                <w:t xml:space="preserve">Willink, D., 2020. Wm Morrison Supermarkets Plc v Various Claimants: Supreme Court: Lady Hale PSC, Lord Reed DPSC, Lord Kerr, Lord Hodge and Lord Lloyd-Jones JJSC, 1 April 2020 [2020] UKSC 12 Employee's criminal breach of data confidentiality–whether empl. </w:t>
              </w:r>
            </w:p>
            <w:p w14:paraId="29D6E8C7" w14:textId="77777777" w:rsidR="00252F76" w:rsidRDefault="00000000">
              <w:pPr>
                <w:jc w:val="both"/>
              </w:pPr>
              <w:r>
                <w:rPr>
                  <w:b/>
                  <w:bCs/>
                </w:rPr>
                <w:fldChar w:fldCharType="end"/>
              </w:r>
            </w:p>
          </w:sdtContent>
        </w:sdt>
      </w:sdtContent>
    </w:sdt>
    <w:p w14:paraId="34ACE898" w14:textId="77777777" w:rsidR="00252F76" w:rsidRDefault="00252F76">
      <w:pPr>
        <w:spacing w:line="360" w:lineRule="auto"/>
        <w:jc w:val="both"/>
      </w:pPr>
    </w:p>
    <w:sectPr w:rsidR="00252F7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DB7CE" w14:textId="77777777" w:rsidR="006A42C4" w:rsidRDefault="006A42C4">
      <w:pPr>
        <w:spacing w:line="240" w:lineRule="auto"/>
      </w:pPr>
      <w:r>
        <w:separator/>
      </w:r>
    </w:p>
  </w:endnote>
  <w:endnote w:type="continuationSeparator" w:id="0">
    <w:p w14:paraId="554FE81F" w14:textId="77777777" w:rsidR="006A42C4" w:rsidRDefault="006A4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YouYuan">
    <w:altName w:val="SimSu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885D7" w14:textId="77777777" w:rsidR="006A42C4" w:rsidRDefault="006A42C4">
      <w:pPr>
        <w:spacing w:after="0"/>
      </w:pPr>
      <w:r>
        <w:separator/>
      </w:r>
    </w:p>
  </w:footnote>
  <w:footnote w:type="continuationSeparator" w:id="0">
    <w:p w14:paraId="44A5C439" w14:textId="77777777" w:rsidR="006A42C4" w:rsidRDefault="006A42C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808080" w:themeColor="background1" w:themeShade="80"/>
        <w:spacing w:val="60"/>
      </w:rPr>
      <w:id w:val="1373494095"/>
    </w:sdtPr>
    <w:sdtEndPr>
      <w:rPr>
        <w:b/>
        <w:bCs/>
        <w:color w:val="auto"/>
        <w:spacing w:val="0"/>
      </w:rPr>
    </w:sdtEndPr>
    <w:sdtContent>
      <w:p w14:paraId="1E8DF06B" w14:textId="77777777" w:rsidR="00252F76" w:rsidRDefault="00000000">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Pr>
            <w:b/>
            <w:bCs/>
          </w:rPr>
          <w:t>9</w:t>
        </w:r>
        <w:r>
          <w:rPr>
            <w:b/>
            <w:bCs/>
          </w:rPr>
          <w:fldChar w:fldCharType="end"/>
        </w:r>
      </w:p>
    </w:sdtContent>
  </w:sdt>
  <w:p w14:paraId="464CF351" w14:textId="77777777" w:rsidR="00252F76" w:rsidRDefault="00252F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1D"/>
    <w:rsid w:val="0004029B"/>
    <w:rsid w:val="000C0936"/>
    <w:rsid w:val="00201121"/>
    <w:rsid w:val="00252F76"/>
    <w:rsid w:val="0026590D"/>
    <w:rsid w:val="00292037"/>
    <w:rsid w:val="003A0FD4"/>
    <w:rsid w:val="003D0A62"/>
    <w:rsid w:val="00404455"/>
    <w:rsid w:val="00542135"/>
    <w:rsid w:val="005D571D"/>
    <w:rsid w:val="00616872"/>
    <w:rsid w:val="00696BD1"/>
    <w:rsid w:val="006A42C4"/>
    <w:rsid w:val="007468E5"/>
    <w:rsid w:val="00797C33"/>
    <w:rsid w:val="008C4ECD"/>
    <w:rsid w:val="008D3C86"/>
    <w:rsid w:val="00933076"/>
    <w:rsid w:val="00974642"/>
    <w:rsid w:val="00A0366B"/>
    <w:rsid w:val="00B50417"/>
    <w:rsid w:val="00C47077"/>
    <w:rsid w:val="00C80342"/>
    <w:rsid w:val="00D825DF"/>
    <w:rsid w:val="00F86B71"/>
    <w:rsid w:val="00FC4530"/>
    <w:rsid w:val="077C5925"/>
    <w:rsid w:val="14DE7F10"/>
    <w:rsid w:val="19E971DB"/>
    <w:rsid w:val="3C635FA0"/>
    <w:rsid w:val="40DD0378"/>
    <w:rsid w:val="4DF07E6B"/>
    <w:rsid w:val="4FF80240"/>
    <w:rsid w:val="505A3E8C"/>
    <w:rsid w:val="55D954B5"/>
    <w:rsid w:val="59E52A0A"/>
    <w:rsid w:val="638B6FDE"/>
    <w:rsid w:val="710C7105"/>
    <w:rsid w:val="711F23A8"/>
    <w:rsid w:val="73295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74FBF"/>
  <w15:docId w15:val="{C2B24665-096E-47BC-946E-11D31A1D9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64" w:lineRule="auto"/>
    </w:pPr>
    <w:rPr>
      <w:sz w:val="21"/>
      <w:szCs w:val="21"/>
    </w:rPr>
  </w:style>
  <w:style w:type="paragraph" w:styleId="Heading1">
    <w:name w:val="heading 1"/>
    <w:basedOn w:val="Normal"/>
    <w:next w:val="Normal"/>
    <w:link w:val="Heading1Char"/>
    <w:uiPriority w:val="9"/>
    <w:qFormat/>
    <w:pPr>
      <w:keepNext/>
      <w:keepLines/>
      <w:pBdr>
        <w:bottom w:val="single" w:sz="4" w:space="1" w:color="052F61" w:themeColor="accent1"/>
      </w:pBdr>
      <w:spacing w:before="400" w:after="40" w:line="240" w:lineRule="auto"/>
      <w:outlineLvl w:val="0"/>
    </w:pPr>
    <w:rPr>
      <w:rFonts w:asciiTheme="majorHAnsi" w:eastAsiaTheme="majorEastAsia" w:hAnsiTheme="majorHAnsi" w:cstheme="majorBidi"/>
      <w:color w:val="032348" w:themeColor="accent1" w:themeShade="BF"/>
      <w:sz w:val="36"/>
      <w:szCs w:val="36"/>
    </w:rPr>
  </w:style>
  <w:style w:type="paragraph" w:styleId="Heading2">
    <w:name w:val="heading 2"/>
    <w:basedOn w:val="Normal"/>
    <w:next w:val="Normal"/>
    <w:link w:val="Heading2Char"/>
    <w:uiPriority w:val="9"/>
    <w:unhideWhenUsed/>
    <w:qFormat/>
    <w:pPr>
      <w:keepNext/>
      <w:keepLines/>
      <w:spacing w:before="160" w:after="0" w:line="240" w:lineRule="auto"/>
      <w:outlineLvl w:val="1"/>
    </w:pPr>
    <w:rPr>
      <w:rFonts w:asciiTheme="majorHAnsi" w:eastAsiaTheme="majorEastAsia" w:hAnsiTheme="majorHAnsi" w:cstheme="majorBidi"/>
      <w:color w:val="032348" w:themeColor="accent1" w:themeShade="BF"/>
      <w:sz w:val="28"/>
      <w:szCs w:val="28"/>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line="240" w:lineRule="auto"/>
    </w:pPr>
    <w:rPr>
      <w:b/>
      <w:bCs/>
      <w:color w:val="404040" w:themeColor="text1" w:themeTint="BF"/>
      <w:sz w:val="20"/>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D2E46" w:themeColor="hyperlink"/>
      <w:u w:val="singl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240" w:line="240" w:lineRule="auto"/>
    </w:pPr>
    <w:rPr>
      <w:rFonts w:asciiTheme="majorHAnsi" w:eastAsiaTheme="majorEastAsia" w:hAnsiTheme="majorHAnsi" w:cstheme="majorBidi"/>
      <w:color w:val="404040" w:themeColor="text1" w:themeTint="BF"/>
      <w:sz w:val="30"/>
      <w:szCs w:val="3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032348" w:themeColor="accent1" w:themeShade="BF"/>
      <w:spacing w:val="-7"/>
      <w:sz w:val="80"/>
      <w:szCs w:val="80"/>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1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32348" w:themeColor="accent1" w:themeShade="BF"/>
      <w:sz w:val="36"/>
      <w:szCs w:val="36"/>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032348" w:themeColor="accent1" w:themeShade="BF"/>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smallCaps/>
      <w:color w:val="595959" w:themeColor="text1" w:themeTint="A6"/>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032348" w:themeColor="accent1" w:themeShade="BF"/>
      <w:spacing w:val="-7"/>
      <w:sz w:val="80"/>
      <w:szCs w:val="80"/>
    </w:rPr>
  </w:style>
  <w:style w:type="character" w:customStyle="1" w:styleId="SubtitleChar">
    <w:name w:val="Subtitle Char"/>
    <w:basedOn w:val="DefaultParagraphFont"/>
    <w:link w:val="Subtitle"/>
    <w:uiPriority w:val="11"/>
    <w:qFormat/>
    <w:rPr>
      <w:rFonts w:asciiTheme="majorHAnsi" w:eastAsiaTheme="majorEastAsia" w:hAnsiTheme="majorHAnsi" w:cstheme="majorBidi"/>
      <w:color w:val="404040" w:themeColor="text1" w:themeTint="BF"/>
      <w:sz w:val="30"/>
      <w:szCs w:val="30"/>
    </w:rPr>
  </w:style>
  <w:style w:type="paragraph" w:styleId="NoSpacing">
    <w:name w:val="No Spacing"/>
    <w:link w:val="NoSpacingChar"/>
    <w:uiPriority w:val="1"/>
    <w:qFormat/>
    <w:rPr>
      <w:sz w:val="21"/>
      <w:szCs w:val="21"/>
    </w:rPr>
  </w:style>
  <w:style w:type="paragraph" w:styleId="Quote">
    <w:name w:val="Quote"/>
    <w:basedOn w:val="Normal"/>
    <w:next w:val="Normal"/>
    <w:link w:val="QuoteChar"/>
    <w:uiPriority w:val="29"/>
    <w:qFormat/>
    <w:pPr>
      <w:spacing w:before="240" w:after="240" w:line="252" w:lineRule="auto"/>
      <w:ind w:left="864" w:right="864"/>
      <w:jc w:val="center"/>
    </w:pPr>
    <w:rPr>
      <w:i/>
      <w:iCs/>
    </w:rPr>
  </w:style>
  <w:style w:type="character" w:customStyle="1" w:styleId="QuoteChar">
    <w:name w:val="Quote Char"/>
    <w:basedOn w:val="DefaultParagraphFont"/>
    <w:link w:val="Quote"/>
    <w:uiPriority w:val="29"/>
    <w:qFormat/>
    <w:rPr>
      <w:i/>
      <w:iCs/>
    </w:rPr>
  </w:style>
  <w:style w:type="paragraph" w:styleId="IntenseQuote">
    <w:name w:val="Intense Quote"/>
    <w:basedOn w:val="Normal"/>
    <w:next w:val="Normal"/>
    <w:link w:val="IntenseQuoteChar"/>
    <w:uiPriority w:val="30"/>
    <w:qFormat/>
    <w:pPr>
      <w:spacing w:before="100" w:beforeAutospacing="1" w:after="240"/>
      <w:ind w:left="864" w:right="864"/>
      <w:jc w:val="center"/>
    </w:pPr>
    <w:rPr>
      <w:rFonts w:asciiTheme="majorHAnsi" w:eastAsiaTheme="majorEastAsia" w:hAnsiTheme="majorHAnsi" w:cstheme="majorBidi"/>
      <w:color w:val="052F61" w:themeColor="accent1"/>
      <w:sz w:val="28"/>
      <w:szCs w:val="28"/>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color w:val="052F61" w:themeColor="accent1"/>
      <w:sz w:val="28"/>
      <w:szCs w:val="28"/>
    </w:rPr>
  </w:style>
  <w:style w:type="character" w:customStyle="1" w:styleId="SubtleEmphasis1">
    <w:name w:val="Subtle Emphasis1"/>
    <w:basedOn w:val="DefaultParagraphFont"/>
    <w:uiPriority w:val="19"/>
    <w:qFormat/>
    <w:rPr>
      <w:i/>
      <w:iCs/>
      <w:color w:val="595959" w:themeColor="text1" w:themeTint="A6"/>
    </w:rPr>
  </w:style>
  <w:style w:type="character" w:customStyle="1" w:styleId="IntenseEmphasis1">
    <w:name w:val="Intense Emphasis1"/>
    <w:basedOn w:val="DefaultParagraphFont"/>
    <w:uiPriority w:val="21"/>
    <w:qFormat/>
    <w:rPr>
      <w:b/>
      <w:bCs/>
      <w:i/>
      <w:iCs/>
    </w:rPr>
  </w:style>
  <w:style w:type="character" w:customStyle="1" w:styleId="SubtleReference1">
    <w:name w:val="Subtle Reference1"/>
    <w:basedOn w:val="DefaultParagraphFont"/>
    <w:uiPriority w:val="31"/>
    <w:qFormat/>
    <w:rPr>
      <w:smallCaps/>
      <w:color w:val="404040" w:themeColor="text1" w:themeTint="BF"/>
    </w:rPr>
  </w:style>
  <w:style w:type="character" w:customStyle="1" w:styleId="IntenseReference1">
    <w:name w:val="Intense Reference1"/>
    <w:basedOn w:val="DefaultParagraphFont"/>
    <w:uiPriority w:val="32"/>
    <w:qFormat/>
    <w:rPr>
      <w:b/>
      <w:bCs/>
      <w:smallCaps/>
      <w:u w:val="single"/>
    </w:rPr>
  </w:style>
  <w:style w:type="character" w:customStyle="1" w:styleId="BookTitle1">
    <w:name w:val="Book Title1"/>
    <w:basedOn w:val="DefaultParagraphFont"/>
    <w:uiPriority w:val="33"/>
    <w:qFormat/>
    <w:rPr>
      <w:b/>
      <w:bCs/>
      <w:smallCaps/>
    </w:rPr>
  </w:style>
  <w:style w:type="paragraph" w:customStyle="1" w:styleId="TOCHeading1">
    <w:name w:val="TOC Heading1"/>
    <w:basedOn w:val="Heading1"/>
    <w:next w:val="Normal"/>
    <w:uiPriority w:val="39"/>
    <w:unhideWhenUsed/>
    <w:qFormat/>
    <w:pPr>
      <w:outlineLvl w:val="9"/>
    </w:pPr>
  </w:style>
  <w:style w:type="paragraph" w:customStyle="1" w:styleId="Bibliography1">
    <w:name w:val="Bibliography1"/>
    <w:basedOn w:val="Normal"/>
    <w:next w:val="Normal"/>
    <w:uiPriority w:val="37"/>
    <w:unhideWhenUsed/>
    <w:qFormat/>
  </w:style>
  <w:style w:type="character" w:customStyle="1" w:styleId="NoSpacingChar">
    <w:name w:val="No Spacing Char"/>
    <w:basedOn w:val="DefaultParagraphFont"/>
    <w:link w:val="NoSpacing"/>
    <w:uiPriority w:val="1"/>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Wil201</b:Tag>
    <b:SourceType>JournalArticle</b:SourceType>
    <b:Guid>{0573E8F6-CD2B-4645-8462-37E206AD6DD5}</b:Guid>
    <b:Author>
      <b:Author>
        <b:NameList>
          <b:Person>
            <b:Last>Willink</b:Last>
            <b:First>D.</b:First>
          </b:Person>
        </b:NameList>
      </b:Author>
    </b:Author>
    <b:Title>Wm Morrison Supermarkets Plc v Various Claimants: Supreme Court: Lady Hale PSC, Lord Reed DPSC, Lord Kerr, Lord Hodge and Lord Lloyd-Jones JJSC, 1 April 2020 [2020] UKSC 12 Employee's criminal breach of data confidentiality–whether empl</b:Title>
    <b:Year>2020</b:Year>
    <b:RefOrder>1</b:RefOrder>
  </b:Source>
  <b:Source>
    <b:Tag>Kot161</b:Tag>
    <b:SourceType>JournalArticle</b:SourceType>
    <b:Guid>{C47D9481-7DB0-41B3-827E-8D0507B2CDD1}</b:Guid>
    <b:Author>
      <b:Author>
        <b:NameList>
          <b:Person>
            <b:Last>Kotler</b:Last>
            <b:First>P.</b:First>
            <b:Middle>and Keller, K.L.</b:Middle>
          </b:Person>
        </b:NameList>
      </b:Author>
    </b:Author>
    <b:Title>Marketing management. 15th ed. Harlow: Pearson</b:Title>
    <b:Year>2016</b:Year>
    <b:RefOrder>2</b:RefOrder>
  </b:Source>
  <b:Source>
    <b:Tag>Gra21</b:Tag>
    <b:SourceType>JournalArticle</b:SourceType>
    <b:Guid>{964A4068-4FEE-4281-86B3-5B9CE5D244D0}</b:Guid>
    <b:Author>
      <b:Author>
        <b:NameList>
          <b:Person>
            <b:Last>Grant</b:Last>
            <b:First>R.M.</b:First>
          </b:Person>
        </b:NameList>
      </b:Author>
    </b:Author>
    <b:Title>Contemporary strategy analysis: text and cases edition. 11th ed. Hoboken: Wiley.</b:Title>
    <b:Year>2021</b:Year>
    <b:RefOrder>4</b:RefOrder>
  </b:Source>
  <b:Source>
    <b:Tag>Joh202</b:Tag>
    <b:SourceType>JournalArticle</b:SourceType>
    <b:Guid>{AA944291-55E6-43A1-9C9A-FFEDE7A09253}</b:Guid>
    <b:Author>
      <b:Author>
        <b:NameList>
          <b:Person>
            <b:Last>Johnson</b:Last>
            <b:First>G.,</b:First>
            <b:Middle>Scholes, K. and Whittington, R.</b:Middle>
          </b:Person>
        </b:NameList>
      </b:Author>
    </b:Author>
    <b:Title>Exploring corporate strategy: text and cases. 12th ed. Harlow: Pearson.</b:Title>
    <b:Year>2020</b:Year>
    <b:RefOrder>6</b:RefOrder>
  </b:Source>
  <b:Source>
    <b:Tag>Por08</b:Tag>
    <b:SourceType>JournalArticle</b:SourceType>
    <b:Guid>{6052B8E5-4D4B-4B24-8CA3-404FA5358A29}</b:Guid>
    <b:Author>
      <b:Author>
        <b:NameList>
          <b:Person>
            <b:Last>Porter</b:Last>
            <b:First>M.E.</b:First>
          </b:Person>
        </b:NameList>
      </b:Author>
    </b:Author>
    <b:Title>Competitive strategy: techniques for analyzing industries and competitors. New York: Free Press.</b:Title>
    <b:Year>2008</b:Year>
    <b:RefOrder>7</b:RefOrder>
  </b:Source>
  <b:Source>
    <b:Tag>Hor201</b:Tag>
    <b:SourceType>JournalArticle</b:SourceType>
    <b:Guid>{4F93CAD4-44CD-4E25-A66B-FEBB204C8685}</b:Guid>
    <b:Author>
      <b:Author>
        <b:NameList>
          <b:Person>
            <b:Last>Hordern</b:Last>
            <b:First>V.</b:First>
          </b:Person>
        </b:NameList>
      </b:Author>
    </b:Author>
    <b:Title>The vicarious liability of employers for employees in the context of UK data protection law–WM Morrison Supermarkets plc v Various Claimants, 1st April, 2020. Journal of Data Protection &amp; Privacy, 3(4), 455-459.</b:Title>
    <b:Year>2020</b:Year>
    <b:RefOrder>8</b:RefOrder>
  </b:Source>
  <b:Source>
    <b:Tag>Fun211</b:Tag>
    <b:SourceType>JournalArticle</b:SourceType>
    <b:Guid>{A96F8D70-74B0-4D68-8A26-B1872A5F8508}</b:Guid>
    <b:Author>
      <b:Author>
        <b:NameList>
          <b:Person>
            <b:Last>Fun</b:Last>
            <b:First>J.W.X.</b:First>
            <b:Middle>and The, D.C.Y.</b:Middle>
          </b:Person>
        </b:NameList>
      </b:Author>
    </b:Author>
    <b:Title>The EBB and flow of vicarious liability in tort law: Barclays Bank plc v Various Claimants; WM Morrison Supermarkets plc v Various Claimants. Singapore Journal of Legal Studies, (Mar 2021), pp.206-219.</b:Title>
    <b:Year>2021</b:Year>
    <b:RefOrder>5</b:RefOrder>
  </b:Source>
  <b:Source>
    <b:Tag>Mor23</b:Tag>
    <b:SourceType>JournalArticle</b:SourceType>
    <b:Guid>{81EFE696-7870-48FB-81E3-469DC5A9C5A5}</b:Guid>
    <b:Author>
      <b:Author>
        <b:NameList>
          <b:Person>
            <b:Last>Morrison</b:Last>
            <b:First>K.A.</b:First>
          </b:Person>
        </b:NameList>
      </b:Author>
    </b:Author>
    <b:Title>The great new shopping idea: introducing self-service retailing in the British Isles. History of Retailing and Consumption, 9(1), pp.57-81.</b:Title>
    <b:Year>2023</b:Year>
    <b:RefOrder>9</b:RefOrder>
  </b:Source>
  <b:Source>
    <b:Tag>Doo21</b:Tag>
    <b:SourceType>JournalArticle</b:SourceType>
    <b:Guid>{86A23281-FF08-4CAF-87B1-C008F3EC5D32}</b:Guid>
    <b:Author>
      <b:Author>
        <b:NameList>
          <b:Person>
            <b:Last>Doody</b:Last>
            <b:First>K.,</b:First>
          </b:Person>
        </b:NameList>
      </b:Author>
    </b:Author>
    <b:Title>Tesco, Asda and Morrisons among UK supermarkets issuing urgent products recalls. Dunfermline Press (Dunfermline, Scotland), pp.NA-NA.</b:Title>
    <b:Year>2021</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F0B871-D498-4CE1-9D74-E7563A2D4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12</Pages>
  <Words>3561</Words>
  <Characters>20298</Characters>
  <Application>Microsoft Office Word</Application>
  <DocSecurity>0</DocSecurity>
  <Lines>169</Lines>
  <Paragraphs>47</Paragraphs>
  <ScaleCrop>false</ScaleCrop>
  <Company/>
  <LinksUpToDate>false</LinksUpToDate>
  <CharactersWithSpaces>23812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anwaralikhan7171@gmail.com</cp:lastModifiedBy>
  <cp:revision>13</cp:revision>
  <dcterms:created xsi:type="dcterms:W3CDTF">2025-03-10T15:58:00Z</dcterms:created>
  <dcterms:modified xsi:type="dcterms:W3CDTF">2025-03-28T04:24:00Z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2206D37584434042BBE2686519CC84A0_12</vt:lpwstr>
  </property>
</Properties>
</file>