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2D83CE8" w14:textId="77777777" w:rsidR="00795A1D" w:rsidRPr="00693D25" w:rsidRDefault="00681867" w:rsidP="00693D25">
      <w:pPr>
        <w:pStyle w:val="Title"/>
        <w:rPr>
          <w:rFonts w:ascii="Arial" w:eastAsia="Arial" w:hAnsi="Arial" w:cs="Arial"/>
        </w:rPr>
      </w:pPr>
      <w:bookmarkStart w:id="0" w:name="_heading=h.81lxz08k6v47" w:colFirst="0" w:colLast="0"/>
      <w:bookmarkEnd w:id="0"/>
      <w:r w:rsidRPr="00693D25">
        <w:rPr>
          <w:rFonts w:ascii="Arial" w:eastAsia="Arial" w:hAnsi="Arial" w:cs="Arial"/>
          <w:noProof/>
        </w:rPr>
        <w:drawing>
          <wp:inline distT="0" distB="0" distL="0" distR="0" wp14:anchorId="1810E396" wp14:editId="5AF7BE11">
            <wp:extent cx="2449350" cy="914424"/>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l="5090" r="3463"/>
                    <a:stretch>
                      <a:fillRect/>
                    </a:stretch>
                  </pic:blipFill>
                  <pic:spPr>
                    <a:xfrm>
                      <a:off x="0" y="0"/>
                      <a:ext cx="2449350" cy="914424"/>
                    </a:xfrm>
                    <a:prstGeom prst="rect">
                      <a:avLst/>
                    </a:prstGeom>
                    <a:ln/>
                  </pic:spPr>
                </pic:pic>
              </a:graphicData>
            </a:graphic>
          </wp:inline>
        </w:drawing>
      </w:r>
    </w:p>
    <w:p w14:paraId="5CA55CB5" w14:textId="77777777" w:rsidR="00795A1D" w:rsidRPr="00693D25" w:rsidRDefault="00795A1D" w:rsidP="00693D25">
      <w:pPr>
        <w:pStyle w:val="Title"/>
        <w:rPr>
          <w:rFonts w:ascii="Arial" w:eastAsia="Arial" w:hAnsi="Arial" w:cs="Arial"/>
        </w:rPr>
      </w:pPr>
    </w:p>
    <w:p w14:paraId="4EE27B95" w14:textId="77777777" w:rsidR="00795A1D" w:rsidRPr="00693D25" w:rsidRDefault="00681867" w:rsidP="00693D25">
      <w:pPr>
        <w:pStyle w:val="Title"/>
        <w:rPr>
          <w:rFonts w:ascii="Arial" w:eastAsia="Arial" w:hAnsi="Arial" w:cs="Arial"/>
          <w:sz w:val="28"/>
          <w:szCs w:val="28"/>
        </w:rPr>
      </w:pPr>
      <w:r w:rsidRPr="00693D25">
        <w:rPr>
          <w:rFonts w:ascii="Arial" w:eastAsia="Arial" w:hAnsi="Arial" w:cs="Arial"/>
          <w:sz w:val="28"/>
          <w:szCs w:val="28"/>
        </w:rPr>
        <w:t xml:space="preserve">Master of Business Administration </w:t>
      </w:r>
    </w:p>
    <w:p w14:paraId="61ABF3F8" w14:textId="77777777" w:rsidR="00795A1D" w:rsidRPr="00693D25" w:rsidRDefault="00681867" w:rsidP="00693D25">
      <w:pPr>
        <w:pStyle w:val="Title"/>
        <w:rPr>
          <w:rFonts w:ascii="Arial" w:eastAsia="Arial" w:hAnsi="Arial" w:cs="Arial"/>
          <w:sz w:val="28"/>
          <w:szCs w:val="28"/>
        </w:rPr>
      </w:pPr>
      <w:r w:rsidRPr="00693D25">
        <w:rPr>
          <w:rFonts w:ascii="Arial" w:eastAsia="Arial" w:hAnsi="Arial" w:cs="Arial"/>
          <w:sz w:val="28"/>
          <w:szCs w:val="28"/>
        </w:rPr>
        <w:t xml:space="preserve">Financial Management </w:t>
      </w:r>
    </w:p>
    <w:p w14:paraId="1CBB6011" w14:textId="77777777" w:rsidR="00795A1D" w:rsidRPr="00693D25" w:rsidRDefault="00681867" w:rsidP="00693D25">
      <w:pPr>
        <w:pStyle w:val="Title"/>
        <w:rPr>
          <w:rFonts w:ascii="Arial" w:eastAsia="Arial" w:hAnsi="Arial" w:cs="Arial"/>
          <w:sz w:val="28"/>
          <w:szCs w:val="28"/>
        </w:rPr>
      </w:pPr>
      <w:r w:rsidRPr="00693D25">
        <w:rPr>
          <w:rFonts w:ascii="Arial" w:eastAsia="Arial" w:hAnsi="Arial" w:cs="Arial"/>
          <w:sz w:val="28"/>
          <w:szCs w:val="28"/>
        </w:rPr>
        <w:t>LCMB7002</w:t>
      </w:r>
    </w:p>
    <w:p w14:paraId="5B612006" w14:textId="77777777" w:rsidR="00795A1D" w:rsidRPr="00693D25" w:rsidRDefault="00795A1D" w:rsidP="00693D25">
      <w:pPr>
        <w:pStyle w:val="Title"/>
        <w:jc w:val="both"/>
        <w:rPr>
          <w:rFonts w:ascii="Arial" w:eastAsia="Arial" w:hAnsi="Arial" w:cs="Arial"/>
        </w:rPr>
      </w:pPr>
    </w:p>
    <w:p w14:paraId="38167AB2" w14:textId="77777777" w:rsidR="00795A1D" w:rsidRPr="00693D25" w:rsidRDefault="00681867" w:rsidP="00693D25">
      <w:pPr>
        <w:pStyle w:val="Title"/>
        <w:rPr>
          <w:rFonts w:ascii="Arial" w:eastAsia="Arial" w:hAnsi="Arial" w:cs="Arial"/>
        </w:rPr>
      </w:pPr>
      <w:r w:rsidRPr="00693D25">
        <w:rPr>
          <w:rFonts w:ascii="Arial" w:eastAsia="Arial" w:hAnsi="Arial" w:cs="Arial"/>
        </w:rPr>
        <w:t>Assessment component: Financial performance and management</w:t>
      </w:r>
    </w:p>
    <w:p w14:paraId="516DC373" w14:textId="77777777" w:rsidR="00795A1D" w:rsidRPr="00693D25" w:rsidRDefault="00681867" w:rsidP="00693D25">
      <w:pPr>
        <w:pStyle w:val="Title"/>
        <w:rPr>
          <w:rFonts w:ascii="Arial" w:eastAsia="Arial" w:hAnsi="Arial" w:cs="Arial"/>
        </w:rPr>
      </w:pPr>
      <w:bookmarkStart w:id="1" w:name="_heading=h.d58vggis0azp" w:colFirst="0" w:colLast="0"/>
      <w:bookmarkEnd w:id="1"/>
      <w:r w:rsidRPr="00693D25">
        <w:rPr>
          <w:rFonts w:ascii="Arial" w:eastAsia="Arial" w:hAnsi="Arial" w:cs="Arial"/>
        </w:rPr>
        <w:t>A FIVE-YEAR FINANCIAL PERFORMANCE EVALUATION, STRATEGIC FINANCIAL RESTRUCTURING AND INVESTMENT APPRAISAL OF WHITBREAD PLC</w:t>
      </w:r>
    </w:p>
    <w:p w14:paraId="7AEFE2DF" w14:textId="33B0E870" w:rsidR="00795A1D" w:rsidRPr="00693D25" w:rsidRDefault="00795A1D" w:rsidP="00693D25">
      <w:pPr>
        <w:pStyle w:val="Title"/>
        <w:rPr>
          <w:rFonts w:ascii="Arial" w:eastAsia="Arial" w:hAnsi="Arial" w:cs="Arial"/>
          <w:sz w:val="24"/>
          <w:szCs w:val="24"/>
        </w:rPr>
      </w:pPr>
    </w:p>
    <w:p w14:paraId="24D1CD28" w14:textId="1FB8416A" w:rsidR="00693D25" w:rsidRPr="00693D25" w:rsidRDefault="00693D25" w:rsidP="00693D25">
      <w:pPr>
        <w:rPr>
          <w:rFonts w:ascii="Arial" w:eastAsia="Arial" w:hAnsi="Arial" w:cs="Arial"/>
        </w:rPr>
      </w:pPr>
    </w:p>
    <w:p w14:paraId="7AB236BA" w14:textId="77777777" w:rsidR="00693D25" w:rsidRPr="00693D25" w:rsidRDefault="00693D25" w:rsidP="00693D25">
      <w:pPr>
        <w:rPr>
          <w:rFonts w:ascii="Arial" w:eastAsia="Arial" w:hAnsi="Arial" w:cs="Arial"/>
        </w:rPr>
      </w:pPr>
    </w:p>
    <w:p w14:paraId="5FDF8BE2" w14:textId="15FE177A" w:rsidR="00795A1D" w:rsidRPr="00693D25" w:rsidRDefault="00681867" w:rsidP="00693D25">
      <w:pPr>
        <w:pStyle w:val="Title"/>
        <w:rPr>
          <w:rFonts w:ascii="Arial" w:eastAsia="Arial" w:hAnsi="Arial" w:cs="Arial"/>
          <w:sz w:val="24"/>
          <w:szCs w:val="24"/>
        </w:rPr>
      </w:pPr>
      <w:r w:rsidRPr="00693D25">
        <w:rPr>
          <w:rFonts w:ascii="Arial" w:eastAsia="Arial" w:hAnsi="Arial" w:cs="Arial"/>
          <w:sz w:val="24"/>
          <w:szCs w:val="24"/>
        </w:rPr>
        <w:t>Lecturer name:</w:t>
      </w:r>
      <w:r w:rsidR="00B52DC5">
        <w:rPr>
          <w:rFonts w:ascii="Arial" w:eastAsia="Arial" w:hAnsi="Arial" w:cs="Arial"/>
          <w:sz w:val="24"/>
          <w:szCs w:val="24"/>
        </w:rPr>
        <w:t xml:space="preserve"> Md Kalam</w:t>
      </w:r>
    </w:p>
    <w:p w14:paraId="1E063525" w14:textId="77777777" w:rsidR="00795A1D" w:rsidRPr="00693D25" w:rsidRDefault="00795A1D" w:rsidP="00693D25">
      <w:pPr>
        <w:pStyle w:val="Title"/>
        <w:rPr>
          <w:rFonts w:ascii="Arial" w:eastAsia="Arial" w:hAnsi="Arial" w:cs="Arial"/>
          <w:sz w:val="24"/>
          <w:szCs w:val="24"/>
        </w:rPr>
      </w:pPr>
    </w:p>
    <w:p w14:paraId="6F319053" w14:textId="431F5546" w:rsidR="00795A1D" w:rsidRPr="00693D25" w:rsidRDefault="00681867" w:rsidP="00693D25">
      <w:pPr>
        <w:pStyle w:val="Title"/>
        <w:rPr>
          <w:rFonts w:ascii="Arial" w:eastAsia="Arial" w:hAnsi="Arial" w:cs="Arial"/>
          <w:sz w:val="24"/>
          <w:szCs w:val="24"/>
        </w:rPr>
      </w:pPr>
      <w:r w:rsidRPr="00693D25">
        <w:rPr>
          <w:rFonts w:ascii="Arial" w:eastAsia="Arial" w:hAnsi="Arial" w:cs="Arial"/>
          <w:sz w:val="24"/>
          <w:szCs w:val="24"/>
        </w:rPr>
        <w:t>Student name:</w:t>
      </w:r>
      <w:r w:rsidR="00B52DC5">
        <w:rPr>
          <w:rFonts w:ascii="Arial" w:eastAsia="Arial" w:hAnsi="Arial" w:cs="Arial"/>
          <w:sz w:val="24"/>
          <w:szCs w:val="24"/>
        </w:rPr>
        <w:t xml:space="preserve"> Patel Princekumar Harshadbhai</w:t>
      </w:r>
    </w:p>
    <w:p w14:paraId="5B7AAFB8" w14:textId="5C40B2F0" w:rsidR="00795A1D" w:rsidRPr="00693D25" w:rsidRDefault="00681867" w:rsidP="00693D25">
      <w:pPr>
        <w:pStyle w:val="Title"/>
        <w:rPr>
          <w:rFonts w:ascii="Arial" w:eastAsia="Arial" w:hAnsi="Arial" w:cs="Arial"/>
          <w:sz w:val="24"/>
          <w:szCs w:val="24"/>
        </w:rPr>
      </w:pPr>
      <w:r w:rsidRPr="00693D25">
        <w:rPr>
          <w:rFonts w:ascii="Arial" w:eastAsia="Arial" w:hAnsi="Arial" w:cs="Arial"/>
          <w:sz w:val="24"/>
          <w:szCs w:val="24"/>
        </w:rPr>
        <w:t>Student ID:</w:t>
      </w:r>
      <w:r w:rsidR="00B52DC5">
        <w:rPr>
          <w:rFonts w:ascii="Arial" w:eastAsia="Arial" w:hAnsi="Arial" w:cs="Arial"/>
          <w:sz w:val="24"/>
          <w:szCs w:val="24"/>
        </w:rPr>
        <w:t xml:space="preserve"> 2542500</w:t>
      </w:r>
    </w:p>
    <w:p w14:paraId="0CB41185" w14:textId="77777777" w:rsidR="00795A1D" w:rsidRPr="00693D25" w:rsidRDefault="00795A1D" w:rsidP="00693D25">
      <w:pPr>
        <w:pStyle w:val="Title"/>
        <w:rPr>
          <w:rFonts w:ascii="Arial" w:eastAsia="Arial" w:hAnsi="Arial" w:cs="Arial"/>
          <w:sz w:val="24"/>
          <w:szCs w:val="24"/>
        </w:rPr>
      </w:pPr>
    </w:p>
    <w:p w14:paraId="7310CF77" w14:textId="7B8CF34C" w:rsidR="00795A1D" w:rsidRPr="00693D25" w:rsidRDefault="00681867" w:rsidP="00693D25">
      <w:pPr>
        <w:pStyle w:val="Title"/>
        <w:rPr>
          <w:rFonts w:ascii="Arial" w:eastAsia="Arial" w:hAnsi="Arial" w:cs="Arial"/>
          <w:sz w:val="24"/>
          <w:szCs w:val="24"/>
        </w:rPr>
      </w:pPr>
      <w:r w:rsidRPr="00693D25">
        <w:rPr>
          <w:rFonts w:ascii="Arial" w:eastAsia="Arial" w:hAnsi="Arial" w:cs="Arial"/>
          <w:sz w:val="24"/>
          <w:szCs w:val="24"/>
        </w:rPr>
        <w:t>Word count: 5</w:t>
      </w:r>
      <w:r w:rsidR="005E4C5E">
        <w:rPr>
          <w:rFonts w:ascii="Arial" w:eastAsia="Arial" w:hAnsi="Arial" w:cs="Arial"/>
          <w:sz w:val="24"/>
          <w:szCs w:val="24"/>
        </w:rPr>
        <w:t>108</w:t>
      </w:r>
    </w:p>
    <w:p w14:paraId="66F3F241" w14:textId="77777777" w:rsidR="00795A1D" w:rsidRPr="00693D25" w:rsidRDefault="00795A1D" w:rsidP="00693D25">
      <w:pPr>
        <w:pStyle w:val="Title"/>
        <w:rPr>
          <w:rFonts w:ascii="Arial" w:eastAsia="Arial" w:hAnsi="Arial" w:cs="Arial"/>
          <w:sz w:val="24"/>
          <w:szCs w:val="24"/>
        </w:rPr>
      </w:pPr>
    </w:p>
    <w:p w14:paraId="37A1825A" w14:textId="40E06343" w:rsidR="00795A1D" w:rsidRPr="00693D25" w:rsidRDefault="00681867" w:rsidP="00693D25">
      <w:pPr>
        <w:pStyle w:val="Title"/>
        <w:rPr>
          <w:rFonts w:ascii="Arial" w:eastAsia="Arial" w:hAnsi="Arial" w:cs="Arial"/>
          <w:sz w:val="24"/>
          <w:szCs w:val="24"/>
        </w:rPr>
      </w:pPr>
      <w:r w:rsidRPr="00693D25">
        <w:rPr>
          <w:rFonts w:ascii="Arial" w:eastAsia="Arial" w:hAnsi="Arial" w:cs="Arial"/>
          <w:sz w:val="24"/>
          <w:szCs w:val="24"/>
        </w:rPr>
        <w:t xml:space="preserve">Submission date: </w:t>
      </w:r>
      <w:r w:rsidR="00B52DC5">
        <w:rPr>
          <w:rFonts w:ascii="Arial" w:eastAsia="Arial" w:hAnsi="Arial" w:cs="Arial"/>
          <w:sz w:val="24"/>
          <w:szCs w:val="24"/>
        </w:rPr>
        <w:t>13/08/2026</w:t>
      </w:r>
      <w:r w:rsidRPr="00693D25">
        <w:rPr>
          <w:rFonts w:ascii="Arial" w:eastAsia="Arial" w:hAnsi="Arial" w:cs="Arial"/>
          <w:sz w:val="24"/>
          <w:szCs w:val="24"/>
        </w:rPr>
        <w:t xml:space="preserve">     </w:t>
      </w:r>
    </w:p>
    <w:p w14:paraId="4A128F43" w14:textId="77777777" w:rsidR="00795A1D" w:rsidRPr="00693D25" w:rsidRDefault="00681867" w:rsidP="00693D25">
      <w:pPr>
        <w:pStyle w:val="Title"/>
        <w:rPr>
          <w:rFonts w:ascii="Arial" w:eastAsia="Arial" w:hAnsi="Arial" w:cs="Arial"/>
        </w:rPr>
      </w:pPr>
      <w:r w:rsidRPr="00693D25">
        <w:rPr>
          <w:rFonts w:ascii="Arial" w:hAnsi="Arial" w:cs="Arial"/>
        </w:rPr>
        <w:br w:type="page"/>
      </w:r>
    </w:p>
    <w:p w14:paraId="450ECBA4" w14:textId="77777777" w:rsidR="00795A1D" w:rsidRPr="00693D25" w:rsidRDefault="00681867" w:rsidP="00693D25">
      <w:pPr>
        <w:jc w:val="center"/>
        <w:rPr>
          <w:rFonts w:ascii="Arial" w:eastAsia="Arial" w:hAnsi="Arial" w:cs="Arial"/>
          <w:b/>
          <w:bCs/>
        </w:rPr>
      </w:pPr>
      <w:r w:rsidRPr="00693D25">
        <w:rPr>
          <w:rFonts w:ascii="Arial" w:eastAsia="Arial" w:hAnsi="Arial" w:cs="Arial"/>
          <w:b/>
          <w:bCs/>
        </w:rPr>
        <w:t>Executive Summary</w:t>
      </w:r>
    </w:p>
    <w:p w14:paraId="63A7254C" w14:textId="77777777" w:rsidR="00795A1D" w:rsidRPr="00693D25" w:rsidRDefault="00795A1D" w:rsidP="00693D25">
      <w:pPr>
        <w:jc w:val="center"/>
        <w:rPr>
          <w:rFonts w:ascii="Arial" w:eastAsia="Arial" w:hAnsi="Arial" w:cs="Arial"/>
          <w:b/>
          <w:bCs/>
        </w:rPr>
      </w:pPr>
    </w:p>
    <w:p w14:paraId="1E4EC2D5" w14:textId="77777777" w:rsidR="00795A1D" w:rsidRPr="00693D25" w:rsidRDefault="00681867" w:rsidP="00693D25">
      <w:pPr>
        <w:rPr>
          <w:rFonts w:ascii="Arial" w:eastAsia="Arial" w:hAnsi="Arial" w:cs="Arial"/>
        </w:rPr>
      </w:pPr>
      <w:r w:rsidRPr="00693D25">
        <w:rPr>
          <w:rFonts w:ascii="Arial" w:eastAsia="Arial" w:hAnsi="Arial" w:cs="Arial"/>
        </w:rPr>
        <w:t>Financial statement analysis, ratio analysis, working capital analysis and strategic financial restructuring and investment appraisal techniques have been used to measure the performance of Whitbread PLC in between 2022 and 2026. The company has been profitable in a difficult economy, but it has been the result of strong assets and strong revenue levels. Profitability and efficiency certainly improved and inventories were satisfactory. However, the steady capital investments, growth and distributions to shareholders, with current ratio and quick ratio closing on a downtrend, the business is under pressure because of short-term liquidity constraints. Key issues of the report are to consolidate the liquidity through possible best practice concepts of cash management, optimizing the capital structure, developing digital financial systems and enriching operations sustainably. Three projects were assessed by the Payback Period Analysis (PAP), Average Annual return (AP), Net Present Value (NPV), Internal Rate of Return (IRR) and Profitability Index (PI). Each of the finance projects has been calculated by using a discount rate. However, none of these produced positive NPV (over the lifespan of the project). Only project C has been calculated to have a positive NPV and is proposed as the best return on investment for long-term financial sustainability and financial health.</w:t>
      </w:r>
    </w:p>
    <w:p w14:paraId="4E952046" w14:textId="77777777" w:rsidR="00795A1D" w:rsidRPr="00693D25" w:rsidRDefault="00681867" w:rsidP="00693D25">
      <w:pPr>
        <w:rPr>
          <w:rFonts w:ascii="Arial" w:eastAsia="Arial" w:hAnsi="Arial" w:cs="Arial"/>
        </w:rPr>
      </w:pPr>
      <w:r w:rsidRPr="00693D25">
        <w:rPr>
          <w:rFonts w:ascii="Arial" w:hAnsi="Arial" w:cs="Arial"/>
        </w:rPr>
        <w:br w:type="page"/>
      </w:r>
    </w:p>
    <w:p w14:paraId="4A03EE6D" w14:textId="5C26BD09" w:rsidR="00795A1D" w:rsidRDefault="00681867" w:rsidP="00693D25">
      <w:pPr>
        <w:keepNext/>
        <w:keepLines/>
        <w:pBdr>
          <w:top w:val="nil"/>
          <w:left w:val="nil"/>
          <w:bottom w:val="nil"/>
          <w:right w:val="nil"/>
          <w:between w:val="nil"/>
        </w:pBdr>
        <w:spacing w:before="480"/>
        <w:jc w:val="center"/>
        <w:rPr>
          <w:rFonts w:ascii="Arial" w:eastAsia="Arial" w:hAnsi="Arial" w:cs="Arial"/>
          <w:b/>
          <w:bCs/>
          <w:color w:val="000000"/>
        </w:rPr>
      </w:pPr>
      <w:r w:rsidRPr="00693D25">
        <w:rPr>
          <w:rFonts w:ascii="Arial" w:eastAsia="Arial" w:hAnsi="Arial" w:cs="Arial"/>
          <w:b/>
          <w:bCs/>
          <w:color w:val="000000"/>
        </w:rPr>
        <w:t>Table of Contents</w:t>
      </w:r>
    </w:p>
    <w:p w14:paraId="552ED716" w14:textId="77777777" w:rsidR="005E4C5E" w:rsidRPr="00693D25" w:rsidRDefault="005E4C5E" w:rsidP="00693D25">
      <w:pPr>
        <w:keepNext/>
        <w:keepLines/>
        <w:pBdr>
          <w:top w:val="nil"/>
          <w:left w:val="nil"/>
          <w:bottom w:val="nil"/>
          <w:right w:val="nil"/>
          <w:between w:val="nil"/>
        </w:pBdr>
        <w:spacing w:before="480"/>
        <w:jc w:val="center"/>
        <w:rPr>
          <w:rFonts w:ascii="Arial" w:eastAsia="Arial" w:hAnsi="Arial" w:cs="Arial"/>
          <w:b/>
          <w:bCs/>
          <w:color w:val="000000"/>
        </w:rPr>
      </w:pPr>
    </w:p>
    <w:sdt>
      <w:sdtPr>
        <w:rPr>
          <w:rFonts w:ascii="Arial" w:hAnsi="Arial" w:cs="Arial"/>
        </w:rPr>
        <w:id w:val="689240465"/>
        <w:docPartObj>
          <w:docPartGallery w:val="Table of Contents"/>
          <w:docPartUnique/>
        </w:docPartObj>
      </w:sdtPr>
      <w:sdtContent>
        <w:p w14:paraId="6D019C19" w14:textId="61353339" w:rsidR="005E4C5E" w:rsidRPr="005E4C5E" w:rsidRDefault="00681867" w:rsidP="005E4C5E">
          <w:pPr>
            <w:pStyle w:val="TOC1"/>
            <w:tabs>
              <w:tab w:val="right" w:leader="dot" w:pos="9016"/>
            </w:tabs>
            <w:rPr>
              <w:rFonts w:ascii="Arial" w:hAnsi="Arial" w:cs="Arial"/>
              <w:noProof/>
            </w:rPr>
          </w:pPr>
          <w:r w:rsidRPr="00693D25">
            <w:rPr>
              <w:rFonts w:ascii="Arial" w:hAnsi="Arial" w:cs="Arial"/>
            </w:rPr>
            <w:fldChar w:fldCharType="begin"/>
          </w:r>
          <w:r w:rsidRPr="00693D25">
            <w:rPr>
              <w:rFonts w:ascii="Arial" w:hAnsi="Arial" w:cs="Arial"/>
            </w:rPr>
            <w:instrText xml:space="preserve"> TOC \h \u \z \t "Heading 1,1,Heading 2,2,Heading 3,3,"</w:instrText>
          </w:r>
          <w:r w:rsidRPr="00693D25">
            <w:rPr>
              <w:rFonts w:ascii="Arial" w:hAnsi="Arial" w:cs="Arial"/>
            </w:rPr>
            <w:fldChar w:fldCharType="separate"/>
          </w:r>
          <w:hyperlink w:anchor="_Toc235738249" w:history="1">
            <w:r w:rsidR="005E4C5E" w:rsidRPr="005E4C5E">
              <w:rPr>
                <w:rStyle w:val="Hyperlink"/>
                <w:rFonts w:ascii="Arial" w:eastAsia="Arial" w:hAnsi="Arial" w:cs="Arial"/>
                <w:noProof/>
              </w:rPr>
              <w:t>1. Introduction</w:t>
            </w:r>
            <w:r w:rsidR="005E4C5E" w:rsidRPr="005E4C5E">
              <w:rPr>
                <w:rFonts w:ascii="Arial" w:hAnsi="Arial" w:cs="Arial"/>
                <w:noProof/>
                <w:webHidden/>
              </w:rPr>
              <w:tab/>
            </w:r>
            <w:r w:rsidR="005E4C5E" w:rsidRPr="005E4C5E">
              <w:rPr>
                <w:rFonts w:ascii="Arial" w:hAnsi="Arial" w:cs="Arial"/>
                <w:noProof/>
                <w:webHidden/>
              </w:rPr>
              <w:fldChar w:fldCharType="begin"/>
            </w:r>
            <w:r w:rsidR="005E4C5E" w:rsidRPr="005E4C5E">
              <w:rPr>
                <w:rFonts w:ascii="Arial" w:hAnsi="Arial" w:cs="Arial"/>
                <w:noProof/>
                <w:webHidden/>
              </w:rPr>
              <w:instrText xml:space="preserve"> PAGEREF _Toc235738249 \h </w:instrText>
            </w:r>
            <w:r w:rsidR="005E4C5E" w:rsidRPr="005E4C5E">
              <w:rPr>
                <w:rFonts w:ascii="Arial" w:hAnsi="Arial" w:cs="Arial"/>
                <w:noProof/>
                <w:webHidden/>
              </w:rPr>
            </w:r>
            <w:r w:rsidR="005E4C5E" w:rsidRPr="005E4C5E">
              <w:rPr>
                <w:rFonts w:ascii="Arial" w:hAnsi="Arial" w:cs="Arial"/>
                <w:noProof/>
                <w:webHidden/>
              </w:rPr>
              <w:fldChar w:fldCharType="separate"/>
            </w:r>
            <w:r w:rsidR="005E4C5E" w:rsidRPr="005E4C5E">
              <w:rPr>
                <w:rFonts w:ascii="Arial" w:hAnsi="Arial" w:cs="Arial"/>
                <w:noProof/>
                <w:webHidden/>
              </w:rPr>
              <w:t>5</w:t>
            </w:r>
            <w:r w:rsidR="005E4C5E" w:rsidRPr="005E4C5E">
              <w:rPr>
                <w:rFonts w:ascii="Arial" w:hAnsi="Arial" w:cs="Arial"/>
                <w:noProof/>
                <w:webHidden/>
              </w:rPr>
              <w:fldChar w:fldCharType="end"/>
            </w:r>
          </w:hyperlink>
        </w:p>
        <w:p w14:paraId="71CE6224" w14:textId="5EE13E02" w:rsidR="005E4C5E" w:rsidRPr="005E4C5E" w:rsidRDefault="005E4C5E" w:rsidP="005E4C5E">
          <w:pPr>
            <w:pStyle w:val="TOC1"/>
            <w:tabs>
              <w:tab w:val="right" w:leader="dot" w:pos="9016"/>
            </w:tabs>
            <w:rPr>
              <w:rFonts w:ascii="Arial" w:hAnsi="Arial" w:cs="Arial"/>
              <w:noProof/>
            </w:rPr>
          </w:pPr>
          <w:hyperlink w:anchor="_Toc235738250" w:history="1">
            <w:r w:rsidRPr="005E4C5E">
              <w:rPr>
                <w:rStyle w:val="Hyperlink"/>
                <w:rFonts w:ascii="Arial" w:eastAsia="Arial" w:hAnsi="Arial" w:cs="Arial"/>
                <w:noProof/>
              </w:rPr>
              <w:t>2. Financial Health Check</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_Toc235738250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5</w:t>
            </w:r>
            <w:r w:rsidRPr="005E4C5E">
              <w:rPr>
                <w:rFonts w:ascii="Arial" w:hAnsi="Arial" w:cs="Arial"/>
                <w:noProof/>
                <w:webHidden/>
              </w:rPr>
              <w:fldChar w:fldCharType="end"/>
            </w:r>
          </w:hyperlink>
        </w:p>
        <w:p w14:paraId="1597F10C" w14:textId="06D65A24" w:rsidR="005E4C5E" w:rsidRPr="005E4C5E" w:rsidRDefault="005E4C5E" w:rsidP="005E4C5E">
          <w:pPr>
            <w:pStyle w:val="TOC2"/>
            <w:tabs>
              <w:tab w:val="right" w:leader="dot" w:pos="9016"/>
            </w:tabs>
            <w:rPr>
              <w:rFonts w:ascii="Arial" w:hAnsi="Arial" w:cs="Arial"/>
              <w:noProof/>
            </w:rPr>
          </w:pPr>
          <w:hyperlink w:anchor="_Toc235738251" w:history="1">
            <w:r w:rsidRPr="005E4C5E">
              <w:rPr>
                <w:rStyle w:val="Hyperlink"/>
                <w:rFonts w:ascii="Arial" w:eastAsia="Arial" w:hAnsi="Arial" w:cs="Arial"/>
                <w:noProof/>
              </w:rPr>
              <w:t>2.1 Overview of Financial Performance</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_Toc235738251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5</w:t>
            </w:r>
            <w:r w:rsidRPr="005E4C5E">
              <w:rPr>
                <w:rFonts w:ascii="Arial" w:hAnsi="Arial" w:cs="Arial"/>
                <w:noProof/>
                <w:webHidden/>
              </w:rPr>
              <w:fldChar w:fldCharType="end"/>
            </w:r>
          </w:hyperlink>
        </w:p>
        <w:p w14:paraId="0107177B" w14:textId="420B79A0" w:rsidR="005E4C5E" w:rsidRPr="005E4C5E" w:rsidRDefault="005E4C5E" w:rsidP="005E4C5E">
          <w:pPr>
            <w:pStyle w:val="TOC2"/>
            <w:tabs>
              <w:tab w:val="right" w:leader="dot" w:pos="9016"/>
            </w:tabs>
            <w:rPr>
              <w:rFonts w:ascii="Arial" w:hAnsi="Arial" w:cs="Arial"/>
              <w:noProof/>
            </w:rPr>
          </w:pPr>
          <w:hyperlink w:anchor="_Toc235738252" w:history="1">
            <w:r w:rsidRPr="005E4C5E">
              <w:rPr>
                <w:rStyle w:val="Hyperlink"/>
                <w:rFonts w:ascii="Arial" w:eastAsia="Arial" w:hAnsi="Arial" w:cs="Arial"/>
                <w:noProof/>
              </w:rPr>
              <w:t>2.2 Ratio Analysis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_Toc235738252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6</w:t>
            </w:r>
            <w:r w:rsidRPr="005E4C5E">
              <w:rPr>
                <w:rFonts w:ascii="Arial" w:hAnsi="Arial" w:cs="Arial"/>
                <w:noProof/>
                <w:webHidden/>
              </w:rPr>
              <w:fldChar w:fldCharType="end"/>
            </w:r>
          </w:hyperlink>
        </w:p>
        <w:p w14:paraId="081C6D0E" w14:textId="6C659EFC" w:rsidR="005E4C5E" w:rsidRPr="005E4C5E" w:rsidRDefault="005E4C5E" w:rsidP="005E4C5E">
          <w:pPr>
            <w:pStyle w:val="TOC2"/>
            <w:tabs>
              <w:tab w:val="right" w:leader="dot" w:pos="9016"/>
            </w:tabs>
            <w:rPr>
              <w:rFonts w:ascii="Arial" w:hAnsi="Arial" w:cs="Arial"/>
              <w:noProof/>
            </w:rPr>
          </w:pPr>
          <w:hyperlink w:anchor="_Toc235738253" w:history="1">
            <w:r w:rsidRPr="005E4C5E">
              <w:rPr>
                <w:rStyle w:val="Hyperlink"/>
                <w:rFonts w:ascii="Arial" w:eastAsia="Arial" w:hAnsi="Arial" w:cs="Arial"/>
                <w:noProof/>
              </w:rPr>
              <w:t>2.3 Trend Analysis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_Toc235738253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11</w:t>
            </w:r>
            <w:r w:rsidRPr="005E4C5E">
              <w:rPr>
                <w:rFonts w:ascii="Arial" w:hAnsi="Arial" w:cs="Arial"/>
                <w:noProof/>
                <w:webHidden/>
              </w:rPr>
              <w:fldChar w:fldCharType="end"/>
            </w:r>
          </w:hyperlink>
        </w:p>
        <w:p w14:paraId="45905B5F" w14:textId="20103C75" w:rsidR="005E4C5E" w:rsidRPr="005E4C5E" w:rsidRDefault="005E4C5E" w:rsidP="005E4C5E">
          <w:pPr>
            <w:pStyle w:val="TOC2"/>
            <w:tabs>
              <w:tab w:val="right" w:leader="dot" w:pos="9016"/>
            </w:tabs>
            <w:rPr>
              <w:rFonts w:ascii="Arial" w:hAnsi="Arial" w:cs="Arial"/>
              <w:noProof/>
            </w:rPr>
          </w:pPr>
          <w:hyperlink w:anchor="_Toc235738254" w:history="1">
            <w:r w:rsidRPr="005E4C5E">
              <w:rPr>
                <w:rStyle w:val="Hyperlink"/>
                <w:rFonts w:ascii="Arial" w:eastAsia="Arial" w:hAnsi="Arial" w:cs="Arial"/>
                <w:noProof/>
              </w:rPr>
              <w:t>2.4 Strengths and Weaknesses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_Toc235738254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12</w:t>
            </w:r>
            <w:r w:rsidRPr="005E4C5E">
              <w:rPr>
                <w:rFonts w:ascii="Arial" w:hAnsi="Arial" w:cs="Arial"/>
                <w:noProof/>
                <w:webHidden/>
              </w:rPr>
              <w:fldChar w:fldCharType="end"/>
            </w:r>
          </w:hyperlink>
        </w:p>
        <w:p w14:paraId="4E0E3413" w14:textId="7EC372C8" w:rsidR="005E4C5E" w:rsidRPr="005E4C5E" w:rsidRDefault="005E4C5E" w:rsidP="005E4C5E">
          <w:pPr>
            <w:pStyle w:val="TOC1"/>
            <w:tabs>
              <w:tab w:val="right" w:leader="dot" w:pos="9016"/>
            </w:tabs>
            <w:rPr>
              <w:rFonts w:ascii="Arial" w:hAnsi="Arial" w:cs="Arial"/>
              <w:noProof/>
            </w:rPr>
          </w:pPr>
          <w:hyperlink w:anchor="_Toc235738255" w:history="1">
            <w:r w:rsidRPr="005E4C5E">
              <w:rPr>
                <w:rStyle w:val="Hyperlink"/>
                <w:rFonts w:ascii="Arial" w:eastAsia="Arial" w:hAnsi="Arial" w:cs="Arial"/>
                <w:noProof/>
              </w:rPr>
              <w:t>3. Working Capital Management Analysis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_Toc235738255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12</w:t>
            </w:r>
            <w:r w:rsidRPr="005E4C5E">
              <w:rPr>
                <w:rFonts w:ascii="Arial" w:hAnsi="Arial" w:cs="Arial"/>
                <w:noProof/>
                <w:webHidden/>
              </w:rPr>
              <w:fldChar w:fldCharType="end"/>
            </w:r>
          </w:hyperlink>
        </w:p>
        <w:p w14:paraId="11F095EC" w14:textId="339D619F" w:rsidR="005E4C5E" w:rsidRPr="005E4C5E" w:rsidRDefault="005E4C5E" w:rsidP="005E4C5E">
          <w:pPr>
            <w:pStyle w:val="TOC2"/>
            <w:tabs>
              <w:tab w:val="right" w:leader="dot" w:pos="9016"/>
            </w:tabs>
            <w:rPr>
              <w:rFonts w:ascii="Arial" w:hAnsi="Arial" w:cs="Arial"/>
              <w:noProof/>
            </w:rPr>
          </w:pPr>
          <w:hyperlink w:anchor="_Toc235738256" w:history="1">
            <w:r w:rsidRPr="005E4C5E">
              <w:rPr>
                <w:rStyle w:val="Hyperlink"/>
                <w:rFonts w:ascii="Arial" w:eastAsia="Arial" w:hAnsi="Arial" w:cs="Arial"/>
                <w:noProof/>
              </w:rPr>
              <w:t>3.1 Cash Operating Cycle</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_Toc235738256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12</w:t>
            </w:r>
            <w:r w:rsidRPr="005E4C5E">
              <w:rPr>
                <w:rFonts w:ascii="Arial" w:hAnsi="Arial" w:cs="Arial"/>
                <w:noProof/>
                <w:webHidden/>
              </w:rPr>
              <w:fldChar w:fldCharType="end"/>
            </w:r>
          </w:hyperlink>
        </w:p>
        <w:p w14:paraId="55B42A1E" w14:textId="09F5F05C" w:rsidR="005E4C5E" w:rsidRPr="005E4C5E" w:rsidRDefault="005E4C5E" w:rsidP="005E4C5E">
          <w:pPr>
            <w:pStyle w:val="TOC2"/>
            <w:tabs>
              <w:tab w:val="right" w:leader="dot" w:pos="9016"/>
            </w:tabs>
            <w:rPr>
              <w:rFonts w:ascii="Arial" w:hAnsi="Arial" w:cs="Arial"/>
              <w:noProof/>
            </w:rPr>
          </w:pPr>
          <w:hyperlink w:anchor="_Toc235738257" w:history="1">
            <w:r w:rsidRPr="005E4C5E">
              <w:rPr>
                <w:rStyle w:val="Hyperlink"/>
                <w:rFonts w:ascii="Arial" w:eastAsia="Arial" w:hAnsi="Arial" w:cs="Arial"/>
                <w:noProof/>
              </w:rPr>
              <w:t>3.2 Liquidity Evaluation</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_Toc235738257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13</w:t>
            </w:r>
            <w:r w:rsidRPr="005E4C5E">
              <w:rPr>
                <w:rFonts w:ascii="Arial" w:hAnsi="Arial" w:cs="Arial"/>
                <w:noProof/>
                <w:webHidden/>
              </w:rPr>
              <w:fldChar w:fldCharType="end"/>
            </w:r>
          </w:hyperlink>
        </w:p>
        <w:p w14:paraId="7BC0A141" w14:textId="5FB1666B" w:rsidR="005E4C5E" w:rsidRPr="005E4C5E" w:rsidRDefault="005E4C5E" w:rsidP="005E4C5E">
          <w:pPr>
            <w:pStyle w:val="TOC2"/>
            <w:tabs>
              <w:tab w:val="right" w:leader="dot" w:pos="9016"/>
            </w:tabs>
            <w:rPr>
              <w:rFonts w:ascii="Arial" w:hAnsi="Arial" w:cs="Arial"/>
              <w:noProof/>
            </w:rPr>
          </w:pPr>
          <w:hyperlink w:anchor="_Toc235738258" w:history="1">
            <w:r w:rsidRPr="005E4C5E">
              <w:rPr>
                <w:rStyle w:val="Hyperlink"/>
                <w:rFonts w:ascii="Arial" w:eastAsia="Arial" w:hAnsi="Arial" w:cs="Arial"/>
                <w:noProof/>
              </w:rPr>
              <w:t>3.3 Improvement Strategies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_Toc235738258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13</w:t>
            </w:r>
            <w:r w:rsidRPr="005E4C5E">
              <w:rPr>
                <w:rFonts w:ascii="Arial" w:hAnsi="Arial" w:cs="Arial"/>
                <w:noProof/>
                <w:webHidden/>
              </w:rPr>
              <w:fldChar w:fldCharType="end"/>
            </w:r>
          </w:hyperlink>
        </w:p>
        <w:p w14:paraId="27F72B15" w14:textId="5044CCB8" w:rsidR="005E4C5E" w:rsidRPr="005E4C5E" w:rsidRDefault="005E4C5E" w:rsidP="005E4C5E">
          <w:pPr>
            <w:pStyle w:val="TOC2"/>
            <w:tabs>
              <w:tab w:val="right" w:leader="dot" w:pos="9016"/>
            </w:tabs>
            <w:rPr>
              <w:rFonts w:ascii="Arial" w:hAnsi="Arial" w:cs="Arial"/>
              <w:noProof/>
            </w:rPr>
          </w:pPr>
          <w:hyperlink w:anchor="_Toc235738259" w:history="1">
            <w:r w:rsidRPr="005E4C5E">
              <w:rPr>
                <w:rStyle w:val="Hyperlink"/>
                <w:rFonts w:ascii="Arial" w:eastAsia="Arial" w:hAnsi="Arial" w:cs="Arial"/>
                <w:noProof/>
              </w:rPr>
              <w:t>3.4 Financing Options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_Toc235738259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13</w:t>
            </w:r>
            <w:r w:rsidRPr="005E4C5E">
              <w:rPr>
                <w:rFonts w:ascii="Arial" w:hAnsi="Arial" w:cs="Arial"/>
                <w:noProof/>
                <w:webHidden/>
              </w:rPr>
              <w:fldChar w:fldCharType="end"/>
            </w:r>
          </w:hyperlink>
        </w:p>
        <w:p w14:paraId="503C90D5" w14:textId="2D7BA816" w:rsidR="005E4C5E" w:rsidRPr="005E4C5E" w:rsidRDefault="005E4C5E" w:rsidP="005E4C5E">
          <w:pPr>
            <w:pStyle w:val="TOC1"/>
            <w:tabs>
              <w:tab w:val="right" w:leader="dot" w:pos="9016"/>
            </w:tabs>
            <w:rPr>
              <w:rFonts w:ascii="Arial" w:hAnsi="Arial" w:cs="Arial"/>
              <w:noProof/>
            </w:rPr>
          </w:pPr>
          <w:hyperlink w:anchor="_Toc235738260" w:history="1">
            <w:r w:rsidRPr="005E4C5E">
              <w:rPr>
                <w:rStyle w:val="Hyperlink"/>
                <w:rFonts w:ascii="Arial" w:eastAsia="Arial" w:hAnsi="Arial" w:cs="Arial"/>
                <w:noProof/>
              </w:rPr>
              <w:t>4. Strategic Financial Restructuring Plan</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_Toc235738260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14</w:t>
            </w:r>
            <w:r w:rsidRPr="005E4C5E">
              <w:rPr>
                <w:rFonts w:ascii="Arial" w:hAnsi="Arial" w:cs="Arial"/>
                <w:noProof/>
                <w:webHidden/>
              </w:rPr>
              <w:fldChar w:fldCharType="end"/>
            </w:r>
          </w:hyperlink>
        </w:p>
        <w:p w14:paraId="3E8D0ACE" w14:textId="2D6E02E7" w:rsidR="005E4C5E" w:rsidRPr="005E4C5E" w:rsidRDefault="005E4C5E" w:rsidP="005E4C5E">
          <w:pPr>
            <w:pStyle w:val="TOC2"/>
            <w:tabs>
              <w:tab w:val="right" w:leader="dot" w:pos="9016"/>
            </w:tabs>
            <w:rPr>
              <w:rFonts w:ascii="Arial" w:hAnsi="Arial" w:cs="Arial"/>
              <w:noProof/>
            </w:rPr>
          </w:pPr>
          <w:hyperlink w:anchor="_Toc235738261" w:history="1">
            <w:r w:rsidRPr="005E4C5E">
              <w:rPr>
                <w:rStyle w:val="Hyperlink"/>
                <w:rFonts w:ascii="Arial" w:eastAsia="Arial" w:hAnsi="Arial" w:cs="Arial"/>
                <w:noProof/>
              </w:rPr>
              <w:t>4.1 Need for Restructuring</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_Toc235738261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14</w:t>
            </w:r>
            <w:r w:rsidRPr="005E4C5E">
              <w:rPr>
                <w:rFonts w:ascii="Arial" w:hAnsi="Arial" w:cs="Arial"/>
                <w:noProof/>
                <w:webHidden/>
              </w:rPr>
              <w:fldChar w:fldCharType="end"/>
            </w:r>
          </w:hyperlink>
        </w:p>
        <w:p w14:paraId="43E448FE" w14:textId="383E9AF8" w:rsidR="005E4C5E" w:rsidRPr="005E4C5E" w:rsidRDefault="005E4C5E" w:rsidP="005E4C5E">
          <w:pPr>
            <w:pStyle w:val="TOC2"/>
            <w:tabs>
              <w:tab w:val="right" w:leader="dot" w:pos="9016"/>
            </w:tabs>
            <w:rPr>
              <w:rFonts w:ascii="Arial" w:hAnsi="Arial" w:cs="Arial"/>
              <w:noProof/>
            </w:rPr>
          </w:pPr>
          <w:hyperlink w:anchor="_Toc235738262" w:history="1">
            <w:r w:rsidRPr="005E4C5E">
              <w:rPr>
                <w:rStyle w:val="Hyperlink"/>
                <w:rFonts w:ascii="Arial" w:eastAsia="Arial" w:hAnsi="Arial" w:cs="Arial"/>
                <w:noProof/>
              </w:rPr>
              <w:t>4.2 Proposed Strategies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_Toc235738262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15</w:t>
            </w:r>
            <w:r w:rsidRPr="005E4C5E">
              <w:rPr>
                <w:rFonts w:ascii="Arial" w:hAnsi="Arial" w:cs="Arial"/>
                <w:noProof/>
                <w:webHidden/>
              </w:rPr>
              <w:fldChar w:fldCharType="end"/>
            </w:r>
          </w:hyperlink>
        </w:p>
        <w:p w14:paraId="27D10F0B" w14:textId="19690185" w:rsidR="005E4C5E" w:rsidRPr="005E4C5E" w:rsidRDefault="005E4C5E" w:rsidP="005E4C5E">
          <w:pPr>
            <w:pStyle w:val="TOC2"/>
            <w:tabs>
              <w:tab w:val="right" w:leader="dot" w:pos="9016"/>
            </w:tabs>
            <w:rPr>
              <w:rFonts w:ascii="Arial" w:hAnsi="Arial" w:cs="Arial"/>
              <w:noProof/>
            </w:rPr>
          </w:pPr>
          <w:hyperlink w:anchor="_Toc235738263" w:history="1">
            <w:r w:rsidRPr="005E4C5E">
              <w:rPr>
                <w:rStyle w:val="Hyperlink"/>
                <w:rFonts w:ascii="Arial" w:eastAsia="Arial" w:hAnsi="Arial" w:cs="Arial"/>
                <w:noProof/>
              </w:rPr>
              <w:t>4.3 Impact Analysis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_Toc235738263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15</w:t>
            </w:r>
            <w:r w:rsidRPr="005E4C5E">
              <w:rPr>
                <w:rFonts w:ascii="Arial" w:hAnsi="Arial" w:cs="Arial"/>
                <w:noProof/>
                <w:webHidden/>
              </w:rPr>
              <w:fldChar w:fldCharType="end"/>
            </w:r>
          </w:hyperlink>
        </w:p>
        <w:p w14:paraId="1A3AD983" w14:textId="1809C25C" w:rsidR="005E4C5E" w:rsidRPr="005E4C5E" w:rsidRDefault="005E4C5E" w:rsidP="005E4C5E">
          <w:pPr>
            <w:pStyle w:val="TOC2"/>
            <w:tabs>
              <w:tab w:val="right" w:leader="dot" w:pos="9016"/>
            </w:tabs>
            <w:rPr>
              <w:rFonts w:ascii="Arial" w:hAnsi="Arial" w:cs="Arial"/>
              <w:noProof/>
            </w:rPr>
          </w:pPr>
          <w:hyperlink w:anchor="_Toc235738264" w:history="1">
            <w:r w:rsidRPr="005E4C5E">
              <w:rPr>
                <w:rStyle w:val="Hyperlink"/>
                <w:rFonts w:ascii="Arial" w:eastAsia="Arial" w:hAnsi="Arial" w:cs="Arial"/>
                <w:noProof/>
              </w:rPr>
              <w:t>4.4 Global &amp; Ethical Considerations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_Toc235738264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16</w:t>
            </w:r>
            <w:r w:rsidRPr="005E4C5E">
              <w:rPr>
                <w:rFonts w:ascii="Arial" w:hAnsi="Arial" w:cs="Arial"/>
                <w:noProof/>
                <w:webHidden/>
              </w:rPr>
              <w:fldChar w:fldCharType="end"/>
            </w:r>
          </w:hyperlink>
        </w:p>
        <w:p w14:paraId="5EB73920" w14:textId="4EFA26E7" w:rsidR="005E4C5E" w:rsidRPr="005E4C5E" w:rsidRDefault="005E4C5E" w:rsidP="005E4C5E">
          <w:pPr>
            <w:pStyle w:val="TOC1"/>
            <w:tabs>
              <w:tab w:val="right" w:leader="dot" w:pos="9016"/>
            </w:tabs>
            <w:rPr>
              <w:rFonts w:ascii="Arial" w:hAnsi="Arial" w:cs="Arial"/>
              <w:noProof/>
            </w:rPr>
          </w:pPr>
          <w:hyperlink w:anchor="_Toc235738265" w:history="1">
            <w:r w:rsidRPr="005E4C5E">
              <w:rPr>
                <w:rStyle w:val="Hyperlink"/>
                <w:rFonts w:ascii="Arial" w:eastAsia="Arial" w:hAnsi="Arial" w:cs="Arial"/>
                <w:noProof/>
              </w:rPr>
              <w:t>5. Investment Appraisal &amp; Capital Budgeting</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_Toc235738265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16</w:t>
            </w:r>
            <w:r w:rsidRPr="005E4C5E">
              <w:rPr>
                <w:rFonts w:ascii="Arial" w:hAnsi="Arial" w:cs="Arial"/>
                <w:noProof/>
                <w:webHidden/>
              </w:rPr>
              <w:fldChar w:fldCharType="end"/>
            </w:r>
          </w:hyperlink>
        </w:p>
        <w:p w14:paraId="361765DB" w14:textId="336F2C62" w:rsidR="005E4C5E" w:rsidRPr="005E4C5E" w:rsidRDefault="005E4C5E" w:rsidP="005E4C5E">
          <w:pPr>
            <w:pStyle w:val="TOC2"/>
            <w:tabs>
              <w:tab w:val="right" w:leader="dot" w:pos="9016"/>
            </w:tabs>
            <w:rPr>
              <w:rFonts w:ascii="Arial" w:hAnsi="Arial" w:cs="Arial"/>
              <w:noProof/>
            </w:rPr>
          </w:pPr>
          <w:hyperlink w:anchor="_Toc235738266" w:history="1">
            <w:r w:rsidRPr="005E4C5E">
              <w:rPr>
                <w:rStyle w:val="Hyperlink"/>
                <w:rFonts w:ascii="Arial" w:eastAsia="Arial" w:hAnsi="Arial" w:cs="Arial"/>
                <w:noProof/>
              </w:rPr>
              <w:t>5.1 Project Evaluation Methods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_Toc235738266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16</w:t>
            </w:r>
            <w:r w:rsidRPr="005E4C5E">
              <w:rPr>
                <w:rFonts w:ascii="Arial" w:hAnsi="Arial" w:cs="Arial"/>
                <w:noProof/>
                <w:webHidden/>
              </w:rPr>
              <w:fldChar w:fldCharType="end"/>
            </w:r>
          </w:hyperlink>
        </w:p>
        <w:p w14:paraId="3AAB453F" w14:textId="7E162025" w:rsidR="005E4C5E" w:rsidRPr="005E4C5E" w:rsidRDefault="005E4C5E" w:rsidP="005E4C5E">
          <w:pPr>
            <w:pStyle w:val="TOC2"/>
            <w:tabs>
              <w:tab w:val="right" w:leader="dot" w:pos="9016"/>
            </w:tabs>
            <w:rPr>
              <w:rFonts w:ascii="Arial" w:hAnsi="Arial" w:cs="Arial"/>
              <w:noProof/>
            </w:rPr>
          </w:pPr>
          <w:hyperlink w:anchor="_Toc235738267" w:history="1">
            <w:r w:rsidRPr="005E4C5E">
              <w:rPr>
                <w:rStyle w:val="Hyperlink"/>
                <w:rFonts w:ascii="Arial" w:eastAsia="Arial" w:hAnsi="Arial" w:cs="Arial"/>
                <w:noProof/>
              </w:rPr>
              <w:t>5.2 Evaluation of Projects A, B, and C</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_Toc235738267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17</w:t>
            </w:r>
            <w:r w:rsidRPr="005E4C5E">
              <w:rPr>
                <w:rFonts w:ascii="Arial" w:hAnsi="Arial" w:cs="Arial"/>
                <w:noProof/>
                <w:webHidden/>
              </w:rPr>
              <w:fldChar w:fldCharType="end"/>
            </w:r>
          </w:hyperlink>
        </w:p>
        <w:p w14:paraId="578C4EB0" w14:textId="70238E1B" w:rsidR="005E4C5E" w:rsidRPr="005E4C5E" w:rsidRDefault="005E4C5E" w:rsidP="005E4C5E">
          <w:pPr>
            <w:pStyle w:val="TOC2"/>
            <w:tabs>
              <w:tab w:val="right" w:leader="dot" w:pos="9016"/>
            </w:tabs>
            <w:rPr>
              <w:rFonts w:ascii="Arial" w:hAnsi="Arial" w:cs="Arial"/>
              <w:noProof/>
            </w:rPr>
          </w:pPr>
          <w:hyperlink w:anchor="_Toc235738268" w:history="1">
            <w:r w:rsidRPr="005E4C5E">
              <w:rPr>
                <w:rStyle w:val="Hyperlink"/>
                <w:rFonts w:ascii="Arial" w:eastAsia="Arial" w:hAnsi="Arial" w:cs="Arial"/>
                <w:noProof/>
              </w:rPr>
              <w:t>5.3 Project Selection</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_Toc235738268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18</w:t>
            </w:r>
            <w:r w:rsidRPr="005E4C5E">
              <w:rPr>
                <w:rFonts w:ascii="Arial" w:hAnsi="Arial" w:cs="Arial"/>
                <w:noProof/>
                <w:webHidden/>
              </w:rPr>
              <w:fldChar w:fldCharType="end"/>
            </w:r>
          </w:hyperlink>
        </w:p>
        <w:p w14:paraId="3CB396BF" w14:textId="3D808E41" w:rsidR="005E4C5E" w:rsidRPr="005E4C5E" w:rsidRDefault="005E4C5E" w:rsidP="005E4C5E">
          <w:pPr>
            <w:pStyle w:val="TOC2"/>
            <w:tabs>
              <w:tab w:val="right" w:leader="dot" w:pos="9016"/>
            </w:tabs>
            <w:rPr>
              <w:rFonts w:ascii="Arial" w:hAnsi="Arial" w:cs="Arial"/>
              <w:noProof/>
            </w:rPr>
          </w:pPr>
          <w:hyperlink w:anchor="_Toc235738269" w:history="1">
            <w:r w:rsidRPr="005E4C5E">
              <w:rPr>
                <w:rStyle w:val="Hyperlink"/>
                <w:rFonts w:ascii="Arial" w:eastAsia="Arial" w:hAnsi="Arial" w:cs="Arial"/>
                <w:noProof/>
              </w:rPr>
              <w:t>5.4 Capital Rationing Decision</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_Toc235738269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19</w:t>
            </w:r>
            <w:r w:rsidRPr="005E4C5E">
              <w:rPr>
                <w:rFonts w:ascii="Arial" w:hAnsi="Arial" w:cs="Arial"/>
                <w:noProof/>
                <w:webHidden/>
              </w:rPr>
              <w:fldChar w:fldCharType="end"/>
            </w:r>
          </w:hyperlink>
        </w:p>
        <w:p w14:paraId="50AAEAF0" w14:textId="1A6FC56B" w:rsidR="005E4C5E" w:rsidRPr="005E4C5E" w:rsidRDefault="005E4C5E" w:rsidP="005E4C5E">
          <w:pPr>
            <w:pStyle w:val="TOC2"/>
            <w:tabs>
              <w:tab w:val="right" w:leader="dot" w:pos="9016"/>
            </w:tabs>
            <w:rPr>
              <w:rFonts w:ascii="Arial" w:hAnsi="Arial" w:cs="Arial"/>
              <w:noProof/>
            </w:rPr>
          </w:pPr>
          <w:hyperlink w:anchor="_Toc235738270" w:history="1">
            <w:r w:rsidRPr="005E4C5E">
              <w:rPr>
                <w:rStyle w:val="Hyperlink"/>
                <w:rFonts w:ascii="Arial" w:eastAsia="Arial" w:hAnsi="Arial" w:cs="Arial"/>
                <w:noProof/>
              </w:rPr>
              <w:t>5.5 Risk Considerations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_Toc235738270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19</w:t>
            </w:r>
            <w:r w:rsidRPr="005E4C5E">
              <w:rPr>
                <w:rFonts w:ascii="Arial" w:hAnsi="Arial" w:cs="Arial"/>
                <w:noProof/>
                <w:webHidden/>
              </w:rPr>
              <w:fldChar w:fldCharType="end"/>
            </w:r>
          </w:hyperlink>
        </w:p>
        <w:p w14:paraId="4803D2F4" w14:textId="6E0FDAEE" w:rsidR="005E4C5E" w:rsidRPr="005E4C5E" w:rsidRDefault="005E4C5E" w:rsidP="005E4C5E">
          <w:pPr>
            <w:pStyle w:val="TOC1"/>
            <w:tabs>
              <w:tab w:val="right" w:leader="dot" w:pos="9016"/>
            </w:tabs>
            <w:rPr>
              <w:rFonts w:ascii="Arial" w:hAnsi="Arial" w:cs="Arial"/>
              <w:noProof/>
            </w:rPr>
          </w:pPr>
          <w:hyperlink w:anchor="_Toc235738271" w:history="1">
            <w:r w:rsidRPr="005E4C5E">
              <w:rPr>
                <w:rStyle w:val="Hyperlink"/>
                <w:rFonts w:ascii="Arial" w:eastAsia="Arial" w:hAnsi="Arial" w:cs="Arial"/>
                <w:noProof/>
              </w:rPr>
              <w:t>6. Critical Reflection on AI Usage</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_Toc235738271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20</w:t>
            </w:r>
            <w:r w:rsidRPr="005E4C5E">
              <w:rPr>
                <w:rFonts w:ascii="Arial" w:hAnsi="Arial" w:cs="Arial"/>
                <w:noProof/>
                <w:webHidden/>
              </w:rPr>
              <w:fldChar w:fldCharType="end"/>
            </w:r>
          </w:hyperlink>
        </w:p>
        <w:p w14:paraId="55C0A558" w14:textId="3C83D1F1" w:rsidR="005E4C5E" w:rsidRPr="005E4C5E" w:rsidRDefault="005E4C5E" w:rsidP="005E4C5E">
          <w:pPr>
            <w:pStyle w:val="TOC1"/>
            <w:tabs>
              <w:tab w:val="right" w:leader="dot" w:pos="9016"/>
            </w:tabs>
            <w:rPr>
              <w:rFonts w:ascii="Arial" w:hAnsi="Arial" w:cs="Arial"/>
              <w:noProof/>
            </w:rPr>
          </w:pPr>
          <w:hyperlink w:anchor="_Toc235738272" w:history="1">
            <w:r w:rsidRPr="005E4C5E">
              <w:rPr>
                <w:rStyle w:val="Hyperlink"/>
                <w:rFonts w:ascii="Arial" w:eastAsia="Arial" w:hAnsi="Arial" w:cs="Arial"/>
                <w:noProof/>
              </w:rPr>
              <w:t>7. Conclusion</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_Toc235738272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21</w:t>
            </w:r>
            <w:r w:rsidRPr="005E4C5E">
              <w:rPr>
                <w:rFonts w:ascii="Arial" w:hAnsi="Arial" w:cs="Arial"/>
                <w:noProof/>
                <w:webHidden/>
              </w:rPr>
              <w:fldChar w:fldCharType="end"/>
            </w:r>
          </w:hyperlink>
        </w:p>
        <w:p w14:paraId="5A93FE7A" w14:textId="4B0657A9" w:rsidR="005E4C5E" w:rsidRPr="005E4C5E" w:rsidRDefault="005E4C5E" w:rsidP="005E4C5E">
          <w:pPr>
            <w:pStyle w:val="TOC1"/>
            <w:tabs>
              <w:tab w:val="right" w:leader="dot" w:pos="9016"/>
            </w:tabs>
            <w:rPr>
              <w:rFonts w:ascii="Arial" w:hAnsi="Arial" w:cs="Arial"/>
              <w:noProof/>
            </w:rPr>
          </w:pPr>
          <w:hyperlink w:anchor="_Toc235738273" w:history="1">
            <w:r w:rsidRPr="005E4C5E">
              <w:rPr>
                <w:rStyle w:val="Hyperlink"/>
                <w:rFonts w:ascii="Arial" w:eastAsia="Arial" w:hAnsi="Arial" w:cs="Arial"/>
                <w:noProof/>
              </w:rPr>
              <w:t>References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_Toc235738273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22</w:t>
            </w:r>
            <w:r w:rsidRPr="005E4C5E">
              <w:rPr>
                <w:rFonts w:ascii="Arial" w:hAnsi="Arial" w:cs="Arial"/>
                <w:noProof/>
                <w:webHidden/>
              </w:rPr>
              <w:fldChar w:fldCharType="end"/>
            </w:r>
          </w:hyperlink>
        </w:p>
        <w:p w14:paraId="7A968288" w14:textId="65784928" w:rsidR="005E4C5E" w:rsidRPr="005E4C5E" w:rsidRDefault="005E4C5E" w:rsidP="005E4C5E">
          <w:pPr>
            <w:pStyle w:val="TOC1"/>
            <w:tabs>
              <w:tab w:val="right" w:leader="dot" w:pos="9016"/>
            </w:tabs>
            <w:rPr>
              <w:rFonts w:ascii="Arial" w:hAnsi="Arial" w:cs="Arial"/>
              <w:noProof/>
            </w:rPr>
          </w:pPr>
          <w:hyperlink w:anchor="_Toc235738274" w:history="1">
            <w:r w:rsidRPr="005E4C5E">
              <w:rPr>
                <w:rStyle w:val="Hyperlink"/>
                <w:rFonts w:ascii="Arial" w:eastAsia="Arial" w:hAnsi="Arial" w:cs="Arial"/>
                <w:noProof/>
              </w:rPr>
              <w:t>Appendices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_Toc235738274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25</w:t>
            </w:r>
            <w:r w:rsidRPr="005E4C5E">
              <w:rPr>
                <w:rFonts w:ascii="Arial" w:hAnsi="Arial" w:cs="Arial"/>
                <w:noProof/>
                <w:webHidden/>
              </w:rPr>
              <w:fldChar w:fldCharType="end"/>
            </w:r>
          </w:hyperlink>
        </w:p>
        <w:p w14:paraId="7B1A910A" w14:textId="56CFEBE0" w:rsidR="005E4C5E" w:rsidRPr="005E4C5E" w:rsidRDefault="005E4C5E" w:rsidP="005E4C5E">
          <w:pPr>
            <w:pStyle w:val="TOC2"/>
            <w:tabs>
              <w:tab w:val="right" w:leader="dot" w:pos="9016"/>
            </w:tabs>
            <w:rPr>
              <w:rFonts w:ascii="Arial" w:hAnsi="Arial" w:cs="Arial"/>
              <w:noProof/>
            </w:rPr>
          </w:pPr>
          <w:hyperlink w:anchor="_Toc235738275" w:history="1">
            <w:r w:rsidRPr="005E4C5E">
              <w:rPr>
                <w:rStyle w:val="Hyperlink"/>
                <w:rFonts w:ascii="Arial" w:eastAsia="Arial" w:hAnsi="Arial" w:cs="Arial"/>
                <w:noProof/>
              </w:rPr>
              <w:t>Appendix 1: Income Statement</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_Toc235738275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25</w:t>
            </w:r>
            <w:r w:rsidRPr="005E4C5E">
              <w:rPr>
                <w:rFonts w:ascii="Arial" w:hAnsi="Arial" w:cs="Arial"/>
                <w:noProof/>
                <w:webHidden/>
              </w:rPr>
              <w:fldChar w:fldCharType="end"/>
            </w:r>
          </w:hyperlink>
        </w:p>
        <w:p w14:paraId="453B33BB" w14:textId="2C3B4A6B" w:rsidR="005E4C5E" w:rsidRPr="005E4C5E" w:rsidRDefault="005E4C5E" w:rsidP="005E4C5E">
          <w:pPr>
            <w:pStyle w:val="TOC2"/>
            <w:tabs>
              <w:tab w:val="right" w:leader="dot" w:pos="9016"/>
            </w:tabs>
            <w:rPr>
              <w:rFonts w:ascii="Arial" w:hAnsi="Arial" w:cs="Arial"/>
              <w:noProof/>
            </w:rPr>
          </w:pPr>
          <w:hyperlink w:anchor="_Toc235738276" w:history="1">
            <w:r w:rsidRPr="005E4C5E">
              <w:rPr>
                <w:rStyle w:val="Hyperlink"/>
                <w:rFonts w:ascii="Arial" w:eastAsia="Arial" w:hAnsi="Arial" w:cs="Arial"/>
                <w:noProof/>
              </w:rPr>
              <w:t>Appendix 2: Balance Sheet</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_Toc235738276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27</w:t>
            </w:r>
            <w:r w:rsidRPr="005E4C5E">
              <w:rPr>
                <w:rFonts w:ascii="Arial" w:hAnsi="Arial" w:cs="Arial"/>
                <w:noProof/>
                <w:webHidden/>
              </w:rPr>
              <w:fldChar w:fldCharType="end"/>
            </w:r>
          </w:hyperlink>
        </w:p>
        <w:p w14:paraId="0B3C5398" w14:textId="38EED3FF" w:rsidR="005E4C5E" w:rsidRPr="005E4C5E" w:rsidRDefault="005E4C5E" w:rsidP="005E4C5E">
          <w:pPr>
            <w:pStyle w:val="TOC2"/>
            <w:tabs>
              <w:tab w:val="right" w:leader="dot" w:pos="9016"/>
            </w:tabs>
            <w:rPr>
              <w:rFonts w:ascii="Arial" w:hAnsi="Arial" w:cs="Arial"/>
              <w:noProof/>
            </w:rPr>
          </w:pPr>
          <w:hyperlink w:anchor="_Toc235738277" w:history="1">
            <w:r w:rsidRPr="005E4C5E">
              <w:rPr>
                <w:rStyle w:val="Hyperlink"/>
                <w:rFonts w:ascii="Arial" w:eastAsia="Arial" w:hAnsi="Arial" w:cs="Arial"/>
                <w:noProof/>
              </w:rPr>
              <w:t>Appendix 3: Cashflow Statement</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_Toc235738277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29</w:t>
            </w:r>
            <w:r w:rsidRPr="005E4C5E">
              <w:rPr>
                <w:rFonts w:ascii="Arial" w:hAnsi="Arial" w:cs="Arial"/>
                <w:noProof/>
                <w:webHidden/>
              </w:rPr>
              <w:fldChar w:fldCharType="end"/>
            </w:r>
          </w:hyperlink>
        </w:p>
        <w:p w14:paraId="245FACB6" w14:textId="6D2AF0FC" w:rsidR="005E4C5E" w:rsidRDefault="005E4C5E" w:rsidP="005E4C5E">
          <w:pPr>
            <w:pStyle w:val="TOC2"/>
            <w:tabs>
              <w:tab w:val="right" w:leader="dot" w:pos="9016"/>
            </w:tabs>
            <w:rPr>
              <w:noProof/>
            </w:rPr>
          </w:pPr>
          <w:hyperlink w:anchor="_Toc235738278" w:history="1">
            <w:r w:rsidRPr="005E4C5E">
              <w:rPr>
                <w:rStyle w:val="Hyperlink"/>
                <w:rFonts w:ascii="Arial" w:eastAsia="Arial" w:hAnsi="Arial" w:cs="Arial"/>
                <w:noProof/>
              </w:rPr>
              <w:t>Appendix 4: Ratio Analysis</w:t>
            </w:r>
            <w:r w:rsidRPr="005E4C5E">
              <w:rPr>
                <w:rFonts w:ascii="Arial" w:hAnsi="Arial" w:cs="Arial"/>
                <w:noProof/>
                <w:webHidden/>
              </w:rPr>
              <w:tab/>
            </w:r>
            <w:r w:rsidRPr="005E4C5E">
              <w:rPr>
                <w:rFonts w:ascii="Arial" w:hAnsi="Arial" w:cs="Arial"/>
                <w:noProof/>
                <w:webHidden/>
              </w:rPr>
              <w:fldChar w:fldCharType="begin"/>
            </w:r>
            <w:r w:rsidRPr="005E4C5E">
              <w:rPr>
                <w:rFonts w:ascii="Arial" w:hAnsi="Arial" w:cs="Arial"/>
                <w:noProof/>
                <w:webHidden/>
              </w:rPr>
              <w:instrText xml:space="preserve"> PAGEREF _Toc235738278 \h </w:instrText>
            </w:r>
            <w:r w:rsidRPr="005E4C5E">
              <w:rPr>
                <w:rFonts w:ascii="Arial" w:hAnsi="Arial" w:cs="Arial"/>
                <w:noProof/>
                <w:webHidden/>
              </w:rPr>
            </w:r>
            <w:r w:rsidRPr="005E4C5E">
              <w:rPr>
                <w:rFonts w:ascii="Arial" w:hAnsi="Arial" w:cs="Arial"/>
                <w:noProof/>
                <w:webHidden/>
              </w:rPr>
              <w:fldChar w:fldCharType="separate"/>
            </w:r>
            <w:r w:rsidRPr="005E4C5E">
              <w:rPr>
                <w:rFonts w:ascii="Arial" w:hAnsi="Arial" w:cs="Arial"/>
                <w:noProof/>
                <w:webHidden/>
              </w:rPr>
              <w:t>31</w:t>
            </w:r>
            <w:r w:rsidRPr="005E4C5E">
              <w:rPr>
                <w:rFonts w:ascii="Arial" w:hAnsi="Arial" w:cs="Arial"/>
                <w:noProof/>
                <w:webHidden/>
              </w:rPr>
              <w:fldChar w:fldCharType="end"/>
            </w:r>
          </w:hyperlink>
        </w:p>
        <w:p w14:paraId="51427D34" w14:textId="05718854" w:rsidR="00795A1D" w:rsidRPr="00693D25" w:rsidRDefault="00681867" w:rsidP="00693D25">
          <w:pPr>
            <w:rPr>
              <w:rFonts w:ascii="Arial" w:eastAsia="Arial" w:hAnsi="Arial" w:cs="Arial"/>
            </w:rPr>
          </w:pPr>
          <w:r w:rsidRPr="00693D25">
            <w:rPr>
              <w:rFonts w:ascii="Arial" w:hAnsi="Arial" w:cs="Arial"/>
            </w:rPr>
            <w:fldChar w:fldCharType="end"/>
          </w:r>
        </w:p>
      </w:sdtContent>
    </w:sdt>
    <w:p w14:paraId="7ECA269A" w14:textId="77777777" w:rsidR="00795A1D" w:rsidRPr="00693D25" w:rsidRDefault="00795A1D" w:rsidP="00693D25">
      <w:pPr>
        <w:rPr>
          <w:rFonts w:ascii="Arial" w:eastAsia="Arial" w:hAnsi="Arial" w:cs="Arial"/>
        </w:rPr>
      </w:pPr>
    </w:p>
    <w:p w14:paraId="2C37E5AC" w14:textId="77777777" w:rsidR="00795A1D" w:rsidRPr="00693D25" w:rsidRDefault="00681867" w:rsidP="00693D25">
      <w:pPr>
        <w:pStyle w:val="Heading1"/>
        <w:rPr>
          <w:rFonts w:ascii="Arial" w:eastAsia="Arial" w:hAnsi="Arial" w:cs="Arial"/>
        </w:rPr>
      </w:pPr>
      <w:r w:rsidRPr="00693D25">
        <w:rPr>
          <w:rFonts w:ascii="Arial" w:hAnsi="Arial" w:cs="Arial"/>
        </w:rPr>
        <w:br w:type="page"/>
      </w:r>
      <w:bookmarkStart w:id="2" w:name="_Toc235738249"/>
      <w:r w:rsidRPr="00693D25">
        <w:rPr>
          <w:rFonts w:ascii="Arial" w:eastAsia="Arial" w:hAnsi="Arial" w:cs="Arial"/>
        </w:rPr>
        <w:t>1. Introduction</w:t>
      </w:r>
      <w:bookmarkEnd w:id="2"/>
    </w:p>
    <w:p w14:paraId="7772B78C" w14:textId="77777777" w:rsidR="00795A1D" w:rsidRPr="00693D25" w:rsidRDefault="00681867" w:rsidP="00693D25">
      <w:pPr>
        <w:rPr>
          <w:rFonts w:ascii="Arial" w:eastAsia="Arial" w:hAnsi="Arial" w:cs="Arial"/>
        </w:rPr>
      </w:pPr>
      <w:r w:rsidRPr="00693D25">
        <w:rPr>
          <w:rFonts w:ascii="Arial" w:eastAsia="Arial" w:hAnsi="Arial" w:cs="Arial"/>
        </w:rPr>
        <w:t>Whitbread PLC is a major hospitality company which owns Premier Inn, the biggest family run hotel chain in the United Kingdom. The extensive hotel deal in the UK, Ireland &amp; Germany has successfully carved out solid market share which is aided by low pricing and value for money hotel services and operational efficiency. Over the last few years, it has continued improving the quality of its property mix while investing in sustainability and digital programs to support healthy long-term growth. In the face of increasing competition and prevailing macroeconomic uncertainties, the challenge for the company has been to manage the balance between profitability and strategic investment with shareholder value creation. The objective of this report is to evaluate Whitbread PLC's financial statements for the financial years 2022 - 2026. A trend analysis and financial ratios are used to analyse financial performance, and then the subjects are working capital management, strategic financial restructuring and investment appraisal. It also delves into the impact of financial decisions and external economic conditions on long-term financial sustainability and shareholder returns.</w:t>
      </w:r>
    </w:p>
    <w:p w14:paraId="06F85B51" w14:textId="77777777" w:rsidR="00795A1D" w:rsidRPr="00693D25" w:rsidRDefault="00795A1D" w:rsidP="00693D25">
      <w:pPr>
        <w:rPr>
          <w:rFonts w:ascii="Arial" w:eastAsia="Arial" w:hAnsi="Arial" w:cs="Arial"/>
        </w:rPr>
      </w:pPr>
    </w:p>
    <w:p w14:paraId="00D3E3CF" w14:textId="77777777" w:rsidR="00795A1D" w:rsidRPr="00693D25" w:rsidRDefault="00681867" w:rsidP="00693D25">
      <w:pPr>
        <w:pStyle w:val="Heading1"/>
        <w:rPr>
          <w:rFonts w:ascii="Arial" w:eastAsia="Arial" w:hAnsi="Arial" w:cs="Arial"/>
        </w:rPr>
      </w:pPr>
      <w:bookmarkStart w:id="3" w:name="_Toc235738250"/>
      <w:r w:rsidRPr="00693D25">
        <w:rPr>
          <w:rFonts w:ascii="Arial" w:eastAsia="Arial" w:hAnsi="Arial" w:cs="Arial"/>
        </w:rPr>
        <w:t>2. Financial Health Check</w:t>
      </w:r>
      <w:bookmarkEnd w:id="3"/>
    </w:p>
    <w:p w14:paraId="5BD72436" w14:textId="77777777" w:rsidR="00795A1D" w:rsidRPr="00693D25" w:rsidRDefault="00681867" w:rsidP="00693D25">
      <w:pPr>
        <w:pStyle w:val="Heading2"/>
        <w:rPr>
          <w:rFonts w:ascii="Arial" w:eastAsia="Arial" w:hAnsi="Arial" w:cs="Arial"/>
        </w:rPr>
      </w:pPr>
      <w:bookmarkStart w:id="4" w:name="_Toc235738251"/>
      <w:r w:rsidRPr="00693D25">
        <w:rPr>
          <w:rFonts w:ascii="Arial" w:eastAsia="Arial" w:hAnsi="Arial" w:cs="Arial"/>
        </w:rPr>
        <w:t>2.1 Overview of Financial Performance</w:t>
      </w:r>
      <w:bookmarkEnd w:id="4"/>
    </w:p>
    <w:p w14:paraId="6795054E" w14:textId="77777777" w:rsidR="00795A1D" w:rsidRPr="00693D25" w:rsidRDefault="00681867" w:rsidP="00693D25">
      <w:pPr>
        <w:rPr>
          <w:rFonts w:ascii="Arial" w:eastAsia="Arial" w:hAnsi="Arial" w:cs="Arial"/>
        </w:rPr>
      </w:pPr>
      <w:r w:rsidRPr="00693D25">
        <w:rPr>
          <w:rFonts w:ascii="Arial" w:eastAsia="Arial" w:hAnsi="Arial" w:cs="Arial"/>
        </w:rPr>
        <w:t>While suffering through the difficult operating conditions over the post-pandemic period, Whitbread PLC saw a resilient financial recovery, but the latest results appear to indicate that the world's biggest pub chain is seeing growth levels stabilise. Revenue increased significantly from £1,711.3 million in 2022 to £2,625.2 million in 2023 before reaching £2,962.4 million in 2024 [</w:t>
      </w:r>
      <w:r w:rsidRPr="00693D25">
        <w:rPr>
          <w:rFonts w:ascii="Arial" w:eastAsia="Arial" w:hAnsi="Arial" w:cs="Arial"/>
          <w:b/>
          <w:bCs/>
          <w:i/>
          <w:iCs/>
        </w:rPr>
        <w:t>Refer to Appendix 1</w:t>
      </w:r>
      <w:r w:rsidRPr="00693D25">
        <w:rPr>
          <w:rFonts w:ascii="Arial" w:eastAsia="Arial" w:hAnsi="Arial" w:cs="Arial"/>
        </w:rPr>
        <w:t>]. Since the brisk recovery for the hospitality industry, sales have remained fairly level at £2,921.9m in 2025 and then £2,920.2m in 2026 (Annual Report, 2022). Net income rose sharply from £74.7 million in 2022 to £539.5 million in 2023 before peaking at £669.0 million in 2024. Despite inflationary pressures and less consumer demand, this figure proved sufficient to ensure Whitbread's profitability falling slightly in 2025 to £602.6 million. It, however, bounced back to £628.1 million in 2026 (Annual Report, 2023). The portfolio of assets remained enhanced through the review period with Whitbread continuing to diversify. Total assets rose from £9,566.5 million in 2022 to £9,968.6 million in 2026 [</w:t>
      </w:r>
      <w:r w:rsidRPr="00693D25">
        <w:rPr>
          <w:rFonts w:ascii="Arial" w:eastAsia="Arial" w:hAnsi="Arial" w:cs="Arial"/>
          <w:b/>
          <w:bCs/>
          <w:i/>
          <w:iCs/>
        </w:rPr>
        <w:t>Refer to Appendix 2</w:t>
      </w:r>
      <w:r w:rsidRPr="00693D25">
        <w:rPr>
          <w:rFonts w:ascii="Arial" w:eastAsia="Arial" w:hAnsi="Arial" w:cs="Arial"/>
        </w:rPr>
        <w:t>]. It is because more investment was put into both hotel development and refurbishment programmes and expansion elsewhere in Germany continued. This investment strategy helps the company maintain sustainable future growth and assures the market leadership position (Whitbread Plc, 2026). Shareholders' equity declined from £4,119.0 million in 2022 to £3,136.4 million in 2026. The reduction is mainly because of dividend payments and share buy-back programmes and has not caused the financial performance to decline. Whitbread also keeps a large foot on the gas pedal, as a reduction in equity brings about a rise in financial leverage, but the company still has a significant asset base to deploy in future growth (Annual Report, 2025).</w:t>
      </w:r>
    </w:p>
    <w:p w14:paraId="5AF976E6" w14:textId="77777777" w:rsidR="00795A1D" w:rsidRPr="00693D25" w:rsidRDefault="00681867" w:rsidP="00693D25">
      <w:pPr>
        <w:rPr>
          <w:rFonts w:ascii="Arial" w:eastAsia="Arial" w:hAnsi="Arial" w:cs="Arial"/>
        </w:rPr>
      </w:pPr>
      <w:r w:rsidRPr="00693D25">
        <w:rPr>
          <w:rFonts w:ascii="Arial" w:eastAsia="Arial" w:hAnsi="Arial" w:cs="Arial"/>
        </w:rPr>
        <w:t>The short-term liquidity loosened during the period. Current assets decreased from £1,333.0 million in 2022 to £469.1 million in 2026, whilst current liabilities rose from £ 719.6 million to £ 889.4 million. The corresponding movements reflect the rising need to finance the current operations in tandem with the management of working capital, as the company pursued strategic investments and dividend payments to its shareholders (Annual Report, 2024). The efficiency of inventory management has not been affected with the inventory, which is falling from 2023 of £21.7m to 2026 of £17.1m. In the hospitality industry, keeping an eye on inventory is a crucial aspect, as it can save precious food while enhancing business workflows. According to Fenech (2024), sustainable inventory management not only boosts financial results but also positively impacts the environment. Cost of goods sold increased from £1,229.4 million in 2022 to £1,793.5 million in 2024 before declining to £1,623.8 million in 2026 [</w:t>
      </w:r>
      <w:r w:rsidRPr="00693D25">
        <w:rPr>
          <w:rFonts w:ascii="Arial" w:eastAsia="Arial" w:hAnsi="Arial" w:cs="Arial"/>
          <w:b/>
          <w:bCs/>
          <w:i/>
          <w:iCs/>
        </w:rPr>
        <w:t>Refer to Appendix 3</w:t>
      </w:r>
      <w:r w:rsidRPr="00693D25">
        <w:rPr>
          <w:rFonts w:ascii="Arial" w:eastAsia="Arial" w:hAnsi="Arial" w:cs="Arial"/>
        </w:rPr>
        <w:t xml:space="preserve">]. This decline in the last few years indicates good cost control in the presence of inflationary cost pressures on both labour and operating costs. </w:t>
      </w:r>
    </w:p>
    <w:p w14:paraId="2F532F2C" w14:textId="77777777" w:rsidR="00795A1D" w:rsidRPr="00693D25" w:rsidRDefault="00681867" w:rsidP="00693D25">
      <w:pPr>
        <w:rPr>
          <w:rFonts w:ascii="Arial" w:eastAsia="Arial" w:hAnsi="Arial" w:cs="Arial"/>
        </w:rPr>
      </w:pPr>
      <w:r w:rsidRPr="00693D25">
        <w:rPr>
          <w:rFonts w:ascii="Arial" w:eastAsia="Arial" w:hAnsi="Arial" w:cs="Arial"/>
        </w:rPr>
        <w:t>Krisna Damayanti (2021) indicates that strategies for accounting play a major role in achieving the success of a business in achieving profitability when the economy is not as stable. The financial results of Whitbread illustrate that it is also well managed and funds its strategy wisely. Nadeem (2023) states that robust governance results in resource allocation and organisational performance. Similarly, Haslam et al. (2021) stated that firms generating sustainable shareholder value take a holistic perspective of operating cash flows and financial resilience, instead of short-term monetary benefits. From an overall standpoint, Whitbread has flat revenues, as it continues to be profitable with a solid asset base and limited liquidity.</w:t>
      </w:r>
    </w:p>
    <w:p w14:paraId="254567C1" w14:textId="77777777" w:rsidR="00795A1D" w:rsidRPr="00693D25" w:rsidRDefault="00681867" w:rsidP="00693D25">
      <w:pPr>
        <w:pStyle w:val="Heading2"/>
        <w:rPr>
          <w:rFonts w:ascii="Arial" w:eastAsia="Arial" w:hAnsi="Arial" w:cs="Arial"/>
        </w:rPr>
      </w:pPr>
      <w:bookmarkStart w:id="5" w:name="_Toc235738252"/>
      <w:r w:rsidRPr="00693D25">
        <w:rPr>
          <w:rFonts w:ascii="Arial" w:eastAsia="Arial" w:hAnsi="Arial" w:cs="Arial"/>
        </w:rPr>
        <w:t>2.2 Ratio Analysis</w:t>
      </w:r>
      <w:bookmarkEnd w:id="5"/>
    </w:p>
    <w:p w14:paraId="72AA1680" w14:textId="77777777" w:rsidR="00795A1D" w:rsidRPr="00693D25" w:rsidRDefault="00681867" w:rsidP="00693D25">
      <w:pPr>
        <w:rPr>
          <w:rFonts w:ascii="Arial" w:eastAsia="Arial" w:hAnsi="Arial" w:cs="Arial"/>
        </w:rPr>
      </w:pPr>
      <w:r w:rsidRPr="00693D25">
        <w:rPr>
          <w:rFonts w:ascii="Arial" w:eastAsia="Arial" w:hAnsi="Arial" w:cs="Arial"/>
        </w:rPr>
        <w:t>Financial ratio analysis is used to assess Whitbread PLC's profitability, efficiency and liquidity over a five-year timeframe. The results suggest that it is profitable and efficient, though the company's liquidity is affected by the increase in its current liabilities and ongoing investments.</w:t>
      </w:r>
    </w:p>
    <w:p w14:paraId="022E1FF8" w14:textId="77777777" w:rsidR="00795A1D" w:rsidRPr="00693D25" w:rsidRDefault="00681867" w:rsidP="00693D25">
      <w:pPr>
        <w:rPr>
          <w:rFonts w:ascii="Arial" w:eastAsia="Arial" w:hAnsi="Arial" w:cs="Arial"/>
          <w:b/>
          <w:bCs/>
          <w:i/>
          <w:iCs/>
        </w:rPr>
      </w:pPr>
      <w:r w:rsidRPr="00693D25">
        <w:rPr>
          <w:rFonts w:ascii="Arial" w:eastAsia="Arial" w:hAnsi="Arial" w:cs="Arial"/>
          <w:b/>
          <w:bCs/>
          <w:i/>
          <w:iCs/>
        </w:rPr>
        <w:t>Net Profit Margin:</w:t>
      </w:r>
    </w:p>
    <w:p w14:paraId="3E8D1D20" w14:textId="77777777" w:rsidR="00795A1D" w:rsidRPr="00693D25" w:rsidRDefault="00681867" w:rsidP="00693D25">
      <w:pPr>
        <w:rPr>
          <w:rFonts w:ascii="Arial" w:eastAsia="Arial" w:hAnsi="Arial" w:cs="Arial"/>
        </w:rPr>
      </w:pPr>
      <w:r w:rsidRPr="00693D25">
        <w:rPr>
          <w:rFonts w:ascii="Arial" w:eastAsia="Arial" w:hAnsi="Arial" w:cs="Arial"/>
        </w:rPr>
        <w:t>Net profit margin improved from 4.4% in 2022 to 20.6% in 2023 and reached 22.6% in 2024. This dipped to 20.6% in 2025, but has bounced back to 21.5% in 2026 [</w:t>
      </w:r>
      <w:r w:rsidRPr="00693D25">
        <w:rPr>
          <w:rFonts w:ascii="Arial" w:eastAsia="Arial" w:hAnsi="Arial" w:cs="Arial"/>
          <w:b/>
          <w:bCs/>
          <w:i/>
          <w:iCs/>
        </w:rPr>
        <w:t>Refer to Appendix 4</w:t>
      </w:r>
      <w:r w:rsidRPr="00693D25">
        <w:rPr>
          <w:rFonts w:ascii="Arial" w:eastAsia="Arial" w:hAnsi="Arial" w:cs="Arial"/>
        </w:rPr>
        <w:t>]. This, in turn, reflects the impact of inflation notwithstanding Whitbread's strong profitability. As a result, costs are effectively managed, adequate pricing and recovery are in place, and the operational recovery is ongoing (Annual Report, 2025).</w:t>
      </w:r>
    </w:p>
    <w:p w14:paraId="46A318AA"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114300" distB="114300" distL="114300" distR="114300" wp14:anchorId="6D438470" wp14:editId="523CBCF7">
            <wp:extent cx="5731200" cy="2959100"/>
            <wp:effectExtent l="12700" t="12700" r="12700" b="1270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731200" cy="2959100"/>
                    </a:xfrm>
                    <a:prstGeom prst="rect">
                      <a:avLst/>
                    </a:prstGeom>
                    <a:ln w="12700">
                      <a:solidFill>
                        <a:srgbClr val="000000"/>
                      </a:solidFill>
                      <a:prstDash val="solid"/>
                    </a:ln>
                  </pic:spPr>
                </pic:pic>
              </a:graphicData>
            </a:graphic>
          </wp:inline>
        </w:drawing>
      </w:r>
    </w:p>
    <w:p w14:paraId="79F5F989" w14:textId="77777777" w:rsidR="00795A1D" w:rsidRPr="00693D25" w:rsidRDefault="00681867" w:rsidP="00693D25">
      <w:pPr>
        <w:jc w:val="center"/>
        <w:rPr>
          <w:rFonts w:ascii="Arial" w:eastAsia="Arial" w:hAnsi="Arial" w:cs="Arial"/>
          <w:b/>
          <w:bCs/>
        </w:rPr>
      </w:pPr>
      <w:r w:rsidRPr="00693D25">
        <w:rPr>
          <w:rFonts w:ascii="Arial" w:eastAsia="Arial" w:hAnsi="Arial" w:cs="Arial"/>
          <w:b/>
          <w:bCs/>
        </w:rPr>
        <w:t>Figure 1: Trends of Net Profit Margin</w:t>
      </w:r>
    </w:p>
    <w:p w14:paraId="6C72FD6B" w14:textId="77777777" w:rsidR="00795A1D" w:rsidRPr="00693D25" w:rsidRDefault="00681867" w:rsidP="00693D25">
      <w:pPr>
        <w:jc w:val="center"/>
        <w:rPr>
          <w:rFonts w:ascii="Arial" w:eastAsia="Arial" w:hAnsi="Arial" w:cs="Arial"/>
        </w:rPr>
      </w:pPr>
      <w:r w:rsidRPr="00693D25">
        <w:rPr>
          <w:rFonts w:ascii="Arial" w:eastAsia="Arial" w:hAnsi="Arial" w:cs="Arial"/>
        </w:rPr>
        <w:t>(Source: Excel)</w:t>
      </w:r>
    </w:p>
    <w:p w14:paraId="1270ED6E" w14:textId="77777777" w:rsidR="00795A1D" w:rsidRPr="00693D25" w:rsidRDefault="00681867" w:rsidP="00693D25">
      <w:pPr>
        <w:rPr>
          <w:rFonts w:ascii="Arial" w:eastAsia="Arial" w:hAnsi="Arial" w:cs="Arial"/>
          <w:b/>
          <w:bCs/>
          <w:i/>
          <w:iCs/>
        </w:rPr>
      </w:pPr>
      <w:r w:rsidRPr="00693D25">
        <w:rPr>
          <w:rFonts w:ascii="Arial" w:eastAsia="Arial" w:hAnsi="Arial" w:cs="Arial"/>
          <w:b/>
          <w:bCs/>
          <w:i/>
          <w:iCs/>
        </w:rPr>
        <w:t>Return on Assets (ROA):</w:t>
      </w:r>
    </w:p>
    <w:p w14:paraId="11515CAC" w14:textId="77777777" w:rsidR="00795A1D" w:rsidRPr="00693D25" w:rsidRDefault="00681867" w:rsidP="00693D25">
      <w:pPr>
        <w:rPr>
          <w:rFonts w:ascii="Arial" w:eastAsia="Arial" w:hAnsi="Arial" w:cs="Arial"/>
        </w:rPr>
      </w:pPr>
      <w:r w:rsidRPr="00693D25">
        <w:rPr>
          <w:rFonts w:ascii="Arial" w:eastAsia="Arial" w:hAnsi="Arial" w:cs="Arial"/>
        </w:rPr>
        <w:t>ROA increased from 0.8% in 2022 to 5.4% in 2023 before peaking at 7.0% in 2024. It went down to 6.1% in 2025 and up to 6.6% in 2026, signalling effective asset utilisation by the growing company's assets. According to Halonen (2024), a balance of efficiency and sustainability contributes to improved overall financial results.</w:t>
      </w:r>
    </w:p>
    <w:p w14:paraId="795CDF70"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114300" distB="114300" distL="114300" distR="114300" wp14:anchorId="7F2A285E" wp14:editId="0F5B99C9">
            <wp:extent cx="5731200" cy="29845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2984500"/>
                    </a:xfrm>
                    <a:prstGeom prst="rect">
                      <a:avLst/>
                    </a:prstGeom>
                    <a:ln w="12700">
                      <a:solidFill>
                        <a:srgbClr val="000000"/>
                      </a:solidFill>
                      <a:prstDash val="solid"/>
                    </a:ln>
                  </pic:spPr>
                </pic:pic>
              </a:graphicData>
            </a:graphic>
          </wp:inline>
        </w:drawing>
      </w:r>
    </w:p>
    <w:p w14:paraId="7AF4CB4A" w14:textId="77777777" w:rsidR="00795A1D" w:rsidRPr="00693D25" w:rsidRDefault="00681867" w:rsidP="00693D25">
      <w:pPr>
        <w:jc w:val="center"/>
        <w:rPr>
          <w:rFonts w:ascii="Arial" w:eastAsia="Arial" w:hAnsi="Arial" w:cs="Arial"/>
          <w:b/>
          <w:bCs/>
        </w:rPr>
      </w:pPr>
      <w:r w:rsidRPr="00693D25">
        <w:rPr>
          <w:rFonts w:ascii="Arial" w:eastAsia="Arial" w:hAnsi="Arial" w:cs="Arial"/>
          <w:b/>
          <w:bCs/>
        </w:rPr>
        <w:t>Figure 2: Trends of ROA</w:t>
      </w:r>
    </w:p>
    <w:p w14:paraId="1C27BC9D" w14:textId="77777777" w:rsidR="00795A1D" w:rsidRPr="00693D25" w:rsidRDefault="00681867" w:rsidP="00693D25">
      <w:pPr>
        <w:jc w:val="center"/>
        <w:rPr>
          <w:rFonts w:ascii="Arial" w:eastAsia="Arial" w:hAnsi="Arial" w:cs="Arial"/>
        </w:rPr>
      </w:pPr>
      <w:r w:rsidRPr="00693D25">
        <w:rPr>
          <w:rFonts w:ascii="Arial" w:eastAsia="Arial" w:hAnsi="Arial" w:cs="Arial"/>
        </w:rPr>
        <w:t>(Source: Excel)</w:t>
      </w:r>
    </w:p>
    <w:p w14:paraId="3B7B87B6" w14:textId="77777777" w:rsidR="00795A1D" w:rsidRPr="00693D25" w:rsidRDefault="00681867" w:rsidP="00693D25">
      <w:pPr>
        <w:rPr>
          <w:rFonts w:ascii="Arial" w:eastAsia="Arial" w:hAnsi="Arial" w:cs="Arial"/>
          <w:b/>
          <w:bCs/>
          <w:i/>
          <w:iCs/>
        </w:rPr>
      </w:pPr>
      <w:r w:rsidRPr="00693D25">
        <w:rPr>
          <w:rFonts w:ascii="Arial" w:eastAsia="Arial" w:hAnsi="Arial" w:cs="Arial"/>
          <w:b/>
          <w:bCs/>
          <w:i/>
          <w:iCs/>
        </w:rPr>
        <w:t>Return on Equity (ROE):</w:t>
      </w:r>
    </w:p>
    <w:p w14:paraId="0D121F32" w14:textId="77777777" w:rsidR="00795A1D" w:rsidRPr="00693D25" w:rsidRDefault="00681867" w:rsidP="00693D25">
      <w:pPr>
        <w:rPr>
          <w:rFonts w:ascii="Arial" w:eastAsia="Arial" w:hAnsi="Arial" w:cs="Arial"/>
        </w:rPr>
      </w:pPr>
      <w:r w:rsidRPr="00693D25">
        <w:rPr>
          <w:rFonts w:ascii="Arial" w:eastAsia="Arial" w:hAnsi="Arial" w:cs="Arial"/>
        </w:rPr>
        <w:t>ROE rose significantly from 1.8% in 2022 to 13.1% in 2023 and 19.0% in 2024. Owing to decreasing equity, it dipped slightly to 18.1% in the year 2025 but rose to 20.0% in 2026 with robust returns to shareholders. Strategic management is one of the major factors that help to achieve higher shareholder returns (Baeten and Van Hove, 2021).</w:t>
      </w:r>
    </w:p>
    <w:p w14:paraId="0B437EFC"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114300" distB="114300" distL="114300" distR="114300" wp14:anchorId="48275C68" wp14:editId="2910D7F3">
            <wp:extent cx="5731200" cy="32004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200400"/>
                    </a:xfrm>
                    <a:prstGeom prst="rect">
                      <a:avLst/>
                    </a:prstGeom>
                    <a:ln w="12700">
                      <a:solidFill>
                        <a:srgbClr val="000000"/>
                      </a:solidFill>
                      <a:prstDash val="solid"/>
                    </a:ln>
                  </pic:spPr>
                </pic:pic>
              </a:graphicData>
            </a:graphic>
          </wp:inline>
        </w:drawing>
      </w:r>
    </w:p>
    <w:p w14:paraId="376B3767" w14:textId="77777777" w:rsidR="00795A1D" w:rsidRPr="00693D25" w:rsidRDefault="00681867" w:rsidP="00693D25">
      <w:pPr>
        <w:jc w:val="center"/>
        <w:rPr>
          <w:rFonts w:ascii="Arial" w:eastAsia="Arial" w:hAnsi="Arial" w:cs="Arial"/>
          <w:b/>
          <w:bCs/>
        </w:rPr>
      </w:pPr>
      <w:r w:rsidRPr="00693D25">
        <w:rPr>
          <w:rFonts w:ascii="Arial" w:eastAsia="Arial" w:hAnsi="Arial" w:cs="Arial"/>
          <w:b/>
          <w:bCs/>
        </w:rPr>
        <w:t>Figure 3: Trends of ROE</w:t>
      </w:r>
    </w:p>
    <w:p w14:paraId="27394A8E" w14:textId="77777777" w:rsidR="00795A1D" w:rsidRPr="00693D25" w:rsidRDefault="00681867" w:rsidP="00693D25">
      <w:pPr>
        <w:jc w:val="center"/>
        <w:rPr>
          <w:rFonts w:ascii="Arial" w:eastAsia="Arial" w:hAnsi="Arial" w:cs="Arial"/>
        </w:rPr>
      </w:pPr>
      <w:r w:rsidRPr="00693D25">
        <w:rPr>
          <w:rFonts w:ascii="Arial" w:eastAsia="Arial" w:hAnsi="Arial" w:cs="Arial"/>
        </w:rPr>
        <w:t>(Source: Excel)</w:t>
      </w:r>
    </w:p>
    <w:p w14:paraId="5BEDDEC9" w14:textId="77777777" w:rsidR="00795A1D" w:rsidRPr="00693D25" w:rsidRDefault="00681867" w:rsidP="00693D25">
      <w:pPr>
        <w:rPr>
          <w:rFonts w:ascii="Arial" w:eastAsia="Arial" w:hAnsi="Arial" w:cs="Arial"/>
          <w:b/>
          <w:bCs/>
          <w:i/>
          <w:iCs/>
        </w:rPr>
      </w:pPr>
      <w:r w:rsidRPr="00693D25">
        <w:rPr>
          <w:rFonts w:ascii="Arial" w:eastAsia="Arial" w:hAnsi="Arial" w:cs="Arial"/>
          <w:b/>
          <w:bCs/>
          <w:i/>
          <w:iCs/>
        </w:rPr>
        <w:t>Liquidity Ratios:</w:t>
      </w:r>
    </w:p>
    <w:p w14:paraId="4F889D82" w14:textId="77777777" w:rsidR="00795A1D" w:rsidRPr="00693D25" w:rsidRDefault="00681867" w:rsidP="00693D25">
      <w:pPr>
        <w:rPr>
          <w:rFonts w:ascii="Arial" w:eastAsia="Arial" w:hAnsi="Arial" w:cs="Arial"/>
        </w:rPr>
      </w:pPr>
      <w:r w:rsidRPr="00693D25">
        <w:rPr>
          <w:rFonts w:ascii="Arial" w:eastAsia="Arial" w:hAnsi="Arial" w:cs="Arial"/>
        </w:rPr>
        <w:t>Liquidity declined generally during the period under review. The current ratio declined from 1.852 in 2022 to 0.527 in 2026, while the quick ratio fell from 1.825 to 0.515. Ratios that are below one mean current liabilities are higher than liquid assets, which makes it increasingly impossible to pay short-term obligations out of operating cash flow. As stated by Krisna Damayanti (2021), bad liquidity is expected to lead to financial flexibility problems unless it is assisted by good cash management.</w:t>
      </w:r>
    </w:p>
    <w:p w14:paraId="470F71EC" w14:textId="77777777" w:rsidR="00795A1D" w:rsidRPr="00693D25" w:rsidRDefault="00681867" w:rsidP="00693D25">
      <w:pPr>
        <w:rPr>
          <w:rFonts w:ascii="Arial" w:eastAsia="Arial" w:hAnsi="Arial" w:cs="Arial"/>
        </w:rPr>
      </w:pPr>
      <w:r w:rsidRPr="00693D25">
        <w:rPr>
          <w:rFonts w:ascii="Arial" w:eastAsia="Arial" w:hAnsi="Arial" w:cs="Arial"/>
          <w:noProof/>
        </w:rPr>
        <w:drawing>
          <wp:inline distT="114300" distB="114300" distL="114300" distR="114300" wp14:anchorId="06395AC6" wp14:editId="615C1B12">
            <wp:extent cx="5731200" cy="3263900"/>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200" cy="3263900"/>
                    </a:xfrm>
                    <a:prstGeom prst="rect">
                      <a:avLst/>
                    </a:prstGeom>
                    <a:ln w="12700">
                      <a:solidFill>
                        <a:srgbClr val="000000"/>
                      </a:solidFill>
                      <a:prstDash val="solid"/>
                    </a:ln>
                  </pic:spPr>
                </pic:pic>
              </a:graphicData>
            </a:graphic>
          </wp:inline>
        </w:drawing>
      </w:r>
    </w:p>
    <w:p w14:paraId="36924194" w14:textId="77777777" w:rsidR="00795A1D" w:rsidRPr="00693D25" w:rsidRDefault="00681867" w:rsidP="00693D25">
      <w:pPr>
        <w:jc w:val="center"/>
        <w:rPr>
          <w:rFonts w:ascii="Arial" w:eastAsia="Arial" w:hAnsi="Arial" w:cs="Arial"/>
          <w:b/>
          <w:bCs/>
        </w:rPr>
      </w:pPr>
      <w:r w:rsidRPr="00693D25">
        <w:rPr>
          <w:rFonts w:ascii="Arial" w:eastAsia="Arial" w:hAnsi="Arial" w:cs="Arial"/>
          <w:b/>
          <w:bCs/>
        </w:rPr>
        <w:t>Figure 4: Trends of Current Ratio</w:t>
      </w:r>
    </w:p>
    <w:p w14:paraId="23EA9240" w14:textId="77777777" w:rsidR="00795A1D" w:rsidRPr="00693D25" w:rsidRDefault="00681867" w:rsidP="00693D25">
      <w:pPr>
        <w:jc w:val="center"/>
        <w:rPr>
          <w:rFonts w:ascii="Arial" w:eastAsia="Arial" w:hAnsi="Arial" w:cs="Arial"/>
        </w:rPr>
      </w:pPr>
      <w:r w:rsidRPr="00693D25">
        <w:rPr>
          <w:rFonts w:ascii="Arial" w:eastAsia="Arial" w:hAnsi="Arial" w:cs="Arial"/>
        </w:rPr>
        <w:t>(Source: Excel)</w:t>
      </w:r>
    </w:p>
    <w:p w14:paraId="78F95FAA" w14:textId="77777777" w:rsidR="00795A1D" w:rsidRPr="00693D25" w:rsidRDefault="00681867" w:rsidP="00693D25">
      <w:pPr>
        <w:rPr>
          <w:rFonts w:ascii="Arial" w:eastAsia="Arial" w:hAnsi="Arial" w:cs="Arial"/>
        </w:rPr>
      </w:pPr>
      <w:r w:rsidRPr="00693D25">
        <w:rPr>
          <w:rFonts w:ascii="Arial" w:eastAsia="Arial" w:hAnsi="Arial" w:cs="Arial"/>
          <w:noProof/>
        </w:rPr>
        <w:drawing>
          <wp:inline distT="114300" distB="114300" distL="114300" distR="114300" wp14:anchorId="258763C6" wp14:editId="560B5B6D">
            <wp:extent cx="5562600" cy="3429000"/>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562600" cy="3429000"/>
                    </a:xfrm>
                    <a:prstGeom prst="rect">
                      <a:avLst/>
                    </a:prstGeom>
                    <a:ln w="12700">
                      <a:solidFill>
                        <a:srgbClr val="000000"/>
                      </a:solidFill>
                      <a:prstDash val="solid"/>
                    </a:ln>
                  </pic:spPr>
                </pic:pic>
              </a:graphicData>
            </a:graphic>
          </wp:inline>
        </w:drawing>
      </w:r>
    </w:p>
    <w:p w14:paraId="11D7E25D" w14:textId="77777777" w:rsidR="00795A1D" w:rsidRPr="00693D25" w:rsidRDefault="00681867" w:rsidP="00693D25">
      <w:pPr>
        <w:jc w:val="center"/>
        <w:rPr>
          <w:rFonts w:ascii="Arial" w:eastAsia="Arial" w:hAnsi="Arial" w:cs="Arial"/>
          <w:b/>
          <w:bCs/>
        </w:rPr>
      </w:pPr>
      <w:r w:rsidRPr="00693D25">
        <w:rPr>
          <w:rFonts w:ascii="Arial" w:eastAsia="Arial" w:hAnsi="Arial" w:cs="Arial"/>
          <w:b/>
          <w:bCs/>
        </w:rPr>
        <w:t>Figure 5: Trends of Quick Ratio</w:t>
      </w:r>
    </w:p>
    <w:p w14:paraId="2213C8F4" w14:textId="77777777" w:rsidR="00795A1D" w:rsidRPr="00693D25" w:rsidRDefault="00681867" w:rsidP="00693D25">
      <w:pPr>
        <w:jc w:val="center"/>
        <w:rPr>
          <w:rFonts w:ascii="Arial" w:eastAsia="Arial" w:hAnsi="Arial" w:cs="Arial"/>
        </w:rPr>
      </w:pPr>
      <w:r w:rsidRPr="00693D25">
        <w:rPr>
          <w:rFonts w:ascii="Arial" w:eastAsia="Arial" w:hAnsi="Arial" w:cs="Arial"/>
        </w:rPr>
        <w:t>(Source: Excel)</w:t>
      </w:r>
    </w:p>
    <w:p w14:paraId="6C10F0D6" w14:textId="77777777" w:rsidR="00795A1D" w:rsidRPr="00693D25" w:rsidRDefault="00681867" w:rsidP="00693D25">
      <w:pPr>
        <w:rPr>
          <w:rFonts w:ascii="Arial" w:eastAsia="Arial" w:hAnsi="Arial" w:cs="Arial"/>
          <w:b/>
          <w:bCs/>
          <w:i/>
          <w:iCs/>
        </w:rPr>
      </w:pPr>
      <w:r w:rsidRPr="00693D25">
        <w:rPr>
          <w:rFonts w:ascii="Arial" w:eastAsia="Arial" w:hAnsi="Arial" w:cs="Arial"/>
          <w:b/>
          <w:bCs/>
          <w:i/>
          <w:iCs/>
        </w:rPr>
        <w:t>Inventory Turnover:</w:t>
      </w:r>
    </w:p>
    <w:p w14:paraId="60F4246C" w14:textId="77777777" w:rsidR="00795A1D" w:rsidRPr="00693D25" w:rsidRDefault="00681867" w:rsidP="00693D25">
      <w:pPr>
        <w:rPr>
          <w:rFonts w:ascii="Arial" w:eastAsia="Arial" w:hAnsi="Arial" w:cs="Arial"/>
        </w:rPr>
      </w:pPr>
      <w:r w:rsidRPr="00693D25">
        <w:rPr>
          <w:rFonts w:ascii="Arial" w:eastAsia="Arial" w:hAnsi="Arial" w:cs="Arial"/>
        </w:rPr>
        <w:t>The company's inventory, which experienced a relatively low turnover rate in 2022 of 63.371, increased its inventory turnover ratio continuously to 147.618 in 2026, signifying a more efficient use of inventories and a decrease in holding periods. Better purchases and stock control minimised food waste and improved operational efficiency. When inventory is managed correctly, it will enhance financial performance of the business while ensuring it to be sustainable (Fenech, 2024).</w:t>
      </w:r>
    </w:p>
    <w:p w14:paraId="1126259E" w14:textId="77777777" w:rsidR="00795A1D" w:rsidRPr="00693D25" w:rsidRDefault="00681867" w:rsidP="00693D25">
      <w:pPr>
        <w:rPr>
          <w:rFonts w:ascii="Arial" w:eastAsia="Arial" w:hAnsi="Arial" w:cs="Arial"/>
        </w:rPr>
      </w:pPr>
      <w:r w:rsidRPr="00693D25">
        <w:rPr>
          <w:rFonts w:ascii="Arial" w:eastAsia="Arial" w:hAnsi="Arial" w:cs="Arial"/>
          <w:noProof/>
        </w:rPr>
        <w:drawing>
          <wp:inline distT="114300" distB="114300" distL="114300" distR="114300" wp14:anchorId="0CBF3CCB" wp14:editId="1F8BE335">
            <wp:extent cx="5581650" cy="3476625"/>
            <wp:effectExtent l="12700" t="12700" r="12700" b="12700"/>
            <wp:docPr id="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581650" cy="3476625"/>
                    </a:xfrm>
                    <a:prstGeom prst="rect">
                      <a:avLst/>
                    </a:prstGeom>
                    <a:ln w="12700">
                      <a:solidFill>
                        <a:srgbClr val="000000"/>
                      </a:solidFill>
                      <a:prstDash val="solid"/>
                    </a:ln>
                  </pic:spPr>
                </pic:pic>
              </a:graphicData>
            </a:graphic>
          </wp:inline>
        </w:drawing>
      </w:r>
    </w:p>
    <w:p w14:paraId="7F7DE4D4" w14:textId="77777777" w:rsidR="00795A1D" w:rsidRPr="00693D25" w:rsidRDefault="00681867" w:rsidP="00693D25">
      <w:pPr>
        <w:jc w:val="center"/>
        <w:rPr>
          <w:rFonts w:ascii="Arial" w:eastAsia="Arial" w:hAnsi="Arial" w:cs="Arial"/>
          <w:b/>
          <w:bCs/>
        </w:rPr>
      </w:pPr>
      <w:r w:rsidRPr="00693D25">
        <w:rPr>
          <w:rFonts w:ascii="Arial" w:eastAsia="Arial" w:hAnsi="Arial" w:cs="Arial"/>
          <w:b/>
          <w:bCs/>
        </w:rPr>
        <w:t>Figure 6: Trends of Inventory Turnover Ratio</w:t>
      </w:r>
    </w:p>
    <w:p w14:paraId="1BC08F54" w14:textId="77777777" w:rsidR="00795A1D" w:rsidRPr="00693D25" w:rsidRDefault="00681867" w:rsidP="00693D25">
      <w:pPr>
        <w:jc w:val="center"/>
        <w:rPr>
          <w:rFonts w:ascii="Arial" w:eastAsia="Arial" w:hAnsi="Arial" w:cs="Arial"/>
        </w:rPr>
      </w:pPr>
      <w:r w:rsidRPr="00693D25">
        <w:rPr>
          <w:rFonts w:ascii="Arial" w:eastAsia="Arial" w:hAnsi="Arial" w:cs="Arial"/>
        </w:rPr>
        <w:t>(Source: Excel)</w:t>
      </w:r>
    </w:p>
    <w:p w14:paraId="45475C29" w14:textId="77777777" w:rsidR="00795A1D" w:rsidRPr="00693D25" w:rsidRDefault="00681867" w:rsidP="00693D25">
      <w:pPr>
        <w:pStyle w:val="Heading2"/>
        <w:rPr>
          <w:rFonts w:ascii="Arial" w:eastAsia="Arial" w:hAnsi="Arial" w:cs="Arial"/>
        </w:rPr>
      </w:pPr>
      <w:bookmarkStart w:id="6" w:name="_Toc235738253"/>
      <w:r w:rsidRPr="00693D25">
        <w:rPr>
          <w:rFonts w:ascii="Arial" w:eastAsia="Arial" w:hAnsi="Arial" w:cs="Arial"/>
        </w:rPr>
        <w:t>2.3 Trend Analysis</w:t>
      </w:r>
      <w:bookmarkEnd w:id="6"/>
    </w:p>
    <w:p w14:paraId="5DA77825" w14:textId="117E70B3" w:rsidR="00795A1D" w:rsidRPr="00693D25" w:rsidRDefault="00681867" w:rsidP="00693D25">
      <w:pPr>
        <w:rPr>
          <w:rFonts w:ascii="Arial" w:eastAsia="Arial" w:hAnsi="Arial" w:cs="Arial"/>
        </w:rPr>
      </w:pPr>
      <w:r w:rsidRPr="00693D25">
        <w:rPr>
          <w:rFonts w:ascii="Arial" w:eastAsia="Arial" w:hAnsi="Arial" w:cs="Arial"/>
        </w:rPr>
        <w:t>The financial trends show the move from Whitbread's recovery post-COVID to long-term stable growth. Growth was highest between 2022 and 2024 and levelled off in 2025 and 2026, thereby indicating a mature growth phase in demand. In the last two years, revenues have not grown much whilst maintaining relatively stable profitability [</w:t>
      </w:r>
      <w:r w:rsidRPr="00693D25">
        <w:rPr>
          <w:rFonts w:ascii="Arial" w:eastAsia="Arial" w:hAnsi="Arial" w:cs="Arial"/>
          <w:b/>
          <w:bCs/>
          <w:i/>
          <w:iCs/>
        </w:rPr>
        <w:t>Refer to Appendix 1</w:t>
      </w:r>
      <w:r w:rsidRPr="00693D25">
        <w:rPr>
          <w:rFonts w:ascii="Arial" w:eastAsia="Arial" w:hAnsi="Arial" w:cs="Arial"/>
        </w:rPr>
        <w:t xml:space="preserve">]. This is attributed to the organisation's management of operating expenses and efficiency in resource use (Annual Report, 2024). Asset growth was stable throughout the review period, driven by Whitbread's ambition to grow its Premier Inn brand throughout the United Kingdom and Germany. The overall upward trend in total assets reflects ongoing investment in the development and refurbishment of hotels, as well as a stable financial position. According to Marušić (2023), strategic investments have been put more in focus in annual reports as a sign of sustainable performance of a company. However, the trend for liquidity of Whitbread was down. As current and quick ratios go down, short-term liabilities grew at a faster rate than short-term assets. The decrease can be caused by increased capital spending, dividend </w:t>
      </w:r>
      <w:r w:rsidR="00693D25" w:rsidRPr="00693D25">
        <w:rPr>
          <w:rFonts w:ascii="Arial" w:eastAsia="Arial" w:hAnsi="Arial" w:cs="Arial"/>
        </w:rPr>
        <w:t>pay-outs</w:t>
      </w:r>
      <w:r w:rsidRPr="00693D25">
        <w:rPr>
          <w:rFonts w:ascii="Arial" w:eastAsia="Arial" w:hAnsi="Arial" w:cs="Arial"/>
        </w:rPr>
        <w:t xml:space="preserve"> and buybacks that reduce cash buffers but do not threaten a company's financial vitality. Periods of temporary liquidity restrictions are often associated with increased outcomes in the future (Haslam et al., 2021).</w:t>
      </w:r>
    </w:p>
    <w:p w14:paraId="7CB908D1" w14:textId="77777777" w:rsidR="00795A1D" w:rsidRPr="00693D25" w:rsidRDefault="00681867" w:rsidP="00693D25">
      <w:pPr>
        <w:pStyle w:val="Heading2"/>
        <w:rPr>
          <w:rFonts w:ascii="Arial" w:eastAsia="Arial" w:hAnsi="Arial" w:cs="Arial"/>
        </w:rPr>
      </w:pPr>
      <w:bookmarkStart w:id="7" w:name="_Toc235738254"/>
      <w:r w:rsidRPr="00693D25">
        <w:rPr>
          <w:rFonts w:ascii="Arial" w:eastAsia="Arial" w:hAnsi="Arial" w:cs="Arial"/>
        </w:rPr>
        <w:t>2.4 Strengths and Weaknesses</w:t>
      </w:r>
      <w:bookmarkEnd w:id="7"/>
    </w:p>
    <w:p w14:paraId="619430E9" w14:textId="2A914F89" w:rsidR="00795A1D" w:rsidRPr="00693D25" w:rsidRDefault="00681867" w:rsidP="00693D25">
      <w:pPr>
        <w:rPr>
          <w:rFonts w:ascii="Arial" w:eastAsia="Arial" w:hAnsi="Arial" w:cs="Arial"/>
        </w:rPr>
      </w:pPr>
      <w:r w:rsidRPr="00693D25">
        <w:rPr>
          <w:rFonts w:ascii="Arial" w:eastAsia="Arial" w:hAnsi="Arial" w:cs="Arial"/>
        </w:rPr>
        <w:t xml:space="preserve">There are a few benefits that Whitbread has. In the last 3 years the NRM margins have been maintained above 20%, which reflects the capacity to correctly price its products and to operate during difficult market times. For efficient utilization of assets and funds from shareholders, ROA and ROE are found to be strong and inventory turnover is on the rise. The ongoing growth of Whitbread's hotels further reinforces its competitiveness and contributes to sustainable growth. Good governance has beneficial effects on strategic investment-making and thus on better financial performance. There are, however, a few weaknesses that should be dealt with. A continuing decline in a company's liquidity ratios is an indicator of additional financial need in the short term, and may tighten its financial margin for a slowdown in the economy. A reduction in equity of the shareholders also suggests an increase in reliance on retained debt financing and payments from shareholders. Pepper (2024) states that </w:t>
      </w:r>
      <w:r w:rsidR="00693D25" w:rsidRPr="00693D25">
        <w:rPr>
          <w:rFonts w:ascii="Arial" w:eastAsia="Arial" w:hAnsi="Arial" w:cs="Arial"/>
        </w:rPr>
        <w:t>a balance</w:t>
      </w:r>
      <w:r w:rsidRPr="00693D25">
        <w:rPr>
          <w:rFonts w:ascii="Arial" w:eastAsia="Arial" w:hAnsi="Arial" w:cs="Arial"/>
        </w:rPr>
        <w:t xml:space="preserve"> between shareholders' interests and continued financial strength is essential for preserving a company's value. Moreover, the heightened economic unpredictability, inflation and geopolitical turmoil remain a threat to the hospitality sector's financial stability. Outside economic crises are a threat to European businesses, and companies must have sufficient liquidity and must be prudent in managing their money (Lukkari, 2024). The ratio and trend analysis indicate that Whitbread PLC is a financially sound company that has a profitable year and good operational efficiency and asset appreciation. However, as liquidity has deteriorated, there is a need to gain greater efficiencies in working capital management, a topic for examination next.</w:t>
      </w:r>
    </w:p>
    <w:p w14:paraId="0D254592" w14:textId="77777777" w:rsidR="00795A1D" w:rsidRPr="00693D25" w:rsidRDefault="00795A1D" w:rsidP="00693D25">
      <w:pPr>
        <w:rPr>
          <w:rFonts w:ascii="Arial" w:eastAsia="Arial" w:hAnsi="Arial" w:cs="Arial"/>
        </w:rPr>
      </w:pPr>
    </w:p>
    <w:p w14:paraId="69EAAD3B" w14:textId="77777777" w:rsidR="00795A1D" w:rsidRPr="00693D25" w:rsidRDefault="00681867" w:rsidP="00693D25">
      <w:pPr>
        <w:pStyle w:val="Heading1"/>
        <w:rPr>
          <w:rFonts w:ascii="Arial" w:eastAsia="Arial" w:hAnsi="Arial" w:cs="Arial"/>
        </w:rPr>
      </w:pPr>
      <w:bookmarkStart w:id="8" w:name="_Toc235738255"/>
      <w:r w:rsidRPr="00693D25">
        <w:rPr>
          <w:rFonts w:ascii="Arial" w:eastAsia="Arial" w:hAnsi="Arial" w:cs="Arial"/>
        </w:rPr>
        <w:t>3. Working Capital Management Analysis</w:t>
      </w:r>
      <w:bookmarkEnd w:id="8"/>
    </w:p>
    <w:p w14:paraId="6B049D4D" w14:textId="77777777" w:rsidR="00795A1D" w:rsidRPr="00693D25" w:rsidRDefault="00681867" w:rsidP="00693D25">
      <w:pPr>
        <w:pStyle w:val="Heading2"/>
        <w:rPr>
          <w:rFonts w:ascii="Arial" w:eastAsia="Arial" w:hAnsi="Arial" w:cs="Arial"/>
        </w:rPr>
      </w:pPr>
      <w:bookmarkStart w:id="9" w:name="_Toc235738256"/>
      <w:r w:rsidRPr="00693D25">
        <w:rPr>
          <w:rFonts w:ascii="Arial" w:eastAsia="Arial" w:hAnsi="Arial" w:cs="Arial"/>
        </w:rPr>
        <w:t>3.1 Cash Operating Cycle</w:t>
      </w:r>
      <w:bookmarkEnd w:id="9"/>
    </w:p>
    <w:p w14:paraId="2B139041" w14:textId="77777777" w:rsidR="00795A1D" w:rsidRPr="00693D25" w:rsidRDefault="00681867" w:rsidP="00693D25">
      <w:pPr>
        <w:rPr>
          <w:rFonts w:ascii="Arial" w:eastAsia="Arial" w:hAnsi="Arial" w:cs="Arial"/>
        </w:rPr>
      </w:pPr>
      <w:r w:rsidRPr="00693D25">
        <w:rPr>
          <w:rFonts w:ascii="Arial" w:eastAsia="Arial" w:hAnsi="Arial" w:cs="Arial"/>
        </w:rPr>
        <w:t>The cash operating cycle is the time lapse between cash purchases and when cash is collected from the customer. Effective supply chain management has lowered the inventory holding days at Whitbread, from 5.76 days in 2022 to 2.47 days in 2026 by better managing food procurement and minimising food waste. According to Fenech (2024), sustainable management of inventory promotes efficiency in business operations. The speed of customer payments via digital booking and payment methods also enhanced cash flow (Huang et al., 2021). Stable supplier payment periods provided Whitbread with the addition of trade credit without the loss of current supplier relationships. Le (2021) maintains that supplier payments and cash preservation in balance support enhanced financial resilience. Whitbread continued to have an efficient cash conversion cycle, although it was at the cost of investments.</w:t>
      </w:r>
    </w:p>
    <w:p w14:paraId="2891DC11" w14:textId="77777777" w:rsidR="00795A1D" w:rsidRPr="00693D25" w:rsidRDefault="00681867" w:rsidP="00693D25">
      <w:pPr>
        <w:pStyle w:val="Heading2"/>
        <w:rPr>
          <w:rFonts w:ascii="Arial" w:eastAsia="Arial" w:hAnsi="Arial" w:cs="Arial"/>
        </w:rPr>
      </w:pPr>
      <w:bookmarkStart w:id="10" w:name="_Toc235738257"/>
      <w:r w:rsidRPr="00693D25">
        <w:rPr>
          <w:rFonts w:ascii="Arial" w:eastAsia="Arial" w:hAnsi="Arial" w:cs="Arial"/>
        </w:rPr>
        <w:t>3.2 Liquidity Evaluation</w:t>
      </w:r>
      <w:bookmarkEnd w:id="10"/>
    </w:p>
    <w:p w14:paraId="7EB43277" w14:textId="77777777" w:rsidR="00795A1D" w:rsidRPr="00693D25" w:rsidRDefault="00681867" w:rsidP="00693D25">
      <w:pPr>
        <w:rPr>
          <w:rFonts w:ascii="Arial" w:eastAsia="Arial" w:hAnsi="Arial" w:cs="Arial"/>
        </w:rPr>
      </w:pPr>
      <w:r w:rsidRPr="00693D25">
        <w:rPr>
          <w:rFonts w:ascii="Arial" w:eastAsia="Arial" w:hAnsi="Arial" w:cs="Arial"/>
        </w:rPr>
        <w:t>The liquidity position of Whitbread deteriorated a great deal over the five years, though the operating performance for the firm was strong during this time. The current ratio declined from 1.852 in 2022 to 0.527 in 2026, while the quick ratio decreased from 1.825 to 0.515. Current reductions in liquid assets exceeded those of current liabilities, lowering the current financial flexibility of the company. The decline is largely due to lower cash balances, as a result of ongoing investment in hotel development, refurbishment and distribution to shareholders. The rise of trade payables and other short-term liabilities, coupled with business expansion-driven activities, resulted in a corresponding rise in current liabilities. However, Whitbread continued to produce solid operating cash flow, despite weak profits, thanks to its stable revenues and profitability. The company's freehold land portfolio adds to its financial strength as it offers significant value as collateral and flexibility in finances. Sustainable financial companies will have enough liquidity and also continue to invest wisely. Similarly, Whitbread's strong asset base means that investment in its long-term future was possible despite the prevailing macroeconomic uncertainties (Annual Report, 2024).</w:t>
      </w:r>
    </w:p>
    <w:p w14:paraId="62010B92" w14:textId="77777777" w:rsidR="00795A1D" w:rsidRPr="00693D25" w:rsidRDefault="00681867" w:rsidP="00693D25">
      <w:pPr>
        <w:pStyle w:val="Heading2"/>
        <w:rPr>
          <w:rFonts w:ascii="Arial" w:eastAsia="Arial" w:hAnsi="Arial" w:cs="Arial"/>
        </w:rPr>
      </w:pPr>
      <w:bookmarkStart w:id="11" w:name="_Toc235738258"/>
      <w:r w:rsidRPr="00693D25">
        <w:rPr>
          <w:rFonts w:ascii="Arial" w:eastAsia="Arial" w:hAnsi="Arial" w:cs="Arial"/>
        </w:rPr>
        <w:t>3.3 Improvement Strategies</w:t>
      </w:r>
      <w:bookmarkEnd w:id="11"/>
    </w:p>
    <w:p w14:paraId="5D25C21E" w14:textId="77777777" w:rsidR="00795A1D" w:rsidRPr="00693D25" w:rsidRDefault="00681867" w:rsidP="00693D25">
      <w:pPr>
        <w:rPr>
          <w:rFonts w:ascii="Arial" w:eastAsia="Arial" w:hAnsi="Arial" w:cs="Arial"/>
        </w:rPr>
      </w:pPr>
      <w:r w:rsidRPr="00693D25">
        <w:rPr>
          <w:rFonts w:ascii="Arial" w:eastAsia="Arial" w:hAnsi="Arial" w:cs="Arial"/>
        </w:rPr>
        <w:t>Several strategic activities will help Whitbread to improve working capital. Predictive cash forecasting is another aspect that would help enhance liquidity planning and cash allocation. Second, digital payment systems and automated receivable management would help in the faster collection of cash and would be more convenient for customers. Marušić (2023) stated that digital transformation is one of the most important factors for financial efficiency. Third, advanced demand forecasting would enable optimal stocking and cut down on waste and drive sustainability goals. There is a need to incorporate sustainability into financial management to improve performance. Lastly, ongoing investments in energy efficiency, procurement optimization and technology will result in operational efficiency and long-term financial stability (Halonen, 2024).</w:t>
      </w:r>
    </w:p>
    <w:p w14:paraId="0C94F030" w14:textId="77777777" w:rsidR="00795A1D" w:rsidRPr="00693D25" w:rsidRDefault="00681867" w:rsidP="00693D25">
      <w:pPr>
        <w:pStyle w:val="Heading2"/>
        <w:rPr>
          <w:rFonts w:ascii="Arial" w:eastAsia="Arial" w:hAnsi="Arial" w:cs="Arial"/>
        </w:rPr>
      </w:pPr>
      <w:bookmarkStart w:id="12" w:name="_Toc235738259"/>
      <w:r w:rsidRPr="00693D25">
        <w:rPr>
          <w:rFonts w:ascii="Arial" w:eastAsia="Arial" w:hAnsi="Arial" w:cs="Arial"/>
        </w:rPr>
        <w:t>3.4 Financing Options</w:t>
      </w:r>
      <w:bookmarkEnd w:id="12"/>
    </w:p>
    <w:p w14:paraId="48CF1B82" w14:textId="77777777" w:rsidR="00795A1D" w:rsidRPr="00693D25" w:rsidRDefault="00681867" w:rsidP="00693D25">
      <w:pPr>
        <w:rPr>
          <w:rFonts w:ascii="Arial" w:eastAsia="Arial" w:hAnsi="Arial" w:cs="Arial"/>
        </w:rPr>
      </w:pPr>
      <w:r w:rsidRPr="00693D25">
        <w:rPr>
          <w:rFonts w:ascii="Arial" w:eastAsia="Arial" w:hAnsi="Arial" w:cs="Arial"/>
        </w:rPr>
        <w:t>There are several ways of raising the working capital for Whitbread, both short-term and long-term. There are short-term sources of credit such as bank overdrafts, revolving credit facilities and trade credit, which can be used for irregularities in cash flow due to seasonal changes. Nonetheless, too much reliance on short-term borrowing can lead to a rise in refinancing risk if interest rates go up. Some sources of long-term financing are corporate bonds, long-term bank loans and retained earnings. Whitbread has a large property portfolio and a strong financial position relevant to the long-term funding of the hotel development and capital project programmes (Annual Report, 2025). Parker (2022) added that choosing the right capital structure is crucial to ensuring flexibility in the finances of a business and for its sustainable growth. Overall, Whitbread is operating its working capital effectively by keeping the inventory turnover ratio high, efficiently collecting cash and maintaining stable supplier relationships. The liquidity ratios, though, showed a forewarning of financial pressure in the short-term, owing to ongoing investment and dividend payments to shareholders. Implementing a strong cash forecasting, optimising inventory management and preserving an adequate financing strategy are key to better liquidity and long-term growth goals of Whitbread.</w:t>
      </w:r>
    </w:p>
    <w:p w14:paraId="4C5F1B4C" w14:textId="77777777" w:rsidR="00795A1D" w:rsidRPr="00693D25" w:rsidRDefault="00795A1D" w:rsidP="00693D25">
      <w:pPr>
        <w:rPr>
          <w:rFonts w:ascii="Arial" w:eastAsia="Arial" w:hAnsi="Arial" w:cs="Arial"/>
        </w:rPr>
      </w:pPr>
    </w:p>
    <w:p w14:paraId="77A720FA" w14:textId="77777777" w:rsidR="00795A1D" w:rsidRPr="00693D25" w:rsidRDefault="00681867" w:rsidP="00693D25">
      <w:pPr>
        <w:pStyle w:val="Heading1"/>
        <w:rPr>
          <w:rFonts w:ascii="Arial" w:eastAsia="Arial" w:hAnsi="Arial" w:cs="Arial"/>
        </w:rPr>
      </w:pPr>
      <w:bookmarkStart w:id="13" w:name="_Toc235738260"/>
      <w:r w:rsidRPr="00693D25">
        <w:rPr>
          <w:rFonts w:ascii="Arial" w:eastAsia="Arial" w:hAnsi="Arial" w:cs="Arial"/>
        </w:rPr>
        <w:t>4. Strategic Financial Restructuring Plan</w:t>
      </w:r>
      <w:bookmarkEnd w:id="13"/>
    </w:p>
    <w:p w14:paraId="61A90603" w14:textId="77777777" w:rsidR="00795A1D" w:rsidRPr="00693D25" w:rsidRDefault="00681867" w:rsidP="00693D25">
      <w:pPr>
        <w:rPr>
          <w:rFonts w:ascii="Arial" w:eastAsia="Arial" w:hAnsi="Arial" w:cs="Arial"/>
        </w:rPr>
      </w:pPr>
      <w:r w:rsidRPr="00693D25">
        <w:rPr>
          <w:rFonts w:ascii="Arial" w:eastAsia="Arial" w:hAnsi="Arial" w:cs="Arial"/>
        </w:rPr>
        <w:t>Whitbread PLC has been profitable and showing healthy growth in assets in the last 5 years [</w:t>
      </w:r>
      <w:r w:rsidRPr="00693D25">
        <w:rPr>
          <w:rFonts w:ascii="Arial" w:eastAsia="Arial" w:hAnsi="Arial" w:cs="Arial"/>
          <w:b/>
          <w:bCs/>
          <w:i/>
          <w:iCs/>
        </w:rPr>
        <w:t>Refer to Appendix 1</w:t>
      </w:r>
      <w:r w:rsidRPr="00693D25">
        <w:rPr>
          <w:rFonts w:ascii="Arial" w:eastAsia="Arial" w:hAnsi="Arial" w:cs="Arial"/>
        </w:rPr>
        <w:t>]. However, there has been a decline in liquidity, a decrease in shareholders' equity and an increase in short-term financial obligations. While these challenges may not pose an immediate threat to the company's financial stability, they underscore the necessity of strategic financial restructuring to advance its long-term financial resilience. A good restructuring strategy will help to enhance liquidity, optimise capital structure, and enable sustainable growth without treating shareholders in a way that they will lose their wealth (</w:t>
      </w:r>
      <w:r w:rsidRPr="00693D25">
        <w:rPr>
          <w:rFonts w:ascii="Arial" w:eastAsia="Arial" w:hAnsi="Arial" w:cs="Arial"/>
          <w:color w:val="222222"/>
          <w:sz w:val="20"/>
          <w:szCs w:val="20"/>
          <w:highlight w:val="white"/>
        </w:rPr>
        <w:t>Filatova</w:t>
      </w:r>
      <w:r w:rsidRPr="00693D25">
        <w:rPr>
          <w:rFonts w:ascii="Arial" w:eastAsia="Arial" w:hAnsi="Arial" w:cs="Arial"/>
        </w:rPr>
        <w:t xml:space="preserve"> et al., 2024). In this section, some sensible solutions are put forward and analysed for their financial, global and ethical implications.</w:t>
      </w:r>
    </w:p>
    <w:p w14:paraId="2C589036" w14:textId="77777777" w:rsidR="00795A1D" w:rsidRPr="00693D25" w:rsidRDefault="00681867" w:rsidP="00693D25">
      <w:pPr>
        <w:pStyle w:val="Heading2"/>
        <w:rPr>
          <w:rFonts w:ascii="Arial" w:eastAsia="Arial" w:hAnsi="Arial" w:cs="Arial"/>
        </w:rPr>
      </w:pPr>
      <w:bookmarkStart w:id="14" w:name="_Toc235738261"/>
      <w:r w:rsidRPr="00693D25">
        <w:rPr>
          <w:rFonts w:ascii="Arial" w:eastAsia="Arial" w:hAnsi="Arial" w:cs="Arial"/>
        </w:rPr>
        <w:t>4.1 Need for Restructuring</w:t>
      </w:r>
      <w:bookmarkEnd w:id="14"/>
    </w:p>
    <w:p w14:paraId="5CA12967" w14:textId="77777777" w:rsidR="00795A1D" w:rsidRPr="00693D25" w:rsidRDefault="00681867" w:rsidP="00693D25">
      <w:pPr>
        <w:rPr>
          <w:rFonts w:ascii="Arial" w:eastAsia="Arial" w:hAnsi="Arial" w:cs="Arial"/>
        </w:rPr>
      </w:pPr>
      <w:r w:rsidRPr="00693D25">
        <w:rPr>
          <w:rFonts w:ascii="Arial" w:eastAsia="Arial" w:hAnsi="Arial" w:cs="Arial"/>
        </w:rPr>
        <w:t>The company has a profit margin exceeding 20%, indicating a steady profit for the past few years since 2023. Whitbread’s liquidity has, however, become weak in 2026 as the liquidity ratio, especially the current ratio, has dropped from 1.852 in 2022 to 0.527 in 2026. Also, the quick ratio fell from 1.825 in 2022 to 0.515 in 2026. Spontaneous appreciation growth, for example, is growing at a rate faster than the growth of liquid resources, reducing the flexibility of the financial resources. A decline in the shareholders' equity from £4,119.0 million in 2022 to £3,136.4 million in 2026 indicates that the firm is under stress from funds raised by paying out dividends to shareholders, share buy-back programmes and continued investment [</w:t>
      </w:r>
      <w:r w:rsidRPr="00693D25">
        <w:rPr>
          <w:rFonts w:ascii="Arial" w:eastAsia="Arial" w:hAnsi="Arial" w:cs="Arial"/>
          <w:b/>
          <w:bCs/>
          <w:i/>
          <w:iCs/>
        </w:rPr>
        <w:t>Refer to Appendix 2</w:t>
      </w:r>
      <w:r w:rsidRPr="00693D25">
        <w:rPr>
          <w:rFonts w:ascii="Arial" w:eastAsia="Arial" w:hAnsi="Arial" w:cs="Arial"/>
        </w:rPr>
        <w:t>]. Whitbread is a fairly well-rounded set of holdings, but it might eventually end up paying more for financing its position during times of economic turmoil if those periods are extended. Moreover, the hotel sector is still dealing with inflation, the manpower crisis, high energy costs and evolving consumer habits. For businesses, there is a need to have bigger cash buffers and continue strategic investments to meet these external pressures. Financial restructuring strengthens the efficiency and liquidity of the organization and makes it more resistant to economic fluctuations (Reddy, 2021).</w:t>
      </w:r>
    </w:p>
    <w:p w14:paraId="2DBE40B1" w14:textId="77777777" w:rsidR="00795A1D" w:rsidRPr="00693D25" w:rsidRDefault="00681867" w:rsidP="00693D25">
      <w:pPr>
        <w:pStyle w:val="Heading2"/>
        <w:rPr>
          <w:rFonts w:ascii="Arial" w:eastAsia="Arial" w:hAnsi="Arial" w:cs="Arial"/>
        </w:rPr>
      </w:pPr>
      <w:bookmarkStart w:id="15" w:name="_Toc235738262"/>
      <w:r w:rsidRPr="00693D25">
        <w:rPr>
          <w:rFonts w:ascii="Arial" w:eastAsia="Arial" w:hAnsi="Arial" w:cs="Arial"/>
        </w:rPr>
        <w:t>4.2 Proposed Strategies</w:t>
      </w:r>
      <w:bookmarkEnd w:id="15"/>
    </w:p>
    <w:p w14:paraId="76C48BD5" w14:textId="77777777" w:rsidR="00795A1D" w:rsidRPr="00693D25" w:rsidRDefault="00681867" w:rsidP="00693D25">
      <w:pPr>
        <w:rPr>
          <w:rFonts w:ascii="Arial" w:eastAsia="Arial" w:hAnsi="Arial" w:cs="Arial"/>
        </w:rPr>
      </w:pPr>
      <w:r w:rsidRPr="00693D25">
        <w:rPr>
          <w:rFonts w:ascii="Arial" w:eastAsia="Arial" w:hAnsi="Arial" w:cs="Arial"/>
        </w:rPr>
        <w:t>Whitbread should use several financial restructuring techniques to enhance liquidity and sustainability measures over the longer-term. Having more money available to keep earnings in the business during the big investment years would boost working capital and prop up future growth. Pepper (2024) notes the importance of focusing on balancing short-term shareholder returns with long-term value creation. Second, more LTD would help avoid refinancing risk and better align hotels to their assets. The optimal debt-equity ratio is important. By expanding forecasting with AI, as well as automated procurement and integrated financial systems, cash flow planning and operational efficiency would be improved. Furthermore, Whitbread needs to opt for selective asset management as a way of improving its property portfolio by using asset management techniques (Haslam et al., 2021). Lastly, there would be an increased investment in energy-efficient technologies and automation, which would lower the costs while helping to maintain long-term sustainability (Halonen, 2024).</w:t>
      </w:r>
    </w:p>
    <w:p w14:paraId="6D3559CB" w14:textId="77777777" w:rsidR="00795A1D" w:rsidRPr="00693D25" w:rsidRDefault="00681867" w:rsidP="00693D25">
      <w:pPr>
        <w:pStyle w:val="Heading2"/>
        <w:rPr>
          <w:rFonts w:ascii="Arial" w:eastAsia="Arial" w:hAnsi="Arial" w:cs="Arial"/>
        </w:rPr>
      </w:pPr>
      <w:bookmarkStart w:id="16" w:name="_Toc235738263"/>
      <w:r w:rsidRPr="00693D25">
        <w:rPr>
          <w:rFonts w:ascii="Arial" w:eastAsia="Arial" w:hAnsi="Arial" w:cs="Arial"/>
        </w:rPr>
        <w:t>4.3 Impact Analysis</w:t>
      </w:r>
      <w:bookmarkEnd w:id="16"/>
    </w:p>
    <w:p w14:paraId="32C2C4D9" w14:textId="77777777" w:rsidR="00795A1D" w:rsidRPr="00693D25" w:rsidRDefault="00681867" w:rsidP="00693D25">
      <w:pPr>
        <w:rPr>
          <w:rFonts w:ascii="Arial" w:eastAsia="Arial" w:hAnsi="Arial" w:cs="Arial"/>
        </w:rPr>
      </w:pPr>
      <w:r w:rsidRPr="00693D25">
        <w:rPr>
          <w:rFonts w:ascii="Arial" w:eastAsia="Arial" w:hAnsi="Arial" w:cs="Arial"/>
        </w:rPr>
        <w:t>The benefits of Whitbread's restructuring plan would have a number of positive effects on its finances. An increase of reserves will make it possible to have more liquidity and less need for short-term loans. The improved liquidity position would also allow the company to take advantage of the recession by making further investments in the hotel. The more stable or longer the proportion of long finance, the more stable the capital will be because the finance will match the life cycle of the hotel assets. This minimizes refinancing the risk and makes the money more stable. Technological developments, or digital transformation, would diminish administrative expenses, increase forecasting accuracy and improve financial reporting. Improved resource efficiencies would also create improved operating margins and cash generation future benefits. These efforts, along with cost management, should enhance return on assets, improve shareholder value and drive long-term financial sustainability. Jarvis (2023) suggested that in the optimal Governance mode, the restructuring plan leads to long-term prudential saving, rather than short term profits.</w:t>
      </w:r>
    </w:p>
    <w:p w14:paraId="7506754C" w14:textId="77777777" w:rsidR="00795A1D" w:rsidRPr="00693D25" w:rsidRDefault="00681867" w:rsidP="00693D25">
      <w:pPr>
        <w:pStyle w:val="Heading2"/>
        <w:rPr>
          <w:rFonts w:ascii="Arial" w:eastAsia="Arial" w:hAnsi="Arial" w:cs="Arial"/>
        </w:rPr>
      </w:pPr>
      <w:bookmarkStart w:id="17" w:name="_Toc235738264"/>
      <w:r w:rsidRPr="00693D25">
        <w:rPr>
          <w:rFonts w:ascii="Arial" w:eastAsia="Arial" w:hAnsi="Arial" w:cs="Arial"/>
        </w:rPr>
        <w:t>4.4 Global &amp; Ethical Considerations</w:t>
      </w:r>
      <w:bookmarkEnd w:id="17"/>
    </w:p>
    <w:p w14:paraId="13CED4DB" w14:textId="77777777" w:rsidR="00795A1D" w:rsidRPr="00693D25" w:rsidRDefault="00681867" w:rsidP="00693D25">
      <w:pPr>
        <w:rPr>
          <w:rFonts w:ascii="Arial" w:eastAsia="Arial" w:hAnsi="Arial" w:cs="Arial"/>
        </w:rPr>
      </w:pPr>
      <w:r w:rsidRPr="00693D25">
        <w:rPr>
          <w:rFonts w:ascii="Arial" w:eastAsia="Arial" w:hAnsi="Arial" w:cs="Arial"/>
        </w:rPr>
        <w:t>A changing of guard should align with Whitbread's corporate governance and sustainability objectives and incorporate the requirements of international regulations and stakeholders. Vinnicombe and Tessaro (2022) have shown that responsible governance is important to improve the legitimacy of organisations when they avoid overlooking the participation of relevant stakeholders and the profitability of investments. The key to productivity is technological innovation and employee up-skilling and training and new organisational innovations, not a cap on headcount. Jones and Comfort (2021) reported that good employment practices contribute to the drive and the long-term added value. The 1EC investments in building efficiency, renewable power/saving energy and waste reduction will decrease costs and enhance ESG ratings. According to Bosone, Cerchiello and Kostiuk (2024), more and more investors are encouraging a corporation with good ESG. Communication and transparency in the restructuring process also strengthen stakeholder confidence and accountability in long-term financial sustainability and growth (Fooks et al., 2023).</w:t>
      </w:r>
    </w:p>
    <w:p w14:paraId="00C88CEF" w14:textId="77777777" w:rsidR="00795A1D" w:rsidRPr="00693D25" w:rsidRDefault="00795A1D" w:rsidP="00693D25">
      <w:pPr>
        <w:rPr>
          <w:rFonts w:ascii="Arial" w:eastAsia="Arial" w:hAnsi="Arial" w:cs="Arial"/>
        </w:rPr>
      </w:pPr>
    </w:p>
    <w:p w14:paraId="28D36938" w14:textId="77777777" w:rsidR="00795A1D" w:rsidRPr="00693D25" w:rsidRDefault="00681867" w:rsidP="00693D25">
      <w:pPr>
        <w:pStyle w:val="Heading1"/>
        <w:rPr>
          <w:rFonts w:ascii="Arial" w:eastAsia="Arial" w:hAnsi="Arial" w:cs="Arial"/>
        </w:rPr>
      </w:pPr>
      <w:bookmarkStart w:id="18" w:name="_Toc235738265"/>
      <w:r w:rsidRPr="00693D25">
        <w:rPr>
          <w:rFonts w:ascii="Arial" w:eastAsia="Arial" w:hAnsi="Arial" w:cs="Arial"/>
        </w:rPr>
        <w:t>5. Investment Appraisal &amp; Capital Budgeting</w:t>
      </w:r>
      <w:bookmarkEnd w:id="18"/>
    </w:p>
    <w:p w14:paraId="51784C41" w14:textId="77777777" w:rsidR="00795A1D" w:rsidRPr="00693D25" w:rsidRDefault="00681867" w:rsidP="00693D25">
      <w:pPr>
        <w:pStyle w:val="Heading2"/>
        <w:rPr>
          <w:rFonts w:ascii="Arial" w:eastAsia="Arial" w:hAnsi="Arial" w:cs="Arial"/>
        </w:rPr>
      </w:pPr>
      <w:bookmarkStart w:id="19" w:name="_Toc235738266"/>
      <w:r w:rsidRPr="00693D25">
        <w:rPr>
          <w:rFonts w:ascii="Arial" w:eastAsia="Arial" w:hAnsi="Arial" w:cs="Arial"/>
        </w:rPr>
        <w:t>5.1 Project Evaluation Methods</w:t>
      </w:r>
      <w:bookmarkEnd w:id="19"/>
    </w:p>
    <w:p w14:paraId="0F1246D3" w14:textId="77777777" w:rsidR="00795A1D" w:rsidRPr="00693D25" w:rsidRDefault="00681867" w:rsidP="00693D25">
      <w:pPr>
        <w:rPr>
          <w:rFonts w:ascii="Arial" w:eastAsia="Arial" w:hAnsi="Arial" w:cs="Arial"/>
        </w:rPr>
      </w:pPr>
      <w:r w:rsidRPr="00693D25">
        <w:rPr>
          <w:rFonts w:ascii="Arial" w:eastAsia="Arial" w:hAnsi="Arial" w:cs="Arial"/>
        </w:rPr>
        <w:t>Investment appraisal helps an organisation consider the financial worthiness of capital projects before investing large amounts of resources. In the hospitality industry, capital budgeting decisions carry a special significance as hotel development projects involve significant investment and have long-term time horizons. To support its long-term growth strategy, Whitbread will need to have solid appraisal methods to ensure that new investments drive shareholder value. The following investment appraisal methods are considered: Payback period, Accounting rate of return (ARR), Net present value (NPV), Internal rate of return (IRR) and Profitability index (PI). Each approach evaluates investments from a diverse financial point of view. The Payback Period is used to see how long it will take for the future cash inflows to recover the initial cash outflow. Projects that are expected to have a shorter payback period will also have lower investment risk due to the shorter time horizon for the return on capital. However, the method does not take into account the time value of money and the cash flows that occur after the payback period. Zarafat et al. (2022) suggest that payback is the most suitable method for companies seeking liquidity and risk of investment that is not associated with long-term profit.</w:t>
      </w:r>
    </w:p>
    <w:p w14:paraId="4B33C958" w14:textId="59AB0A1E" w:rsidR="00795A1D" w:rsidRPr="00693D25" w:rsidRDefault="00681867" w:rsidP="00693D25">
      <w:pPr>
        <w:rPr>
          <w:rFonts w:ascii="Arial" w:eastAsia="Arial" w:hAnsi="Arial" w:cs="Arial"/>
        </w:rPr>
      </w:pPr>
      <w:r w:rsidRPr="00693D25">
        <w:rPr>
          <w:rFonts w:ascii="Arial" w:eastAsia="Arial" w:hAnsi="Arial" w:cs="Arial"/>
        </w:rPr>
        <w:t xml:space="preserve">The Accounting Rate of Return compares the average accounting profit over the project life to the initial investment. ARRs are larger because they represent better accounting performance but do not factor in discounted cash flows and the timing of those cash flows. According to Parker (2022), ARR is still relevant when comparing accounts with similar investments since it signals the future accounting performance of the accounts. Net Present Value is considered the best and most accurate capital budgeting method because it adjusts future cash flows to present value at the firm's chosen rate of return. If the NPV of a project is positive, the project will enhance the wealth of the shareholders, and if the NPV is negative, the firm value will decrease. de Almeida (2024) states that NPV gives the best indication of long-term value creation given its combination of time and size of future cash flows. Internal Rate of Return is the discount rate that makes </w:t>
      </w:r>
      <w:r w:rsidR="00693D25" w:rsidRPr="00693D25">
        <w:rPr>
          <w:rFonts w:ascii="Arial" w:eastAsia="Arial" w:hAnsi="Arial" w:cs="Arial"/>
        </w:rPr>
        <w:t>the NPV</w:t>
      </w:r>
      <w:r w:rsidRPr="00693D25">
        <w:rPr>
          <w:rFonts w:ascii="Arial" w:eastAsia="Arial" w:hAnsi="Arial" w:cs="Arial"/>
        </w:rPr>
        <w:t xml:space="preserve"> of a project equal to zero. An IRR value that is higher than the cost of capital is typically considered viable and </w:t>
      </w:r>
      <w:r w:rsidR="00693D25" w:rsidRPr="00693D25">
        <w:rPr>
          <w:rFonts w:ascii="Arial" w:eastAsia="Arial" w:hAnsi="Arial" w:cs="Arial"/>
        </w:rPr>
        <w:t>justified,</w:t>
      </w:r>
      <w:r w:rsidRPr="00693D25">
        <w:rPr>
          <w:rFonts w:ascii="Arial" w:eastAsia="Arial" w:hAnsi="Arial" w:cs="Arial"/>
        </w:rPr>
        <w:t xml:space="preserve"> it is expected to return the investor more than their minimum threshold. IRR can also be less reliable in scenarios where two mutually exclusive projects have disparate cash flow timings (Reddy, 2021). Profitability Index compares the PV of benefits to the PV of costs. A value greater than one would mean an acceptable investment financially, and less than one, less than financially desirable. Organisations having situations of capital rationing find use of the profitability index, since the index helps them rank competing investment choices (Christensen and MacWilliam, 2023).</w:t>
      </w:r>
    </w:p>
    <w:p w14:paraId="1CC013C1" w14:textId="77777777" w:rsidR="00795A1D" w:rsidRPr="00693D25" w:rsidRDefault="00681867" w:rsidP="00693D25">
      <w:pPr>
        <w:pStyle w:val="Heading2"/>
        <w:rPr>
          <w:rFonts w:ascii="Arial" w:eastAsia="Arial" w:hAnsi="Arial" w:cs="Arial"/>
        </w:rPr>
      </w:pPr>
      <w:bookmarkStart w:id="20" w:name="_Toc235738267"/>
      <w:r w:rsidRPr="00693D25">
        <w:rPr>
          <w:rFonts w:ascii="Arial" w:eastAsia="Arial" w:hAnsi="Arial" w:cs="Arial"/>
        </w:rPr>
        <w:t>5.2 Evaluation of Projects A, B, and C</w:t>
      </w:r>
      <w:bookmarkEnd w:id="20"/>
    </w:p>
    <w:p w14:paraId="0FC2A457"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114300" distB="114300" distL="114300" distR="114300" wp14:anchorId="54982937" wp14:editId="6C720F53">
            <wp:extent cx="6010275" cy="1265895"/>
            <wp:effectExtent l="0" t="0" r="0" b="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6010275" cy="1265895"/>
                    </a:xfrm>
                    <a:prstGeom prst="rect">
                      <a:avLst/>
                    </a:prstGeom>
                    <a:ln/>
                  </pic:spPr>
                </pic:pic>
              </a:graphicData>
            </a:graphic>
          </wp:inline>
        </w:drawing>
      </w:r>
    </w:p>
    <w:p w14:paraId="39274D30"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114300" distB="114300" distL="114300" distR="114300" wp14:anchorId="6EC2D604" wp14:editId="439942D3">
            <wp:extent cx="5124450" cy="1876425"/>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124450" cy="1876425"/>
                    </a:xfrm>
                    <a:prstGeom prst="rect">
                      <a:avLst/>
                    </a:prstGeom>
                    <a:ln/>
                  </pic:spPr>
                </pic:pic>
              </a:graphicData>
            </a:graphic>
          </wp:inline>
        </w:drawing>
      </w:r>
    </w:p>
    <w:p w14:paraId="33C8EB07" w14:textId="77777777" w:rsidR="00795A1D" w:rsidRPr="00693D25" w:rsidRDefault="00681867" w:rsidP="00693D25">
      <w:pPr>
        <w:jc w:val="center"/>
        <w:rPr>
          <w:rFonts w:ascii="Arial" w:eastAsia="Arial" w:hAnsi="Arial" w:cs="Arial"/>
          <w:b/>
          <w:bCs/>
        </w:rPr>
      </w:pPr>
      <w:r w:rsidRPr="00693D25">
        <w:rPr>
          <w:rFonts w:ascii="Arial" w:eastAsia="Arial" w:hAnsi="Arial" w:cs="Arial"/>
          <w:b/>
          <w:bCs/>
        </w:rPr>
        <w:t xml:space="preserve">Table 1: Evaluation of Investment Appraisal </w:t>
      </w:r>
    </w:p>
    <w:p w14:paraId="3DED350C" w14:textId="77777777" w:rsidR="00795A1D" w:rsidRPr="00693D25" w:rsidRDefault="00681867" w:rsidP="00693D25">
      <w:pPr>
        <w:rPr>
          <w:rFonts w:ascii="Arial" w:eastAsia="Arial" w:hAnsi="Arial" w:cs="Arial"/>
        </w:rPr>
      </w:pPr>
      <w:r w:rsidRPr="00693D25">
        <w:rPr>
          <w:rFonts w:ascii="Arial" w:eastAsia="Arial" w:hAnsi="Arial" w:cs="Arial"/>
        </w:rPr>
        <w:t>Each of the projects proposed required a total investment of £ 50 million and was assessed by five different capital budgeting methods. The payback analysis indicates that project C seems to provide a better capital recovery period (3.6 years) than project A (4.5 years) and project B (4.55 years). Hence, this project has the least risk associated with the investment. Decreasing payback is better when the economy is uncertain, as stated by Zarafat et al. 2022. Project C also has the highest values for ARR (0.917), IRR (8.59%) and Profitability Index (2.522), which is better compared to Project B and Project A. All three projects have negative NPVs at a 10% discount rate. However, Project C has the lowest negative NPV of -£1,983,843.63, depicting that the least shareholder value is lost in Project C. In the case of all projects that have negative NPVs, managers should choose the project with the lowest value destruction (de Almeida, 2024). Similarly, higher IRRs tend to represent better long-term profits. While Christensen and MacWilliam (2023) noted that the profitability index is useful as long as investment funds are limited. In summary, Project C has the best financial results and is the preferred investment for Whitbread.</w:t>
      </w:r>
    </w:p>
    <w:p w14:paraId="5018EE77" w14:textId="77777777" w:rsidR="00795A1D" w:rsidRPr="00693D25" w:rsidRDefault="00681867" w:rsidP="00693D25">
      <w:pPr>
        <w:pStyle w:val="Heading2"/>
        <w:rPr>
          <w:rFonts w:ascii="Arial" w:eastAsia="Arial" w:hAnsi="Arial" w:cs="Arial"/>
        </w:rPr>
      </w:pPr>
      <w:bookmarkStart w:id="21" w:name="_Toc235738268"/>
      <w:r w:rsidRPr="00693D25">
        <w:rPr>
          <w:rFonts w:ascii="Arial" w:eastAsia="Arial" w:hAnsi="Arial" w:cs="Arial"/>
        </w:rPr>
        <w:t>5.3 Project Selection</w:t>
      </w:r>
      <w:bookmarkEnd w:id="21"/>
    </w:p>
    <w:p w14:paraId="678134A7" w14:textId="77777777" w:rsidR="00795A1D" w:rsidRPr="00693D25" w:rsidRDefault="00681867" w:rsidP="00693D25">
      <w:pPr>
        <w:rPr>
          <w:rFonts w:ascii="Arial" w:eastAsia="Arial" w:hAnsi="Arial" w:cs="Arial"/>
        </w:rPr>
      </w:pPr>
      <w:r w:rsidRPr="00693D25">
        <w:rPr>
          <w:rFonts w:ascii="Arial" w:eastAsia="Arial" w:hAnsi="Arial" w:cs="Arial"/>
        </w:rPr>
        <w:t>Based on the investment appraisal results, it is estimated that Project C is the most financially feasible project among the three alternatives. The project with the lowest negative NPV at a 10% discount rate and the highest ARR, IRR and Profitability Index is Project C, which also has the quickest payback time. The result suggests that it has the highest overall fiscal performance and minimal drop in the shareholders' value. Project B has moderate performance but not as desirable as Project C due to lower returns. Conversely, Project A is the worst performer with a negative ARR, lowest IRR, and the highest NPV, so it is the least favourable option of investment. None of the projects would make the required return on investment for Whitbread, but Project C gives a good trade-off of risk and return. De Almeida (2024) suggests that several appraisal techniques need to be applied to get a comprehensive view of a project's performance.</w:t>
      </w:r>
    </w:p>
    <w:p w14:paraId="62CDDA4F" w14:textId="77777777" w:rsidR="00795A1D" w:rsidRPr="00693D25" w:rsidRDefault="00681867" w:rsidP="00693D25">
      <w:pPr>
        <w:pStyle w:val="Heading2"/>
        <w:rPr>
          <w:rFonts w:ascii="Arial" w:eastAsia="Arial" w:hAnsi="Arial" w:cs="Arial"/>
        </w:rPr>
      </w:pPr>
      <w:bookmarkStart w:id="22" w:name="_Toc235738269"/>
      <w:r w:rsidRPr="00693D25">
        <w:rPr>
          <w:rFonts w:ascii="Arial" w:eastAsia="Arial" w:hAnsi="Arial" w:cs="Arial"/>
        </w:rPr>
        <w:t>5.4 Capital Rationing Decision</w:t>
      </w:r>
      <w:bookmarkEnd w:id="22"/>
    </w:p>
    <w:p w14:paraId="0E3CFB45" w14:textId="77777777" w:rsidR="00795A1D" w:rsidRPr="00693D25" w:rsidRDefault="00681867" w:rsidP="00693D25">
      <w:pPr>
        <w:rPr>
          <w:rFonts w:ascii="Arial" w:eastAsia="Arial" w:hAnsi="Arial" w:cs="Arial"/>
        </w:rPr>
      </w:pPr>
      <w:r w:rsidRPr="00693D25">
        <w:rPr>
          <w:rFonts w:ascii="Arial" w:eastAsia="Arial" w:hAnsi="Arial" w:cs="Arial"/>
        </w:rPr>
        <w:t>Capital Rationing is a situation in which an organisation has to decide which projects to pursue from a group of possible projects by positioning the investment in order of benefit to the shareholders. This is a suitable strategy in relation to Whitbread's weak liquidity and continued hotel expansion. Initial investment is of the same magnitude for all three projects. Therefore, Project C should be chosen due to the superior returns and lower investment risk as compared to the other two projects, especially across most of the investment appraisal methods. If extra funds are available, then Project B should be taken, and Project A should be turned down as its financial performance is very poor throughout. Christensen and MacWilliam (2023) added that effective capital rationing allocates resources to those investments that have the most potential to generate value over time.</w:t>
      </w:r>
    </w:p>
    <w:p w14:paraId="54802F20" w14:textId="77777777" w:rsidR="00795A1D" w:rsidRPr="00693D25" w:rsidRDefault="00681867" w:rsidP="00693D25">
      <w:pPr>
        <w:pStyle w:val="Heading2"/>
        <w:rPr>
          <w:rFonts w:ascii="Arial" w:eastAsia="Arial" w:hAnsi="Arial" w:cs="Arial"/>
        </w:rPr>
      </w:pPr>
      <w:bookmarkStart w:id="23" w:name="_Toc235738270"/>
      <w:r w:rsidRPr="00693D25">
        <w:rPr>
          <w:rFonts w:ascii="Arial" w:eastAsia="Arial" w:hAnsi="Arial" w:cs="Arial"/>
        </w:rPr>
        <w:t>5.5 Risk Considerations</w:t>
      </w:r>
      <w:bookmarkEnd w:id="23"/>
    </w:p>
    <w:p w14:paraId="549CCD25" w14:textId="77777777" w:rsidR="00795A1D" w:rsidRPr="00693D25" w:rsidRDefault="00681867" w:rsidP="00693D25">
      <w:pPr>
        <w:rPr>
          <w:rFonts w:ascii="Arial" w:eastAsia="Arial" w:hAnsi="Arial" w:cs="Arial"/>
        </w:rPr>
      </w:pPr>
      <w:r w:rsidRPr="00693D25">
        <w:rPr>
          <w:rFonts w:ascii="Arial" w:eastAsia="Arial" w:hAnsi="Arial" w:cs="Arial"/>
        </w:rPr>
        <w:t>In the hospitality sector, financial and operational risks can significantly impact investment decisions, such as economic uncertainty, inflation, variations in consumer spending, and tourism demand changes. In addition, a potential increase in interest rates could diminish the relative profitability of longer-term hotel investments. While Project C has a more favourable NPV than the other options, it is still negative, signalling that unfavourable market conditions may impact the expected results of the project. Hence, management needs to perform sensitivity and scenario analysis to evaluate the impact of shifts in occupancy, operating costs, inflation and discount rates on a project's performance. A comprehensive risk analysis can help to reduce financial uncertainties before the investment, thereby enhancing investment decisions (Parker, 2022). For Whitbread, environmental, regulatory and technological challenges also need to be taken into account, as hospitality stakeholders continue to invest heavily in sustainability and digitalisation. Incorporating ESG into investment decisions reinforces long-term resilience and investor confidence (Vinnicombe and Tessaro, 2022). In summary, in the overall picture, Project C is still the most preferred investment if the risk management and continuous project monitoring are effectively performed.</w:t>
      </w:r>
    </w:p>
    <w:p w14:paraId="1E76DB36" w14:textId="77777777" w:rsidR="00795A1D" w:rsidRPr="00693D25" w:rsidRDefault="00795A1D" w:rsidP="00693D25">
      <w:pPr>
        <w:rPr>
          <w:rFonts w:ascii="Arial" w:eastAsia="Arial" w:hAnsi="Arial" w:cs="Arial"/>
        </w:rPr>
      </w:pPr>
    </w:p>
    <w:p w14:paraId="50C46721" w14:textId="77777777" w:rsidR="00795A1D" w:rsidRPr="00693D25" w:rsidRDefault="00681867" w:rsidP="00693D25">
      <w:pPr>
        <w:pStyle w:val="Heading1"/>
        <w:rPr>
          <w:rFonts w:ascii="Arial" w:eastAsia="Arial" w:hAnsi="Arial" w:cs="Arial"/>
        </w:rPr>
      </w:pPr>
      <w:bookmarkStart w:id="24" w:name="_Toc235738271"/>
      <w:r w:rsidRPr="00693D25">
        <w:rPr>
          <w:rFonts w:ascii="Arial" w:eastAsia="Arial" w:hAnsi="Arial" w:cs="Arial"/>
        </w:rPr>
        <w:t>6. Critical Reflection on AI Usage</w:t>
      </w:r>
      <w:bookmarkEnd w:id="24"/>
    </w:p>
    <w:p w14:paraId="19B545E4" w14:textId="2F409B77" w:rsidR="00795A1D" w:rsidRPr="00693D25" w:rsidRDefault="00681867" w:rsidP="00693D25">
      <w:pPr>
        <w:rPr>
          <w:rFonts w:ascii="Arial" w:eastAsia="Arial" w:hAnsi="Arial" w:cs="Arial"/>
        </w:rPr>
      </w:pPr>
      <w:r w:rsidRPr="00693D25">
        <w:rPr>
          <w:rFonts w:ascii="Arial" w:eastAsia="Arial" w:hAnsi="Arial" w:cs="Arial"/>
        </w:rPr>
        <w:t xml:space="preserve">This financial analysis report is generated using Artificial Intelligence (AI) technologies which contributed to organising, enhancing the language and analysing data. The use of AI tools for improving the structure of the report, its academic style and interpretation of data on the financial performance of Whitbread PLC, was significant. AI was also leveraged to generate simple financial explanations, grammatical corrections and smoothness of the sections of the report. All financial calculations, numerical values, results of project appraisal and conclusions were verified and approved prior to their inclusion in this report. The acknowledgement of AI use provided a clarification on what AI tools are being used and to which extent. During the process of producing the report, the accuracy of AI-generated content was thoroughly checked. Financial statements, calculation of ratios and investment appraisals </w:t>
      </w:r>
      <w:r w:rsidR="00693D25" w:rsidRPr="00693D25">
        <w:rPr>
          <w:rFonts w:ascii="Arial" w:eastAsia="Arial" w:hAnsi="Arial" w:cs="Arial"/>
        </w:rPr>
        <w:t>were cross-</w:t>
      </w:r>
      <w:r w:rsidRPr="00693D25">
        <w:rPr>
          <w:rFonts w:ascii="Arial" w:eastAsia="Arial" w:hAnsi="Arial" w:cs="Arial"/>
        </w:rPr>
        <w:t>checked against published annual reports of Whitbread plc and the numerical information given to assess. AI-generated interpretations were also aligned with the known rules of financial management for consistency and logical soundness. Financial explanations or predictions were sometimes part of some responses produced by the AI, but these were vague and general, with no evidence presented from the company's financial reports. These outputs were adjusted based on them being compared to actual financial statements, ratio calculations and the appraisal of investments. The verification ensured there were no potential hallucinations, any numerical discrepancy or unsupported conclusions were eliminated, this made an evidence-based and academically sound final analysis.</w:t>
      </w:r>
    </w:p>
    <w:p w14:paraId="5A46FAB1" w14:textId="7F5891D5" w:rsidR="00795A1D" w:rsidRPr="00693D25" w:rsidRDefault="00681867" w:rsidP="00693D25">
      <w:pPr>
        <w:rPr>
          <w:rFonts w:ascii="Arial" w:eastAsia="Arial" w:hAnsi="Arial" w:cs="Arial"/>
        </w:rPr>
      </w:pPr>
      <w:r w:rsidRPr="00693D25">
        <w:rPr>
          <w:rFonts w:ascii="Arial" w:eastAsia="Arial" w:hAnsi="Arial" w:cs="Arial"/>
        </w:rPr>
        <w:t xml:space="preserve">Clearing the boundaries of the analytical contribution and the native creation with the aid of Artificial Intelligence was quite apparent. AI has suggested how the report could be structured logically, suggested financial concepts and enhanced the academic language of the sections of the report. Independent thought and consideration </w:t>
      </w:r>
      <w:r w:rsidR="00693D25" w:rsidRPr="00693D25">
        <w:rPr>
          <w:rFonts w:ascii="Arial" w:eastAsia="Arial" w:hAnsi="Arial" w:cs="Arial"/>
        </w:rPr>
        <w:t>have</w:t>
      </w:r>
      <w:r w:rsidRPr="00693D25">
        <w:rPr>
          <w:rFonts w:ascii="Arial" w:eastAsia="Arial" w:hAnsi="Arial" w:cs="Arial"/>
        </w:rPr>
        <w:t xml:space="preserve"> been given to recalculating financial performance, carrying out a detailed analysis of profitability, liquidity and working capital management, and making recommendations for investments made in Whitbread. The author examined the financial data, rather than the AI generated output; determined selections for Project C, its discussion of capital rationing, and financial recommendations to the board. The use of AI does not aim to replace thinking and judgment, but it was intended to be a means to increase productivity. The topics of Ethical and Professional Responsibilities were also discussed with respect to the use of AI. When incorporating AI technology or bot into academic or work-related projects, it is crucial to reveal its role so the reader understands the extent of the use. Likewise, data privacy is paramount, and data that is present and agreed to by the companies hired for the use of AI platforms. One of the major dangers of using AI extensively in finance is that it can result in errors, misinformation, and misinterpretation that can affect financial strategies and choices. The context of the organisation, the nature of the ethical decision to be made, and the ability of an AI system to make ethical decisions cannot be replaced. Thus, AI-generated content should always be complemented with sound academic papers and financial statements and used only as a guideline or recommendation.</w:t>
      </w:r>
    </w:p>
    <w:p w14:paraId="700C4159" w14:textId="77777777" w:rsidR="00795A1D" w:rsidRPr="00693D25" w:rsidRDefault="00795A1D" w:rsidP="00693D25">
      <w:pPr>
        <w:rPr>
          <w:rFonts w:ascii="Arial" w:eastAsia="Arial" w:hAnsi="Arial" w:cs="Arial"/>
        </w:rPr>
      </w:pPr>
    </w:p>
    <w:p w14:paraId="2133E680" w14:textId="77777777" w:rsidR="00795A1D" w:rsidRPr="00693D25" w:rsidRDefault="00681867" w:rsidP="00693D25">
      <w:pPr>
        <w:pStyle w:val="Heading1"/>
        <w:rPr>
          <w:rFonts w:ascii="Arial" w:eastAsia="Arial" w:hAnsi="Arial" w:cs="Arial"/>
        </w:rPr>
      </w:pPr>
      <w:bookmarkStart w:id="25" w:name="_Toc235738272"/>
      <w:r w:rsidRPr="00693D25">
        <w:rPr>
          <w:rFonts w:ascii="Arial" w:eastAsia="Arial" w:hAnsi="Arial" w:cs="Arial"/>
        </w:rPr>
        <w:t>7. Conclusion</w:t>
      </w:r>
      <w:bookmarkEnd w:id="25"/>
    </w:p>
    <w:p w14:paraId="5F1E7704" w14:textId="31D43C6C" w:rsidR="00795A1D" w:rsidRPr="00693D25" w:rsidRDefault="00681867" w:rsidP="00693D25">
      <w:pPr>
        <w:rPr>
          <w:rFonts w:ascii="Arial" w:eastAsia="Arial" w:hAnsi="Arial" w:cs="Arial"/>
        </w:rPr>
      </w:pPr>
      <w:r w:rsidRPr="00693D25">
        <w:rPr>
          <w:rFonts w:ascii="Arial" w:eastAsia="Arial" w:hAnsi="Arial" w:cs="Arial"/>
        </w:rPr>
        <w:t xml:space="preserve">This report has compared financial performance of Whitbread PLC in between 2022 and 2026 using various means of financial analysis, working capital analysis, restructuring and investment appraisal. The company is estimated to be profitable, taking into account its revenue level off and significant assets during the review period. Profitability ratios showed an interest in Whitbread's growth ability to create further value for their shareholders, while the efficient management of its inventories and overall good working cash flow highlighted the good performance of the business. The analysis also found that with the decline of the </w:t>
      </w:r>
      <w:r w:rsidR="00693D25" w:rsidRPr="00693D25">
        <w:rPr>
          <w:rFonts w:ascii="Arial" w:eastAsia="Arial" w:hAnsi="Arial" w:cs="Arial"/>
        </w:rPr>
        <w:t>short-term</w:t>
      </w:r>
      <w:r w:rsidRPr="00693D25">
        <w:rPr>
          <w:rFonts w:ascii="Arial" w:eastAsia="Arial" w:hAnsi="Arial" w:cs="Arial"/>
        </w:rPr>
        <w:t xml:space="preserve"> liquidity of the company and </w:t>
      </w:r>
      <w:r w:rsidR="00693D25" w:rsidRPr="00693D25">
        <w:rPr>
          <w:rFonts w:ascii="Arial" w:eastAsia="Arial" w:hAnsi="Arial" w:cs="Arial"/>
        </w:rPr>
        <w:t>shareholders’</w:t>
      </w:r>
      <w:r w:rsidRPr="00693D25">
        <w:rPr>
          <w:rFonts w:ascii="Arial" w:eastAsia="Arial" w:hAnsi="Arial" w:cs="Arial"/>
        </w:rPr>
        <w:t xml:space="preserve"> equity, working capital management </w:t>
      </w:r>
      <w:r w:rsidR="00693D25" w:rsidRPr="00693D25">
        <w:rPr>
          <w:rFonts w:ascii="Arial" w:eastAsia="Arial" w:hAnsi="Arial" w:cs="Arial"/>
        </w:rPr>
        <w:t>needs to</w:t>
      </w:r>
      <w:r w:rsidRPr="00693D25">
        <w:rPr>
          <w:rFonts w:ascii="Arial" w:eastAsia="Arial" w:hAnsi="Arial" w:cs="Arial"/>
        </w:rPr>
        <w:t xml:space="preserve"> be </w:t>
      </w:r>
      <w:r w:rsidR="00693D25" w:rsidRPr="00693D25">
        <w:rPr>
          <w:rFonts w:ascii="Arial" w:eastAsia="Arial" w:hAnsi="Arial" w:cs="Arial"/>
        </w:rPr>
        <w:t xml:space="preserve">given the emphasis and </w:t>
      </w:r>
      <w:r w:rsidRPr="00693D25">
        <w:rPr>
          <w:rFonts w:ascii="Arial" w:eastAsia="Arial" w:hAnsi="Arial" w:cs="Arial"/>
        </w:rPr>
        <w:t xml:space="preserve">improved. </w:t>
      </w:r>
    </w:p>
    <w:p w14:paraId="68C6EBE2" w14:textId="7B991D44" w:rsidR="00795A1D" w:rsidRPr="00693D25" w:rsidRDefault="00681867" w:rsidP="00693D25">
      <w:pPr>
        <w:rPr>
          <w:rFonts w:ascii="Arial" w:eastAsia="Arial" w:hAnsi="Arial" w:cs="Arial"/>
        </w:rPr>
      </w:pPr>
      <w:r w:rsidRPr="00693D25">
        <w:rPr>
          <w:rFonts w:ascii="Arial" w:eastAsia="Arial" w:hAnsi="Arial" w:cs="Arial"/>
        </w:rPr>
        <w:t xml:space="preserve">A financing restructuring is planned for the purpose of creating an improvement to cash management, financing balance and digital transformation, and at the same time continue to strengthen the operating performance to support additional liquidity creation. The strategies will broaden their financial options and will also contribute to this with long-term sustainable growth. All projects had a negative NPV for the discount rate used, but all it was found that project C had the highest accounting rate, the best profitability index and the shortest payback time. </w:t>
      </w:r>
      <w:r w:rsidR="00693D25" w:rsidRPr="00693D25">
        <w:rPr>
          <w:rFonts w:ascii="Arial" w:eastAsia="Arial" w:hAnsi="Arial" w:cs="Arial"/>
        </w:rPr>
        <w:t>Altogether</w:t>
      </w:r>
      <w:r w:rsidRPr="00693D25">
        <w:rPr>
          <w:rFonts w:ascii="Arial" w:eastAsia="Arial" w:hAnsi="Arial" w:cs="Arial"/>
        </w:rPr>
        <w:t xml:space="preserve">, </w:t>
      </w:r>
      <w:r w:rsidR="00693D25" w:rsidRPr="00693D25">
        <w:rPr>
          <w:rFonts w:ascii="Arial" w:eastAsia="Arial" w:hAnsi="Arial" w:cs="Arial"/>
        </w:rPr>
        <w:t xml:space="preserve">the </w:t>
      </w:r>
      <w:r w:rsidRPr="00693D25">
        <w:rPr>
          <w:rFonts w:ascii="Arial" w:eastAsia="Arial" w:hAnsi="Arial" w:cs="Arial"/>
        </w:rPr>
        <w:t xml:space="preserve">balance sheet </w:t>
      </w:r>
      <w:r w:rsidR="00693D25" w:rsidRPr="00693D25">
        <w:rPr>
          <w:rFonts w:ascii="Arial" w:eastAsia="Arial" w:hAnsi="Arial" w:cs="Arial"/>
        </w:rPr>
        <w:t xml:space="preserve">of Whitbread PLC </w:t>
      </w:r>
      <w:r w:rsidRPr="00693D25">
        <w:rPr>
          <w:rFonts w:ascii="Arial" w:eastAsia="Arial" w:hAnsi="Arial" w:cs="Arial"/>
        </w:rPr>
        <w:t xml:space="preserve">is </w:t>
      </w:r>
      <w:r w:rsidR="00693D25" w:rsidRPr="00693D25">
        <w:rPr>
          <w:rFonts w:ascii="Arial" w:eastAsia="Arial" w:hAnsi="Arial" w:cs="Arial"/>
        </w:rPr>
        <w:t xml:space="preserve">analysed to be </w:t>
      </w:r>
      <w:r w:rsidRPr="00693D25">
        <w:rPr>
          <w:rFonts w:ascii="Arial" w:eastAsia="Arial" w:hAnsi="Arial" w:cs="Arial"/>
        </w:rPr>
        <w:t>healthy and the Group's balance sheet is sound for continued growth</w:t>
      </w:r>
      <w:r w:rsidR="00693D25" w:rsidRPr="00693D25">
        <w:rPr>
          <w:rFonts w:ascii="Arial" w:eastAsia="Arial" w:hAnsi="Arial" w:cs="Arial"/>
        </w:rPr>
        <w:t>. This is</w:t>
      </w:r>
      <w:r w:rsidRPr="00693D25">
        <w:rPr>
          <w:rFonts w:ascii="Arial" w:eastAsia="Arial" w:hAnsi="Arial" w:cs="Arial"/>
        </w:rPr>
        <w:t xml:space="preserve"> as long as prudent financial management of liquidity continues, prudent financial allocation continues, and long-term financial strategies and sustainability goals are included in financial decision</w:t>
      </w:r>
      <w:r w:rsidR="00693D25" w:rsidRPr="00693D25">
        <w:rPr>
          <w:rFonts w:ascii="Arial" w:eastAsia="Arial" w:hAnsi="Arial" w:cs="Arial"/>
        </w:rPr>
        <w:t>-</w:t>
      </w:r>
      <w:r w:rsidRPr="00693D25">
        <w:rPr>
          <w:rFonts w:ascii="Arial" w:eastAsia="Arial" w:hAnsi="Arial" w:cs="Arial"/>
        </w:rPr>
        <w:t>making.</w:t>
      </w:r>
      <w:bookmarkStart w:id="26" w:name="_heading=h.ky2ym569568r" w:colFirst="0" w:colLast="0"/>
      <w:bookmarkEnd w:id="26"/>
      <w:r w:rsidRPr="00693D25">
        <w:rPr>
          <w:rFonts w:ascii="Arial" w:hAnsi="Arial" w:cs="Arial"/>
        </w:rPr>
        <w:br w:type="page"/>
      </w:r>
    </w:p>
    <w:p w14:paraId="32542E8B" w14:textId="77777777" w:rsidR="00795A1D" w:rsidRPr="00693D25" w:rsidRDefault="00681867" w:rsidP="00693D25">
      <w:pPr>
        <w:pStyle w:val="Heading1"/>
        <w:rPr>
          <w:rFonts w:ascii="Arial" w:eastAsia="Arial" w:hAnsi="Arial" w:cs="Arial"/>
        </w:rPr>
      </w:pPr>
      <w:bookmarkStart w:id="27" w:name="_Toc235738273"/>
      <w:r w:rsidRPr="00693D25">
        <w:rPr>
          <w:rFonts w:ascii="Arial" w:eastAsia="Arial" w:hAnsi="Arial" w:cs="Arial"/>
        </w:rPr>
        <w:t>References</w:t>
      </w:r>
      <w:bookmarkEnd w:id="27"/>
    </w:p>
    <w:p w14:paraId="77642BBF" w14:textId="6B973090" w:rsidR="005E4C5E" w:rsidRPr="005E4C5E" w:rsidRDefault="005E4C5E" w:rsidP="00693D25">
      <w:pPr>
        <w:spacing w:after="240"/>
        <w:rPr>
          <w:rFonts w:ascii="Arial" w:eastAsia="Arial" w:hAnsi="Arial" w:cs="Arial"/>
        </w:rPr>
      </w:pPr>
      <w:r w:rsidRPr="005E4C5E">
        <w:rPr>
          <w:rFonts w:ascii="Arial" w:eastAsia="Arial" w:hAnsi="Arial" w:cs="Arial"/>
        </w:rPr>
        <w:t xml:space="preserve">Annual Report, 2022. </w:t>
      </w:r>
      <w:r w:rsidRPr="005E4C5E">
        <w:rPr>
          <w:rFonts w:ascii="Arial" w:eastAsia="Arial" w:hAnsi="Arial" w:cs="Arial"/>
          <w:i/>
          <w:iCs/>
        </w:rPr>
        <w:t xml:space="preserve">Whitebread Plc Annual Report 2022. </w:t>
      </w:r>
      <w:r w:rsidRPr="005E4C5E">
        <w:rPr>
          <w:rFonts w:ascii="Arial" w:eastAsia="Arial" w:hAnsi="Arial" w:cs="Arial"/>
        </w:rPr>
        <w:t xml:space="preserve">Available at: </w:t>
      </w:r>
      <w:hyperlink r:id="rId17">
        <w:r w:rsidRPr="005E4C5E">
          <w:rPr>
            <w:rFonts w:ascii="Arial" w:eastAsia="Arial" w:hAnsi="Arial" w:cs="Arial"/>
            <w:color w:val="0000FF"/>
            <w:u w:val="single"/>
          </w:rPr>
          <w:t>https://www.annualreports.com/HostedData/AnnualReportArchive/w/LSE_WTB_2021.pdf</w:t>
        </w:r>
      </w:hyperlink>
      <w:r w:rsidRPr="005E4C5E">
        <w:rPr>
          <w:rFonts w:ascii="Arial" w:eastAsia="Arial" w:hAnsi="Arial" w:cs="Arial"/>
          <w:color w:val="0000FF"/>
        </w:rPr>
        <w:t xml:space="preserve"> </w:t>
      </w:r>
      <w:r w:rsidRPr="005E4C5E">
        <w:rPr>
          <w:rFonts w:ascii="Arial" w:eastAsia="Arial" w:hAnsi="Arial" w:cs="Arial"/>
        </w:rPr>
        <w:t xml:space="preserve">[Accessed on </w:t>
      </w:r>
      <w:r>
        <w:rPr>
          <w:rFonts w:ascii="Arial" w:eastAsia="Arial" w:hAnsi="Arial" w:cs="Arial"/>
        </w:rPr>
        <w:t>15.07.2026].</w:t>
      </w:r>
    </w:p>
    <w:p w14:paraId="58EF43E8" w14:textId="0F868FB1" w:rsidR="005E4C5E" w:rsidRPr="005E4C5E" w:rsidRDefault="005E4C5E" w:rsidP="00693D25">
      <w:pPr>
        <w:spacing w:after="240"/>
        <w:rPr>
          <w:rFonts w:ascii="Arial" w:eastAsia="Arial" w:hAnsi="Arial" w:cs="Arial"/>
        </w:rPr>
      </w:pPr>
      <w:r w:rsidRPr="005E4C5E">
        <w:rPr>
          <w:rFonts w:ascii="Arial" w:eastAsia="Arial" w:hAnsi="Arial" w:cs="Arial"/>
        </w:rPr>
        <w:t xml:space="preserve">Annual Report, 2023. </w:t>
      </w:r>
      <w:r w:rsidRPr="005E4C5E">
        <w:rPr>
          <w:rFonts w:ascii="Arial" w:eastAsia="Arial" w:hAnsi="Arial" w:cs="Arial"/>
          <w:i/>
          <w:iCs/>
        </w:rPr>
        <w:t>Whitebread Plc Annual Report 2023.</w:t>
      </w:r>
      <w:r w:rsidRPr="005E4C5E">
        <w:rPr>
          <w:rFonts w:ascii="Arial" w:eastAsia="Arial" w:hAnsi="Arial" w:cs="Arial"/>
        </w:rPr>
        <w:t xml:space="preserve"> Available at: </w:t>
      </w:r>
      <w:hyperlink r:id="rId18">
        <w:r w:rsidRPr="005E4C5E">
          <w:rPr>
            <w:rFonts w:ascii="Arial" w:eastAsia="Arial" w:hAnsi="Arial" w:cs="Arial"/>
            <w:color w:val="0000FF"/>
            <w:u w:val="single"/>
          </w:rPr>
          <w:t>https://www.annualreports.com/HostedData/AnnualReportArchive/w/LSE_WTB_2022.pdf</w:t>
        </w:r>
      </w:hyperlink>
      <w:r>
        <w:rPr>
          <w:rFonts w:ascii="Arial" w:eastAsia="Arial" w:hAnsi="Arial" w:cs="Arial"/>
          <w:color w:val="0000FF"/>
          <w:u w:val="single"/>
        </w:rPr>
        <w:t xml:space="preserve"> </w:t>
      </w:r>
      <w:r w:rsidRPr="005E4C5E">
        <w:rPr>
          <w:rFonts w:ascii="Arial" w:eastAsia="Arial" w:hAnsi="Arial" w:cs="Arial"/>
        </w:rPr>
        <w:t xml:space="preserve">[Accessed on </w:t>
      </w:r>
      <w:r>
        <w:rPr>
          <w:rFonts w:ascii="Arial" w:eastAsia="Arial" w:hAnsi="Arial" w:cs="Arial"/>
        </w:rPr>
        <w:t>15.07.2026].</w:t>
      </w:r>
    </w:p>
    <w:p w14:paraId="6E0D0F7E" w14:textId="03CEE355" w:rsidR="005E4C5E" w:rsidRPr="005E4C5E" w:rsidRDefault="005E4C5E" w:rsidP="00693D25">
      <w:pPr>
        <w:spacing w:after="240"/>
        <w:rPr>
          <w:rFonts w:ascii="Arial" w:eastAsia="Arial" w:hAnsi="Arial" w:cs="Arial"/>
        </w:rPr>
      </w:pPr>
      <w:r w:rsidRPr="005E4C5E">
        <w:rPr>
          <w:rFonts w:ascii="Arial" w:eastAsia="Arial" w:hAnsi="Arial" w:cs="Arial"/>
        </w:rPr>
        <w:t xml:space="preserve">Annual Report, 2024. </w:t>
      </w:r>
      <w:r w:rsidRPr="005E4C5E">
        <w:rPr>
          <w:rFonts w:ascii="Arial" w:eastAsia="Arial" w:hAnsi="Arial" w:cs="Arial"/>
          <w:i/>
          <w:iCs/>
        </w:rPr>
        <w:t xml:space="preserve">Whitebread Plc Annual Report 2024. </w:t>
      </w:r>
      <w:r w:rsidRPr="005E4C5E">
        <w:rPr>
          <w:rFonts w:ascii="Arial" w:eastAsia="Arial" w:hAnsi="Arial" w:cs="Arial"/>
        </w:rPr>
        <w:t xml:space="preserve">Available at: </w:t>
      </w:r>
      <w:hyperlink r:id="rId19">
        <w:r w:rsidRPr="005E4C5E">
          <w:rPr>
            <w:rFonts w:ascii="Arial" w:eastAsia="Arial" w:hAnsi="Arial" w:cs="Arial"/>
            <w:color w:val="0000FF"/>
            <w:u w:val="single"/>
          </w:rPr>
          <w:t>https://www.annualreports.com/HostedData/AnnualReportArchive/w/LSE_WTB_2023.pdf</w:t>
        </w:r>
      </w:hyperlink>
      <w:r>
        <w:rPr>
          <w:rFonts w:ascii="Arial" w:eastAsia="Arial" w:hAnsi="Arial" w:cs="Arial"/>
          <w:color w:val="0000FF"/>
          <w:u w:val="single"/>
        </w:rPr>
        <w:t xml:space="preserve"> </w:t>
      </w:r>
      <w:r w:rsidRPr="005E4C5E">
        <w:rPr>
          <w:rFonts w:ascii="Arial" w:eastAsia="Arial" w:hAnsi="Arial" w:cs="Arial"/>
        </w:rPr>
        <w:t xml:space="preserve">[Accessed on </w:t>
      </w:r>
      <w:r>
        <w:rPr>
          <w:rFonts w:ascii="Arial" w:eastAsia="Arial" w:hAnsi="Arial" w:cs="Arial"/>
        </w:rPr>
        <w:t>20.07.2026].</w:t>
      </w:r>
    </w:p>
    <w:p w14:paraId="06184A6A" w14:textId="160B93AB" w:rsidR="005E4C5E" w:rsidRPr="005E4C5E" w:rsidRDefault="005E4C5E" w:rsidP="00693D25">
      <w:pPr>
        <w:spacing w:after="240"/>
        <w:rPr>
          <w:rFonts w:ascii="Arial" w:eastAsia="Arial" w:hAnsi="Arial" w:cs="Arial"/>
        </w:rPr>
      </w:pPr>
      <w:r w:rsidRPr="005E4C5E">
        <w:rPr>
          <w:rFonts w:ascii="Arial" w:eastAsia="Arial" w:hAnsi="Arial" w:cs="Arial"/>
        </w:rPr>
        <w:t xml:space="preserve">Annual Report, 2025. </w:t>
      </w:r>
      <w:r w:rsidRPr="005E4C5E">
        <w:rPr>
          <w:rFonts w:ascii="Arial" w:eastAsia="Arial" w:hAnsi="Arial" w:cs="Arial"/>
          <w:i/>
          <w:iCs/>
        </w:rPr>
        <w:t>Whitebread Plc Annual Report 2025.</w:t>
      </w:r>
      <w:r w:rsidRPr="005E4C5E">
        <w:rPr>
          <w:rFonts w:ascii="Arial" w:eastAsia="Arial" w:hAnsi="Arial" w:cs="Arial"/>
        </w:rPr>
        <w:t xml:space="preserve"> Available at: </w:t>
      </w:r>
      <w:hyperlink r:id="rId20">
        <w:r w:rsidRPr="005E4C5E">
          <w:rPr>
            <w:rFonts w:ascii="Arial" w:eastAsia="Arial" w:hAnsi="Arial" w:cs="Arial"/>
            <w:color w:val="0000FF"/>
            <w:u w:val="single"/>
          </w:rPr>
          <w:t>https://www.annualreports.com/HostedData/AnnualReportArchive/w/LSE_WTB_2024.pdf</w:t>
        </w:r>
      </w:hyperlink>
      <w:r>
        <w:rPr>
          <w:rFonts w:ascii="Arial" w:eastAsia="Arial" w:hAnsi="Arial" w:cs="Arial"/>
          <w:color w:val="0000FF"/>
          <w:u w:val="single"/>
        </w:rPr>
        <w:t xml:space="preserve"> </w:t>
      </w:r>
      <w:r w:rsidRPr="005E4C5E">
        <w:rPr>
          <w:rFonts w:ascii="Arial" w:eastAsia="Arial" w:hAnsi="Arial" w:cs="Arial"/>
        </w:rPr>
        <w:t xml:space="preserve">[Accessed on </w:t>
      </w:r>
      <w:r>
        <w:rPr>
          <w:rFonts w:ascii="Arial" w:eastAsia="Arial" w:hAnsi="Arial" w:cs="Arial"/>
        </w:rPr>
        <w:t>18.07.2026].</w:t>
      </w:r>
    </w:p>
    <w:p w14:paraId="6CEB7EE0"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 xml:space="preserve">Baeten, X. and Van Hove, M., 2021. What to reward executives for? A taxonomy of performance metrics in executive incentives supplemented by an overview of business practice. </w:t>
      </w:r>
      <w:hyperlink r:id="rId21">
        <w:r w:rsidRPr="005E4C5E">
          <w:rPr>
            <w:rFonts w:ascii="Arial" w:eastAsia="Arial" w:hAnsi="Arial" w:cs="Arial"/>
            <w:color w:val="0000FF"/>
            <w:highlight w:val="white"/>
            <w:u w:val="single"/>
          </w:rPr>
          <w:t>https://repository.vlerick.com/entities/publication/998940d9-3c5e-4477-a9e5-599bcf1a8088</w:t>
        </w:r>
      </w:hyperlink>
    </w:p>
    <w:p w14:paraId="216F4453"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Bosone, C., Cerchiello, P. and Kostiuk, Y., Csr under attack: Empirical evidence from the eurostoxx600 on stakeholders’ perception of greenwashing. </w:t>
      </w:r>
      <w:r w:rsidRPr="005E4C5E">
        <w:rPr>
          <w:rFonts w:ascii="Arial" w:eastAsia="Arial" w:hAnsi="Arial" w:cs="Arial"/>
          <w:i/>
          <w:iCs/>
          <w:color w:val="222222"/>
          <w:highlight w:val="white"/>
        </w:rPr>
        <w:t>Available at SSRN 4840850</w:t>
      </w:r>
      <w:r w:rsidRPr="005E4C5E">
        <w:rPr>
          <w:rFonts w:ascii="Arial" w:eastAsia="Arial" w:hAnsi="Arial" w:cs="Arial"/>
          <w:color w:val="222222"/>
          <w:highlight w:val="white"/>
        </w:rPr>
        <w:t xml:space="preserve">. </w:t>
      </w:r>
      <w:hyperlink r:id="rId22">
        <w:r w:rsidRPr="005E4C5E">
          <w:rPr>
            <w:rFonts w:ascii="Arial" w:eastAsia="Arial" w:hAnsi="Arial" w:cs="Arial"/>
            <w:color w:val="0000FF"/>
            <w:highlight w:val="white"/>
            <w:u w:val="single"/>
          </w:rPr>
          <w:t>https://papers.ssrn.com/sol3/papers.cfm?abstract_id=4840850</w:t>
        </w:r>
      </w:hyperlink>
    </w:p>
    <w:p w14:paraId="449CDBD3"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 xml:space="preserve">Christensen, A.O. and MacWilliam, P.A., 2023. The Performance of Sustainably Driven Portfolios. </w:t>
      </w:r>
      <w:hyperlink r:id="rId23">
        <w:r w:rsidRPr="005E4C5E">
          <w:rPr>
            <w:rFonts w:ascii="Arial" w:eastAsia="Arial" w:hAnsi="Arial" w:cs="Arial"/>
            <w:color w:val="0000FF"/>
            <w:highlight w:val="white"/>
            <w:u w:val="single"/>
          </w:rPr>
          <w:t>https://research-api.cbs.dk/ws/portalfiles/portal/98733495/1556950_Master_Thesis_150365_150283.pdf</w:t>
        </w:r>
      </w:hyperlink>
    </w:p>
    <w:p w14:paraId="50AA05EB"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 xml:space="preserve">de Almeida, V.C.F.R., 2024. Holiday Effect on Large Stock Price Changes in Europe. </w:t>
      </w:r>
      <w:hyperlink r:id="rId24">
        <w:r w:rsidRPr="005E4C5E">
          <w:rPr>
            <w:rFonts w:ascii="Arial" w:eastAsia="Arial" w:hAnsi="Arial" w:cs="Arial"/>
            <w:color w:val="0000FF"/>
            <w:highlight w:val="white"/>
            <w:u w:val="single"/>
          </w:rPr>
          <w:t>https://repositorio-aberto.up.pt/bitstream/10216/161294/2/683949.pdf</w:t>
        </w:r>
      </w:hyperlink>
    </w:p>
    <w:p w14:paraId="25B1E12A"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Fenech, M.C., 2024. The Management of Waste in Large Chain Hotels: A Review of Corporate Sustainability Reporting. </w:t>
      </w:r>
      <w:r w:rsidRPr="005E4C5E">
        <w:rPr>
          <w:rFonts w:ascii="Arial" w:eastAsia="Arial" w:hAnsi="Arial" w:cs="Arial"/>
          <w:i/>
          <w:iCs/>
          <w:color w:val="222222"/>
          <w:highlight w:val="white"/>
        </w:rPr>
        <w:t>New Trends in Tourism</w:t>
      </w:r>
      <w:r w:rsidRPr="005E4C5E">
        <w:rPr>
          <w:rFonts w:ascii="Arial" w:eastAsia="Arial" w:hAnsi="Arial" w:cs="Arial"/>
          <w:color w:val="222222"/>
          <w:highlight w:val="white"/>
        </w:rPr>
        <w:t xml:space="preserve">. </w:t>
      </w:r>
      <w:hyperlink r:id="rId25">
        <w:r w:rsidRPr="005E4C5E">
          <w:rPr>
            <w:rFonts w:ascii="Arial" w:eastAsia="Arial" w:hAnsi="Arial" w:cs="Arial"/>
            <w:color w:val="0000FF"/>
            <w:highlight w:val="white"/>
            <w:u w:val="single"/>
          </w:rPr>
          <w:t>https://www.intechopen.com/chapters/1193105</w:t>
        </w:r>
      </w:hyperlink>
    </w:p>
    <w:p w14:paraId="3417C51A"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 xml:space="preserve">Filatova, H., Kulyk, V. and Kravchenko, O., 2024. Optimization of a company’s capital structure based on the criterion of minimizing the level of financial risk. </w:t>
      </w:r>
      <w:r w:rsidRPr="005E4C5E">
        <w:rPr>
          <w:rFonts w:ascii="Arial" w:eastAsia="Arial" w:hAnsi="Arial" w:cs="Arial"/>
          <w:i/>
          <w:iCs/>
          <w:color w:val="222222"/>
          <w:highlight w:val="white"/>
        </w:rPr>
        <w:t>Accounting and Financial Control</w:t>
      </w:r>
      <w:r w:rsidRPr="005E4C5E">
        <w:rPr>
          <w:rFonts w:ascii="Arial" w:eastAsia="Arial" w:hAnsi="Arial" w:cs="Arial"/>
          <w:color w:val="222222"/>
          <w:highlight w:val="white"/>
        </w:rPr>
        <w:t xml:space="preserve">, </w:t>
      </w:r>
      <w:r w:rsidRPr="005E4C5E">
        <w:rPr>
          <w:rFonts w:ascii="Arial" w:eastAsia="Arial" w:hAnsi="Arial" w:cs="Arial"/>
          <w:i/>
          <w:iCs/>
          <w:color w:val="222222"/>
          <w:highlight w:val="white"/>
        </w:rPr>
        <w:t>5</w:t>
      </w:r>
      <w:r w:rsidRPr="005E4C5E">
        <w:rPr>
          <w:rFonts w:ascii="Arial" w:eastAsia="Arial" w:hAnsi="Arial" w:cs="Arial"/>
          <w:color w:val="222222"/>
          <w:highlight w:val="white"/>
        </w:rPr>
        <w:t>(1), p.46.</w:t>
      </w:r>
      <w:r w:rsidRPr="005E4C5E">
        <w:rPr>
          <w:rFonts w:ascii="Arial" w:eastAsia="Arial" w:hAnsi="Arial" w:cs="Arial"/>
        </w:rPr>
        <w:t xml:space="preserve"> </w:t>
      </w:r>
      <w:hyperlink r:id="rId26">
        <w:r w:rsidRPr="005E4C5E">
          <w:rPr>
            <w:rFonts w:ascii="Arial" w:eastAsia="Arial" w:hAnsi="Arial" w:cs="Arial"/>
            <w:color w:val="1155CC"/>
            <w:u w:val="single"/>
          </w:rPr>
          <w:t>https://reposit.nupp.edu.ua/files/original/19/13384/66502834570e63bbc36682a5d39b88fef55758ba.pdf</w:t>
        </w:r>
      </w:hyperlink>
      <w:r w:rsidRPr="005E4C5E">
        <w:rPr>
          <w:rFonts w:ascii="Arial" w:eastAsia="Arial" w:hAnsi="Arial" w:cs="Arial"/>
        </w:rPr>
        <w:t xml:space="preserve"> </w:t>
      </w:r>
    </w:p>
    <w:p w14:paraId="0EF13CCE"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 xml:space="preserve">Fooks, G.J., Mullan, K., Willmott, J., Yates, D., Mills, T. and Davis, M., 2023. Who gained, who lost? The distributional impact of COVID-19 government support for business. </w:t>
      </w:r>
      <w:hyperlink r:id="rId27">
        <w:r w:rsidRPr="005E4C5E">
          <w:rPr>
            <w:rFonts w:ascii="Arial" w:eastAsia="Arial" w:hAnsi="Arial" w:cs="Arial"/>
            <w:color w:val="0000FF"/>
            <w:highlight w:val="white"/>
            <w:u w:val="single"/>
          </w:rPr>
          <w:t>https://research.aston.ac.uk/en/publications/who-gained-who-lost-the-distributional-impact-of-covid-19-governm/</w:t>
        </w:r>
      </w:hyperlink>
    </w:p>
    <w:p w14:paraId="57B673D1"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 xml:space="preserve">Halonen, H., 2024. Analyzing the link between corporate sustainability performance and financial performance: a configurational approach. </w:t>
      </w:r>
      <w:hyperlink r:id="rId28">
        <w:r w:rsidRPr="005E4C5E">
          <w:rPr>
            <w:rFonts w:ascii="Arial" w:eastAsia="Arial" w:hAnsi="Arial" w:cs="Arial"/>
            <w:color w:val="0000FF"/>
            <w:highlight w:val="white"/>
            <w:u w:val="single"/>
          </w:rPr>
          <w:t>https://lutpub.lut.fi/handle/10024/168514</w:t>
        </w:r>
      </w:hyperlink>
    </w:p>
    <w:p w14:paraId="0D85EF9F"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 xml:space="preserve">Haslam, C., Leaver, A., Murphy, R. and Tsitsianis, N., 2021. Assessing the Impact of Shareholder Primacy and Value Extraction: Performance and Financial Resillience in the FTSE350. </w:t>
      </w:r>
      <w:hyperlink r:id="rId29">
        <w:r w:rsidRPr="005E4C5E">
          <w:rPr>
            <w:rFonts w:ascii="Arial" w:eastAsia="Arial" w:hAnsi="Arial" w:cs="Arial"/>
            <w:color w:val="0000FF"/>
            <w:highlight w:val="white"/>
            <w:u w:val="single"/>
          </w:rPr>
          <w:t>https://research.cbs.dk/en/publications/assessing-the-impact-of-shareholder-primacy-and-value-extraction-/</w:t>
        </w:r>
      </w:hyperlink>
    </w:p>
    <w:p w14:paraId="6646604E"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Huang, H., Hu, M., Kauffman, R.J. and Xu, H., 2021. The power of renegotiation and monitoring in software outsourcing: substitutes or complements?. </w:t>
      </w:r>
      <w:r w:rsidRPr="005E4C5E">
        <w:rPr>
          <w:rFonts w:ascii="Arial" w:eastAsia="Arial" w:hAnsi="Arial" w:cs="Arial"/>
          <w:i/>
          <w:iCs/>
          <w:color w:val="222222"/>
          <w:highlight w:val="white"/>
        </w:rPr>
        <w:t>Information Systems Research</w:t>
      </w:r>
      <w:r w:rsidRPr="005E4C5E">
        <w:rPr>
          <w:rFonts w:ascii="Arial" w:eastAsia="Arial" w:hAnsi="Arial" w:cs="Arial"/>
          <w:color w:val="222222"/>
          <w:highlight w:val="white"/>
        </w:rPr>
        <w:t>, </w:t>
      </w:r>
      <w:r w:rsidRPr="005E4C5E">
        <w:rPr>
          <w:rFonts w:ascii="Arial" w:eastAsia="Arial" w:hAnsi="Arial" w:cs="Arial"/>
          <w:i/>
          <w:iCs/>
          <w:color w:val="222222"/>
          <w:highlight w:val="white"/>
        </w:rPr>
        <w:t>32</w:t>
      </w:r>
      <w:r w:rsidRPr="005E4C5E">
        <w:rPr>
          <w:rFonts w:ascii="Arial" w:eastAsia="Arial" w:hAnsi="Arial" w:cs="Arial"/>
          <w:color w:val="222222"/>
          <w:highlight w:val="white"/>
        </w:rPr>
        <w:t xml:space="preserve">(4), pp.1236-1261. </w:t>
      </w:r>
      <w:hyperlink r:id="rId30">
        <w:r w:rsidRPr="005E4C5E">
          <w:rPr>
            <w:rFonts w:ascii="Arial" w:eastAsia="Arial" w:hAnsi="Arial" w:cs="Arial"/>
            <w:color w:val="0000FF"/>
            <w:highlight w:val="white"/>
            <w:u w:val="single"/>
          </w:rPr>
          <w:t>https://pubsonline.informs.org/doi/abs/10.1287/isre.2021.1026</w:t>
        </w:r>
      </w:hyperlink>
    </w:p>
    <w:p w14:paraId="34E97D5C"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Jones, P. and Comfort, D., 2021. Modern slavery statements and leading UK hotel companies. </w:t>
      </w:r>
      <w:r w:rsidRPr="005E4C5E">
        <w:rPr>
          <w:rFonts w:ascii="Arial" w:eastAsia="Arial" w:hAnsi="Arial" w:cs="Arial"/>
          <w:i/>
          <w:iCs/>
          <w:color w:val="222222"/>
          <w:highlight w:val="white"/>
        </w:rPr>
        <w:t>Athens Journal of Tourism</w:t>
      </w:r>
      <w:r w:rsidRPr="005E4C5E">
        <w:rPr>
          <w:rFonts w:ascii="Arial" w:eastAsia="Arial" w:hAnsi="Arial" w:cs="Arial"/>
          <w:color w:val="222222"/>
          <w:highlight w:val="white"/>
        </w:rPr>
        <w:t>, </w:t>
      </w:r>
      <w:r w:rsidRPr="005E4C5E">
        <w:rPr>
          <w:rFonts w:ascii="Arial" w:eastAsia="Arial" w:hAnsi="Arial" w:cs="Arial"/>
          <w:i/>
          <w:iCs/>
          <w:color w:val="222222"/>
          <w:highlight w:val="white"/>
        </w:rPr>
        <w:t>8</w:t>
      </w:r>
      <w:r w:rsidRPr="005E4C5E">
        <w:rPr>
          <w:rFonts w:ascii="Arial" w:eastAsia="Arial" w:hAnsi="Arial" w:cs="Arial"/>
          <w:color w:val="222222"/>
          <w:highlight w:val="white"/>
        </w:rPr>
        <w:t xml:space="preserve">(3), pp.147-162. </w:t>
      </w:r>
      <w:hyperlink r:id="rId31">
        <w:r w:rsidRPr="005E4C5E">
          <w:rPr>
            <w:rFonts w:ascii="Arial" w:eastAsia="Arial" w:hAnsi="Arial" w:cs="Arial"/>
            <w:color w:val="0000FF"/>
            <w:highlight w:val="white"/>
            <w:u w:val="single"/>
          </w:rPr>
          <w:t>https://eprints.glos.ac.uk/10100/</w:t>
        </w:r>
      </w:hyperlink>
    </w:p>
    <w:p w14:paraId="7C7AF0E9"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Krisna Damayanti, N.S., 2021. Never Lose the War throughout Accounting Strategy. </w:t>
      </w:r>
      <w:r w:rsidRPr="005E4C5E">
        <w:rPr>
          <w:rFonts w:ascii="Arial" w:eastAsia="Arial" w:hAnsi="Arial" w:cs="Arial"/>
          <w:i/>
          <w:iCs/>
          <w:color w:val="222222"/>
          <w:highlight w:val="white"/>
        </w:rPr>
        <w:t>Journal of Hunan University Natural Sciences</w:t>
      </w:r>
      <w:r w:rsidRPr="005E4C5E">
        <w:rPr>
          <w:rFonts w:ascii="Arial" w:eastAsia="Arial" w:hAnsi="Arial" w:cs="Arial"/>
          <w:color w:val="222222"/>
          <w:highlight w:val="white"/>
        </w:rPr>
        <w:t>, </w:t>
      </w:r>
      <w:r w:rsidRPr="005E4C5E">
        <w:rPr>
          <w:rFonts w:ascii="Arial" w:eastAsia="Arial" w:hAnsi="Arial" w:cs="Arial"/>
          <w:i/>
          <w:iCs/>
          <w:color w:val="222222"/>
          <w:highlight w:val="white"/>
        </w:rPr>
        <w:t>48</w:t>
      </w:r>
      <w:r w:rsidRPr="005E4C5E">
        <w:rPr>
          <w:rFonts w:ascii="Arial" w:eastAsia="Arial" w:hAnsi="Arial" w:cs="Arial"/>
          <w:color w:val="222222"/>
          <w:highlight w:val="white"/>
        </w:rPr>
        <w:t xml:space="preserve">(6). </w:t>
      </w:r>
      <w:hyperlink r:id="rId32">
        <w:r w:rsidRPr="005E4C5E">
          <w:rPr>
            <w:rFonts w:ascii="Arial" w:eastAsia="Arial" w:hAnsi="Arial" w:cs="Arial"/>
            <w:color w:val="0000FF"/>
            <w:highlight w:val="white"/>
            <w:u w:val="single"/>
          </w:rPr>
          <w:t>https://www.jonuns.com/index.php/journal/article/view/606</w:t>
        </w:r>
      </w:hyperlink>
    </w:p>
    <w:p w14:paraId="13790738"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Le, T.H., 2021. Comparative analysis of financial assurance instruments for offshore oil decommissioning and mine restoration. </w:t>
      </w:r>
      <w:r w:rsidRPr="005E4C5E">
        <w:rPr>
          <w:rFonts w:ascii="Arial" w:eastAsia="Arial" w:hAnsi="Arial" w:cs="Arial"/>
          <w:i/>
          <w:iCs/>
          <w:color w:val="222222"/>
          <w:highlight w:val="white"/>
        </w:rPr>
        <w:t>Petrovietnam Journal</w:t>
      </w:r>
      <w:r w:rsidRPr="005E4C5E">
        <w:rPr>
          <w:rFonts w:ascii="Arial" w:eastAsia="Arial" w:hAnsi="Arial" w:cs="Arial"/>
          <w:color w:val="222222"/>
          <w:highlight w:val="white"/>
        </w:rPr>
        <w:t>, </w:t>
      </w:r>
      <w:r w:rsidRPr="005E4C5E">
        <w:rPr>
          <w:rFonts w:ascii="Arial" w:eastAsia="Arial" w:hAnsi="Arial" w:cs="Arial"/>
          <w:i/>
          <w:iCs/>
          <w:color w:val="222222"/>
          <w:highlight w:val="white"/>
        </w:rPr>
        <w:t>6</w:t>
      </w:r>
      <w:r w:rsidRPr="005E4C5E">
        <w:rPr>
          <w:rFonts w:ascii="Arial" w:eastAsia="Arial" w:hAnsi="Arial" w:cs="Arial"/>
          <w:color w:val="222222"/>
          <w:highlight w:val="white"/>
        </w:rPr>
        <w:t xml:space="preserve">, pp.43-54. </w:t>
      </w:r>
      <w:hyperlink r:id="rId33">
        <w:r w:rsidRPr="005E4C5E">
          <w:rPr>
            <w:rFonts w:ascii="Arial" w:eastAsia="Arial" w:hAnsi="Arial" w:cs="Arial"/>
            <w:color w:val="0000FF"/>
            <w:highlight w:val="white"/>
            <w:u w:val="single"/>
          </w:rPr>
          <w:t>http://www.tapchidaukhi.com/index.php/TCDK/article/view/676</w:t>
        </w:r>
      </w:hyperlink>
    </w:p>
    <w:p w14:paraId="2516AA77"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 xml:space="preserve">Lukkari, S., 2024. The impact of the Russia-Ukraine war on stock markets–evidence from defence industry in Europe. </w:t>
      </w:r>
      <w:hyperlink r:id="rId34">
        <w:r w:rsidRPr="005E4C5E">
          <w:rPr>
            <w:rFonts w:ascii="Arial" w:eastAsia="Arial" w:hAnsi="Arial" w:cs="Arial"/>
            <w:color w:val="0000FF"/>
            <w:highlight w:val="white"/>
            <w:u w:val="single"/>
          </w:rPr>
          <w:t>https://lutpub.lut.fi/handle/10024/167513</w:t>
        </w:r>
      </w:hyperlink>
    </w:p>
    <w:p w14:paraId="719656C4"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Marušić, B., 2023. Multi-word expressions in annual reports of American and British corporations: A corpus-based diachronic study. </w:t>
      </w:r>
      <w:r w:rsidRPr="005E4C5E">
        <w:rPr>
          <w:rFonts w:ascii="Arial" w:eastAsia="Arial" w:hAnsi="Arial" w:cs="Arial"/>
          <w:i/>
          <w:iCs/>
          <w:color w:val="222222"/>
          <w:highlight w:val="white"/>
        </w:rPr>
        <w:t>Journal of Teaching English for Specific and Academic Purposes</w:t>
      </w:r>
      <w:r w:rsidRPr="005E4C5E">
        <w:rPr>
          <w:rFonts w:ascii="Arial" w:eastAsia="Arial" w:hAnsi="Arial" w:cs="Arial"/>
          <w:color w:val="222222"/>
          <w:highlight w:val="white"/>
        </w:rPr>
        <w:t xml:space="preserve">, pp.793-811. </w:t>
      </w:r>
      <w:hyperlink r:id="rId35">
        <w:r w:rsidRPr="005E4C5E">
          <w:rPr>
            <w:rFonts w:ascii="Arial" w:eastAsia="Arial" w:hAnsi="Arial" w:cs="Arial"/>
            <w:color w:val="0000FF"/>
            <w:highlight w:val="white"/>
            <w:u w:val="single"/>
          </w:rPr>
          <w:t>http://espeap.junis.ni.ac.rs/index.php/espeap/article/view/1384</w:t>
        </w:r>
      </w:hyperlink>
    </w:p>
    <w:p w14:paraId="2F8B9E9B"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 xml:space="preserve">Nadeem, A., 2023. Impact of Corporate Governance on Financial Performance of the Publicly Traded Companies in UK. </w:t>
      </w:r>
      <w:hyperlink r:id="rId36">
        <w:r w:rsidRPr="005E4C5E">
          <w:rPr>
            <w:rFonts w:ascii="Arial" w:eastAsia="Arial" w:hAnsi="Arial" w:cs="Arial"/>
            <w:color w:val="0000FF"/>
            <w:highlight w:val="white"/>
            <w:u w:val="single"/>
          </w:rPr>
          <w:t>https://i-rep.emu.edu.tr/items/4dc8389c-96fb-40a2-b526-399c702b8eee</w:t>
        </w:r>
      </w:hyperlink>
    </w:p>
    <w:p w14:paraId="1A506E76" w14:textId="0FA2834D"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 xml:space="preserve">Parker, J. and Parker Review Committee, 2022. </w:t>
      </w:r>
      <w:r w:rsidRPr="005E4C5E">
        <w:rPr>
          <w:rFonts w:ascii="Arial" w:eastAsia="Arial" w:hAnsi="Arial" w:cs="Arial"/>
          <w:i/>
          <w:iCs/>
          <w:color w:val="222222"/>
          <w:highlight w:val="white"/>
        </w:rPr>
        <w:t xml:space="preserve">Improving the ethnic diversity of UK boards. </w:t>
      </w:r>
      <w:r w:rsidRPr="005E4C5E">
        <w:rPr>
          <w:rFonts w:ascii="Arial" w:eastAsia="Arial" w:hAnsi="Arial" w:cs="Arial"/>
        </w:rPr>
        <w:t xml:space="preserve">Available at: </w:t>
      </w:r>
      <w:hyperlink r:id="rId37">
        <w:r w:rsidRPr="005E4C5E">
          <w:rPr>
            <w:rFonts w:ascii="Arial" w:eastAsia="Arial" w:hAnsi="Arial" w:cs="Arial"/>
            <w:color w:val="0000FF"/>
            <w:highlight w:val="white"/>
            <w:u w:val="single"/>
          </w:rPr>
          <w:t>https://www.nedaglobal.com/assets/files/New_site_PDFs/2022%20ey-what-the-parker-review-tells-us-about-boardroom-diversity.pdf</w:t>
        </w:r>
      </w:hyperlink>
      <w:r>
        <w:rPr>
          <w:rFonts w:ascii="Arial" w:eastAsia="Arial" w:hAnsi="Arial" w:cs="Arial"/>
          <w:color w:val="0000FF"/>
          <w:u w:val="single"/>
        </w:rPr>
        <w:t xml:space="preserve"> </w:t>
      </w:r>
      <w:r w:rsidRPr="005E4C5E">
        <w:rPr>
          <w:rFonts w:ascii="Arial" w:eastAsia="Arial" w:hAnsi="Arial" w:cs="Arial"/>
        </w:rPr>
        <w:t xml:space="preserve">[Accessed on </w:t>
      </w:r>
      <w:r>
        <w:rPr>
          <w:rFonts w:ascii="Arial" w:eastAsia="Arial" w:hAnsi="Arial" w:cs="Arial"/>
        </w:rPr>
        <w:t>21.07.2026].</w:t>
      </w:r>
    </w:p>
    <w:p w14:paraId="1AAA69A7"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Pepper, A., 2024. CEO pay in the United Kingdom, 1968–2022. </w:t>
      </w:r>
      <w:r w:rsidRPr="005E4C5E">
        <w:rPr>
          <w:rFonts w:ascii="Arial" w:eastAsia="Arial" w:hAnsi="Arial" w:cs="Arial"/>
          <w:i/>
          <w:iCs/>
          <w:color w:val="222222"/>
          <w:highlight w:val="white"/>
        </w:rPr>
        <w:t>Business History</w:t>
      </w:r>
      <w:r w:rsidRPr="005E4C5E">
        <w:rPr>
          <w:rFonts w:ascii="Arial" w:eastAsia="Arial" w:hAnsi="Arial" w:cs="Arial"/>
          <w:color w:val="222222"/>
          <w:highlight w:val="white"/>
        </w:rPr>
        <w:t xml:space="preserve">, pp.1-22. </w:t>
      </w:r>
      <w:hyperlink r:id="rId38">
        <w:r w:rsidRPr="005E4C5E">
          <w:rPr>
            <w:rFonts w:ascii="Arial" w:eastAsia="Arial" w:hAnsi="Arial" w:cs="Arial"/>
            <w:color w:val="0000FF"/>
            <w:highlight w:val="white"/>
            <w:u w:val="single"/>
          </w:rPr>
          <w:t>https://www.tandfonline.com/doi/abs/10.1080/00076791.2024.2430724</w:t>
        </w:r>
      </w:hyperlink>
    </w:p>
    <w:p w14:paraId="16A3FBC5"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Reddy, B.V., 2021. </w:t>
      </w:r>
      <w:r w:rsidRPr="005E4C5E">
        <w:rPr>
          <w:rFonts w:ascii="Arial" w:eastAsia="Arial" w:hAnsi="Arial" w:cs="Arial"/>
          <w:i/>
          <w:iCs/>
          <w:color w:val="222222"/>
          <w:highlight w:val="white"/>
        </w:rPr>
        <w:t>Founders without limits: dual-class stock and the premium tier of the London Stock Exchange</w:t>
      </w:r>
      <w:r w:rsidRPr="005E4C5E">
        <w:rPr>
          <w:rFonts w:ascii="Arial" w:eastAsia="Arial" w:hAnsi="Arial" w:cs="Arial"/>
          <w:color w:val="222222"/>
          <w:highlight w:val="white"/>
        </w:rPr>
        <w:t xml:space="preserve">. Cambridge University Press. </w:t>
      </w:r>
      <w:hyperlink r:id="rId39">
        <w:r w:rsidRPr="005E4C5E">
          <w:rPr>
            <w:rFonts w:ascii="Arial" w:eastAsia="Arial" w:hAnsi="Arial" w:cs="Arial"/>
            <w:color w:val="0000FF"/>
            <w:highlight w:val="white"/>
            <w:u w:val="single"/>
          </w:rPr>
          <w:t>https://books.google.com/books?hl=en&amp;lr=&amp;id=E21KEAAAQBAJ&amp;oi=fnd&amp;pg=PR11&amp;dq=Whitbread+PLC+financial+performance&amp;ots=9y91XIixCf&amp;sig=WE1_22oZek6hPJ1k1EdGbcQbj1c</w:t>
        </w:r>
      </w:hyperlink>
    </w:p>
    <w:p w14:paraId="2BFE6EB6"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Vinnicombe, S. and Tessaro, M., 2022.</w:t>
      </w:r>
      <w:r w:rsidRPr="005E4C5E">
        <w:rPr>
          <w:rFonts w:ascii="Arial" w:eastAsia="Arial" w:hAnsi="Arial" w:cs="Arial"/>
          <w:i/>
          <w:iCs/>
          <w:color w:val="222222"/>
          <w:highlight w:val="white"/>
        </w:rPr>
        <w:t xml:space="preserve"> The Female FTSE Board Report 2022: What works?. </w:t>
      </w:r>
      <w:hyperlink r:id="rId40">
        <w:r w:rsidRPr="005E4C5E">
          <w:rPr>
            <w:rFonts w:ascii="Arial" w:eastAsia="Arial" w:hAnsi="Arial" w:cs="Arial"/>
            <w:color w:val="0000FF"/>
            <w:highlight w:val="white"/>
            <w:u w:val="single"/>
          </w:rPr>
          <w:t>https://dspace.lib.cranfield.ac.uk/items/2fc81f01-3606-488f-81eb-6b31d0c79164</w:t>
        </w:r>
      </w:hyperlink>
    </w:p>
    <w:p w14:paraId="5AEA1428" w14:textId="24B3F5E0" w:rsidR="005E4C5E" w:rsidRPr="005E4C5E" w:rsidRDefault="005E4C5E" w:rsidP="00693D25">
      <w:pPr>
        <w:spacing w:after="240"/>
        <w:rPr>
          <w:rFonts w:ascii="Arial" w:eastAsia="Arial" w:hAnsi="Arial" w:cs="Arial"/>
        </w:rPr>
      </w:pPr>
      <w:r w:rsidRPr="005E4C5E">
        <w:rPr>
          <w:rFonts w:ascii="Arial" w:eastAsia="Arial" w:hAnsi="Arial" w:cs="Arial"/>
        </w:rPr>
        <w:t xml:space="preserve">Whitbread Plc, 2026. </w:t>
      </w:r>
      <w:r w:rsidRPr="005E4C5E">
        <w:rPr>
          <w:rFonts w:ascii="Arial" w:eastAsia="Arial" w:hAnsi="Arial" w:cs="Arial"/>
          <w:i/>
          <w:iCs/>
        </w:rPr>
        <w:t>About Us.</w:t>
      </w:r>
      <w:r w:rsidRPr="005E4C5E">
        <w:rPr>
          <w:rFonts w:ascii="Arial" w:eastAsia="Arial" w:hAnsi="Arial" w:cs="Arial"/>
        </w:rPr>
        <w:t xml:space="preserve"> Available at: </w:t>
      </w:r>
      <w:hyperlink r:id="rId41">
        <w:r w:rsidRPr="005E4C5E">
          <w:rPr>
            <w:rFonts w:ascii="Arial" w:eastAsia="Arial" w:hAnsi="Arial" w:cs="Arial"/>
            <w:color w:val="0000FF"/>
            <w:u w:val="single"/>
          </w:rPr>
          <w:t>https://www.whitbread.co.uk/about-us/</w:t>
        </w:r>
      </w:hyperlink>
      <w:r>
        <w:rPr>
          <w:rFonts w:ascii="Arial" w:eastAsia="Arial" w:hAnsi="Arial" w:cs="Arial"/>
          <w:color w:val="0000FF"/>
          <w:u w:val="single"/>
        </w:rPr>
        <w:t xml:space="preserve"> </w:t>
      </w:r>
      <w:r w:rsidRPr="005E4C5E">
        <w:rPr>
          <w:rFonts w:ascii="Arial" w:eastAsia="Arial" w:hAnsi="Arial" w:cs="Arial"/>
        </w:rPr>
        <w:t xml:space="preserve">[Accessed on </w:t>
      </w:r>
      <w:r>
        <w:rPr>
          <w:rFonts w:ascii="Arial" w:eastAsia="Arial" w:hAnsi="Arial" w:cs="Arial"/>
        </w:rPr>
        <w:t>18.07.2026].</w:t>
      </w:r>
    </w:p>
    <w:p w14:paraId="61142CC7" w14:textId="77777777" w:rsidR="005E4C5E" w:rsidRPr="005E4C5E" w:rsidRDefault="005E4C5E" w:rsidP="00693D25">
      <w:pPr>
        <w:spacing w:after="240"/>
        <w:rPr>
          <w:rFonts w:ascii="Arial" w:eastAsia="Arial" w:hAnsi="Arial" w:cs="Arial"/>
        </w:rPr>
      </w:pPr>
      <w:r w:rsidRPr="005E4C5E">
        <w:rPr>
          <w:rFonts w:ascii="Arial" w:eastAsia="Arial" w:hAnsi="Arial" w:cs="Arial"/>
          <w:color w:val="222222"/>
          <w:highlight w:val="white"/>
        </w:rPr>
        <w:t>Zarafat, H., Liebhardt, S. and Eratalay, M.H., 2022. Do ESG ratings reduce the asymmetry behavior in volatility?. </w:t>
      </w:r>
      <w:r w:rsidRPr="005E4C5E">
        <w:rPr>
          <w:rFonts w:ascii="Arial" w:eastAsia="Arial" w:hAnsi="Arial" w:cs="Arial"/>
          <w:i/>
          <w:iCs/>
          <w:color w:val="222222"/>
          <w:highlight w:val="white"/>
        </w:rPr>
        <w:t>Journal of Risk and Financial Management</w:t>
      </w:r>
      <w:r w:rsidRPr="005E4C5E">
        <w:rPr>
          <w:rFonts w:ascii="Arial" w:eastAsia="Arial" w:hAnsi="Arial" w:cs="Arial"/>
          <w:color w:val="222222"/>
          <w:highlight w:val="white"/>
        </w:rPr>
        <w:t>, </w:t>
      </w:r>
      <w:r w:rsidRPr="005E4C5E">
        <w:rPr>
          <w:rFonts w:ascii="Arial" w:eastAsia="Arial" w:hAnsi="Arial" w:cs="Arial"/>
          <w:i/>
          <w:iCs/>
          <w:color w:val="222222"/>
          <w:highlight w:val="white"/>
        </w:rPr>
        <w:t>15</w:t>
      </w:r>
      <w:r w:rsidRPr="005E4C5E">
        <w:rPr>
          <w:rFonts w:ascii="Arial" w:eastAsia="Arial" w:hAnsi="Arial" w:cs="Arial"/>
          <w:color w:val="222222"/>
          <w:highlight w:val="white"/>
        </w:rPr>
        <w:t xml:space="preserve">(8), p.320. </w:t>
      </w:r>
      <w:hyperlink r:id="rId42">
        <w:r w:rsidRPr="005E4C5E">
          <w:rPr>
            <w:rFonts w:ascii="Arial" w:eastAsia="Arial" w:hAnsi="Arial" w:cs="Arial"/>
            <w:color w:val="0000FF"/>
            <w:highlight w:val="white"/>
            <w:u w:val="single"/>
          </w:rPr>
          <w:t>https://www.mdpi.com/1911-8074/15/8/320</w:t>
        </w:r>
      </w:hyperlink>
    </w:p>
    <w:p w14:paraId="1DC425F3" w14:textId="77777777" w:rsidR="00795A1D" w:rsidRPr="00693D25" w:rsidRDefault="00681867" w:rsidP="00693D25">
      <w:pPr>
        <w:pStyle w:val="Heading1"/>
        <w:rPr>
          <w:rFonts w:ascii="Arial" w:eastAsia="Arial" w:hAnsi="Arial" w:cs="Arial"/>
        </w:rPr>
      </w:pPr>
      <w:bookmarkStart w:id="28" w:name="_Toc235738274"/>
      <w:r w:rsidRPr="00693D25">
        <w:rPr>
          <w:rFonts w:ascii="Arial" w:eastAsia="Arial" w:hAnsi="Arial" w:cs="Arial"/>
        </w:rPr>
        <w:t>Appendices</w:t>
      </w:r>
      <w:bookmarkEnd w:id="28"/>
    </w:p>
    <w:p w14:paraId="08F09A72" w14:textId="77777777" w:rsidR="00795A1D" w:rsidRPr="00693D25" w:rsidRDefault="00681867" w:rsidP="00693D25">
      <w:pPr>
        <w:pStyle w:val="Heading2"/>
        <w:rPr>
          <w:rFonts w:ascii="Arial" w:eastAsia="Arial" w:hAnsi="Arial" w:cs="Arial"/>
        </w:rPr>
      </w:pPr>
      <w:bookmarkStart w:id="29" w:name="_Toc235738275"/>
      <w:r w:rsidRPr="00693D25">
        <w:rPr>
          <w:rFonts w:ascii="Arial" w:eastAsia="Arial" w:hAnsi="Arial" w:cs="Arial"/>
        </w:rPr>
        <w:t>Appendix 1: Income Statement</w:t>
      </w:r>
      <w:bookmarkEnd w:id="29"/>
    </w:p>
    <w:p w14:paraId="1161BF9D"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0" distB="0" distL="0" distR="0" wp14:anchorId="69A57DBA" wp14:editId="0CD54A0D">
            <wp:extent cx="5587838" cy="8258175"/>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3"/>
                    <a:srcRect/>
                    <a:stretch>
                      <a:fillRect/>
                    </a:stretch>
                  </pic:blipFill>
                  <pic:spPr>
                    <a:xfrm>
                      <a:off x="0" y="0"/>
                      <a:ext cx="5587838" cy="8258175"/>
                    </a:xfrm>
                    <a:prstGeom prst="rect">
                      <a:avLst/>
                    </a:prstGeom>
                    <a:ln/>
                  </pic:spPr>
                </pic:pic>
              </a:graphicData>
            </a:graphic>
          </wp:inline>
        </w:drawing>
      </w:r>
    </w:p>
    <w:p w14:paraId="6E00A65A"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0" distB="0" distL="0" distR="0" wp14:anchorId="6D868367" wp14:editId="5C6BE67A">
            <wp:extent cx="5731510" cy="4725670"/>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4"/>
                    <a:srcRect/>
                    <a:stretch>
                      <a:fillRect/>
                    </a:stretch>
                  </pic:blipFill>
                  <pic:spPr>
                    <a:xfrm>
                      <a:off x="0" y="0"/>
                      <a:ext cx="5731510" cy="4725670"/>
                    </a:xfrm>
                    <a:prstGeom prst="rect">
                      <a:avLst/>
                    </a:prstGeom>
                    <a:ln/>
                  </pic:spPr>
                </pic:pic>
              </a:graphicData>
            </a:graphic>
          </wp:inline>
        </w:drawing>
      </w:r>
    </w:p>
    <w:p w14:paraId="29FAAD01" w14:textId="77777777" w:rsidR="00795A1D" w:rsidRPr="00693D25" w:rsidRDefault="00681867" w:rsidP="00693D25">
      <w:pPr>
        <w:jc w:val="center"/>
        <w:rPr>
          <w:rFonts w:ascii="Arial" w:eastAsia="Arial" w:hAnsi="Arial" w:cs="Arial"/>
        </w:rPr>
      </w:pPr>
      <w:r w:rsidRPr="00693D25">
        <w:rPr>
          <w:rFonts w:ascii="Arial" w:eastAsia="Arial" w:hAnsi="Arial" w:cs="Arial"/>
        </w:rPr>
        <w:t>(Source: https://in.investing.com/equities/whitbread-income-statement)</w:t>
      </w:r>
    </w:p>
    <w:p w14:paraId="10CBBED5" w14:textId="77777777" w:rsidR="00795A1D" w:rsidRPr="00693D25" w:rsidRDefault="00681867" w:rsidP="00693D25">
      <w:pPr>
        <w:pStyle w:val="Heading2"/>
        <w:rPr>
          <w:rFonts w:ascii="Arial" w:eastAsia="Arial" w:hAnsi="Arial" w:cs="Arial"/>
        </w:rPr>
      </w:pPr>
      <w:bookmarkStart w:id="30" w:name="_Toc235738276"/>
      <w:r w:rsidRPr="00693D25">
        <w:rPr>
          <w:rFonts w:ascii="Arial" w:eastAsia="Arial" w:hAnsi="Arial" w:cs="Arial"/>
        </w:rPr>
        <w:t>Appendix 2: Balance Sheet</w:t>
      </w:r>
      <w:bookmarkEnd w:id="30"/>
    </w:p>
    <w:p w14:paraId="73649F15"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0" distB="0" distL="0" distR="0" wp14:anchorId="3275AB11" wp14:editId="67306F5C">
            <wp:extent cx="5731510" cy="8300085"/>
            <wp:effectExtent l="0" t="0" r="0" b="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5"/>
                    <a:srcRect/>
                    <a:stretch>
                      <a:fillRect/>
                    </a:stretch>
                  </pic:blipFill>
                  <pic:spPr>
                    <a:xfrm>
                      <a:off x="0" y="0"/>
                      <a:ext cx="5731510" cy="8300085"/>
                    </a:xfrm>
                    <a:prstGeom prst="rect">
                      <a:avLst/>
                    </a:prstGeom>
                    <a:ln/>
                  </pic:spPr>
                </pic:pic>
              </a:graphicData>
            </a:graphic>
          </wp:inline>
        </w:drawing>
      </w:r>
    </w:p>
    <w:p w14:paraId="7637E130"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0" distB="0" distL="0" distR="0" wp14:anchorId="482D0180" wp14:editId="019F669E">
            <wp:extent cx="5811675" cy="847725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6"/>
                    <a:srcRect/>
                    <a:stretch>
                      <a:fillRect/>
                    </a:stretch>
                  </pic:blipFill>
                  <pic:spPr>
                    <a:xfrm>
                      <a:off x="0" y="0"/>
                      <a:ext cx="5811675" cy="8477250"/>
                    </a:xfrm>
                    <a:prstGeom prst="rect">
                      <a:avLst/>
                    </a:prstGeom>
                    <a:ln/>
                  </pic:spPr>
                </pic:pic>
              </a:graphicData>
            </a:graphic>
          </wp:inline>
        </w:drawing>
      </w:r>
    </w:p>
    <w:p w14:paraId="58C6D251" w14:textId="77777777" w:rsidR="00795A1D" w:rsidRPr="00693D25" w:rsidRDefault="00681867" w:rsidP="00693D25">
      <w:pPr>
        <w:jc w:val="center"/>
        <w:rPr>
          <w:rFonts w:ascii="Arial" w:eastAsia="Arial" w:hAnsi="Arial" w:cs="Arial"/>
        </w:rPr>
      </w:pPr>
      <w:r w:rsidRPr="00693D25">
        <w:rPr>
          <w:rFonts w:ascii="Arial" w:eastAsia="Arial" w:hAnsi="Arial" w:cs="Arial"/>
        </w:rPr>
        <w:t>(Source: https://in.investing.com/equities/whitbread-balance-sheet)</w:t>
      </w:r>
      <w:r w:rsidRPr="00693D25">
        <w:rPr>
          <w:rFonts w:ascii="Arial" w:hAnsi="Arial" w:cs="Arial"/>
        </w:rPr>
        <w:br w:type="page"/>
      </w:r>
    </w:p>
    <w:p w14:paraId="5E7F4C35" w14:textId="77777777" w:rsidR="00795A1D" w:rsidRPr="00693D25" w:rsidRDefault="00681867" w:rsidP="00693D25">
      <w:pPr>
        <w:pStyle w:val="Heading2"/>
        <w:rPr>
          <w:rFonts w:ascii="Arial" w:eastAsia="Arial" w:hAnsi="Arial" w:cs="Arial"/>
        </w:rPr>
      </w:pPr>
      <w:bookmarkStart w:id="31" w:name="_Toc235738277"/>
      <w:r w:rsidRPr="00693D25">
        <w:rPr>
          <w:rFonts w:ascii="Arial" w:eastAsia="Arial" w:hAnsi="Arial" w:cs="Arial"/>
        </w:rPr>
        <w:t>Appendix 3: Cashflow Statement</w:t>
      </w:r>
      <w:bookmarkEnd w:id="31"/>
    </w:p>
    <w:p w14:paraId="549B84D7"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0" distB="0" distL="0" distR="0" wp14:anchorId="5B306A14" wp14:editId="6B626153">
            <wp:extent cx="5731510" cy="7927975"/>
            <wp:effectExtent l="0" t="0" r="0" b="0"/>
            <wp:docPr id="1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7"/>
                    <a:srcRect/>
                    <a:stretch>
                      <a:fillRect/>
                    </a:stretch>
                  </pic:blipFill>
                  <pic:spPr>
                    <a:xfrm>
                      <a:off x="0" y="0"/>
                      <a:ext cx="5731510" cy="7927975"/>
                    </a:xfrm>
                    <a:prstGeom prst="rect">
                      <a:avLst/>
                    </a:prstGeom>
                    <a:ln/>
                  </pic:spPr>
                </pic:pic>
              </a:graphicData>
            </a:graphic>
          </wp:inline>
        </w:drawing>
      </w:r>
    </w:p>
    <w:p w14:paraId="6D44020C"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0" distB="0" distL="0" distR="0" wp14:anchorId="383C8D36" wp14:editId="0602255D">
            <wp:extent cx="5731510" cy="5201920"/>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8"/>
                    <a:srcRect/>
                    <a:stretch>
                      <a:fillRect/>
                    </a:stretch>
                  </pic:blipFill>
                  <pic:spPr>
                    <a:xfrm>
                      <a:off x="0" y="0"/>
                      <a:ext cx="5731510" cy="5201920"/>
                    </a:xfrm>
                    <a:prstGeom prst="rect">
                      <a:avLst/>
                    </a:prstGeom>
                    <a:ln/>
                  </pic:spPr>
                </pic:pic>
              </a:graphicData>
            </a:graphic>
          </wp:inline>
        </w:drawing>
      </w:r>
    </w:p>
    <w:p w14:paraId="650F6D4F" w14:textId="77777777" w:rsidR="00795A1D" w:rsidRPr="00693D25" w:rsidRDefault="00681867" w:rsidP="00693D25">
      <w:pPr>
        <w:jc w:val="center"/>
        <w:rPr>
          <w:rFonts w:ascii="Arial" w:eastAsia="Arial" w:hAnsi="Arial" w:cs="Arial"/>
        </w:rPr>
      </w:pPr>
      <w:r w:rsidRPr="00693D25">
        <w:rPr>
          <w:rFonts w:ascii="Arial" w:eastAsia="Arial" w:hAnsi="Arial" w:cs="Arial"/>
        </w:rPr>
        <w:t>(Source: https://in.investing.com/equities/whitbread-cash-flow)</w:t>
      </w:r>
    </w:p>
    <w:p w14:paraId="1BE15FB8" w14:textId="77777777" w:rsidR="00795A1D" w:rsidRPr="00693D25" w:rsidRDefault="00681867" w:rsidP="00693D25">
      <w:pPr>
        <w:pStyle w:val="Heading2"/>
        <w:rPr>
          <w:rFonts w:ascii="Arial" w:eastAsia="Arial" w:hAnsi="Arial" w:cs="Arial"/>
        </w:rPr>
      </w:pPr>
      <w:bookmarkStart w:id="32" w:name="_heading=h.8refnnoy5u2d" w:colFirst="0" w:colLast="0"/>
      <w:bookmarkEnd w:id="32"/>
      <w:r w:rsidRPr="00693D25">
        <w:rPr>
          <w:rFonts w:ascii="Arial" w:hAnsi="Arial" w:cs="Arial"/>
        </w:rPr>
        <w:br w:type="page"/>
      </w:r>
    </w:p>
    <w:p w14:paraId="3021DE87" w14:textId="77777777" w:rsidR="00795A1D" w:rsidRPr="00693D25" w:rsidRDefault="00681867" w:rsidP="00693D25">
      <w:pPr>
        <w:pStyle w:val="Heading2"/>
        <w:rPr>
          <w:rFonts w:ascii="Arial" w:eastAsia="Arial" w:hAnsi="Arial" w:cs="Arial"/>
        </w:rPr>
      </w:pPr>
      <w:bookmarkStart w:id="33" w:name="_Toc235738278"/>
      <w:r w:rsidRPr="00693D25">
        <w:rPr>
          <w:rFonts w:ascii="Arial" w:eastAsia="Arial" w:hAnsi="Arial" w:cs="Arial"/>
        </w:rPr>
        <w:t>Appendix 4: Ratio Analysis</w:t>
      </w:r>
      <w:bookmarkEnd w:id="33"/>
    </w:p>
    <w:p w14:paraId="1E629BDD" w14:textId="77777777" w:rsidR="00795A1D" w:rsidRPr="00693D25" w:rsidRDefault="00681867" w:rsidP="00693D25">
      <w:pPr>
        <w:jc w:val="center"/>
        <w:rPr>
          <w:rFonts w:ascii="Arial" w:eastAsia="Arial" w:hAnsi="Arial" w:cs="Arial"/>
        </w:rPr>
      </w:pPr>
      <w:r w:rsidRPr="00693D25">
        <w:rPr>
          <w:rFonts w:ascii="Arial" w:eastAsia="Arial" w:hAnsi="Arial" w:cs="Arial"/>
          <w:noProof/>
        </w:rPr>
        <w:drawing>
          <wp:inline distT="0" distB="0" distL="0" distR="0" wp14:anchorId="1B6024F9" wp14:editId="5277232C">
            <wp:extent cx="5731510" cy="1024890"/>
            <wp:effectExtent l="0" t="0" r="0" b="0"/>
            <wp:docPr id="1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9"/>
                    <a:srcRect/>
                    <a:stretch>
                      <a:fillRect/>
                    </a:stretch>
                  </pic:blipFill>
                  <pic:spPr>
                    <a:xfrm>
                      <a:off x="0" y="0"/>
                      <a:ext cx="5731510" cy="1024890"/>
                    </a:xfrm>
                    <a:prstGeom prst="rect">
                      <a:avLst/>
                    </a:prstGeom>
                    <a:ln/>
                  </pic:spPr>
                </pic:pic>
              </a:graphicData>
            </a:graphic>
          </wp:inline>
        </w:drawing>
      </w:r>
    </w:p>
    <w:p w14:paraId="48023750" w14:textId="77777777" w:rsidR="00795A1D" w:rsidRPr="00693D25" w:rsidRDefault="00681867" w:rsidP="00693D25">
      <w:pPr>
        <w:jc w:val="center"/>
        <w:rPr>
          <w:rFonts w:ascii="Arial" w:eastAsia="Arial" w:hAnsi="Arial" w:cs="Arial"/>
        </w:rPr>
      </w:pPr>
      <w:r w:rsidRPr="00693D25">
        <w:rPr>
          <w:rFonts w:ascii="Arial" w:eastAsia="Arial" w:hAnsi="Arial" w:cs="Arial"/>
        </w:rPr>
        <w:t>(Source: Excel)</w:t>
      </w:r>
    </w:p>
    <w:sectPr w:rsidR="00795A1D" w:rsidRPr="00693D25">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8C06F" w14:textId="77777777" w:rsidR="00232EE8" w:rsidRDefault="00232EE8">
      <w:pPr>
        <w:spacing w:line="240" w:lineRule="auto"/>
      </w:pPr>
      <w:r>
        <w:separator/>
      </w:r>
    </w:p>
  </w:endnote>
  <w:endnote w:type="continuationSeparator" w:id="0">
    <w:p w14:paraId="7C4C71B8" w14:textId="77777777" w:rsidR="00232EE8" w:rsidRDefault="00232E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75AFDE4-C507-4775-9C14-BE4FA2E3FA3A}"/>
  </w:font>
  <w:font w:name="Cambria">
    <w:panose1 w:val="02040503050406030204"/>
    <w:charset w:val="00"/>
    <w:family w:val="roman"/>
    <w:pitch w:val="variable"/>
    <w:sig w:usb0="E00006FF" w:usb1="420024FF" w:usb2="02000000" w:usb3="00000000" w:csb0="0000019F" w:csb1="00000000"/>
    <w:embedRegular r:id="rId2" w:fontKey="{F3DE1B25-495F-416D-ABCA-A4774A8F15F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F6CF8" w14:textId="77777777" w:rsidR="00795A1D" w:rsidRDefault="0068186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58D43631" w14:textId="77777777" w:rsidR="00795A1D" w:rsidRDefault="00795A1D">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AFE50A" w14:textId="77777777" w:rsidR="00795A1D" w:rsidRDefault="0068186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93D25">
      <w:rPr>
        <w:noProof/>
        <w:color w:val="000000"/>
      </w:rPr>
      <w:t>1</w:t>
    </w:r>
    <w:r>
      <w:rPr>
        <w:color w:val="000000"/>
      </w:rPr>
      <w:fldChar w:fldCharType="end"/>
    </w:r>
  </w:p>
  <w:p w14:paraId="5BF27557" w14:textId="77777777" w:rsidR="00795A1D" w:rsidRDefault="00795A1D">
    <w:pPr>
      <w:pBdr>
        <w:top w:val="nil"/>
        <w:left w:val="nil"/>
        <w:bottom w:val="nil"/>
        <w:right w:val="nil"/>
        <w:between w:val="nil"/>
      </w:pBdr>
      <w:tabs>
        <w:tab w:val="center" w:pos="4680"/>
        <w:tab w:val="right" w:pos="9360"/>
      </w:tabs>
      <w:spacing w:line="240" w:lineRule="auto"/>
      <w:ind w:right="360"/>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83AC4C" w14:textId="77777777" w:rsidR="00795A1D" w:rsidRDefault="00795A1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5830A" w14:textId="77777777" w:rsidR="00232EE8" w:rsidRDefault="00232EE8">
      <w:pPr>
        <w:spacing w:line="240" w:lineRule="auto"/>
      </w:pPr>
      <w:r>
        <w:separator/>
      </w:r>
    </w:p>
  </w:footnote>
  <w:footnote w:type="continuationSeparator" w:id="0">
    <w:p w14:paraId="08CF45C6" w14:textId="77777777" w:rsidR="00232EE8" w:rsidRDefault="00232E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F7B6D" w14:textId="77777777" w:rsidR="00795A1D" w:rsidRDefault="00795A1D">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2DBE4" w14:textId="77777777" w:rsidR="00795A1D" w:rsidRDefault="00795A1D">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4F5B6" w14:textId="77777777" w:rsidR="00795A1D" w:rsidRDefault="00795A1D">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A1D"/>
    <w:rsid w:val="00232EE8"/>
    <w:rsid w:val="002533C5"/>
    <w:rsid w:val="005E4C5E"/>
    <w:rsid w:val="00681867"/>
    <w:rsid w:val="00693D25"/>
    <w:rsid w:val="00795A1D"/>
    <w:rsid w:val="00B52D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C1272"/>
  <w15:docId w15:val="{466C2181-1209-4382-91BE-7FF55689C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5E4C5E"/>
    <w:pPr>
      <w:spacing w:after="100"/>
    </w:pPr>
  </w:style>
  <w:style w:type="paragraph" w:styleId="TOC2">
    <w:name w:val="toc 2"/>
    <w:basedOn w:val="Normal"/>
    <w:next w:val="Normal"/>
    <w:autoRedefine/>
    <w:uiPriority w:val="39"/>
    <w:unhideWhenUsed/>
    <w:rsid w:val="005E4C5E"/>
    <w:pPr>
      <w:spacing w:after="100"/>
      <w:ind w:left="240"/>
    </w:pPr>
  </w:style>
  <w:style w:type="character" w:styleId="Hyperlink">
    <w:name w:val="Hyperlink"/>
    <w:basedOn w:val="DefaultParagraphFont"/>
    <w:uiPriority w:val="99"/>
    <w:unhideWhenUsed/>
    <w:rsid w:val="005E4C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nnualreports.com/HostedData/AnnualReportArchive/w/LSE_WTB_2022.pdf" TargetMode="External"/><Relationship Id="rId26" Type="http://schemas.openxmlformats.org/officeDocument/2006/relationships/hyperlink" Target="https://reposit.nupp.edu.ua/files/original/19/13384/66502834570e63bbc36682a5d39b88fef55758ba.pdf" TargetMode="External"/><Relationship Id="rId39" Type="http://schemas.openxmlformats.org/officeDocument/2006/relationships/hyperlink" Target="https://books.google.com/books?hl=en&amp;lr=&amp;id=E21KEAAAQBAJ&amp;oi=fnd&amp;pg=PR11&amp;dq=Whitbread+PLC+financial+performance&amp;ots=9y91XIixCf&amp;sig=WE1_22oZek6hPJ1k1EdGbcQbj1c" TargetMode="External"/><Relationship Id="rId21" Type="http://schemas.openxmlformats.org/officeDocument/2006/relationships/hyperlink" Target="https://repository.vlerick.com/entities/publication/998940d9-3c5e-4477-a9e5-599bcf1a8088" TargetMode="External"/><Relationship Id="rId34" Type="http://schemas.openxmlformats.org/officeDocument/2006/relationships/hyperlink" Target="https://lutpub.lut.fi/handle/10024/167513" TargetMode="External"/><Relationship Id="rId42" Type="http://schemas.openxmlformats.org/officeDocument/2006/relationships/hyperlink" Target="https://www.mdpi.com/1911-8074/15/8/320" TargetMode="External"/><Relationship Id="rId47" Type="http://schemas.openxmlformats.org/officeDocument/2006/relationships/image" Target="media/image14.png"/><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hyperlink" Target="https://research.cbs.dk/en/publications/assessing-the-impact-of-shareholder-primacy-and-value-extraction-/" TargetMode="External"/><Relationship Id="rId11" Type="http://schemas.openxmlformats.org/officeDocument/2006/relationships/image" Target="media/image4.png"/><Relationship Id="rId24" Type="http://schemas.openxmlformats.org/officeDocument/2006/relationships/hyperlink" Target="https://repositorio-aberto.up.pt/bitstream/10216/161294/2/683949.pdf" TargetMode="External"/><Relationship Id="rId32" Type="http://schemas.openxmlformats.org/officeDocument/2006/relationships/hyperlink" Target="https://www.jonuns.com/index.php/journal/article/view/606" TargetMode="External"/><Relationship Id="rId37" Type="http://schemas.openxmlformats.org/officeDocument/2006/relationships/hyperlink" Target="https://www.nedaglobal.com/assets/files/New_site_PDFs/2022%20ey-what-the-parker-review-tells-us-about-boardroom-diversity.pdf" TargetMode="External"/><Relationship Id="rId40" Type="http://schemas.openxmlformats.org/officeDocument/2006/relationships/hyperlink" Target="https://dspace.lib.cranfield.ac.uk/items/2fc81f01-3606-488f-81eb-6b31d0c79164" TargetMode="External"/><Relationship Id="rId45" Type="http://schemas.openxmlformats.org/officeDocument/2006/relationships/image" Target="media/image12.png"/><Relationship Id="rId53"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hyperlink" Target="https://www.annualreports.com/HostedData/AnnualReportArchive/w/LSE_WTB_2023.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apers.ssrn.com/sol3/papers.cfm?abstract_id=4840850" TargetMode="External"/><Relationship Id="rId27" Type="http://schemas.openxmlformats.org/officeDocument/2006/relationships/hyperlink" Target="https://research.aston.ac.uk/en/publications/who-gained-who-lost-the-distributional-impact-of-covid-19-governm/" TargetMode="External"/><Relationship Id="rId30" Type="http://schemas.openxmlformats.org/officeDocument/2006/relationships/hyperlink" Target="https://pubsonline.informs.org/doi/abs/10.1287/isre.2021.1026" TargetMode="External"/><Relationship Id="rId35" Type="http://schemas.openxmlformats.org/officeDocument/2006/relationships/hyperlink" Target="http://espeap.junis.ni.ac.rs/index.php/espeap/article/view/1384" TargetMode="External"/><Relationship Id="rId43" Type="http://schemas.openxmlformats.org/officeDocument/2006/relationships/image" Target="media/image10.png"/><Relationship Id="rId48" Type="http://schemas.openxmlformats.org/officeDocument/2006/relationships/image" Target="media/image15.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nnualreports.com/HostedData/AnnualReportArchive/w/LSE_WTB_2021.pdf" TargetMode="External"/><Relationship Id="rId25" Type="http://schemas.openxmlformats.org/officeDocument/2006/relationships/hyperlink" Target="https://www.intechopen.com/chapters/1193105" TargetMode="External"/><Relationship Id="rId33" Type="http://schemas.openxmlformats.org/officeDocument/2006/relationships/hyperlink" Target="http://www.tapchidaukhi.com/index.php/TCDK/article/view/676" TargetMode="External"/><Relationship Id="rId38" Type="http://schemas.openxmlformats.org/officeDocument/2006/relationships/hyperlink" Target="https://www.tandfonline.com/doi/abs/10.1080/00076791.2024.2430724" TargetMode="External"/><Relationship Id="rId46" Type="http://schemas.openxmlformats.org/officeDocument/2006/relationships/image" Target="media/image13.png"/><Relationship Id="rId20" Type="http://schemas.openxmlformats.org/officeDocument/2006/relationships/hyperlink" Target="https://www.annualreports.com/HostedData/AnnualReportArchive/w/LSE_WTB_2024.pdf" TargetMode="External"/><Relationship Id="rId41" Type="http://schemas.openxmlformats.org/officeDocument/2006/relationships/hyperlink" Target="https://www.whitbread.co.uk/about-us/" TargetMode="External"/><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research-api.cbs.dk/ws/portalfiles/portal/98733495/1556950_Master_Thesis_150365_150283.pdf" TargetMode="External"/><Relationship Id="rId28" Type="http://schemas.openxmlformats.org/officeDocument/2006/relationships/hyperlink" Target="https://lutpub.lut.fi/handle/10024/168514" TargetMode="External"/><Relationship Id="rId36" Type="http://schemas.openxmlformats.org/officeDocument/2006/relationships/hyperlink" Target="https://i-rep.emu.edu.tr/items/4dc8389c-96fb-40a2-b526-399c702b8eee" TargetMode="External"/><Relationship Id="rId49" Type="http://schemas.openxmlformats.org/officeDocument/2006/relationships/image" Target="media/image16.pn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eprints.glos.ac.uk/10100/" TargetMode="External"/><Relationship Id="rId44" Type="http://schemas.openxmlformats.org/officeDocument/2006/relationships/image" Target="media/image11.png"/><Relationship Id="rId5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OW5jbD1PIghl118SeoJTutvlXQ==">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0DA4DD2-4998-47FF-B1AC-D870DE454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7016</Words>
  <Characters>39996</Characters>
  <Application>Microsoft Office Word</Application>
  <DocSecurity>0</DocSecurity>
  <Lines>333</Lines>
  <Paragraphs>93</Paragraphs>
  <ScaleCrop>false</ScaleCrop>
  <Company/>
  <LinksUpToDate>false</LinksUpToDate>
  <CharactersWithSpaces>46919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dc:creator>
  <cp:lastModifiedBy>Patel Prince</cp:lastModifiedBy>
  <cp:revision>4</cp:revision>
  <dcterms:created xsi:type="dcterms:W3CDTF">2026-07-23T16:54:00Z</dcterms:created>
  <dcterms:modified xsi:type="dcterms:W3CDTF">2026-08-12T21:05:00Z</dcterms:modified>
</cp:coreProperties>
</file>