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A3A4D4" w14:textId="77777777" w:rsidR="008065EF" w:rsidRPr="00A16639" w:rsidRDefault="008065EF" w:rsidP="00A16639"/>
    <w:p w14:paraId="1D723068" w14:textId="77777777" w:rsidR="008F384E" w:rsidRDefault="008F384E" w:rsidP="00A92788">
      <w:pPr>
        <w:jc w:val="center"/>
        <w:rPr>
          <w:rFonts w:ascii="Arial" w:hAnsi="Arial" w:cs="Arial"/>
          <w:b/>
          <w:bCs/>
        </w:rPr>
      </w:pPr>
    </w:p>
    <w:p w14:paraId="57F72059" w14:textId="3C4425FD" w:rsidR="008065EF" w:rsidRPr="008F384E" w:rsidRDefault="00000000" w:rsidP="00A92788">
      <w:pPr>
        <w:jc w:val="center"/>
        <w:rPr>
          <w:rFonts w:ascii="Arial" w:hAnsi="Arial" w:cs="Arial"/>
          <w:b/>
          <w:bCs/>
        </w:rPr>
      </w:pPr>
      <w:r w:rsidRPr="008F384E">
        <w:rPr>
          <w:rFonts w:ascii="Arial" w:hAnsi="Arial" w:cs="Arial"/>
          <w:b/>
          <w:bCs/>
        </w:rPr>
        <w:t>Sustainable Development Goals and Wellbeing:</w:t>
      </w:r>
    </w:p>
    <w:p w14:paraId="3EA0CD2D" w14:textId="77777777" w:rsidR="008065EF" w:rsidRPr="008F384E" w:rsidRDefault="00000000" w:rsidP="00A92788">
      <w:pPr>
        <w:jc w:val="center"/>
        <w:rPr>
          <w:rFonts w:ascii="Arial" w:hAnsi="Arial" w:cs="Arial"/>
          <w:b/>
          <w:bCs/>
        </w:rPr>
      </w:pPr>
      <w:r w:rsidRPr="008F384E">
        <w:rPr>
          <w:rFonts w:ascii="Arial" w:hAnsi="Arial" w:cs="Arial"/>
          <w:b/>
          <w:bCs/>
        </w:rPr>
        <w:t>An Evaluation of Health, Hunger and National/Local Wellbeing Initiatives</w:t>
      </w:r>
    </w:p>
    <w:p w14:paraId="39EBFED4" w14:textId="77777777" w:rsidR="008065EF" w:rsidRPr="008F384E" w:rsidRDefault="00000000" w:rsidP="00A92788">
      <w:pPr>
        <w:jc w:val="center"/>
        <w:rPr>
          <w:rFonts w:ascii="Arial" w:hAnsi="Arial" w:cs="Arial"/>
          <w:b/>
          <w:bCs/>
        </w:rPr>
      </w:pPr>
      <w:r w:rsidRPr="008F384E">
        <w:rPr>
          <w:rFonts w:ascii="Arial" w:hAnsi="Arial" w:cs="Arial"/>
          <w:b/>
          <w:bCs/>
        </w:rPr>
        <w:t>Assignment 2 Report</w:t>
      </w:r>
    </w:p>
    <w:p w14:paraId="05F7C1F2" w14:textId="77777777" w:rsidR="00DB5E57" w:rsidRPr="008F384E" w:rsidRDefault="00DB5E57" w:rsidP="00A92788">
      <w:pPr>
        <w:jc w:val="center"/>
        <w:rPr>
          <w:rFonts w:ascii="Arial" w:hAnsi="Arial" w:cs="Arial"/>
          <w:b/>
          <w:bCs/>
        </w:rPr>
      </w:pPr>
    </w:p>
    <w:p w14:paraId="47569528" w14:textId="77777777" w:rsidR="008F384E" w:rsidRDefault="008F384E" w:rsidP="00DB5E57">
      <w:pPr>
        <w:rPr>
          <w:rFonts w:ascii="Arial" w:hAnsi="Arial" w:cs="Arial"/>
          <w:b/>
          <w:bCs/>
        </w:rPr>
      </w:pPr>
    </w:p>
    <w:p w14:paraId="55DD303F" w14:textId="77777777" w:rsidR="008F384E" w:rsidRDefault="008F384E" w:rsidP="00DB5E57">
      <w:pPr>
        <w:rPr>
          <w:rFonts w:ascii="Arial" w:hAnsi="Arial" w:cs="Arial"/>
          <w:b/>
          <w:bCs/>
        </w:rPr>
      </w:pPr>
    </w:p>
    <w:p w14:paraId="4769ADFA" w14:textId="77777777" w:rsidR="008F384E" w:rsidRDefault="008F384E" w:rsidP="00DB5E57">
      <w:pPr>
        <w:rPr>
          <w:rFonts w:ascii="Arial" w:hAnsi="Arial" w:cs="Arial"/>
          <w:b/>
          <w:bCs/>
        </w:rPr>
      </w:pPr>
    </w:p>
    <w:p w14:paraId="082737C6" w14:textId="2190B482" w:rsidR="00DB5E57" w:rsidRPr="008F384E" w:rsidRDefault="00DB5E57" w:rsidP="00DB5E57">
      <w:pPr>
        <w:rPr>
          <w:rFonts w:ascii="Arial" w:hAnsi="Arial" w:cs="Arial"/>
          <w:b/>
          <w:bCs/>
          <w:lang w:val="en-GB"/>
        </w:rPr>
      </w:pPr>
      <w:r w:rsidRPr="008F384E">
        <w:rPr>
          <w:rFonts w:ascii="Arial" w:hAnsi="Arial" w:cs="Arial"/>
          <w:b/>
          <w:bCs/>
        </w:rPr>
        <w:t>Student name: Warda Ibrahim</w:t>
      </w:r>
    </w:p>
    <w:p w14:paraId="63936412" w14:textId="77777777" w:rsidR="00DB5E57" w:rsidRPr="008F384E" w:rsidRDefault="00DB5E57" w:rsidP="00DB5E57">
      <w:pPr>
        <w:rPr>
          <w:rFonts w:ascii="Arial" w:hAnsi="Arial" w:cs="Arial"/>
          <w:b/>
          <w:bCs/>
          <w:lang w:val="en-GB"/>
        </w:rPr>
      </w:pPr>
      <w:r w:rsidRPr="008F384E">
        <w:rPr>
          <w:rFonts w:ascii="Arial" w:hAnsi="Arial" w:cs="Arial"/>
          <w:b/>
          <w:bCs/>
        </w:rPr>
        <w:t>Student ID: 2235246</w:t>
      </w:r>
    </w:p>
    <w:p w14:paraId="2872E8C6" w14:textId="29B13DD4" w:rsidR="00DB5E57" w:rsidRPr="008F384E" w:rsidRDefault="00DB5E57" w:rsidP="00DB5E57">
      <w:pPr>
        <w:rPr>
          <w:rFonts w:ascii="Arial" w:hAnsi="Arial" w:cs="Arial"/>
          <w:b/>
          <w:bCs/>
          <w:lang w:val="en-GB"/>
        </w:rPr>
      </w:pPr>
      <w:r w:rsidRPr="008F384E">
        <w:rPr>
          <w:rFonts w:ascii="Arial" w:hAnsi="Arial" w:cs="Arial"/>
          <w:b/>
          <w:bCs/>
        </w:rPr>
        <w:t xml:space="preserve">Module name: </w:t>
      </w:r>
      <w:r w:rsidR="008F384E" w:rsidRPr="008F384E">
        <w:rPr>
          <w:rFonts w:ascii="Arial" w:hAnsi="Arial" w:cs="Arial"/>
          <w:b/>
          <w:bCs/>
        </w:rPr>
        <w:t>Sustainable Development Goals and Wellbeing</w:t>
      </w:r>
    </w:p>
    <w:p w14:paraId="4D41C5DA" w14:textId="77777777" w:rsidR="008F384E" w:rsidRPr="008F384E" w:rsidRDefault="00DB5E57" w:rsidP="008F384E">
      <w:pPr>
        <w:pStyle w:val="p1"/>
        <w:rPr>
          <w:sz w:val="22"/>
          <w:szCs w:val="22"/>
        </w:rPr>
      </w:pPr>
      <w:r w:rsidRPr="008F384E">
        <w:rPr>
          <w:b/>
          <w:bCs/>
          <w:sz w:val="22"/>
          <w:szCs w:val="22"/>
        </w:rPr>
        <w:t xml:space="preserve">Module code: </w:t>
      </w:r>
      <w:r w:rsidR="008F384E" w:rsidRPr="008F384E">
        <w:rPr>
          <w:b/>
          <w:bCs/>
          <w:sz w:val="22"/>
          <w:szCs w:val="22"/>
        </w:rPr>
        <w:t>BMHP6030</w:t>
      </w:r>
    </w:p>
    <w:p w14:paraId="2DCD6A7F" w14:textId="77777777" w:rsidR="008F384E" w:rsidRPr="008F384E" w:rsidRDefault="008F384E" w:rsidP="008F384E">
      <w:pPr>
        <w:pStyle w:val="p1"/>
        <w:rPr>
          <w:b/>
          <w:bCs/>
          <w:sz w:val="22"/>
          <w:szCs w:val="22"/>
        </w:rPr>
      </w:pPr>
    </w:p>
    <w:p w14:paraId="0A12C85B" w14:textId="0F9DA4F1" w:rsidR="008F384E" w:rsidRPr="008F384E" w:rsidRDefault="00DB5E57" w:rsidP="008F384E">
      <w:pPr>
        <w:pStyle w:val="p1"/>
        <w:rPr>
          <w:sz w:val="22"/>
          <w:szCs w:val="22"/>
        </w:rPr>
      </w:pPr>
      <w:r w:rsidRPr="008F384E">
        <w:rPr>
          <w:b/>
          <w:bCs/>
          <w:sz w:val="22"/>
          <w:szCs w:val="22"/>
        </w:rPr>
        <w:t>Lecturer’s name</w:t>
      </w:r>
      <w:r w:rsidR="008F384E" w:rsidRPr="008F384E">
        <w:rPr>
          <w:b/>
          <w:bCs/>
          <w:sz w:val="22"/>
          <w:szCs w:val="22"/>
        </w:rPr>
        <w:t xml:space="preserve">: </w:t>
      </w:r>
      <w:r w:rsidR="008F384E" w:rsidRPr="008F384E">
        <w:rPr>
          <w:b/>
          <w:bCs/>
          <w:sz w:val="22"/>
          <w:szCs w:val="22"/>
        </w:rPr>
        <w:t xml:space="preserve">Dr </w:t>
      </w:r>
      <w:proofErr w:type="spellStart"/>
      <w:r w:rsidR="008F384E" w:rsidRPr="008F384E">
        <w:rPr>
          <w:b/>
          <w:bCs/>
          <w:sz w:val="22"/>
          <w:szCs w:val="22"/>
        </w:rPr>
        <w:t>Itse</w:t>
      </w:r>
      <w:proofErr w:type="spellEnd"/>
      <w:r w:rsidR="008F384E" w:rsidRPr="008F384E">
        <w:rPr>
          <w:b/>
          <w:bCs/>
          <w:sz w:val="22"/>
          <w:szCs w:val="22"/>
        </w:rPr>
        <w:t xml:space="preserve"> Olaoye</w:t>
      </w:r>
    </w:p>
    <w:p w14:paraId="597907A7" w14:textId="0D9D091A" w:rsidR="00DB5E57" w:rsidRPr="008F384E" w:rsidRDefault="00DB5E57" w:rsidP="00DB5E57">
      <w:pPr>
        <w:rPr>
          <w:rFonts w:ascii="Arial" w:hAnsi="Arial" w:cs="Arial"/>
          <w:b/>
          <w:bCs/>
        </w:rPr>
      </w:pPr>
    </w:p>
    <w:p w14:paraId="6C98D1C6" w14:textId="77777777" w:rsidR="00DB5E57" w:rsidRDefault="00DB5E57" w:rsidP="00A92788">
      <w:pPr>
        <w:jc w:val="center"/>
        <w:rPr>
          <w:b/>
          <w:bCs/>
        </w:rPr>
      </w:pPr>
    </w:p>
    <w:p w14:paraId="504D2E2C" w14:textId="77777777" w:rsidR="00DB5E57" w:rsidRPr="00A92788" w:rsidRDefault="00DB5E57" w:rsidP="00A92788">
      <w:pPr>
        <w:jc w:val="center"/>
        <w:rPr>
          <w:b/>
          <w:bCs/>
        </w:rPr>
      </w:pPr>
    </w:p>
    <w:p w14:paraId="524B2459" w14:textId="1831D3AC" w:rsidR="008065EF" w:rsidRPr="00A16639" w:rsidRDefault="00000000" w:rsidP="00A92788">
      <w:pPr>
        <w:sectPr w:rsidR="008065EF" w:rsidRPr="00A16639" w:rsidSect="00F70426">
          <w:footerReference w:type="default" r:id="rId8"/>
          <w:pgSz w:w="11906" w:h="16838"/>
          <w:pgMar w:top="1440" w:right="1440" w:bottom="1440" w:left="1440" w:header="708" w:footer="708" w:gutter="0"/>
          <w:cols w:space="720"/>
          <w:titlePg/>
          <w:docGrid w:linePitch="360"/>
        </w:sectPr>
      </w:pPr>
      <w:r w:rsidRPr="00A16639">
        <w:br w:type="page"/>
      </w:r>
    </w:p>
    <w:p w14:paraId="3A6FDE04" w14:textId="4F1C9FF8" w:rsidR="00A92788" w:rsidRPr="00A16639" w:rsidRDefault="00A92788" w:rsidP="00A92788"/>
    <w:sdt>
      <w:sdtPr>
        <w:rPr>
          <w:rFonts w:asciiTheme="majorBidi" w:eastAsia="Calibri" w:hAnsiTheme="majorBidi"/>
          <w:color w:val="auto"/>
          <w:sz w:val="22"/>
          <w:szCs w:val="22"/>
        </w:rPr>
        <w:id w:val="-30343149"/>
        <w:docPartObj>
          <w:docPartGallery w:val="Table of Contents"/>
          <w:docPartUnique/>
        </w:docPartObj>
      </w:sdtPr>
      <w:sdtEndPr>
        <w:rPr>
          <w:b/>
          <w:bCs/>
          <w:noProof/>
        </w:rPr>
      </w:sdtEndPr>
      <w:sdtContent>
        <w:p w14:paraId="70A51CD0" w14:textId="702CBB44" w:rsidR="00A92788" w:rsidRPr="00A92788" w:rsidRDefault="00A92788" w:rsidP="00A92788">
          <w:pPr>
            <w:pStyle w:val="TOCHeading"/>
            <w:jc w:val="center"/>
            <w:rPr>
              <w:rFonts w:asciiTheme="majorBidi" w:hAnsiTheme="majorBidi"/>
              <w:b/>
              <w:bCs/>
              <w:color w:val="auto"/>
            </w:rPr>
          </w:pPr>
          <w:r w:rsidRPr="00A92788">
            <w:rPr>
              <w:rFonts w:asciiTheme="majorBidi" w:hAnsiTheme="majorBidi"/>
              <w:b/>
              <w:bCs/>
              <w:color w:val="auto"/>
            </w:rPr>
            <w:t>Contents</w:t>
          </w:r>
        </w:p>
        <w:p w14:paraId="615D5B74" w14:textId="33D3F7C3" w:rsidR="00A92788" w:rsidRDefault="00A92788">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4335036" w:history="1">
            <w:r w:rsidRPr="00FC572B">
              <w:rPr>
                <w:rStyle w:val="Hyperlink"/>
                <w:noProof/>
              </w:rPr>
              <w:t>Introduction</w:t>
            </w:r>
            <w:r>
              <w:rPr>
                <w:noProof/>
                <w:webHidden/>
              </w:rPr>
              <w:tab/>
            </w:r>
            <w:r>
              <w:rPr>
                <w:noProof/>
                <w:webHidden/>
              </w:rPr>
              <w:fldChar w:fldCharType="begin"/>
            </w:r>
            <w:r>
              <w:rPr>
                <w:noProof/>
                <w:webHidden/>
              </w:rPr>
              <w:instrText xml:space="preserve"> PAGEREF _Toc234335036 \h </w:instrText>
            </w:r>
            <w:r>
              <w:rPr>
                <w:noProof/>
                <w:webHidden/>
              </w:rPr>
            </w:r>
            <w:r>
              <w:rPr>
                <w:noProof/>
                <w:webHidden/>
              </w:rPr>
              <w:fldChar w:fldCharType="separate"/>
            </w:r>
            <w:r>
              <w:rPr>
                <w:noProof/>
                <w:webHidden/>
              </w:rPr>
              <w:t>3</w:t>
            </w:r>
            <w:r>
              <w:rPr>
                <w:noProof/>
                <w:webHidden/>
              </w:rPr>
              <w:fldChar w:fldCharType="end"/>
            </w:r>
          </w:hyperlink>
        </w:p>
        <w:p w14:paraId="558A48CE" w14:textId="3070378C" w:rsidR="00A92788" w:rsidRDefault="00A9278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335037" w:history="1">
            <w:r w:rsidRPr="00FC572B">
              <w:rPr>
                <w:rStyle w:val="Hyperlink"/>
                <w:noProof/>
              </w:rPr>
              <w:t>Sustainable Development Goal 3: Good Health and Well-being</w:t>
            </w:r>
            <w:r>
              <w:rPr>
                <w:noProof/>
                <w:webHidden/>
              </w:rPr>
              <w:tab/>
            </w:r>
            <w:r>
              <w:rPr>
                <w:noProof/>
                <w:webHidden/>
              </w:rPr>
              <w:fldChar w:fldCharType="begin"/>
            </w:r>
            <w:r>
              <w:rPr>
                <w:noProof/>
                <w:webHidden/>
              </w:rPr>
              <w:instrText xml:space="preserve"> PAGEREF _Toc234335037 \h </w:instrText>
            </w:r>
            <w:r>
              <w:rPr>
                <w:noProof/>
                <w:webHidden/>
              </w:rPr>
            </w:r>
            <w:r>
              <w:rPr>
                <w:noProof/>
                <w:webHidden/>
              </w:rPr>
              <w:fldChar w:fldCharType="separate"/>
            </w:r>
            <w:r>
              <w:rPr>
                <w:noProof/>
                <w:webHidden/>
              </w:rPr>
              <w:t>3</w:t>
            </w:r>
            <w:r>
              <w:rPr>
                <w:noProof/>
                <w:webHidden/>
              </w:rPr>
              <w:fldChar w:fldCharType="end"/>
            </w:r>
          </w:hyperlink>
        </w:p>
        <w:p w14:paraId="3517F49B" w14:textId="640A89EF" w:rsidR="00A92788" w:rsidRDefault="00A9278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335038" w:history="1">
            <w:r w:rsidRPr="00FC572B">
              <w:rPr>
                <w:rStyle w:val="Hyperlink"/>
                <w:noProof/>
              </w:rPr>
              <w:t>Sustainable Development Goal 2: Zero Hunger</w:t>
            </w:r>
            <w:r>
              <w:rPr>
                <w:noProof/>
                <w:webHidden/>
              </w:rPr>
              <w:tab/>
            </w:r>
            <w:r>
              <w:rPr>
                <w:noProof/>
                <w:webHidden/>
              </w:rPr>
              <w:fldChar w:fldCharType="begin"/>
            </w:r>
            <w:r>
              <w:rPr>
                <w:noProof/>
                <w:webHidden/>
              </w:rPr>
              <w:instrText xml:space="preserve"> PAGEREF _Toc234335038 \h </w:instrText>
            </w:r>
            <w:r>
              <w:rPr>
                <w:noProof/>
                <w:webHidden/>
              </w:rPr>
            </w:r>
            <w:r>
              <w:rPr>
                <w:noProof/>
                <w:webHidden/>
              </w:rPr>
              <w:fldChar w:fldCharType="separate"/>
            </w:r>
            <w:r>
              <w:rPr>
                <w:noProof/>
                <w:webHidden/>
              </w:rPr>
              <w:t>4</w:t>
            </w:r>
            <w:r>
              <w:rPr>
                <w:noProof/>
                <w:webHidden/>
              </w:rPr>
              <w:fldChar w:fldCharType="end"/>
            </w:r>
          </w:hyperlink>
        </w:p>
        <w:p w14:paraId="730FBC1E" w14:textId="4040F582" w:rsidR="00A92788" w:rsidRDefault="00A9278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335039" w:history="1">
            <w:r w:rsidRPr="00FC572B">
              <w:rPr>
                <w:rStyle w:val="Hyperlink"/>
                <w:noProof/>
              </w:rPr>
              <w:t>National Wellbeing Initiatives</w:t>
            </w:r>
            <w:r>
              <w:rPr>
                <w:noProof/>
                <w:webHidden/>
              </w:rPr>
              <w:tab/>
            </w:r>
            <w:r>
              <w:rPr>
                <w:noProof/>
                <w:webHidden/>
              </w:rPr>
              <w:fldChar w:fldCharType="begin"/>
            </w:r>
            <w:r>
              <w:rPr>
                <w:noProof/>
                <w:webHidden/>
              </w:rPr>
              <w:instrText xml:space="preserve"> PAGEREF _Toc234335039 \h </w:instrText>
            </w:r>
            <w:r>
              <w:rPr>
                <w:noProof/>
                <w:webHidden/>
              </w:rPr>
            </w:r>
            <w:r>
              <w:rPr>
                <w:noProof/>
                <w:webHidden/>
              </w:rPr>
              <w:fldChar w:fldCharType="separate"/>
            </w:r>
            <w:r>
              <w:rPr>
                <w:noProof/>
                <w:webHidden/>
              </w:rPr>
              <w:t>5</w:t>
            </w:r>
            <w:r>
              <w:rPr>
                <w:noProof/>
                <w:webHidden/>
              </w:rPr>
              <w:fldChar w:fldCharType="end"/>
            </w:r>
          </w:hyperlink>
        </w:p>
        <w:p w14:paraId="3DB0B49F" w14:textId="72DDD7E9" w:rsidR="00A92788" w:rsidRDefault="00A9278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335040" w:history="1">
            <w:r w:rsidRPr="00FC572B">
              <w:rPr>
                <w:rStyle w:val="Hyperlink"/>
                <w:noProof/>
              </w:rPr>
              <w:t>Local Wellbeing Initiatives</w:t>
            </w:r>
            <w:r>
              <w:rPr>
                <w:noProof/>
                <w:webHidden/>
              </w:rPr>
              <w:tab/>
            </w:r>
            <w:r>
              <w:rPr>
                <w:noProof/>
                <w:webHidden/>
              </w:rPr>
              <w:fldChar w:fldCharType="begin"/>
            </w:r>
            <w:r>
              <w:rPr>
                <w:noProof/>
                <w:webHidden/>
              </w:rPr>
              <w:instrText xml:space="preserve"> PAGEREF _Toc234335040 \h </w:instrText>
            </w:r>
            <w:r>
              <w:rPr>
                <w:noProof/>
                <w:webHidden/>
              </w:rPr>
            </w:r>
            <w:r>
              <w:rPr>
                <w:noProof/>
                <w:webHidden/>
              </w:rPr>
              <w:fldChar w:fldCharType="separate"/>
            </w:r>
            <w:r>
              <w:rPr>
                <w:noProof/>
                <w:webHidden/>
              </w:rPr>
              <w:t>6</w:t>
            </w:r>
            <w:r>
              <w:rPr>
                <w:noProof/>
                <w:webHidden/>
              </w:rPr>
              <w:fldChar w:fldCharType="end"/>
            </w:r>
          </w:hyperlink>
        </w:p>
        <w:p w14:paraId="3F0E1CFD" w14:textId="753235EE" w:rsidR="00A92788" w:rsidRDefault="00A9278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335041" w:history="1">
            <w:r w:rsidRPr="00FC572B">
              <w:rPr>
                <w:rStyle w:val="Hyperlink"/>
                <w:noProof/>
              </w:rPr>
              <w:t>Conclusion</w:t>
            </w:r>
            <w:r>
              <w:rPr>
                <w:noProof/>
                <w:webHidden/>
              </w:rPr>
              <w:tab/>
            </w:r>
            <w:r>
              <w:rPr>
                <w:noProof/>
                <w:webHidden/>
              </w:rPr>
              <w:fldChar w:fldCharType="begin"/>
            </w:r>
            <w:r>
              <w:rPr>
                <w:noProof/>
                <w:webHidden/>
              </w:rPr>
              <w:instrText xml:space="preserve"> PAGEREF _Toc234335041 \h </w:instrText>
            </w:r>
            <w:r>
              <w:rPr>
                <w:noProof/>
                <w:webHidden/>
              </w:rPr>
            </w:r>
            <w:r>
              <w:rPr>
                <w:noProof/>
                <w:webHidden/>
              </w:rPr>
              <w:fldChar w:fldCharType="separate"/>
            </w:r>
            <w:r>
              <w:rPr>
                <w:noProof/>
                <w:webHidden/>
              </w:rPr>
              <w:t>7</w:t>
            </w:r>
            <w:r>
              <w:rPr>
                <w:noProof/>
                <w:webHidden/>
              </w:rPr>
              <w:fldChar w:fldCharType="end"/>
            </w:r>
          </w:hyperlink>
        </w:p>
        <w:p w14:paraId="1B7AFEF6" w14:textId="530A6832" w:rsidR="00A92788" w:rsidRDefault="00A9278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335042" w:history="1">
            <w:r w:rsidRPr="00FC572B">
              <w:rPr>
                <w:rStyle w:val="Hyperlink"/>
                <w:noProof/>
              </w:rPr>
              <w:t>References</w:t>
            </w:r>
            <w:r>
              <w:rPr>
                <w:noProof/>
                <w:webHidden/>
              </w:rPr>
              <w:tab/>
            </w:r>
            <w:r>
              <w:rPr>
                <w:noProof/>
                <w:webHidden/>
              </w:rPr>
              <w:fldChar w:fldCharType="begin"/>
            </w:r>
            <w:r>
              <w:rPr>
                <w:noProof/>
                <w:webHidden/>
              </w:rPr>
              <w:instrText xml:space="preserve"> PAGEREF _Toc234335042 \h </w:instrText>
            </w:r>
            <w:r>
              <w:rPr>
                <w:noProof/>
                <w:webHidden/>
              </w:rPr>
            </w:r>
            <w:r>
              <w:rPr>
                <w:noProof/>
                <w:webHidden/>
              </w:rPr>
              <w:fldChar w:fldCharType="separate"/>
            </w:r>
            <w:r>
              <w:rPr>
                <w:noProof/>
                <w:webHidden/>
              </w:rPr>
              <w:t>8</w:t>
            </w:r>
            <w:r>
              <w:rPr>
                <w:noProof/>
                <w:webHidden/>
              </w:rPr>
              <w:fldChar w:fldCharType="end"/>
            </w:r>
          </w:hyperlink>
        </w:p>
        <w:p w14:paraId="72E7ED73" w14:textId="3A0BB4B0" w:rsidR="008065EF" w:rsidRPr="00A16639" w:rsidRDefault="00A92788" w:rsidP="00A92788">
          <w:pPr>
            <w:sectPr w:rsidR="008065EF" w:rsidRPr="00A16639">
              <w:pgSz w:w="11906" w:h="16838"/>
              <w:pgMar w:top="1440" w:right="1440" w:bottom="1440" w:left="1440" w:header="708" w:footer="708" w:gutter="0"/>
              <w:cols w:space="720"/>
              <w:docGrid w:linePitch="360"/>
            </w:sectPr>
          </w:pPr>
          <w:r>
            <w:rPr>
              <w:b/>
              <w:bCs/>
              <w:noProof/>
            </w:rPr>
            <w:fldChar w:fldCharType="end"/>
          </w:r>
        </w:p>
      </w:sdtContent>
    </w:sdt>
    <w:p w14:paraId="1A419A7A" w14:textId="77777777" w:rsidR="00A92788" w:rsidRDefault="00A92788" w:rsidP="00A92788">
      <w:pPr>
        <w:pStyle w:val="Heading1"/>
      </w:pPr>
      <w:bookmarkStart w:id="0" w:name="_Toc234335036"/>
      <w:r>
        <w:lastRenderedPageBreak/>
        <w:t>Introduction</w:t>
      </w:r>
      <w:bookmarkEnd w:id="0"/>
      <w:r>
        <w:t xml:space="preserve"> </w:t>
      </w:r>
    </w:p>
    <w:p w14:paraId="61CFF97C" w14:textId="77777777" w:rsidR="00A92788" w:rsidRDefault="00A92788" w:rsidP="00A92788">
      <w:r>
        <w:t xml:space="preserve">The United Nations 2030 Agenda for Sustainable Development was adopted in 2015, and it outlines 17 Sustainable Development Goals (SDGs) that are meant to eradicate poverty, protect the planet and ensure prosperity for all. Health and nutrition are at the heart of this agenda (United Nations 2025). This report will focus on SDG 3 (Good Health and Well-being) and SDG 2 (Zero Hunger), their key objectives and how they affect the health and wellbeing of the citizens. It then critically analyses two national and two local wellbeing and sustainable development initiatives in the United Kingdom and evaluates their </w:t>
      </w:r>
      <w:proofErr w:type="gramStart"/>
      <w:r>
        <w:t>effectiveness, and</w:t>
      </w:r>
      <w:proofErr w:type="gramEnd"/>
      <w:r>
        <w:t xml:space="preserve"> makes recommendations for improvement.</w:t>
      </w:r>
    </w:p>
    <w:p w14:paraId="02A2FF9D" w14:textId="77777777" w:rsidR="00A92788" w:rsidRDefault="00A92788" w:rsidP="00A92788">
      <w:pPr>
        <w:pStyle w:val="Heading1"/>
      </w:pPr>
      <w:bookmarkStart w:id="1" w:name="_Toc234335037"/>
      <w:r>
        <w:t>Sustainable Development Goal 3: Good Health and Well-being</w:t>
      </w:r>
      <w:bookmarkEnd w:id="1"/>
      <w:r>
        <w:t xml:space="preserve"> </w:t>
      </w:r>
    </w:p>
    <w:p w14:paraId="4234DD49" w14:textId="076A4823" w:rsidR="00A92788" w:rsidRDefault="00A92788" w:rsidP="000854D1">
      <w:r>
        <w:t xml:space="preserve">The goal of Sustainable Development Goal 3 (SDG 3) is “ensure healthy lives and promote well-being for all at all ages”. It is one of the most overarching goals in the 2030 Agenda that includes 13 targets and 28 indicators. Its fundamental pillars are the prevention of preventable deaths, disease control and improving health systems (United Nations 2025). The key priorities are reducing the maternal mortality ratio to less than 70 per 100,000 live births (Target 3.1) and ending preventable deaths of newborns and children under five (Target 3.2), with specific targets for neonatal mortality and under-5 mortality rates. The target also aims to stop the epidemics of AIDS, TB, malaria, neglected tropical diseases and other communicable diseases such as hepatitis (Target 3.3) </w:t>
      </w:r>
      <w:r w:rsidR="000854D1" w:rsidRPr="000854D1">
        <w:t>(WHO, 2022)</w:t>
      </w:r>
      <w:r w:rsidR="000854D1">
        <w:t>.</w:t>
      </w:r>
      <w:r>
        <w:t xml:space="preserve">  </w:t>
      </w:r>
    </w:p>
    <w:p w14:paraId="011A1CA8" w14:textId="0495CAFB" w:rsidR="00A92788" w:rsidRDefault="00A92788" w:rsidP="001835E4">
      <w:r>
        <w:t>Much attention is given to non-communicable diseases (NCDs) - including cardiovascular disease, cancer, diabetes and chronic respiratory diseases - which are responsible for most of the premature deaths in the world</w:t>
      </w:r>
      <w:r w:rsidR="00803355">
        <w:t xml:space="preserve"> </w:t>
      </w:r>
      <w:r w:rsidR="001835E4" w:rsidRPr="001835E4">
        <w:t>(Abdullahi et al., 2025)</w:t>
      </w:r>
      <w:r>
        <w:t xml:space="preserve">. The goal in Target 3.4 is to decrease premature mortality from NCDs by 33% by prevention and </w:t>
      </w:r>
      <w:proofErr w:type="gramStart"/>
      <w:r>
        <w:t>treatment, and</w:t>
      </w:r>
      <w:proofErr w:type="gramEnd"/>
      <w:r>
        <w:t xml:space="preserve"> also increase mental health and wellbeing. This is alongside the work to end and prevent substance abuse (Target 3.5), to reduce road traffic deaths and injuries by 50% (Target 3.6), and on the goal of universal access to sexual and reproductive health care (Target 3.7) (United Nations Department of Economic and Social Affairs</w:t>
      </w:r>
      <w:r w:rsidR="009A4F12">
        <w:t>, 2025</w:t>
      </w:r>
      <w:r>
        <w:t xml:space="preserve">).  </w:t>
      </w:r>
    </w:p>
    <w:p w14:paraId="61CA090F" w14:textId="77777777" w:rsidR="00A92788" w:rsidRDefault="00A92788" w:rsidP="00A92788">
      <w:r>
        <w:t xml:space="preserve">A core element of SDG 3 is the goal of universal health coverage (UHC – Target 3.8), access to essential health services, medicines and vaccines without financial hardship. Other targets include addressing deaths caused by dangerous chemicals and pollution (Target 3.9), tobacco control (Target 3.a), and health research and the health workforce in developing countries (Targets 3.b and 3.c) and capacity building for health emergency preparedness (Target 3.d) (United Nations 2025).  </w:t>
      </w:r>
    </w:p>
    <w:p w14:paraId="6C6A4B09" w14:textId="77777777" w:rsidR="00C06D72" w:rsidRDefault="00C06D72" w:rsidP="00C06D72">
      <w:pPr>
        <w:keepNext/>
      </w:pPr>
      <w:r>
        <w:rPr>
          <w:noProof/>
        </w:rPr>
        <w:lastRenderedPageBreak/>
        <w:drawing>
          <wp:inline distT="0" distB="0" distL="0" distR="0" wp14:anchorId="5AA09CD6" wp14:editId="7A7A9E6A">
            <wp:extent cx="5731510" cy="5731510"/>
            <wp:effectExtent l="0" t="0" r="2540" b="2540"/>
            <wp:docPr id="2097815076" name="Picture 1" descr="Goal 3 | Department of Economic and Social Affai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al 3 | Department of Economic and Social Affai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E869851" w14:textId="0F3791FC" w:rsidR="00C06D72" w:rsidRDefault="00C06D72" w:rsidP="00C06D72">
      <w:pPr>
        <w:pStyle w:val="Caption"/>
      </w:pPr>
      <w:r>
        <w:t xml:space="preserve">Figure </w:t>
      </w:r>
      <w:fldSimple w:instr=" SEQ Figure \* ARABIC ">
        <w:r>
          <w:rPr>
            <w:noProof/>
          </w:rPr>
          <w:t>1</w:t>
        </w:r>
      </w:fldSimple>
      <w:r>
        <w:t>: Global Impact of SDG 3</w:t>
      </w:r>
    </w:p>
    <w:p w14:paraId="196BF05E" w14:textId="58FBA946" w:rsidR="00C06D72" w:rsidRPr="00C06D72" w:rsidRDefault="00C06D72" w:rsidP="00C06D72">
      <w:r>
        <w:t xml:space="preserve">Source: </w:t>
      </w:r>
      <w:hyperlink r:id="rId10" w:history="1">
        <w:r w:rsidRPr="00163F04">
          <w:rPr>
            <w:rStyle w:val="Hyperlink"/>
          </w:rPr>
          <w:t>https://sdgs.un.org/goals/goal3</w:t>
        </w:r>
      </w:hyperlink>
      <w:r>
        <w:t xml:space="preserve"> </w:t>
      </w:r>
    </w:p>
    <w:p w14:paraId="1ECA6EDA" w14:textId="2729087A" w:rsidR="00A92788" w:rsidRDefault="00A92788" w:rsidP="00A27B1C">
      <w:r>
        <w:t>SDG 3 has a significant effect on citizens' health and wellbeing, and its effects are multifaceted. Improvements in maternal and child mortality directly contribute to the stability of families, to breaking the cycle of poverty between generations, and to a demographic dividend from healthier future generations</w:t>
      </w:r>
      <w:r w:rsidR="0091472F">
        <w:t xml:space="preserve"> </w:t>
      </w:r>
      <w:r w:rsidR="00A27B1C" w:rsidRPr="00A27B1C">
        <w:t>(</w:t>
      </w:r>
      <w:proofErr w:type="spellStart"/>
      <w:r w:rsidR="00A27B1C" w:rsidRPr="00A27B1C">
        <w:t>Mokomane</w:t>
      </w:r>
      <w:proofErr w:type="spellEnd"/>
      <w:r w:rsidR="00A27B1C" w:rsidRPr="00A27B1C">
        <w:t>, 2023)</w:t>
      </w:r>
      <w:r>
        <w:t>. Communicable disease control also helps to prevent the outbreak of the disease that threatens to harm the economy, burden the health sector and reduce family income (UNICEF</w:t>
      </w:r>
      <w:r w:rsidR="00097FFA">
        <w:t>, 2025</w:t>
      </w:r>
      <w:r>
        <w:t xml:space="preserve">).  </w:t>
      </w:r>
    </w:p>
    <w:p w14:paraId="570B5D70" w14:textId="1C259144" w:rsidR="00A92788" w:rsidRDefault="00A92788" w:rsidP="002F7A55">
      <w:r>
        <w:t>The emphasis on NCDs and mental health in the goal represents a paradigm shift from disease absence to a more holistic approach to wellbeing that looks at psychological and social factors</w:t>
      </w:r>
      <w:r w:rsidR="002F7A55" w:rsidRPr="002F7A55">
        <w:rPr>
          <w:rFonts w:ascii="Times New Roman" w:eastAsia="Times New Roman" w:hAnsi="Times New Roman" w:cs="Times New Roman"/>
          <w:sz w:val="24"/>
          <w:szCs w:val="24"/>
        </w:rPr>
        <w:t xml:space="preserve"> </w:t>
      </w:r>
      <w:r w:rsidR="002F7A55" w:rsidRPr="002F7A55">
        <w:t>(Amu et al., 2024)</w:t>
      </w:r>
      <w:r>
        <w:t>. This has led to investments in prevention, early detection, lifestyle interventions and in the de-</w:t>
      </w:r>
      <w:proofErr w:type="spellStart"/>
      <w:r>
        <w:lastRenderedPageBreak/>
        <w:t>stigmatisation</w:t>
      </w:r>
      <w:proofErr w:type="spellEnd"/>
      <w:r>
        <w:t xml:space="preserve"> of mental health. Universal health coverage also helps prevent catastrophic health spending, which means that families do not fall into poverty </w:t>
      </w:r>
      <w:proofErr w:type="gramStart"/>
      <w:r>
        <w:t>and also</w:t>
      </w:r>
      <w:proofErr w:type="gramEnd"/>
      <w:r>
        <w:t xml:space="preserve"> supports equity in terms of income, gender and geography (</w:t>
      </w:r>
      <w:proofErr w:type="spellStart"/>
      <w:r>
        <w:t>Lakioti</w:t>
      </w:r>
      <w:proofErr w:type="spellEnd"/>
      <w:r>
        <w:t xml:space="preserve"> et al. 2025).  </w:t>
      </w:r>
    </w:p>
    <w:p w14:paraId="6A0C6D06" w14:textId="52B47C71" w:rsidR="00A92788" w:rsidRDefault="00A92788" w:rsidP="00D54CDC">
      <w:r>
        <w:t>The targets on pollution, road safety and tobacco control reflect that health determinants are beyond the scope of clinics and range into urban planning, environmental regulation, education and industry policy</w:t>
      </w:r>
      <w:r w:rsidR="00DC3B8D">
        <w:t xml:space="preserve"> </w:t>
      </w:r>
      <w:r w:rsidR="00D54CDC" w:rsidRPr="00D54CDC">
        <w:t>(Fuller, 2022)</w:t>
      </w:r>
      <w:r>
        <w:t xml:space="preserve">. Through these dimensions, SDG 3 is promoting cross-sectoral collaboration, which is critical for sustainable wellbeing. At the population level, healthier populations are more productive, more able to withstand shocks (like pandemics or climate events), and more capable of engaging in education, work, and civic life, connecting individual health to social and economic progress (United Nations 2025).  </w:t>
      </w:r>
    </w:p>
    <w:p w14:paraId="79BF6920" w14:textId="0DF67082" w:rsidR="00A92788" w:rsidRDefault="00A92788" w:rsidP="00ED3AA5">
      <w:r>
        <w:t xml:space="preserve">On a broad level, SDG 3 gives a strong and integrated vision to acknowledge health as a human right and as a cornerstone of sustainable development </w:t>
      </w:r>
      <w:r w:rsidR="00ED3AA5" w:rsidRPr="00ED3AA5">
        <w:t>(WHO, 2022)</w:t>
      </w:r>
      <w:r>
        <w:t>.</w:t>
      </w:r>
    </w:p>
    <w:p w14:paraId="3F30EAAF" w14:textId="77777777" w:rsidR="00A92788" w:rsidRDefault="00A92788" w:rsidP="00A92788">
      <w:pPr>
        <w:pStyle w:val="Heading1"/>
      </w:pPr>
      <w:bookmarkStart w:id="2" w:name="_Toc234335038"/>
      <w:r>
        <w:t>Sustainable Development Goal 2: Zero Hunger</w:t>
      </w:r>
      <w:bookmarkEnd w:id="2"/>
      <w:r>
        <w:t xml:space="preserve"> </w:t>
      </w:r>
    </w:p>
    <w:p w14:paraId="52A8115E" w14:textId="77777777" w:rsidR="00A92788" w:rsidRDefault="00A92788" w:rsidP="00A92788">
      <w:r>
        <w:t xml:space="preserve">Sustainable Development Goal 2 (SDG 2) makes the international community pledge to “end hunger, achieve food security and improved nutrition and promote sustainable agriculture” by 2030. It is built around eight targets and several indicators which cover the multiple dimensions of hunger and food systems. Its key components are to provide access to safe, nutritious and adequate food all year round for all people, especially the poor and the vulnerable; to end all forms of malnutrition, including stunting and wasting for children under 5 years of age; to address the nutrition needs of adolescent girls, pregnant and breastfeeding women and older persons. The ultimate purpose of the goal is to ensure that small-scale food producers, particularly women, indigenous peoples and family farmers, can access land, productive resources, inputs, knowledge, financial services, markets and value addition opportunities securely and equally, thereby doubling agricultural productivity and incomes (United Nations 2025).  </w:t>
      </w:r>
    </w:p>
    <w:p w14:paraId="2DC3FB01" w14:textId="77777777" w:rsidR="00C06D72" w:rsidRDefault="00C06D72" w:rsidP="00C06D72">
      <w:pPr>
        <w:keepNext/>
      </w:pPr>
      <w:r>
        <w:rPr>
          <w:noProof/>
        </w:rPr>
        <w:lastRenderedPageBreak/>
        <w:drawing>
          <wp:inline distT="0" distB="0" distL="0" distR="0" wp14:anchorId="38F4BEC2" wp14:editId="01EE31C6">
            <wp:extent cx="5731510" cy="7639050"/>
            <wp:effectExtent l="0" t="0" r="2540" b="0"/>
            <wp:docPr id="433400365" name="Picture 2" descr="Goal 2 infograph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al 2 infographic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639050"/>
                    </a:xfrm>
                    <a:prstGeom prst="rect">
                      <a:avLst/>
                    </a:prstGeom>
                    <a:noFill/>
                    <a:ln>
                      <a:noFill/>
                    </a:ln>
                  </pic:spPr>
                </pic:pic>
              </a:graphicData>
            </a:graphic>
          </wp:inline>
        </w:drawing>
      </w:r>
    </w:p>
    <w:p w14:paraId="64A37124" w14:textId="6A8CC4FD" w:rsidR="00C06D72" w:rsidRDefault="00C06D72" w:rsidP="00C06D72">
      <w:pPr>
        <w:pStyle w:val="Caption"/>
      </w:pPr>
      <w:r>
        <w:t xml:space="preserve">Figure </w:t>
      </w:r>
      <w:fldSimple w:instr=" SEQ Figure \* ARABIC ">
        <w:r>
          <w:rPr>
            <w:noProof/>
          </w:rPr>
          <w:t>2</w:t>
        </w:r>
      </w:fldSimple>
      <w:r>
        <w:t>: Overview of SDG 2</w:t>
      </w:r>
    </w:p>
    <w:p w14:paraId="58308220" w14:textId="71DCE72A" w:rsidR="00C06D72" w:rsidRPr="00C06D72" w:rsidRDefault="00C06D72" w:rsidP="00C06D72">
      <w:r>
        <w:t xml:space="preserve">Source: </w:t>
      </w:r>
      <w:hyperlink r:id="rId12" w:history="1">
        <w:r w:rsidRPr="00163F04">
          <w:rPr>
            <w:rStyle w:val="Hyperlink"/>
          </w:rPr>
          <w:t>https://sdgs.un.org/goals/goal2</w:t>
        </w:r>
      </w:hyperlink>
      <w:r>
        <w:t xml:space="preserve"> </w:t>
      </w:r>
    </w:p>
    <w:p w14:paraId="14AF1C2B" w14:textId="77777777" w:rsidR="00A92788" w:rsidRDefault="00A92788" w:rsidP="00A92788">
      <w:r>
        <w:lastRenderedPageBreak/>
        <w:t xml:space="preserve">Additional goals </w:t>
      </w:r>
      <w:proofErr w:type="spellStart"/>
      <w:r>
        <w:t>emphasise</w:t>
      </w:r>
      <w:proofErr w:type="spellEnd"/>
      <w:r>
        <w:t xml:space="preserve"> the need to create sustainable food production systems and adopt resilient agricultural practices to preserve ecosystems, enhance the capacity to adapt to climate change and increasingly improve the quality of land and soil. SDG 2 also aims at conserving and ensuring the sustainable use of genetic diversity of seeds, cultivated plants and farmed and domesticated animals and sharing in an equitable and fair way, the benefits derived from genetic resources. One is to remove trade and market restrictions and distortions in world agricultural markets and to take steps to facilitate the effective operation of food commodity markets and their derivatives (Food and Agriculture Organization of the United Nations n.d.).  </w:t>
      </w:r>
    </w:p>
    <w:p w14:paraId="1CD84902" w14:textId="77777777" w:rsidR="00A92788" w:rsidRDefault="00A92788" w:rsidP="00A92788">
      <w:r>
        <w:t xml:space="preserve">Although hunger has been reduced in the initial years of the 2030 Agenda, the world is still far from being on track. There has been an increase in global hunger since the COVID-19 pandemic. The 2024 UN report shows that some 17% of the world's population was hungry in 2024, with almost 2.3 billion people experiencing moderate or severe food insecurity, underscoring the need for swift action (United Nations 2025).  </w:t>
      </w:r>
    </w:p>
    <w:p w14:paraId="30758BB9" w14:textId="77777777" w:rsidR="00A92788" w:rsidRDefault="00A92788" w:rsidP="00A92788">
      <w:r>
        <w:t xml:space="preserve">SDG 2 has a profound and wide-ranging effect on citizens' health and wellbeing that goes far beyond immediate hunger. Good nutrition, particularly during the first 1,000 days of life, is vital for achieving physical and cognitive growth and long-term health. Stunting and wasting during childhood can have a lifelong impact with lower education, lower earning potential and higher risk of chronic and infectious diseases. At the population level, the relationship between food insecurity and mental health outcomes, including increased anxiety, depression and stress associated with food insecurity, is very strong as lack of food security negatively impacts psychological wellbeing and family and community relationships (UNICEF 2024).  </w:t>
      </w:r>
    </w:p>
    <w:p w14:paraId="287E0250" w14:textId="77777777" w:rsidR="00A92788" w:rsidRDefault="00A92788" w:rsidP="00A92788">
      <w:r>
        <w:t xml:space="preserve">It is a “double burden” of malnutrition in many low and middle-income countries that undernutrition and obesity are occurring side-by-side, with obesity increasingly becoming prominent due to the increasing consumption of poor-quality, ultra-processed and calorific-dense foods. Both forms of malnutrition increase the risk of non-communicable diseases (NCDs), including diabetes, cardiovascular diseases and some cancers, thus putting a strain on health systems, already under SDG 3. The sustainable agriculture aspects of SDG 2 also connect food security with the overall environmental and economic welfare. Resilient farming systems safeguard rural livelihoods and lower the vulnerability of these individuals to climate shocks, preserve biodiversity and contribute to some level of food price stability, all of which disproportionately impact low-income people (Food and Agriculture Organization of the United Nations n.d.).  </w:t>
      </w:r>
    </w:p>
    <w:p w14:paraId="052B8332" w14:textId="77777777" w:rsidR="00A92788" w:rsidRDefault="00A92788" w:rsidP="00A92788">
      <w:r>
        <w:t xml:space="preserve">In this way, SDG 2 and SDG 3 are mutually reinforcing: having better nutrition directly contributes to health targets, and having a healthier population in turn enables them to be more productive in their ability to work in agriculture and other sectors that support food systems. This is why SDG 2 is crucial </w:t>
      </w:r>
      <w:r>
        <w:lastRenderedPageBreak/>
        <w:t>not just for eradicating hunger, but for creating equitable, resilient and sustainable societies (United Nations 2025).</w:t>
      </w:r>
    </w:p>
    <w:p w14:paraId="7154B741" w14:textId="77777777" w:rsidR="00A92788" w:rsidRDefault="00A92788" w:rsidP="00A92788">
      <w:pPr>
        <w:pStyle w:val="Heading1"/>
      </w:pPr>
      <w:bookmarkStart w:id="3" w:name="_Toc234335039"/>
      <w:r>
        <w:t>National Wellbeing Initiatives</w:t>
      </w:r>
      <w:bookmarkEnd w:id="3"/>
      <w:r>
        <w:t xml:space="preserve"> </w:t>
      </w:r>
    </w:p>
    <w:p w14:paraId="5A072B41" w14:textId="77777777" w:rsidR="00A92788" w:rsidRDefault="00A92788" w:rsidP="00A92788">
      <w:r>
        <w:t xml:space="preserve">The first national initiative is the NHS Long Term Plan (2019), which included social prescribing as a key priority for wellbeing, with a pledge to recruit 1,000 social prescribing link workers into Primary Care Networks by 2020/21, who will provide patients with access to community resources, including exercise groups, arts activities and debt advice. However, there is mixed but generally positive evidence of effectiveness, with systematic reviews highlighting a historically weak evidence base, due to small sample sizes, short follow-up periods and a lack of control groups; more recent national studies in the UK with large numbers of referred individuals and </w:t>
      </w:r>
      <w:proofErr w:type="spellStart"/>
      <w:r>
        <w:t>standardised</w:t>
      </w:r>
      <w:proofErr w:type="spellEnd"/>
      <w:r>
        <w:t xml:space="preserve"> wellbeing measures have found evidence of statistically significant improvements in happiness, life satisfaction and reduced anxiety among people who have used the services (The King’s Fund 2019; National Academy for Social Prescribing 2024; Wilson et al. 2025). This indicates that social prescribing is capable of meaningfully affecting subjective wellbeing, if not necessarily NHS demand.  </w:t>
      </w:r>
    </w:p>
    <w:p w14:paraId="60133327" w14:textId="77777777" w:rsidR="00A92788" w:rsidRDefault="00A92788" w:rsidP="00A92788">
      <w:r>
        <w:t xml:space="preserve">The second national initiative is the Soft Drinks Industry Levy (SDIL) – also referred to as the “sugar tax” – which was implemented in April 2018 with the aim of tackling childhood obesity. It imposes a tax on soft drinks based on the amount of sugar used in the drink, encouraging them to change their recipes. Evidence of evaluation shows that the levy has been very successful: sugar in the levied products has been reduced by nearly 50% between 2015 and 2024, average daily sugar consumption from soft drinks has decreased by approximately 5g for children and 11g for adults within one year of the levy coming into effect, and a study by the University of Cambridge found that the levy is linked to an 8% relative decrease in obesity among Year 6 girls, with the biggest reduction seen in the most deprived areas (University of Cambridge 2023; GOV.UK 2025; </w:t>
      </w:r>
      <w:proofErr w:type="spellStart"/>
      <w:r>
        <w:t>Cobiac</w:t>
      </w:r>
      <w:proofErr w:type="spellEnd"/>
      <w:r>
        <w:t xml:space="preserve"> et al. 2024). The levy was expanded in 2025 to fill in loopholes, including sugary milkshakes.  </w:t>
      </w:r>
    </w:p>
    <w:p w14:paraId="5B9E5780" w14:textId="77777777" w:rsidR="00A92788" w:rsidRDefault="00A92788" w:rsidP="00A92788">
      <w:r>
        <w:t xml:space="preserve">The overall conclusion is that upstream population level policy (the levy) can lead to more consistent and measurable effects, while the social prescribing (individually targeted interventions) depends on the quality of local delivery. Improvements suggested </w:t>
      </w:r>
      <w:proofErr w:type="gramStart"/>
      <w:r>
        <w:t>include</w:t>
      </w:r>
      <w:proofErr w:type="gramEnd"/>
      <w:r>
        <w:t xml:space="preserve"> introducing </w:t>
      </w:r>
      <w:proofErr w:type="spellStart"/>
      <w:r>
        <w:t>standardised</w:t>
      </w:r>
      <w:proofErr w:type="spellEnd"/>
      <w:r>
        <w:t>, comparative evaluation frameworks for social prescribing across all Primary Care Networks, to enable effectiveness to be reliably compared, and introducing fiscal measures like SDIL to a greater number of high sugar and high fat foods, as part of a true cross-government obesity policy and not a single policy lever.</w:t>
      </w:r>
    </w:p>
    <w:p w14:paraId="648FBEC3" w14:textId="77777777" w:rsidR="00A92788" w:rsidRDefault="00A92788" w:rsidP="00A92788">
      <w:pPr>
        <w:pStyle w:val="Heading1"/>
      </w:pPr>
      <w:bookmarkStart w:id="4" w:name="_Toc234335040"/>
      <w:r>
        <w:t>Local Wellbeing Initiatives</w:t>
      </w:r>
      <w:bookmarkEnd w:id="4"/>
      <w:r>
        <w:t xml:space="preserve"> </w:t>
      </w:r>
    </w:p>
    <w:p w14:paraId="799622F1" w14:textId="77777777" w:rsidR="00A92788" w:rsidRDefault="00A92788" w:rsidP="00A92788">
      <w:r>
        <w:lastRenderedPageBreak/>
        <w:t xml:space="preserve">In the local arena, the wellbeing coordinator and social prescribing schemes provided by voluntary and community groups are two examples of how national policy is put into practice. A mixed methods evaluation of a social prescribing service in Northern England that involved the presence of local Wellbeing Coordinators identified measurable gains in wellbeing and perceived social connectedness and decreases in anxiety among 342 social prescribing service users, being greatest where Wellbeing Coordinators maintained flexible, ongoing relationships with their clients, and where a strong local voluntary sector was available to take referrals (Woodall et al. 2018). This illustrates that it's not only about having a scheme, but about the quality of the local infrastructure.  </w:t>
      </w:r>
    </w:p>
    <w:p w14:paraId="0FC76B2B" w14:textId="77777777" w:rsidR="00A92788" w:rsidRDefault="00A92788" w:rsidP="00A92788">
      <w:r>
        <w:t xml:space="preserve">The second local initiative is the network of locally coordinated food banks, coordinated locally by the Trussell Trust, which distributed approximately 2.6 million emergency food parcels to the UK in 2025, with more than 900,000 of those to children. Food banks reduce acute household food insecurity immediately, but in the longer term, food banks have been criticized for their effectiveness – demand has been increasing annually since 2006, in 2024, an estimated 16% of households in the UK were food insecure, and researchers have stated that food banks were never designed to be a permanent solution to the challenge of food insecurity, but a temporary response to crisis (Trussell 2025; House of Commons Library 2025). The Trust's ‘More than food' </w:t>
      </w:r>
      <w:proofErr w:type="spellStart"/>
      <w:r>
        <w:t>programme</w:t>
      </w:r>
      <w:proofErr w:type="spellEnd"/>
      <w:r>
        <w:t xml:space="preserve">, which provides food parcels together with debt advice and welfare support, is a good local adaptation, but is still small in comparison to the demand.  </w:t>
      </w:r>
    </w:p>
    <w:p w14:paraId="70670E96" w14:textId="77777777" w:rsidR="00A92788" w:rsidRDefault="00A92788" w:rsidP="00A92788">
      <w:r>
        <w:t>To tackle the root causes of hunger and poor wellbeing, recommendations for improvement include increasing the number of funded, permanent Wellbeing Coordinator posts in areas where there may be a reliance on short-term project funding to ensure continuity of relationships with service users, and incorporating income-</w:t>
      </w:r>
      <w:proofErr w:type="spellStart"/>
      <w:r>
        <w:t>maximisation</w:t>
      </w:r>
      <w:proofErr w:type="spellEnd"/>
      <w:r>
        <w:t xml:space="preserve"> and welfare advice as a core element of every food bank visit, rather than as an add-on.</w:t>
      </w:r>
    </w:p>
    <w:p w14:paraId="3CA772A6" w14:textId="77777777" w:rsidR="00A92788" w:rsidRDefault="00A92788" w:rsidP="00A92788">
      <w:pPr>
        <w:pStyle w:val="Heading1"/>
      </w:pPr>
      <w:bookmarkStart w:id="5" w:name="_Toc234335041"/>
      <w:r>
        <w:t>Conclusion</w:t>
      </w:r>
      <w:bookmarkEnd w:id="5"/>
    </w:p>
    <w:p w14:paraId="03790EAB" w14:textId="69CF212D" w:rsidR="008065EF" w:rsidRPr="00A16639" w:rsidRDefault="00A92788" w:rsidP="00A92788">
      <w:r>
        <w:t xml:space="preserve">As demonstrated in this report, SDG 3 is closely linked with SDG 2 as both are key determinants of the health and wellbeing of citizens, covering issues of disease, mental health and healthcare access as well as nutrition, food security and sustainable agriculture. There is evidence in the UK context to show that population, and individually targeted policies can both improve wellbeing, with varying degrees of evidence in both cases, for example, through initiatives like the NHS Long Term Plan's social prescribing </w:t>
      </w:r>
      <w:proofErr w:type="spellStart"/>
      <w:r>
        <w:t>programme</w:t>
      </w:r>
      <w:proofErr w:type="spellEnd"/>
      <w:r>
        <w:t xml:space="preserve"> and the Soft Drinks Industry Levy. At a local level, delivery mechanisms such as wellbeing coordinator schemes and food banks like the Trussell Trust are essential but only as effective as the infrastructure and funding that supports them. To attain the aspirations of SDG 2 and SDG 3, there is a need for long-term investments, a better assessment of the situation and efforts that address the underlying causes of poor health and hunger.</w:t>
      </w:r>
      <w:r w:rsidRPr="00A16639">
        <w:br w:type="page"/>
      </w:r>
    </w:p>
    <w:p w14:paraId="56346806" w14:textId="77777777" w:rsidR="008065EF" w:rsidRPr="00A16639" w:rsidRDefault="00000000" w:rsidP="00A16639">
      <w:pPr>
        <w:pStyle w:val="Heading1"/>
      </w:pPr>
      <w:bookmarkStart w:id="6" w:name="_Toc234333229"/>
      <w:bookmarkStart w:id="7" w:name="_Toc234335042"/>
      <w:r w:rsidRPr="00A16639">
        <w:lastRenderedPageBreak/>
        <w:t>References</w:t>
      </w:r>
      <w:bookmarkEnd w:id="6"/>
      <w:bookmarkEnd w:id="7"/>
    </w:p>
    <w:p w14:paraId="2D5E1C54" w14:textId="44585F63" w:rsidR="00860D23" w:rsidRPr="00860D23" w:rsidRDefault="00860D23" w:rsidP="00E23830">
      <w:pPr>
        <w:ind w:left="720" w:hanging="720"/>
      </w:pPr>
      <w:r w:rsidRPr="00860D23">
        <w:t xml:space="preserve">Abdullahi, Z.M., Kingsley, O.I., Yusuf, M., </w:t>
      </w:r>
      <w:proofErr w:type="spellStart"/>
      <w:proofErr w:type="gramStart"/>
      <w:r w:rsidRPr="00860D23">
        <w:t>Uwaka</w:t>
      </w:r>
      <w:proofErr w:type="spellEnd"/>
      <w:r w:rsidRPr="00860D23">
        <w:t xml:space="preserve"> ,</w:t>
      </w:r>
      <w:proofErr w:type="gramEnd"/>
      <w:r w:rsidRPr="00860D23">
        <w:t xml:space="preserve"> E.O., </w:t>
      </w:r>
      <w:proofErr w:type="spellStart"/>
      <w:r w:rsidRPr="00860D23">
        <w:t>Otutu</w:t>
      </w:r>
      <w:proofErr w:type="spellEnd"/>
      <w:r w:rsidRPr="00860D23">
        <w:t xml:space="preserve">, M. and </w:t>
      </w:r>
      <w:proofErr w:type="spellStart"/>
      <w:r w:rsidRPr="00860D23">
        <w:t>Nwose</w:t>
      </w:r>
      <w:proofErr w:type="spellEnd"/>
      <w:r w:rsidRPr="00860D23">
        <w:t xml:space="preserve">, E.U., 2025. Epidemiology, Prevention and Management of Non-Communicable Diseases (NCDS). </w:t>
      </w:r>
      <w:r w:rsidRPr="00860D23">
        <w:rPr>
          <w:i/>
          <w:iCs/>
        </w:rPr>
        <w:t>Journal of Health, Wellness and Safety Research</w:t>
      </w:r>
      <w:r w:rsidRPr="00860D23">
        <w:t xml:space="preserve">. </w:t>
      </w:r>
      <w:hyperlink r:id="rId13" w:history="1">
        <w:r w:rsidRPr="00860D23">
          <w:rPr>
            <w:rStyle w:val="Hyperlink"/>
          </w:rPr>
          <w:t>https://doi.org/10.70382/hujhwsr.v7i3.015</w:t>
        </w:r>
      </w:hyperlink>
      <w:r w:rsidRPr="00860D23">
        <w:t>.</w:t>
      </w:r>
      <w:r>
        <w:t xml:space="preserve"> </w:t>
      </w:r>
    </w:p>
    <w:p w14:paraId="0E719756" w14:textId="63E169CB" w:rsidR="00860D23" w:rsidRPr="00860D23" w:rsidRDefault="00860D23" w:rsidP="00E23830">
      <w:pPr>
        <w:ind w:left="720" w:hanging="720"/>
      </w:pPr>
      <w:r w:rsidRPr="00860D23">
        <w:t xml:space="preserve">Amu, H., </w:t>
      </w:r>
      <w:proofErr w:type="spellStart"/>
      <w:r w:rsidRPr="00860D23">
        <w:t>Dzenu</w:t>
      </w:r>
      <w:proofErr w:type="spellEnd"/>
      <w:r w:rsidRPr="00860D23">
        <w:t xml:space="preserve">, M.W., Baku, S.T., </w:t>
      </w:r>
      <w:proofErr w:type="spellStart"/>
      <w:r w:rsidRPr="00860D23">
        <w:t>Naboare</w:t>
      </w:r>
      <w:proofErr w:type="spellEnd"/>
      <w:r w:rsidRPr="00860D23">
        <w:t>, D., Charles-</w:t>
      </w:r>
      <w:proofErr w:type="spellStart"/>
      <w:r w:rsidRPr="00860D23">
        <w:t>Unadike</w:t>
      </w:r>
      <w:proofErr w:type="spellEnd"/>
      <w:r w:rsidRPr="00860D23">
        <w:t xml:space="preserve">, V.O., Boateng, L.A., </w:t>
      </w:r>
      <w:proofErr w:type="spellStart"/>
      <w:r w:rsidRPr="00860D23">
        <w:t>Tarkang</w:t>
      </w:r>
      <w:proofErr w:type="spellEnd"/>
      <w:r w:rsidRPr="00860D23">
        <w:t xml:space="preserve">, E.E. and Baiden, F.E., 2024. Addressing Mental Health Challenges and Non-communicable Diseases in Sub-Saharan Africa: An Analysis from Health Systems Approach. </w:t>
      </w:r>
      <w:r w:rsidRPr="00860D23">
        <w:rPr>
          <w:i/>
          <w:iCs/>
        </w:rPr>
        <w:t>Preventive Medicine: Research &amp; Reviews</w:t>
      </w:r>
      <w:r w:rsidRPr="00860D23">
        <w:t xml:space="preserve">, [online] 1(1), p.21. </w:t>
      </w:r>
      <w:hyperlink r:id="rId14" w:history="1">
        <w:r w:rsidRPr="00860D23">
          <w:rPr>
            <w:rStyle w:val="Hyperlink"/>
          </w:rPr>
          <w:t>https://doi.org/10.4103/PMRR.PMRR_57_23</w:t>
        </w:r>
      </w:hyperlink>
      <w:r w:rsidRPr="00860D23">
        <w:t>.</w:t>
      </w:r>
      <w:r>
        <w:t xml:space="preserve"> </w:t>
      </w:r>
    </w:p>
    <w:p w14:paraId="36C78965" w14:textId="316DDB4B" w:rsidR="00860D23" w:rsidRPr="00860D23" w:rsidRDefault="00860D23" w:rsidP="00E23830">
      <w:pPr>
        <w:ind w:left="720" w:hanging="720"/>
      </w:pPr>
      <w:proofErr w:type="spellStart"/>
      <w:r w:rsidRPr="00860D23">
        <w:t>Cobiac</w:t>
      </w:r>
      <w:proofErr w:type="spellEnd"/>
      <w:r w:rsidRPr="00860D23">
        <w:t xml:space="preserve">, L.J., Rogers, N.T., Adams, J., Cummins, S., Smith, R., </w:t>
      </w:r>
      <w:proofErr w:type="spellStart"/>
      <w:r w:rsidRPr="00860D23">
        <w:t>Mytton</w:t>
      </w:r>
      <w:proofErr w:type="spellEnd"/>
      <w:r w:rsidRPr="00860D23">
        <w:t xml:space="preserve">, O., White, M. and Scarborough, P., 2024. Impact of the UK soft drinks industry levy on health and health inequalities in children and adolescents in England: An interrupted time series analysis and population health modelling study. </w:t>
      </w:r>
      <w:proofErr w:type="spellStart"/>
      <w:r w:rsidRPr="00860D23">
        <w:rPr>
          <w:i/>
          <w:iCs/>
        </w:rPr>
        <w:t>PLoS</w:t>
      </w:r>
      <w:proofErr w:type="spellEnd"/>
      <w:r w:rsidRPr="00860D23">
        <w:rPr>
          <w:i/>
          <w:iCs/>
        </w:rPr>
        <w:t xml:space="preserve"> medicine</w:t>
      </w:r>
      <w:r w:rsidRPr="00860D23">
        <w:t xml:space="preserve">, 21(3), </w:t>
      </w:r>
      <w:proofErr w:type="gramStart"/>
      <w:r w:rsidRPr="00860D23">
        <w:t>pp.e</w:t>
      </w:r>
      <w:proofErr w:type="gramEnd"/>
      <w:r w:rsidRPr="00860D23">
        <w:t xml:space="preserve">1004371-e1004371. </w:t>
      </w:r>
      <w:hyperlink r:id="rId15" w:history="1">
        <w:r w:rsidRPr="00860D23">
          <w:rPr>
            <w:rStyle w:val="Hyperlink"/>
          </w:rPr>
          <w:t>https://doi.org/10.1371/journal.pmed.1004371</w:t>
        </w:r>
      </w:hyperlink>
      <w:r w:rsidRPr="00860D23">
        <w:t>.</w:t>
      </w:r>
      <w:r>
        <w:t xml:space="preserve"> </w:t>
      </w:r>
    </w:p>
    <w:p w14:paraId="1FEEC8A7" w14:textId="615A330E" w:rsidR="00860D23" w:rsidRPr="00860D23" w:rsidRDefault="00860D23" w:rsidP="00E23830">
      <w:pPr>
        <w:ind w:left="720" w:hanging="720"/>
      </w:pPr>
      <w:r w:rsidRPr="00860D23">
        <w:t xml:space="preserve">Food and Agriculture Organization of the </w:t>
      </w:r>
      <w:proofErr w:type="gramStart"/>
      <w:r w:rsidRPr="00860D23">
        <w:t>United nations</w:t>
      </w:r>
      <w:proofErr w:type="gramEnd"/>
      <w:r w:rsidRPr="00860D23">
        <w:t xml:space="preserve">, 2026. </w:t>
      </w:r>
      <w:r w:rsidRPr="00860D23">
        <w:rPr>
          <w:i/>
          <w:iCs/>
        </w:rPr>
        <w:t>SDG 2. Zero hunger | Sustainable Development Goals | Food and Agriculture Organization of the United Nations</w:t>
      </w:r>
      <w:r w:rsidRPr="00860D23">
        <w:t xml:space="preserve">. [online] Www.fao.org. Available at: </w:t>
      </w:r>
      <w:hyperlink r:id="rId16" w:history="1">
        <w:r w:rsidRPr="00860D23">
          <w:rPr>
            <w:rStyle w:val="Hyperlink"/>
          </w:rPr>
          <w:t>https://www.fao.org/sustainable-development-goals/goals/goal-2/en/</w:t>
        </w:r>
      </w:hyperlink>
      <w:r>
        <w:t xml:space="preserve"> </w:t>
      </w:r>
      <w:r w:rsidRPr="00860D23">
        <w:t xml:space="preserve"> [Accessed 7 July 2026].</w:t>
      </w:r>
    </w:p>
    <w:p w14:paraId="269463CB" w14:textId="2B86920C" w:rsidR="00860D23" w:rsidRPr="00860D23" w:rsidRDefault="00860D23" w:rsidP="00E23830">
      <w:pPr>
        <w:ind w:left="720" w:hanging="720"/>
      </w:pPr>
      <w:r w:rsidRPr="00860D23">
        <w:t xml:space="preserve">Fuller, R., 2022. Pollution and health: A Progress Update. </w:t>
      </w:r>
      <w:r w:rsidRPr="00860D23">
        <w:rPr>
          <w:i/>
          <w:iCs/>
        </w:rPr>
        <w:t>The Lancet Planetary Health</w:t>
      </w:r>
      <w:r w:rsidRPr="00860D23">
        <w:t xml:space="preserve">, [online] 6(6). </w:t>
      </w:r>
      <w:hyperlink r:id="rId17" w:history="1">
        <w:r w:rsidRPr="00860D23">
          <w:rPr>
            <w:rStyle w:val="Hyperlink"/>
          </w:rPr>
          <w:t>https://doi.org/10.1016/S2542-5196(22)00090-0</w:t>
        </w:r>
      </w:hyperlink>
      <w:r w:rsidRPr="00860D23">
        <w:t>.</w:t>
      </w:r>
      <w:r>
        <w:t xml:space="preserve"> </w:t>
      </w:r>
    </w:p>
    <w:p w14:paraId="25C53445" w14:textId="1B48500B" w:rsidR="00860D23" w:rsidRPr="00860D23" w:rsidRDefault="00860D23" w:rsidP="00E23830">
      <w:pPr>
        <w:ind w:left="720" w:hanging="720"/>
      </w:pPr>
      <w:r w:rsidRPr="00860D23">
        <w:t xml:space="preserve">GOV.UK, 2025. </w:t>
      </w:r>
      <w:r w:rsidRPr="00860D23">
        <w:rPr>
          <w:i/>
          <w:iCs/>
        </w:rPr>
        <w:t>Soft drink levy extended to protect children and improve health</w:t>
      </w:r>
      <w:r w:rsidRPr="00860D23">
        <w:t xml:space="preserve">. [online] GOV.UK. Available at: </w:t>
      </w:r>
      <w:hyperlink r:id="rId18" w:history="1">
        <w:r w:rsidRPr="00860D23">
          <w:rPr>
            <w:rStyle w:val="Hyperlink"/>
          </w:rPr>
          <w:t>https://www.gov.uk/government/news/soft-drink-levy-extended-to-protect-children-and-improve-health</w:t>
        </w:r>
      </w:hyperlink>
      <w:r>
        <w:t xml:space="preserve"> </w:t>
      </w:r>
      <w:r w:rsidRPr="00860D23">
        <w:t xml:space="preserve"> [Accessed 7 July 2026].</w:t>
      </w:r>
    </w:p>
    <w:p w14:paraId="19730686" w14:textId="68A7E21D" w:rsidR="00860D23" w:rsidRPr="00860D23" w:rsidRDefault="00860D23" w:rsidP="00E23830">
      <w:pPr>
        <w:ind w:left="720" w:hanging="720"/>
      </w:pPr>
      <w:r w:rsidRPr="00860D23">
        <w:t xml:space="preserve">House of Commons Library, 2025. Food Banks in the UK. </w:t>
      </w:r>
      <w:r w:rsidRPr="00860D23">
        <w:rPr>
          <w:i/>
          <w:iCs/>
        </w:rPr>
        <w:t>Commonslibrary.parliament.uk</w:t>
      </w:r>
      <w:r w:rsidRPr="00860D23">
        <w:t xml:space="preserve">, [online] 8585. Available at: </w:t>
      </w:r>
      <w:hyperlink r:id="rId19" w:history="1">
        <w:r w:rsidRPr="00860D23">
          <w:rPr>
            <w:rStyle w:val="Hyperlink"/>
          </w:rPr>
          <w:t>https://commonslibrary.parliament.uk/research-briefings/cbp-8585/</w:t>
        </w:r>
      </w:hyperlink>
      <w:r>
        <w:t xml:space="preserve"> </w:t>
      </w:r>
      <w:r w:rsidRPr="00860D23">
        <w:t xml:space="preserve"> [Accessed 7 July 2026].</w:t>
      </w:r>
    </w:p>
    <w:p w14:paraId="6CCDF2C8" w14:textId="7385A37F" w:rsidR="00860D23" w:rsidRPr="00860D23" w:rsidRDefault="00860D23" w:rsidP="00E23830">
      <w:pPr>
        <w:ind w:left="720" w:hanging="720"/>
      </w:pPr>
      <w:proofErr w:type="spellStart"/>
      <w:r w:rsidRPr="00860D23">
        <w:t>Lakioti</w:t>
      </w:r>
      <w:proofErr w:type="spellEnd"/>
      <w:r w:rsidRPr="00860D23">
        <w:t xml:space="preserve">, E., Pagonis, N., </w:t>
      </w:r>
      <w:proofErr w:type="spellStart"/>
      <w:r w:rsidRPr="00860D23">
        <w:t>Flegkas</w:t>
      </w:r>
      <w:proofErr w:type="spellEnd"/>
      <w:r w:rsidRPr="00860D23">
        <w:t xml:space="preserve">, D., </w:t>
      </w:r>
      <w:proofErr w:type="spellStart"/>
      <w:r w:rsidRPr="00860D23">
        <w:t>Itziou</w:t>
      </w:r>
      <w:proofErr w:type="spellEnd"/>
      <w:r w:rsidRPr="00860D23">
        <w:t xml:space="preserve">, A., Moustakas, K. and </w:t>
      </w:r>
      <w:proofErr w:type="spellStart"/>
      <w:r w:rsidRPr="00860D23">
        <w:t>Karayannis</w:t>
      </w:r>
      <w:proofErr w:type="spellEnd"/>
      <w:r w:rsidRPr="00860D23">
        <w:t xml:space="preserve">, V., 2025. Social Factors and Policies Promoting Good Health and Well-Being as a Sustainable Development Goal: Current Achievements and Future Pathways. </w:t>
      </w:r>
      <w:r w:rsidRPr="00860D23">
        <w:rPr>
          <w:i/>
          <w:iCs/>
        </w:rPr>
        <w:t>Sustainability</w:t>
      </w:r>
      <w:r w:rsidRPr="00860D23">
        <w:t xml:space="preserve">, [online] 17(11), p.5063. </w:t>
      </w:r>
      <w:hyperlink r:id="rId20" w:history="1">
        <w:r w:rsidRPr="00860D23">
          <w:rPr>
            <w:rStyle w:val="Hyperlink"/>
          </w:rPr>
          <w:t>https://doi.org/10.3390/su17115063</w:t>
        </w:r>
      </w:hyperlink>
      <w:r w:rsidRPr="00860D23">
        <w:t>.</w:t>
      </w:r>
      <w:r>
        <w:t xml:space="preserve"> </w:t>
      </w:r>
    </w:p>
    <w:p w14:paraId="33E7D406" w14:textId="5A60A5A3" w:rsidR="00860D23" w:rsidRPr="00860D23" w:rsidRDefault="00860D23" w:rsidP="00E23830">
      <w:pPr>
        <w:ind w:left="720" w:hanging="720"/>
      </w:pPr>
      <w:proofErr w:type="spellStart"/>
      <w:r w:rsidRPr="00860D23">
        <w:lastRenderedPageBreak/>
        <w:t>Mokomane</w:t>
      </w:r>
      <w:proofErr w:type="spellEnd"/>
      <w:r w:rsidRPr="00860D23">
        <w:t xml:space="preserve">, Z., 2023. </w:t>
      </w:r>
      <w:r w:rsidRPr="00860D23">
        <w:rPr>
          <w:i/>
          <w:iCs/>
        </w:rPr>
        <w:t>The impact of demographic trends on families</w:t>
      </w:r>
      <w:r w:rsidRPr="00860D23">
        <w:t xml:space="preserve">. [online] Available at: </w:t>
      </w:r>
      <w:hyperlink r:id="rId21" w:history="1">
        <w:r w:rsidRPr="00860D23">
          <w:rPr>
            <w:rStyle w:val="Hyperlink"/>
          </w:rPr>
          <w:t>https://social.desa.un.org/sites/default/files/inline-files/DemographicTrends-FamilyImpact%20ZITHA%20MOKOMANE.pdf</w:t>
        </w:r>
      </w:hyperlink>
      <w:r>
        <w:t xml:space="preserve"> </w:t>
      </w:r>
      <w:r w:rsidRPr="00860D23">
        <w:t xml:space="preserve"> [Accessed 7 July 2026].</w:t>
      </w:r>
    </w:p>
    <w:p w14:paraId="5FBDBD46" w14:textId="033D14D5" w:rsidR="00860D23" w:rsidRPr="00860D23" w:rsidRDefault="00860D23" w:rsidP="00E23830">
      <w:pPr>
        <w:ind w:left="720" w:hanging="720"/>
      </w:pPr>
      <w:r w:rsidRPr="00860D23">
        <w:t xml:space="preserve">NASP, 2025. </w:t>
      </w:r>
      <w:r w:rsidRPr="00860D23">
        <w:rPr>
          <w:i/>
          <w:iCs/>
        </w:rPr>
        <w:t>What is the evidence for social prescribing? - National Academy for Social Prescribing</w:t>
      </w:r>
      <w:r w:rsidRPr="00860D23">
        <w:t xml:space="preserve">. [online] NASP. Available at: </w:t>
      </w:r>
      <w:hyperlink r:id="rId22" w:history="1">
        <w:r w:rsidRPr="00860D23">
          <w:rPr>
            <w:rStyle w:val="Hyperlink"/>
          </w:rPr>
          <w:t>https://socialprescribingacademy.org.uk/our-evidence-and-evaluation-work/what-is-the-evidence-for-social-prescribing</w:t>
        </w:r>
      </w:hyperlink>
      <w:r>
        <w:t xml:space="preserve"> </w:t>
      </w:r>
      <w:r w:rsidRPr="00860D23">
        <w:t xml:space="preserve"> [Accessed 7 July 2026].</w:t>
      </w:r>
    </w:p>
    <w:p w14:paraId="0D131122" w14:textId="26FDB330" w:rsidR="00860D23" w:rsidRPr="00860D23" w:rsidRDefault="00860D23" w:rsidP="00E23830">
      <w:pPr>
        <w:ind w:left="720" w:hanging="720"/>
      </w:pPr>
      <w:r w:rsidRPr="00860D23">
        <w:t xml:space="preserve">The King’s Fund, 2019. </w:t>
      </w:r>
      <w:r w:rsidRPr="00860D23">
        <w:rPr>
          <w:i/>
          <w:iCs/>
        </w:rPr>
        <w:t>The NHS Long-term Plan Explained</w:t>
      </w:r>
      <w:r w:rsidRPr="00860D23">
        <w:t xml:space="preserve">. [online] The King’s Fund. Available at: </w:t>
      </w:r>
      <w:hyperlink r:id="rId23" w:history="1">
        <w:r w:rsidRPr="00860D23">
          <w:rPr>
            <w:rStyle w:val="Hyperlink"/>
          </w:rPr>
          <w:t>https://www.kingsfund.org.uk/insight-and-analysis/long-reads/nhs-long-term-plan-explained</w:t>
        </w:r>
      </w:hyperlink>
      <w:r>
        <w:t xml:space="preserve">  </w:t>
      </w:r>
      <w:r w:rsidRPr="00860D23">
        <w:t>[Accessed 7 July 2026].</w:t>
      </w:r>
    </w:p>
    <w:p w14:paraId="2F84EBA4" w14:textId="701F1F72" w:rsidR="00860D23" w:rsidRPr="00860D23" w:rsidRDefault="00860D23" w:rsidP="00E23830">
      <w:pPr>
        <w:ind w:left="720" w:hanging="720"/>
      </w:pPr>
      <w:r w:rsidRPr="00860D23">
        <w:t xml:space="preserve">Trussell, 2025. </w:t>
      </w:r>
      <w:r w:rsidRPr="00860D23">
        <w:rPr>
          <w:i/>
          <w:iCs/>
        </w:rPr>
        <w:t>Trussell.org.uk Hunger in the UK</w:t>
      </w:r>
      <w:r w:rsidRPr="00860D23">
        <w:t xml:space="preserve">. [online] Available at: </w:t>
      </w:r>
      <w:hyperlink r:id="rId24" w:history="1">
        <w:r w:rsidRPr="00860D23">
          <w:rPr>
            <w:rStyle w:val="Hyperlink"/>
          </w:rPr>
          <w:t>https://cms.trussell.org.uk/sites/default/files/2025-09/hunger_in_uk_sept25.pdf</w:t>
        </w:r>
      </w:hyperlink>
      <w:r>
        <w:t xml:space="preserve"> </w:t>
      </w:r>
      <w:r w:rsidRPr="00860D23">
        <w:t xml:space="preserve"> [Accessed 7 July 2026].</w:t>
      </w:r>
    </w:p>
    <w:p w14:paraId="1950C574" w14:textId="3B3CFDF0" w:rsidR="00860D23" w:rsidRPr="00860D23" w:rsidRDefault="00860D23" w:rsidP="00E23830">
      <w:pPr>
        <w:ind w:left="720" w:hanging="720"/>
      </w:pPr>
      <w:r w:rsidRPr="00860D23">
        <w:t xml:space="preserve">UNICEF, 2024. </w:t>
      </w:r>
      <w:r w:rsidRPr="00860D23">
        <w:rPr>
          <w:i/>
          <w:iCs/>
        </w:rPr>
        <w:t>The State of Food Security and Nutrition 2024 - UNICEF DATA</w:t>
      </w:r>
      <w:r w:rsidRPr="00860D23">
        <w:t xml:space="preserve">. [online] UNICEF DATA. Available at: </w:t>
      </w:r>
      <w:hyperlink r:id="rId25" w:history="1">
        <w:r w:rsidRPr="00860D23">
          <w:rPr>
            <w:rStyle w:val="Hyperlink"/>
          </w:rPr>
          <w:t>https://data.unicef.org/resources/sofi-2024/</w:t>
        </w:r>
      </w:hyperlink>
      <w:r>
        <w:t xml:space="preserve"> </w:t>
      </w:r>
      <w:r w:rsidRPr="00860D23">
        <w:t xml:space="preserve"> [Accessed 7 July 2026].</w:t>
      </w:r>
    </w:p>
    <w:p w14:paraId="4AB3A292" w14:textId="77777777" w:rsidR="00860D23" w:rsidRPr="00860D23" w:rsidRDefault="00860D23" w:rsidP="00E23830">
      <w:pPr>
        <w:ind w:left="720" w:hanging="720"/>
      </w:pPr>
      <w:r w:rsidRPr="00860D23">
        <w:t xml:space="preserve">UNICEF, 2025. </w:t>
      </w:r>
      <w:r w:rsidRPr="00860D23">
        <w:rPr>
          <w:i/>
          <w:iCs/>
        </w:rPr>
        <w:t>SDG Goal 3: Good Health and Well-being</w:t>
      </w:r>
      <w:r w:rsidRPr="00860D23">
        <w:t xml:space="preserve">. [online] </w:t>
      </w:r>
      <w:proofErr w:type="spellStart"/>
      <w:r w:rsidRPr="00860D23">
        <w:t>Unicef</w:t>
      </w:r>
      <w:proofErr w:type="spellEnd"/>
      <w:r w:rsidRPr="00860D23">
        <w:t>. Available at: &lt;https://data.unicef.org/sdgs/goal-3-good-health-wellbeing/&gt; [Accessed 7 July 2026].</w:t>
      </w:r>
    </w:p>
    <w:p w14:paraId="6870940D" w14:textId="30F80C2E" w:rsidR="00860D23" w:rsidRPr="00860D23" w:rsidRDefault="00860D23" w:rsidP="00E23830">
      <w:pPr>
        <w:ind w:left="720" w:hanging="720"/>
      </w:pPr>
      <w:r w:rsidRPr="00860D23">
        <w:t xml:space="preserve">United Nations, 2025. </w:t>
      </w:r>
      <w:r w:rsidRPr="00860D23">
        <w:rPr>
          <w:i/>
          <w:iCs/>
        </w:rPr>
        <w:t>Goal 3: Ensure healthy lives and promote well-being for all at all ages</w:t>
      </w:r>
      <w:r w:rsidRPr="00860D23">
        <w:t xml:space="preserve">. [online] United Nations. Available at: </w:t>
      </w:r>
      <w:hyperlink r:id="rId26" w:history="1">
        <w:r w:rsidRPr="00860D23">
          <w:rPr>
            <w:rStyle w:val="Hyperlink"/>
          </w:rPr>
          <w:t>https://sdgs.un.org/goals/goal3</w:t>
        </w:r>
      </w:hyperlink>
      <w:r>
        <w:t xml:space="preserve"> </w:t>
      </w:r>
      <w:r w:rsidRPr="00860D23">
        <w:t xml:space="preserve"> [Accessed 7 July 2026].</w:t>
      </w:r>
    </w:p>
    <w:p w14:paraId="41ECAED5" w14:textId="612A2327" w:rsidR="00860D23" w:rsidRPr="00860D23" w:rsidRDefault="00860D23" w:rsidP="00E23830">
      <w:pPr>
        <w:ind w:left="720" w:hanging="720"/>
      </w:pPr>
      <w:r w:rsidRPr="00860D23">
        <w:t xml:space="preserve">United Nations Department of Economic and Social Affairs, 2025. </w:t>
      </w:r>
      <w:r w:rsidRPr="00860D23">
        <w:rPr>
          <w:i/>
          <w:iCs/>
        </w:rPr>
        <w:t>SDG Indicators</w:t>
      </w:r>
      <w:r w:rsidRPr="00860D23">
        <w:t xml:space="preserve">. [online] Un.org. Available at: </w:t>
      </w:r>
      <w:hyperlink r:id="rId27" w:history="1">
        <w:r w:rsidRPr="00860D23">
          <w:rPr>
            <w:rStyle w:val="Hyperlink"/>
          </w:rPr>
          <w:t>https://unstats.un.org/sdgs/report/2025/</w:t>
        </w:r>
      </w:hyperlink>
      <w:r>
        <w:t xml:space="preserve"> </w:t>
      </w:r>
      <w:r w:rsidRPr="00860D23">
        <w:t xml:space="preserve"> [Accessed 7 July 2026].</w:t>
      </w:r>
    </w:p>
    <w:p w14:paraId="2FFC01BD" w14:textId="2D81D0A7" w:rsidR="00860D23" w:rsidRPr="00860D23" w:rsidRDefault="00860D23" w:rsidP="00E23830">
      <w:pPr>
        <w:ind w:left="720" w:hanging="720"/>
      </w:pPr>
      <w:r w:rsidRPr="00860D23">
        <w:t xml:space="preserve">University of Cambridge, 2023. </w:t>
      </w:r>
      <w:r w:rsidRPr="00860D23">
        <w:rPr>
          <w:i/>
          <w:iCs/>
        </w:rPr>
        <w:t>Sugary drinks tax may have prevented over 5,000 cases of obesity a year in year six girls alone</w:t>
      </w:r>
      <w:r w:rsidRPr="00860D23">
        <w:t xml:space="preserve">. [online] University of Cambridge. Available at: </w:t>
      </w:r>
      <w:hyperlink r:id="rId28" w:history="1">
        <w:r w:rsidRPr="00860D23">
          <w:rPr>
            <w:rStyle w:val="Hyperlink"/>
          </w:rPr>
          <w:t>https://www.cam.ac.uk/research/news/sugary-drinks-tax-may-have-prevented-over-5000-cases-of-obesity-a-year-in-year-six-girls-alone</w:t>
        </w:r>
      </w:hyperlink>
      <w:r>
        <w:t xml:space="preserve"> </w:t>
      </w:r>
      <w:r w:rsidRPr="00860D23">
        <w:t xml:space="preserve"> [Accessed 7 July 2026].</w:t>
      </w:r>
    </w:p>
    <w:p w14:paraId="71DB79C3" w14:textId="253CB012" w:rsidR="00860D23" w:rsidRPr="00860D23" w:rsidRDefault="00860D23" w:rsidP="00E23830">
      <w:pPr>
        <w:ind w:left="720" w:hanging="720"/>
      </w:pPr>
      <w:r w:rsidRPr="00860D23">
        <w:t xml:space="preserve">WHO, 2022. </w:t>
      </w:r>
      <w:r w:rsidRPr="00860D23">
        <w:rPr>
          <w:i/>
          <w:iCs/>
        </w:rPr>
        <w:t>Targets of sustainable development goal 3</w:t>
      </w:r>
      <w:r w:rsidRPr="00860D23">
        <w:t xml:space="preserve">. [online] World Health </w:t>
      </w:r>
      <w:proofErr w:type="spellStart"/>
      <w:r w:rsidRPr="00860D23">
        <w:t>Organisation</w:t>
      </w:r>
      <w:proofErr w:type="spellEnd"/>
      <w:r w:rsidRPr="00860D23">
        <w:t xml:space="preserve">. Available at: </w:t>
      </w:r>
      <w:hyperlink r:id="rId29" w:history="1">
        <w:r w:rsidRPr="00860D23">
          <w:rPr>
            <w:rStyle w:val="Hyperlink"/>
          </w:rPr>
          <w:t>https://www.who.int/europe/about-us/our-work/sustainable-development-goals/targets-of-sustainable-development-goal-3</w:t>
        </w:r>
      </w:hyperlink>
      <w:r>
        <w:t xml:space="preserve"> </w:t>
      </w:r>
      <w:r w:rsidRPr="00860D23">
        <w:t xml:space="preserve"> [Accessed 7 July 2026].</w:t>
      </w:r>
    </w:p>
    <w:p w14:paraId="0BDB2055" w14:textId="297765B0" w:rsidR="00860D23" w:rsidRPr="00860D23" w:rsidRDefault="00860D23" w:rsidP="00E23830">
      <w:pPr>
        <w:ind w:left="720" w:hanging="720"/>
      </w:pPr>
      <w:r w:rsidRPr="00860D23">
        <w:t xml:space="preserve">Wilson, A., Noble, H., Galway, K. and Doherty, J., 2025. Social prescribing for people living with long-term health conditions: A scoping review. </w:t>
      </w:r>
      <w:r w:rsidRPr="00860D23">
        <w:rPr>
          <w:i/>
          <w:iCs/>
        </w:rPr>
        <w:t>Systematic Reviews</w:t>
      </w:r>
      <w:r w:rsidRPr="00860D23">
        <w:t xml:space="preserve">, [online] 14(1). </w:t>
      </w:r>
      <w:hyperlink r:id="rId30" w:history="1">
        <w:r w:rsidRPr="00860D23">
          <w:rPr>
            <w:rStyle w:val="Hyperlink"/>
          </w:rPr>
          <w:t>https://doi.org/10.1186/s13643-025-02848-6</w:t>
        </w:r>
      </w:hyperlink>
      <w:r w:rsidRPr="00860D23">
        <w:t>.</w:t>
      </w:r>
      <w:r>
        <w:t xml:space="preserve"> </w:t>
      </w:r>
    </w:p>
    <w:p w14:paraId="6171ADEA" w14:textId="04524E84" w:rsidR="00051699" w:rsidRDefault="00860D23" w:rsidP="00E23830">
      <w:pPr>
        <w:ind w:left="720" w:hanging="720"/>
      </w:pPr>
      <w:r w:rsidRPr="00860D23">
        <w:lastRenderedPageBreak/>
        <w:t xml:space="preserve">Woodall, J., </w:t>
      </w:r>
      <w:proofErr w:type="spellStart"/>
      <w:r w:rsidRPr="00860D23">
        <w:t>Trigwell</w:t>
      </w:r>
      <w:proofErr w:type="spellEnd"/>
      <w:r w:rsidRPr="00860D23">
        <w:t xml:space="preserve">, J., Bunyan, A.-M., Raine, G., Eaton, V., Davis, J., Hancock, L., Cunningham, M. and Wilkinson, S., 2018. Understanding the effectiveness and mechanisms of a social prescribing service: A mixed method analysis. </w:t>
      </w:r>
      <w:r w:rsidRPr="00860D23">
        <w:rPr>
          <w:i/>
          <w:iCs/>
        </w:rPr>
        <w:t>BMC Health Services Research</w:t>
      </w:r>
      <w:r w:rsidRPr="00860D23">
        <w:t xml:space="preserve">, [online] 18(1). </w:t>
      </w:r>
      <w:hyperlink r:id="rId31" w:history="1">
        <w:r w:rsidRPr="00860D23">
          <w:rPr>
            <w:rStyle w:val="Hyperlink"/>
          </w:rPr>
          <w:t>https://doi.org/10.1186/s12913-018-3437-7</w:t>
        </w:r>
      </w:hyperlink>
      <w:r w:rsidRPr="00860D23">
        <w:t>.</w:t>
      </w:r>
      <w:r>
        <w:t xml:space="preserve"> </w:t>
      </w:r>
    </w:p>
    <w:sectPr w:rsidR="00051699" w:rsidSect="00AE3580">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B14F2D" w14:textId="77777777" w:rsidR="00A708EA" w:rsidRDefault="00A708EA" w:rsidP="00AE3580">
      <w:pPr>
        <w:spacing w:after="0" w:line="240" w:lineRule="auto"/>
      </w:pPr>
      <w:r>
        <w:separator/>
      </w:r>
    </w:p>
  </w:endnote>
  <w:endnote w:type="continuationSeparator" w:id="0">
    <w:p w14:paraId="691F1DBA" w14:textId="77777777" w:rsidR="00A708EA" w:rsidRDefault="00A708EA" w:rsidP="00AE3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2603345"/>
      <w:docPartObj>
        <w:docPartGallery w:val="Page Numbers (Bottom of Page)"/>
        <w:docPartUnique/>
      </w:docPartObj>
    </w:sdtPr>
    <w:sdtEndPr>
      <w:rPr>
        <w:color w:val="7F7F7F" w:themeColor="background1" w:themeShade="7F"/>
        <w:spacing w:val="60"/>
      </w:rPr>
    </w:sdtEndPr>
    <w:sdtContent>
      <w:p w14:paraId="66A3AEE7" w14:textId="7F100535" w:rsidR="00AE3580" w:rsidRDefault="00AE358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0F21E0B" w14:textId="77777777" w:rsidR="00AE3580" w:rsidRDefault="00AE3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E7C6B3" w14:textId="77777777" w:rsidR="00A708EA" w:rsidRDefault="00A708EA" w:rsidP="00AE3580">
      <w:pPr>
        <w:spacing w:after="0" w:line="240" w:lineRule="auto"/>
      </w:pPr>
      <w:r>
        <w:separator/>
      </w:r>
    </w:p>
  </w:footnote>
  <w:footnote w:type="continuationSeparator" w:id="0">
    <w:p w14:paraId="731FCA21" w14:textId="77777777" w:rsidR="00A708EA" w:rsidRDefault="00A708EA" w:rsidP="00AE35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3B5BA6"/>
    <w:multiLevelType w:val="hybridMultilevel"/>
    <w:tmpl w:val="68D671B4"/>
    <w:lvl w:ilvl="0" w:tplc="A76A37DA">
      <w:start w:val="1"/>
      <w:numFmt w:val="bullet"/>
      <w:lvlText w:val="●"/>
      <w:lvlJc w:val="left"/>
      <w:pPr>
        <w:ind w:left="720" w:hanging="360"/>
      </w:pPr>
    </w:lvl>
    <w:lvl w:ilvl="1" w:tplc="F17605D4">
      <w:start w:val="1"/>
      <w:numFmt w:val="bullet"/>
      <w:lvlText w:val="○"/>
      <w:lvlJc w:val="left"/>
      <w:pPr>
        <w:ind w:left="1440" w:hanging="360"/>
      </w:pPr>
    </w:lvl>
    <w:lvl w:ilvl="2" w:tplc="F77CD8A6">
      <w:start w:val="1"/>
      <w:numFmt w:val="bullet"/>
      <w:lvlText w:val="■"/>
      <w:lvlJc w:val="left"/>
      <w:pPr>
        <w:ind w:left="2160" w:hanging="360"/>
      </w:pPr>
    </w:lvl>
    <w:lvl w:ilvl="3" w:tplc="EED4C936">
      <w:start w:val="1"/>
      <w:numFmt w:val="bullet"/>
      <w:lvlText w:val="●"/>
      <w:lvlJc w:val="left"/>
      <w:pPr>
        <w:ind w:left="2880" w:hanging="360"/>
      </w:pPr>
    </w:lvl>
    <w:lvl w:ilvl="4" w:tplc="AAB802A6">
      <w:start w:val="1"/>
      <w:numFmt w:val="bullet"/>
      <w:lvlText w:val="○"/>
      <w:lvlJc w:val="left"/>
      <w:pPr>
        <w:ind w:left="3600" w:hanging="360"/>
      </w:pPr>
    </w:lvl>
    <w:lvl w:ilvl="5" w:tplc="D4EAA61A">
      <w:start w:val="1"/>
      <w:numFmt w:val="bullet"/>
      <w:lvlText w:val="■"/>
      <w:lvlJc w:val="left"/>
      <w:pPr>
        <w:ind w:left="4320" w:hanging="360"/>
      </w:pPr>
    </w:lvl>
    <w:lvl w:ilvl="6" w:tplc="C30AE144">
      <w:start w:val="1"/>
      <w:numFmt w:val="bullet"/>
      <w:lvlText w:val="●"/>
      <w:lvlJc w:val="left"/>
      <w:pPr>
        <w:ind w:left="5040" w:hanging="360"/>
      </w:pPr>
    </w:lvl>
    <w:lvl w:ilvl="7" w:tplc="9B78C5DC">
      <w:start w:val="1"/>
      <w:numFmt w:val="bullet"/>
      <w:lvlText w:val="●"/>
      <w:lvlJc w:val="left"/>
      <w:pPr>
        <w:ind w:left="5760" w:hanging="360"/>
      </w:pPr>
    </w:lvl>
    <w:lvl w:ilvl="8" w:tplc="0120A2F2">
      <w:start w:val="1"/>
      <w:numFmt w:val="bullet"/>
      <w:lvlText w:val="●"/>
      <w:lvlJc w:val="left"/>
      <w:pPr>
        <w:ind w:left="6480" w:hanging="360"/>
      </w:pPr>
    </w:lvl>
  </w:abstractNum>
  <w:num w:numId="1" w16cid:durableId="79602887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5EF"/>
    <w:rsid w:val="00051699"/>
    <w:rsid w:val="000854D1"/>
    <w:rsid w:val="00097FFA"/>
    <w:rsid w:val="00170CCB"/>
    <w:rsid w:val="001835E4"/>
    <w:rsid w:val="00254DD5"/>
    <w:rsid w:val="002F7A55"/>
    <w:rsid w:val="00396C6F"/>
    <w:rsid w:val="003B3BF4"/>
    <w:rsid w:val="003C2D29"/>
    <w:rsid w:val="005F23EB"/>
    <w:rsid w:val="00803355"/>
    <w:rsid w:val="008065EF"/>
    <w:rsid w:val="00860D23"/>
    <w:rsid w:val="008F384E"/>
    <w:rsid w:val="0091472F"/>
    <w:rsid w:val="009A4F12"/>
    <w:rsid w:val="00A16639"/>
    <w:rsid w:val="00A27B1C"/>
    <w:rsid w:val="00A708EA"/>
    <w:rsid w:val="00A92788"/>
    <w:rsid w:val="00AC6C7B"/>
    <w:rsid w:val="00AE3580"/>
    <w:rsid w:val="00C06D72"/>
    <w:rsid w:val="00D54CDC"/>
    <w:rsid w:val="00DB5E57"/>
    <w:rsid w:val="00DC3B8D"/>
    <w:rsid w:val="00E23830"/>
    <w:rsid w:val="00E36869"/>
    <w:rsid w:val="00EB42F5"/>
    <w:rsid w:val="00ED3AA5"/>
    <w:rsid w:val="00F33472"/>
    <w:rsid w:val="00F70426"/>
    <w:rsid w:val="00F8502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33E3E"/>
  <w15:docId w15:val="{0C6BC61A-985F-4893-976C-8E1112923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639"/>
    <w:pPr>
      <w:spacing w:after="200" w:line="360" w:lineRule="auto"/>
      <w:jc w:val="both"/>
    </w:pPr>
    <w:rPr>
      <w:rFonts w:asciiTheme="majorBidi" w:eastAsia="Calibri" w:hAnsiTheme="majorBidi" w:cstheme="majorBidi"/>
      <w:sz w:val="22"/>
      <w:szCs w:val="22"/>
    </w:rPr>
  </w:style>
  <w:style w:type="paragraph" w:styleId="Heading1">
    <w:name w:val="heading 1"/>
    <w:uiPriority w:val="9"/>
    <w:qFormat/>
    <w:rsid w:val="00A16639"/>
    <w:pPr>
      <w:spacing w:before="300" w:after="200" w:line="360" w:lineRule="auto"/>
      <w:outlineLvl w:val="0"/>
    </w:pPr>
    <w:rPr>
      <w:rFonts w:asciiTheme="majorBidi" w:hAnsiTheme="majorBidi" w:cstheme="majorBidi"/>
      <w:b/>
      <w:bCs/>
      <w:sz w:val="28"/>
      <w:szCs w:val="28"/>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A16639"/>
    <w:pPr>
      <w:spacing w:after="100"/>
    </w:pPr>
  </w:style>
  <w:style w:type="character" w:styleId="UnresolvedMention">
    <w:name w:val="Unresolved Mention"/>
    <w:basedOn w:val="DefaultParagraphFont"/>
    <w:uiPriority w:val="99"/>
    <w:semiHidden/>
    <w:unhideWhenUsed/>
    <w:rsid w:val="00AC6C7B"/>
    <w:rPr>
      <w:color w:val="605E5C"/>
      <w:shd w:val="clear" w:color="auto" w:fill="E1DFDD"/>
    </w:rPr>
  </w:style>
  <w:style w:type="paragraph" w:styleId="TOCHeading">
    <w:name w:val="TOC Heading"/>
    <w:basedOn w:val="Heading1"/>
    <w:next w:val="Normal"/>
    <w:uiPriority w:val="39"/>
    <w:unhideWhenUsed/>
    <w:qFormat/>
    <w:rsid w:val="00A92788"/>
    <w:pPr>
      <w:keepNext/>
      <w:keepLines/>
      <w:spacing w:before="240" w:after="0" w:line="259" w:lineRule="auto"/>
      <w:outlineLvl w:val="9"/>
    </w:pPr>
    <w:rPr>
      <w:rFonts w:asciiTheme="majorHAnsi" w:eastAsiaTheme="majorEastAsia" w:hAnsiTheme="majorHAnsi"/>
      <w:b w:val="0"/>
      <w:bCs w:val="0"/>
      <w:color w:val="2F5496" w:themeColor="accent1" w:themeShade="BF"/>
      <w:sz w:val="32"/>
      <w:szCs w:val="32"/>
    </w:rPr>
  </w:style>
  <w:style w:type="paragraph" w:styleId="Caption">
    <w:name w:val="caption"/>
    <w:basedOn w:val="Normal"/>
    <w:next w:val="Normal"/>
    <w:uiPriority w:val="35"/>
    <w:unhideWhenUsed/>
    <w:qFormat/>
    <w:rsid w:val="00C06D72"/>
    <w:pPr>
      <w:spacing w:line="240" w:lineRule="auto"/>
    </w:pPr>
    <w:rPr>
      <w:i/>
      <w:iCs/>
      <w:color w:val="44546A" w:themeColor="text2"/>
      <w:sz w:val="18"/>
      <w:szCs w:val="18"/>
    </w:rPr>
  </w:style>
  <w:style w:type="paragraph" w:styleId="Header">
    <w:name w:val="header"/>
    <w:basedOn w:val="Normal"/>
    <w:link w:val="HeaderChar"/>
    <w:uiPriority w:val="99"/>
    <w:unhideWhenUsed/>
    <w:rsid w:val="00AE35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3580"/>
    <w:rPr>
      <w:rFonts w:asciiTheme="majorBidi" w:eastAsia="Calibri" w:hAnsiTheme="majorBidi" w:cstheme="majorBidi"/>
      <w:sz w:val="22"/>
      <w:szCs w:val="22"/>
    </w:rPr>
  </w:style>
  <w:style w:type="paragraph" w:styleId="Footer">
    <w:name w:val="footer"/>
    <w:basedOn w:val="Normal"/>
    <w:link w:val="FooterChar"/>
    <w:uiPriority w:val="99"/>
    <w:unhideWhenUsed/>
    <w:rsid w:val="00AE35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3580"/>
    <w:rPr>
      <w:rFonts w:asciiTheme="majorBidi" w:eastAsia="Calibri" w:hAnsiTheme="majorBidi" w:cstheme="majorBidi"/>
      <w:sz w:val="22"/>
      <w:szCs w:val="22"/>
    </w:rPr>
  </w:style>
  <w:style w:type="paragraph" w:customStyle="1" w:styleId="p1">
    <w:name w:val="p1"/>
    <w:basedOn w:val="Normal"/>
    <w:rsid w:val="008F384E"/>
    <w:pPr>
      <w:spacing w:after="0" w:line="240" w:lineRule="auto"/>
      <w:jc w:val="left"/>
    </w:pPr>
    <w:rPr>
      <w:rFonts w:ascii="Arial" w:eastAsia="Times New Roman" w:hAnsi="Arial" w:cs="Arial"/>
      <w:color w:val="000000"/>
      <w:sz w:val="18"/>
      <w:szCs w:val="1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70382/hujhwsr.v7i3.015" TargetMode="External"/><Relationship Id="rId18" Type="http://schemas.openxmlformats.org/officeDocument/2006/relationships/hyperlink" Target="https://www.gov.uk/government/news/soft-drink-levy-extended-to-protect-children-and-improve-health" TargetMode="External"/><Relationship Id="rId26" Type="http://schemas.openxmlformats.org/officeDocument/2006/relationships/hyperlink" Target="https://sdgs.un.org/goals/goal3" TargetMode="External"/><Relationship Id="rId3" Type="http://schemas.openxmlformats.org/officeDocument/2006/relationships/styles" Target="styles.xml"/><Relationship Id="rId21" Type="http://schemas.openxmlformats.org/officeDocument/2006/relationships/hyperlink" Target="https://social.desa.un.org/sites/default/files/inline-files/DemographicTrends-FamilyImpact%20ZITHA%20MOKOMANE.pdf" TargetMode="External"/><Relationship Id="rId7" Type="http://schemas.openxmlformats.org/officeDocument/2006/relationships/endnotes" Target="endnotes.xml"/><Relationship Id="rId12" Type="http://schemas.openxmlformats.org/officeDocument/2006/relationships/hyperlink" Target="https://sdgs.un.org/goals/goal2" TargetMode="External"/><Relationship Id="rId17" Type="http://schemas.openxmlformats.org/officeDocument/2006/relationships/hyperlink" Target="https://doi.org/10.1016/S2542-5196(22)00090-0" TargetMode="External"/><Relationship Id="rId25" Type="http://schemas.openxmlformats.org/officeDocument/2006/relationships/hyperlink" Target="https://data.unicef.org/resources/sofi-2024/"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ao.org/sustainable-development-goals/goals/goal-2/en/" TargetMode="External"/><Relationship Id="rId20" Type="http://schemas.openxmlformats.org/officeDocument/2006/relationships/hyperlink" Target="https://doi.org/10.3390/su17115063" TargetMode="External"/><Relationship Id="rId29" Type="http://schemas.openxmlformats.org/officeDocument/2006/relationships/hyperlink" Target="https://www.who.int/europe/about-us/our-work/sustainable-development-goals/targets-of-sustainable-development-goal-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cms.trussell.org.uk/sites/default/files/2025-09/hunger_in_uk_sept25.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371/journal.pmed.1004371" TargetMode="External"/><Relationship Id="rId23" Type="http://schemas.openxmlformats.org/officeDocument/2006/relationships/hyperlink" Target="https://www.kingsfund.org.uk/insight-and-analysis/long-reads/nhs-long-term-plan-explained" TargetMode="External"/><Relationship Id="rId28" Type="http://schemas.openxmlformats.org/officeDocument/2006/relationships/hyperlink" Target="https://www.cam.ac.uk/research/news/sugary-drinks-tax-may-have-prevented-over-5000-cases-of-obesity-a-year-in-year-six-girls-alone" TargetMode="External"/><Relationship Id="rId10" Type="http://schemas.openxmlformats.org/officeDocument/2006/relationships/hyperlink" Target="https://sdgs.un.org/goals/goal3" TargetMode="External"/><Relationship Id="rId19" Type="http://schemas.openxmlformats.org/officeDocument/2006/relationships/hyperlink" Target="https://commonslibrary.parliament.uk/research-briefings/cbp-8585/" TargetMode="External"/><Relationship Id="rId31" Type="http://schemas.openxmlformats.org/officeDocument/2006/relationships/hyperlink" Target="https://doi.org/10.1186/s12913-018-3437-7"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4103/PMRR.PMRR_57_23" TargetMode="External"/><Relationship Id="rId22" Type="http://schemas.openxmlformats.org/officeDocument/2006/relationships/hyperlink" Target="https://socialprescribingacademy.org.uk/our-evidence-and-evaluation-work/what-is-the-evidence-for-social-prescribing" TargetMode="External"/><Relationship Id="rId27" Type="http://schemas.openxmlformats.org/officeDocument/2006/relationships/hyperlink" Target="https://unstats.un.org/sdgs/report/2025/" TargetMode="External"/><Relationship Id="rId30" Type="http://schemas.openxmlformats.org/officeDocument/2006/relationships/hyperlink" Target="https://doi.org/10.1186/s13643-025-02848-6"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8859FB-4C4F-4207-9C2E-D0652B6FC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12</Pages>
  <Words>3366</Words>
  <Characters>19188</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Warda Abdirahman Ibrahim (2235246)</cp:lastModifiedBy>
  <cp:revision>23</cp:revision>
  <dcterms:created xsi:type="dcterms:W3CDTF">2026-07-07T11:06:00Z</dcterms:created>
  <dcterms:modified xsi:type="dcterms:W3CDTF">2026-07-21T10:19:00Z</dcterms:modified>
</cp:coreProperties>
</file>