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Pr="003E61B8" w:rsidRDefault="008375B5" w:rsidP="008375B5">
      <w:pPr>
        <w:spacing w:line="360" w:lineRule="auto"/>
        <w:jc w:val="center"/>
        <w:rPr>
          <w:rStyle w:val="Strong"/>
          <w:rFonts w:ascii="Arial" w:hAnsi="Arial" w:cs="Arial"/>
          <w:b w:val="0"/>
          <w:bCs w:val="0"/>
          <w:color w:val="1D2125"/>
          <w:sz w:val="36"/>
          <w:szCs w:val="36"/>
        </w:rPr>
      </w:pPr>
      <w:r w:rsidRPr="003E61B8">
        <w:rPr>
          <w:rStyle w:val="Strong"/>
          <w:rFonts w:ascii="Arial" w:hAnsi="Arial" w:cs="Arial"/>
          <w:b w:val="0"/>
          <w:bCs w:val="0"/>
          <w:color w:val="1D2125"/>
          <w:sz w:val="36"/>
          <w:szCs w:val="36"/>
        </w:rPr>
        <w:t>Digital Transformation in the Health and Care Professions (BMHP6026)</w:t>
      </w:r>
    </w:p>
    <w:p w14:paraId="0E4A258C" w14:textId="77777777" w:rsidR="008375B5" w:rsidRPr="003E61B8" w:rsidRDefault="008375B5" w:rsidP="008375B5">
      <w:pPr>
        <w:spacing w:line="360" w:lineRule="auto"/>
        <w:jc w:val="center"/>
        <w:rPr>
          <w:rStyle w:val="Strong"/>
          <w:rFonts w:ascii="Arial" w:hAnsi="Arial" w:cs="Arial"/>
          <w:b w:val="0"/>
          <w:bCs w:val="0"/>
          <w:color w:val="1D2125"/>
          <w:sz w:val="36"/>
          <w:szCs w:val="36"/>
        </w:rPr>
      </w:pPr>
    </w:p>
    <w:p w14:paraId="4D8F34EA" w14:textId="77777777" w:rsidR="008375B5" w:rsidRPr="003E61B8" w:rsidRDefault="008375B5" w:rsidP="008375B5">
      <w:pPr>
        <w:spacing w:line="360" w:lineRule="auto"/>
        <w:jc w:val="center"/>
        <w:rPr>
          <w:rStyle w:val="Strong"/>
          <w:rFonts w:ascii="Arial" w:hAnsi="Arial" w:cs="Arial"/>
          <w:b w:val="0"/>
          <w:bCs w:val="0"/>
          <w:color w:val="1D2125"/>
          <w:sz w:val="36"/>
          <w:szCs w:val="36"/>
        </w:rPr>
      </w:pPr>
    </w:p>
    <w:p w14:paraId="09EDD2AC" w14:textId="77777777" w:rsidR="008375B5" w:rsidRPr="003E61B8" w:rsidRDefault="008375B5" w:rsidP="008375B5">
      <w:pPr>
        <w:spacing w:line="360" w:lineRule="auto"/>
        <w:rPr>
          <w:rStyle w:val="Strong"/>
          <w:rFonts w:ascii="Arial" w:hAnsi="Arial" w:cs="Arial"/>
          <w:b w:val="0"/>
          <w:bCs w:val="0"/>
          <w:color w:val="1D2125"/>
          <w:sz w:val="32"/>
          <w:szCs w:val="32"/>
        </w:rPr>
      </w:pPr>
      <w:r w:rsidRPr="003E61B8">
        <w:rPr>
          <w:rFonts w:ascii="Arial" w:hAnsi="Arial" w:cs="Arial"/>
          <w:color w:val="000000"/>
          <w:sz w:val="32"/>
          <w:szCs w:val="32"/>
        </w:rPr>
        <w:t>Component 1: Written Report</w:t>
      </w:r>
    </w:p>
    <w:p w14:paraId="03B7C5EA" w14:textId="77777777" w:rsidR="008375B5" w:rsidRPr="003E61B8" w:rsidRDefault="008375B5" w:rsidP="008375B5">
      <w:pPr>
        <w:spacing w:line="360" w:lineRule="auto"/>
        <w:rPr>
          <w:rStyle w:val="Strong"/>
          <w:rFonts w:ascii="Arial" w:hAnsi="Arial" w:cs="Arial"/>
          <w:b w:val="0"/>
          <w:bCs w:val="0"/>
          <w:color w:val="1D2125"/>
          <w:sz w:val="32"/>
          <w:szCs w:val="32"/>
        </w:rPr>
      </w:pPr>
    </w:p>
    <w:p w14:paraId="3C3042AD" w14:textId="70255D83" w:rsidR="008375B5" w:rsidRPr="003E61B8" w:rsidRDefault="008375B5" w:rsidP="008375B5">
      <w:pPr>
        <w:spacing w:line="360" w:lineRule="auto"/>
        <w:rPr>
          <w:rStyle w:val="Strong"/>
          <w:rFonts w:ascii="Arial" w:hAnsi="Arial" w:cs="Arial"/>
          <w:b w:val="0"/>
          <w:bCs w:val="0"/>
          <w:color w:val="1D2125"/>
          <w:sz w:val="32"/>
          <w:szCs w:val="32"/>
        </w:rPr>
      </w:pPr>
      <w:r w:rsidRPr="003E61B8">
        <w:rPr>
          <w:rStyle w:val="Strong"/>
          <w:rFonts w:ascii="Arial" w:hAnsi="Arial" w:cs="Arial"/>
          <w:b w:val="0"/>
          <w:bCs w:val="0"/>
          <w:color w:val="1D2125"/>
          <w:sz w:val="32"/>
          <w:szCs w:val="32"/>
        </w:rPr>
        <w:t>Student name:</w:t>
      </w:r>
      <w:r w:rsidR="00E1054A" w:rsidRPr="003E61B8">
        <w:rPr>
          <w:rStyle w:val="Strong"/>
          <w:rFonts w:ascii="Arial" w:hAnsi="Arial" w:cs="Arial"/>
          <w:b w:val="0"/>
          <w:bCs w:val="0"/>
          <w:color w:val="1D2125"/>
          <w:sz w:val="32"/>
          <w:szCs w:val="32"/>
        </w:rPr>
        <w:t xml:space="preserve"> Marinela Braganca</w:t>
      </w:r>
    </w:p>
    <w:p w14:paraId="227AC82E" w14:textId="551A79F1" w:rsidR="008375B5" w:rsidRPr="003E61B8" w:rsidRDefault="008375B5" w:rsidP="008375B5">
      <w:pPr>
        <w:spacing w:line="360" w:lineRule="auto"/>
        <w:rPr>
          <w:rStyle w:val="Strong"/>
          <w:rFonts w:ascii="Arial" w:hAnsi="Arial" w:cs="Arial"/>
          <w:b w:val="0"/>
          <w:bCs w:val="0"/>
          <w:color w:val="1D2125"/>
          <w:sz w:val="32"/>
          <w:szCs w:val="32"/>
        </w:rPr>
      </w:pPr>
      <w:r w:rsidRPr="003E61B8">
        <w:rPr>
          <w:rStyle w:val="Strong"/>
          <w:rFonts w:ascii="Arial" w:hAnsi="Arial" w:cs="Arial"/>
          <w:b w:val="0"/>
          <w:bCs w:val="0"/>
          <w:color w:val="1D2125"/>
          <w:sz w:val="32"/>
          <w:szCs w:val="32"/>
        </w:rPr>
        <w:t>Student number:</w:t>
      </w:r>
      <w:r w:rsidR="006E1B9F" w:rsidRPr="003E61B8">
        <w:rPr>
          <w:rStyle w:val="Strong"/>
          <w:rFonts w:ascii="Arial" w:hAnsi="Arial" w:cs="Arial"/>
          <w:b w:val="0"/>
          <w:bCs w:val="0"/>
          <w:color w:val="1D2125"/>
          <w:sz w:val="32"/>
          <w:szCs w:val="32"/>
        </w:rPr>
        <w:t xml:space="preserve"> </w:t>
      </w:r>
      <w:r w:rsidR="00E1054A" w:rsidRPr="003E61B8">
        <w:rPr>
          <w:rStyle w:val="Strong"/>
          <w:rFonts w:ascii="Arial" w:hAnsi="Arial" w:cs="Arial"/>
          <w:b w:val="0"/>
          <w:bCs w:val="0"/>
          <w:color w:val="1D2125"/>
          <w:sz w:val="32"/>
          <w:szCs w:val="32"/>
        </w:rPr>
        <w:t>2328116</w:t>
      </w:r>
    </w:p>
    <w:p w14:paraId="5B5E64AD" w14:textId="53690980" w:rsidR="008375B5" w:rsidRPr="003E61B8" w:rsidRDefault="008375B5" w:rsidP="008375B5">
      <w:pPr>
        <w:spacing w:line="360" w:lineRule="auto"/>
        <w:rPr>
          <w:rStyle w:val="Strong"/>
          <w:rFonts w:ascii="Arial" w:hAnsi="Arial" w:cs="Arial"/>
          <w:b w:val="0"/>
          <w:bCs w:val="0"/>
          <w:color w:val="1D2125"/>
          <w:sz w:val="32"/>
          <w:szCs w:val="32"/>
        </w:rPr>
      </w:pPr>
      <w:r w:rsidRPr="003E61B8">
        <w:rPr>
          <w:rStyle w:val="Strong"/>
          <w:rFonts w:ascii="Arial" w:hAnsi="Arial" w:cs="Arial"/>
          <w:b w:val="0"/>
          <w:bCs w:val="0"/>
          <w:color w:val="1D2125"/>
          <w:sz w:val="32"/>
          <w:szCs w:val="32"/>
        </w:rPr>
        <w:t>Lecturer’s name:</w:t>
      </w:r>
      <w:r w:rsidR="006E1B9F" w:rsidRPr="003E61B8">
        <w:rPr>
          <w:rStyle w:val="Strong"/>
          <w:rFonts w:ascii="Arial" w:hAnsi="Arial" w:cs="Arial"/>
          <w:b w:val="0"/>
          <w:bCs w:val="0"/>
          <w:color w:val="1D2125"/>
          <w:sz w:val="32"/>
          <w:szCs w:val="32"/>
        </w:rPr>
        <w:t xml:space="preserve"> </w:t>
      </w:r>
      <w:r w:rsidR="00423D92" w:rsidRPr="003E61B8">
        <w:rPr>
          <w:rStyle w:val="Strong"/>
          <w:rFonts w:ascii="Arial" w:hAnsi="Arial" w:cs="Arial"/>
          <w:b w:val="0"/>
          <w:bCs w:val="0"/>
          <w:color w:val="1D2125"/>
          <w:sz w:val="32"/>
          <w:szCs w:val="32"/>
        </w:rPr>
        <w:t>Muhammed Khan</w:t>
      </w:r>
    </w:p>
    <w:p w14:paraId="4F492421" w14:textId="77777777" w:rsidR="008375B5" w:rsidRPr="003E61B8" w:rsidRDefault="008375B5" w:rsidP="008375B5">
      <w:pPr>
        <w:spacing w:line="360" w:lineRule="auto"/>
        <w:rPr>
          <w:sz w:val="36"/>
          <w:szCs w:val="36"/>
        </w:rPr>
      </w:pPr>
    </w:p>
    <w:p w14:paraId="43FBD350" w14:textId="77777777" w:rsidR="008375B5" w:rsidRPr="003E61B8" w:rsidRDefault="008375B5" w:rsidP="008375B5">
      <w:pPr>
        <w:spacing w:line="360" w:lineRule="auto"/>
        <w:rPr>
          <w:rFonts w:ascii="Arial" w:hAnsi="Arial" w:cs="Arial"/>
          <w:sz w:val="36"/>
          <w:szCs w:val="36"/>
        </w:rPr>
      </w:pPr>
    </w:p>
    <w:p w14:paraId="2EE68F49" w14:textId="77777777" w:rsidR="008375B5" w:rsidRPr="003E61B8"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6997D827" w14:textId="77777777" w:rsidR="008375B5" w:rsidRDefault="008375B5" w:rsidP="008375B5">
      <w:pPr>
        <w:pStyle w:val="NormalWeb"/>
        <w:spacing w:line="360" w:lineRule="auto"/>
        <w:rPr>
          <w:rFonts w:ascii="Arial" w:hAnsi="Arial" w:cs="Arial"/>
          <w:b/>
          <w:bCs/>
          <w:color w:val="000000"/>
        </w:rPr>
      </w:pPr>
    </w:p>
    <w:p w14:paraId="014C36E6" w14:textId="7FA62DFE" w:rsidR="008375B5" w:rsidRPr="00FD08AB" w:rsidRDefault="0031629F" w:rsidP="009957F1">
      <w:pPr>
        <w:pStyle w:val="NormalWeb"/>
        <w:spacing w:line="360" w:lineRule="auto"/>
        <w:jc w:val="both"/>
        <w:rPr>
          <w:rFonts w:ascii="Arial" w:hAnsi="Arial" w:cs="Arial"/>
          <w:color w:val="000000"/>
          <w:sz w:val="22"/>
          <w:szCs w:val="22"/>
        </w:rPr>
      </w:pPr>
      <w:r w:rsidRPr="00FD08AB">
        <w:rPr>
          <w:rFonts w:ascii="Arial" w:hAnsi="Arial" w:cs="Arial"/>
          <w:color w:val="000000"/>
          <w:sz w:val="22"/>
          <w:szCs w:val="22"/>
        </w:rPr>
        <w:t>Introduction…………………………………………………………………</w:t>
      </w:r>
      <w:r w:rsidR="00FD08AB" w:rsidRPr="00FD08AB">
        <w:rPr>
          <w:rFonts w:ascii="Arial" w:hAnsi="Arial" w:cs="Arial"/>
          <w:color w:val="000000"/>
          <w:sz w:val="22"/>
          <w:szCs w:val="22"/>
        </w:rPr>
        <w:t>…</w:t>
      </w:r>
      <w:r w:rsidR="00105672">
        <w:rPr>
          <w:rFonts w:ascii="Arial" w:hAnsi="Arial" w:cs="Arial"/>
          <w:color w:val="000000"/>
          <w:sz w:val="22"/>
          <w:szCs w:val="22"/>
        </w:rPr>
        <w:t>…</w:t>
      </w:r>
      <w:r w:rsidR="0026630E">
        <w:rPr>
          <w:rFonts w:ascii="Arial" w:hAnsi="Arial" w:cs="Arial"/>
          <w:color w:val="000000"/>
          <w:sz w:val="22"/>
          <w:szCs w:val="22"/>
        </w:rPr>
        <w:t>…</w:t>
      </w:r>
      <w:r w:rsidR="001E6859">
        <w:rPr>
          <w:rFonts w:ascii="Arial" w:hAnsi="Arial" w:cs="Arial"/>
          <w:color w:val="000000"/>
          <w:sz w:val="22"/>
          <w:szCs w:val="22"/>
        </w:rPr>
        <w:t>….</w:t>
      </w:r>
      <w:r w:rsidR="00045ED9">
        <w:rPr>
          <w:rFonts w:ascii="Arial" w:hAnsi="Arial" w:cs="Arial"/>
          <w:color w:val="000000"/>
          <w:sz w:val="22"/>
          <w:szCs w:val="22"/>
        </w:rPr>
        <w:t>3</w:t>
      </w:r>
    </w:p>
    <w:p w14:paraId="63E2CA27" w14:textId="616B090C" w:rsidR="008375B5" w:rsidRPr="00FD08AB" w:rsidRDefault="00F20CAD" w:rsidP="009957F1">
      <w:pPr>
        <w:pStyle w:val="NormalWeb"/>
        <w:spacing w:line="360" w:lineRule="auto"/>
        <w:jc w:val="both"/>
        <w:rPr>
          <w:rFonts w:ascii="Arial" w:hAnsi="Arial" w:cs="Arial"/>
          <w:color w:val="000000"/>
          <w:sz w:val="22"/>
          <w:szCs w:val="22"/>
        </w:rPr>
      </w:pPr>
      <w:r w:rsidRPr="00FD08AB">
        <w:rPr>
          <w:rFonts w:ascii="Arial" w:hAnsi="Arial" w:cs="Arial"/>
          <w:color w:val="000000"/>
          <w:sz w:val="22"/>
          <w:szCs w:val="22"/>
        </w:rPr>
        <w:t xml:space="preserve">Impact on </w:t>
      </w:r>
      <w:r w:rsidR="00FD08AB">
        <w:rPr>
          <w:rFonts w:ascii="Arial" w:hAnsi="Arial" w:cs="Arial"/>
          <w:color w:val="000000"/>
          <w:sz w:val="22"/>
          <w:szCs w:val="22"/>
        </w:rPr>
        <w:t>workforce…………………………………………………………….</w:t>
      </w:r>
      <w:r w:rsidR="00105672">
        <w:rPr>
          <w:rFonts w:ascii="Arial" w:hAnsi="Arial" w:cs="Arial"/>
          <w:color w:val="000000"/>
          <w:sz w:val="22"/>
          <w:szCs w:val="22"/>
        </w:rPr>
        <w:t>..</w:t>
      </w:r>
      <w:r w:rsidR="009D31F3">
        <w:rPr>
          <w:rFonts w:ascii="Arial" w:hAnsi="Arial" w:cs="Arial"/>
          <w:color w:val="000000"/>
          <w:sz w:val="22"/>
          <w:szCs w:val="22"/>
        </w:rPr>
        <w:t>...</w:t>
      </w:r>
      <w:r w:rsidR="001E6859">
        <w:rPr>
          <w:rFonts w:ascii="Arial" w:hAnsi="Arial" w:cs="Arial"/>
          <w:color w:val="000000"/>
          <w:sz w:val="22"/>
          <w:szCs w:val="22"/>
        </w:rPr>
        <w:t>.</w:t>
      </w:r>
      <w:r w:rsidR="00045ED9">
        <w:rPr>
          <w:rFonts w:ascii="Arial" w:hAnsi="Arial" w:cs="Arial"/>
          <w:color w:val="000000"/>
          <w:sz w:val="22"/>
          <w:szCs w:val="22"/>
        </w:rPr>
        <w:t>4</w:t>
      </w:r>
      <w:r w:rsidR="00072184">
        <w:rPr>
          <w:rFonts w:ascii="Arial" w:hAnsi="Arial" w:cs="Arial"/>
          <w:color w:val="000000"/>
          <w:sz w:val="22"/>
          <w:szCs w:val="22"/>
        </w:rPr>
        <w:t>-</w:t>
      </w:r>
      <w:r w:rsidR="00045ED9">
        <w:rPr>
          <w:rFonts w:ascii="Arial" w:hAnsi="Arial" w:cs="Arial"/>
          <w:color w:val="000000"/>
          <w:sz w:val="22"/>
          <w:szCs w:val="22"/>
        </w:rPr>
        <w:t>5</w:t>
      </w:r>
    </w:p>
    <w:p w14:paraId="40F0F946" w14:textId="7CBD7542" w:rsidR="004B46E2" w:rsidRPr="00FD08AB" w:rsidRDefault="004B46E2" w:rsidP="009957F1">
      <w:pPr>
        <w:pStyle w:val="NormalWeb"/>
        <w:spacing w:line="360" w:lineRule="auto"/>
        <w:jc w:val="both"/>
        <w:rPr>
          <w:rFonts w:ascii="Arial" w:hAnsi="Arial" w:cs="Arial"/>
          <w:color w:val="000000"/>
          <w:sz w:val="22"/>
          <w:szCs w:val="22"/>
        </w:rPr>
      </w:pPr>
      <w:r w:rsidRPr="00FD08AB">
        <w:rPr>
          <w:rFonts w:ascii="Arial" w:hAnsi="Arial" w:cs="Arial"/>
          <w:color w:val="000000"/>
          <w:sz w:val="22"/>
          <w:szCs w:val="22"/>
        </w:rPr>
        <w:t>Impact on service delivery</w:t>
      </w:r>
      <w:r w:rsidR="00FD08AB">
        <w:rPr>
          <w:rFonts w:ascii="Arial" w:hAnsi="Arial" w:cs="Arial"/>
          <w:color w:val="000000"/>
          <w:sz w:val="22"/>
          <w:szCs w:val="22"/>
        </w:rPr>
        <w:t>………………………………………………………</w:t>
      </w:r>
      <w:r w:rsidR="001E6859">
        <w:rPr>
          <w:rFonts w:ascii="Arial" w:hAnsi="Arial" w:cs="Arial"/>
          <w:color w:val="000000"/>
          <w:sz w:val="22"/>
          <w:szCs w:val="22"/>
        </w:rPr>
        <w:t>…...</w:t>
      </w:r>
      <w:r w:rsidR="002303FD">
        <w:rPr>
          <w:rFonts w:ascii="Arial" w:hAnsi="Arial" w:cs="Arial"/>
          <w:color w:val="000000"/>
          <w:sz w:val="22"/>
          <w:szCs w:val="22"/>
        </w:rPr>
        <w:t>5-6</w:t>
      </w:r>
    </w:p>
    <w:p w14:paraId="349E7F90" w14:textId="4B26DB9F" w:rsidR="004B46E2" w:rsidRPr="00FD08AB" w:rsidRDefault="00D40ECD" w:rsidP="009957F1">
      <w:pPr>
        <w:pStyle w:val="NormalWeb"/>
        <w:spacing w:line="360" w:lineRule="auto"/>
        <w:jc w:val="both"/>
        <w:rPr>
          <w:rFonts w:ascii="Arial" w:hAnsi="Arial" w:cs="Arial"/>
          <w:color w:val="000000"/>
          <w:sz w:val="22"/>
          <w:szCs w:val="22"/>
        </w:rPr>
      </w:pPr>
      <w:r w:rsidRPr="00FD08AB">
        <w:rPr>
          <w:rFonts w:ascii="Arial" w:hAnsi="Arial" w:cs="Arial"/>
          <w:color w:val="000000"/>
          <w:sz w:val="22"/>
          <w:szCs w:val="22"/>
        </w:rPr>
        <w:t>Impact on patients</w:t>
      </w:r>
      <w:r w:rsidR="00FD08AB">
        <w:rPr>
          <w:rFonts w:ascii="Arial" w:hAnsi="Arial" w:cs="Arial"/>
          <w:color w:val="000000"/>
          <w:sz w:val="22"/>
          <w:szCs w:val="22"/>
        </w:rPr>
        <w:t>………………………………………………………………</w:t>
      </w:r>
      <w:r w:rsidR="000D0780">
        <w:rPr>
          <w:rFonts w:ascii="Arial" w:hAnsi="Arial" w:cs="Arial"/>
          <w:color w:val="000000"/>
          <w:sz w:val="22"/>
          <w:szCs w:val="22"/>
        </w:rPr>
        <w:t>…</w:t>
      </w:r>
      <w:r w:rsidR="009D31F3">
        <w:rPr>
          <w:rFonts w:ascii="Arial" w:hAnsi="Arial" w:cs="Arial"/>
          <w:color w:val="000000"/>
          <w:sz w:val="22"/>
          <w:szCs w:val="22"/>
        </w:rPr>
        <w:t>…</w:t>
      </w:r>
      <w:r w:rsidR="001E6859">
        <w:rPr>
          <w:rFonts w:ascii="Arial" w:hAnsi="Arial" w:cs="Arial"/>
          <w:color w:val="000000"/>
          <w:sz w:val="22"/>
          <w:szCs w:val="22"/>
        </w:rPr>
        <w:t>.</w:t>
      </w:r>
      <w:r w:rsidR="00045ED9">
        <w:rPr>
          <w:rFonts w:ascii="Arial" w:hAnsi="Arial" w:cs="Arial"/>
          <w:color w:val="000000"/>
          <w:sz w:val="22"/>
          <w:szCs w:val="22"/>
        </w:rPr>
        <w:t>6</w:t>
      </w:r>
      <w:r w:rsidR="00883258">
        <w:rPr>
          <w:rFonts w:ascii="Arial" w:hAnsi="Arial" w:cs="Arial"/>
          <w:color w:val="000000"/>
          <w:sz w:val="22"/>
          <w:szCs w:val="22"/>
        </w:rPr>
        <w:t>-7</w:t>
      </w:r>
    </w:p>
    <w:p w14:paraId="40528E2E" w14:textId="050A7258" w:rsidR="00D40ECD" w:rsidRPr="00FD08AB" w:rsidRDefault="00C303CF" w:rsidP="009957F1">
      <w:pPr>
        <w:pStyle w:val="NormalWeb"/>
        <w:spacing w:line="360" w:lineRule="auto"/>
        <w:jc w:val="both"/>
        <w:rPr>
          <w:rFonts w:ascii="Arial" w:hAnsi="Arial" w:cs="Arial"/>
          <w:color w:val="000000"/>
          <w:sz w:val="22"/>
          <w:szCs w:val="22"/>
        </w:rPr>
      </w:pPr>
      <w:r w:rsidRPr="00FD08AB">
        <w:rPr>
          <w:rFonts w:ascii="Arial" w:hAnsi="Arial" w:cs="Arial"/>
          <w:color w:val="000000"/>
          <w:sz w:val="22"/>
          <w:szCs w:val="22"/>
        </w:rPr>
        <w:t xml:space="preserve">Impact on </w:t>
      </w:r>
      <w:r w:rsidR="00FD08AB">
        <w:rPr>
          <w:rFonts w:ascii="Arial" w:hAnsi="Arial" w:cs="Arial"/>
          <w:color w:val="000000"/>
          <w:sz w:val="22"/>
          <w:szCs w:val="22"/>
        </w:rPr>
        <w:t xml:space="preserve">the </w:t>
      </w:r>
      <w:r w:rsidRPr="00FD08AB">
        <w:rPr>
          <w:rFonts w:ascii="Arial" w:hAnsi="Arial" w:cs="Arial"/>
          <w:color w:val="000000"/>
          <w:sz w:val="22"/>
          <w:szCs w:val="22"/>
        </w:rPr>
        <w:t xml:space="preserve">community </w:t>
      </w:r>
      <w:r w:rsidR="00FD08AB">
        <w:rPr>
          <w:rFonts w:ascii="Arial" w:hAnsi="Arial" w:cs="Arial"/>
          <w:color w:val="000000"/>
          <w:sz w:val="22"/>
          <w:szCs w:val="22"/>
        </w:rPr>
        <w:t>……………………………………………………</w:t>
      </w:r>
      <w:r w:rsidR="00045ED9">
        <w:rPr>
          <w:rFonts w:ascii="Arial" w:hAnsi="Arial" w:cs="Arial"/>
          <w:color w:val="000000"/>
          <w:sz w:val="22"/>
          <w:szCs w:val="22"/>
        </w:rPr>
        <w:t>…</w:t>
      </w:r>
      <w:r w:rsidR="009D31F3">
        <w:rPr>
          <w:rFonts w:ascii="Arial" w:hAnsi="Arial" w:cs="Arial"/>
          <w:color w:val="000000"/>
          <w:sz w:val="22"/>
          <w:szCs w:val="22"/>
        </w:rPr>
        <w:t>……</w:t>
      </w:r>
      <w:r w:rsidR="00FE3446">
        <w:rPr>
          <w:rFonts w:ascii="Arial" w:hAnsi="Arial" w:cs="Arial"/>
          <w:color w:val="000000"/>
          <w:sz w:val="22"/>
          <w:szCs w:val="22"/>
        </w:rPr>
        <w:t>7-8</w:t>
      </w:r>
    </w:p>
    <w:p w14:paraId="03AC9CA1" w14:textId="7AB3EC7F" w:rsidR="00C303CF" w:rsidRPr="00FD08AB" w:rsidRDefault="00FD08AB" w:rsidP="009957F1">
      <w:pPr>
        <w:pStyle w:val="NormalWeb"/>
        <w:spacing w:line="360" w:lineRule="auto"/>
        <w:jc w:val="both"/>
        <w:rPr>
          <w:rFonts w:ascii="Arial" w:hAnsi="Arial" w:cs="Arial"/>
          <w:color w:val="000000"/>
          <w:sz w:val="22"/>
          <w:szCs w:val="22"/>
        </w:rPr>
      </w:pPr>
      <w:r w:rsidRPr="00FD08AB">
        <w:rPr>
          <w:rFonts w:ascii="Arial" w:hAnsi="Arial" w:cs="Arial"/>
          <w:color w:val="000000"/>
          <w:sz w:val="22"/>
          <w:szCs w:val="22"/>
        </w:rPr>
        <w:t>Conclusion</w:t>
      </w:r>
      <w:r>
        <w:rPr>
          <w:rFonts w:ascii="Arial" w:hAnsi="Arial" w:cs="Arial"/>
          <w:color w:val="000000"/>
          <w:sz w:val="22"/>
          <w:szCs w:val="22"/>
        </w:rPr>
        <w:t>…………………………………………………………………………</w:t>
      </w:r>
      <w:r w:rsidR="006C764E">
        <w:rPr>
          <w:rFonts w:ascii="Arial" w:hAnsi="Arial" w:cs="Arial"/>
          <w:color w:val="000000"/>
          <w:sz w:val="22"/>
          <w:szCs w:val="22"/>
        </w:rPr>
        <w:t>…</w:t>
      </w:r>
      <w:r w:rsidR="00DE1268">
        <w:rPr>
          <w:rFonts w:ascii="Arial" w:hAnsi="Arial" w:cs="Arial"/>
          <w:color w:val="000000"/>
          <w:sz w:val="22"/>
          <w:szCs w:val="22"/>
        </w:rPr>
        <w:t>…...</w:t>
      </w:r>
      <w:r w:rsidR="00FE3446">
        <w:rPr>
          <w:rFonts w:ascii="Arial" w:hAnsi="Arial" w:cs="Arial"/>
          <w:color w:val="000000"/>
          <w:sz w:val="22"/>
          <w:szCs w:val="22"/>
        </w:rPr>
        <w:t>8</w:t>
      </w:r>
    </w:p>
    <w:p w14:paraId="240036A9" w14:textId="023EFAFD" w:rsidR="00FD08AB" w:rsidRPr="00FD08AB" w:rsidRDefault="00FD08AB" w:rsidP="009957F1">
      <w:pPr>
        <w:pStyle w:val="NormalWeb"/>
        <w:spacing w:line="360" w:lineRule="auto"/>
        <w:jc w:val="both"/>
        <w:rPr>
          <w:rFonts w:ascii="Arial" w:hAnsi="Arial" w:cs="Arial"/>
          <w:color w:val="000000"/>
          <w:sz w:val="22"/>
          <w:szCs w:val="22"/>
        </w:rPr>
      </w:pPr>
      <w:r w:rsidRPr="00FD08AB">
        <w:rPr>
          <w:rFonts w:ascii="Arial" w:hAnsi="Arial" w:cs="Arial"/>
          <w:color w:val="000000"/>
          <w:sz w:val="22"/>
          <w:szCs w:val="22"/>
        </w:rPr>
        <w:t>References</w:t>
      </w:r>
      <w:r>
        <w:rPr>
          <w:rFonts w:ascii="Arial" w:hAnsi="Arial" w:cs="Arial"/>
          <w:color w:val="000000"/>
          <w:sz w:val="22"/>
          <w:szCs w:val="22"/>
        </w:rPr>
        <w:t>………………………………………………………………………</w:t>
      </w:r>
      <w:r w:rsidR="00FE3446">
        <w:rPr>
          <w:rFonts w:ascii="Arial" w:hAnsi="Arial" w:cs="Arial"/>
          <w:color w:val="000000"/>
          <w:sz w:val="22"/>
          <w:szCs w:val="22"/>
        </w:rPr>
        <w:t>……</w:t>
      </w:r>
      <w:r w:rsidR="009D31F3">
        <w:rPr>
          <w:rFonts w:ascii="Arial" w:hAnsi="Arial" w:cs="Arial"/>
          <w:color w:val="000000"/>
          <w:sz w:val="22"/>
          <w:szCs w:val="22"/>
        </w:rPr>
        <w:t>.</w:t>
      </w:r>
      <w:r w:rsidR="00FE3446">
        <w:rPr>
          <w:rFonts w:ascii="Arial" w:hAnsi="Arial" w:cs="Arial"/>
          <w:color w:val="000000"/>
          <w:sz w:val="22"/>
          <w:szCs w:val="22"/>
        </w:rPr>
        <w:t>9-12</w:t>
      </w:r>
    </w:p>
    <w:p w14:paraId="0E7227A5" w14:textId="77777777" w:rsidR="008375B5" w:rsidRPr="00FD08AB" w:rsidRDefault="008375B5" w:rsidP="009957F1">
      <w:pPr>
        <w:pStyle w:val="NormalWeb"/>
        <w:spacing w:line="360" w:lineRule="auto"/>
        <w:jc w:val="both"/>
        <w:rPr>
          <w:rFonts w:ascii="Arial" w:hAnsi="Arial" w:cs="Arial"/>
          <w:color w:val="000000"/>
          <w:sz w:val="22"/>
          <w:szCs w:val="22"/>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6D010FBC" w14:textId="77777777" w:rsidR="00A9474F" w:rsidRPr="000C4E79" w:rsidRDefault="00A9474F" w:rsidP="000C4E79">
      <w:pPr>
        <w:spacing w:line="360" w:lineRule="auto"/>
        <w:jc w:val="both"/>
        <w:rPr>
          <w:rFonts w:ascii="Arial" w:hAnsi="Arial" w:cs="Arial"/>
          <w:b/>
          <w:bCs/>
          <w:sz w:val="22"/>
          <w:szCs w:val="22"/>
        </w:rPr>
      </w:pPr>
      <w:r w:rsidRPr="000C4E79">
        <w:rPr>
          <w:rFonts w:ascii="Arial" w:hAnsi="Arial" w:cs="Arial"/>
          <w:b/>
          <w:bCs/>
          <w:sz w:val="22"/>
          <w:szCs w:val="22"/>
        </w:rPr>
        <w:lastRenderedPageBreak/>
        <w:t>Introduction </w:t>
      </w:r>
    </w:p>
    <w:p w14:paraId="2679D978" w14:textId="77777777" w:rsidR="009807CF" w:rsidRPr="000C4E79" w:rsidRDefault="00741EDF" w:rsidP="000C4E79">
      <w:pPr>
        <w:spacing w:line="360" w:lineRule="auto"/>
        <w:jc w:val="both"/>
        <w:rPr>
          <w:rFonts w:ascii="Arial" w:hAnsi="Arial" w:cs="Arial"/>
          <w:sz w:val="22"/>
          <w:szCs w:val="22"/>
        </w:rPr>
      </w:pPr>
      <w:r w:rsidRPr="000C4E79">
        <w:rPr>
          <w:rFonts w:ascii="Arial" w:hAnsi="Arial" w:cs="Arial"/>
          <w:sz w:val="22"/>
          <w:szCs w:val="22"/>
        </w:rPr>
        <w:t xml:space="preserve">Digital technology refers to computer-based systems used to collect, store and share information such as text, images and data. In health and social care, these technologies support key processes such as managing patient records, enabling online appointments, monitoring patients via smart devices, and improving communication among patients, families, and healthcare professionals (Li et al., 2025). In recent years, mental health services in the United Kingdom have increasingly integrated digital technologies to improve patient safety and the quality of care. This aligns with the NHS Long Term Plan, which highlights the importance of digital innovation and the expansion of digital healthcare services (NHS England, 2019). </w:t>
      </w:r>
      <w:r w:rsidR="00317F30" w:rsidRPr="000C4E79">
        <w:rPr>
          <w:rFonts w:ascii="Arial" w:hAnsi="Arial" w:cs="Arial"/>
          <w:sz w:val="22"/>
          <w:szCs w:val="22"/>
        </w:rPr>
        <w:t xml:space="preserve">Traditionally, patient observation in mental health settings involved periodic checks or constant supervision, which can require significant staff time and may disrupt the therapeutic environment (Moakes, 2025). </w:t>
      </w:r>
      <w:r w:rsidR="00534AA7" w:rsidRPr="000C4E79">
        <w:rPr>
          <w:rFonts w:ascii="Arial" w:hAnsi="Arial" w:cs="Arial"/>
          <w:sz w:val="22"/>
          <w:szCs w:val="22"/>
        </w:rPr>
        <w:t xml:space="preserve">Digital </w:t>
      </w:r>
      <w:r w:rsidR="009B04E9" w:rsidRPr="000C4E79">
        <w:rPr>
          <w:rFonts w:ascii="Arial" w:hAnsi="Arial" w:cs="Arial"/>
          <w:sz w:val="22"/>
          <w:szCs w:val="22"/>
        </w:rPr>
        <w:t>monitoring</w:t>
      </w:r>
      <w:r w:rsidR="009807CF" w:rsidRPr="000C4E79">
        <w:rPr>
          <w:rFonts w:ascii="Arial" w:hAnsi="Arial" w:cs="Arial"/>
          <w:sz w:val="22"/>
          <w:szCs w:val="22"/>
        </w:rPr>
        <w:t xml:space="preserve"> systems, therefore, offer an alternative approach by enabling continuous</w:t>
      </w:r>
      <w:r w:rsidR="00A14827" w:rsidRPr="000C4E79">
        <w:rPr>
          <w:rFonts w:ascii="Arial" w:hAnsi="Arial" w:cs="Arial"/>
          <w:sz w:val="22"/>
          <w:szCs w:val="22"/>
        </w:rPr>
        <w:t xml:space="preserve"> monitoring</w:t>
      </w:r>
      <w:r w:rsidR="009807CF" w:rsidRPr="000C4E79">
        <w:rPr>
          <w:rFonts w:ascii="Arial" w:hAnsi="Arial" w:cs="Arial"/>
          <w:sz w:val="22"/>
          <w:szCs w:val="22"/>
        </w:rPr>
        <w:t>.</w:t>
      </w:r>
      <w:r w:rsidR="009B04E9" w:rsidRPr="000C4E79">
        <w:rPr>
          <w:rFonts w:ascii="Arial" w:hAnsi="Arial" w:cs="Arial"/>
          <w:sz w:val="22"/>
          <w:szCs w:val="22"/>
        </w:rPr>
        <w:t xml:space="preserve"> </w:t>
      </w:r>
      <w:r w:rsidRPr="000C4E79">
        <w:rPr>
          <w:rFonts w:ascii="Arial" w:hAnsi="Arial" w:cs="Arial"/>
          <w:sz w:val="22"/>
          <w:szCs w:val="22"/>
        </w:rPr>
        <w:t>One example is the Oxevision system, developed by Oxehealth and used in some mental health units within the National Health Service (NHS, UK, 2024).</w:t>
      </w:r>
    </w:p>
    <w:p w14:paraId="27691111" w14:textId="580A8414" w:rsidR="00741EDF" w:rsidRPr="000C4E79" w:rsidRDefault="00741EDF" w:rsidP="000C4E79">
      <w:pPr>
        <w:spacing w:line="360" w:lineRule="auto"/>
        <w:jc w:val="both"/>
        <w:rPr>
          <w:rFonts w:ascii="Arial" w:hAnsi="Arial" w:cs="Arial"/>
          <w:sz w:val="22"/>
          <w:szCs w:val="22"/>
        </w:rPr>
      </w:pPr>
      <w:r w:rsidRPr="000C4E79">
        <w:rPr>
          <w:rFonts w:ascii="Arial" w:hAnsi="Arial" w:cs="Arial"/>
          <w:sz w:val="22"/>
          <w:szCs w:val="22"/>
        </w:rPr>
        <w:t>This system uses infrared cameras to monitor patients’ breathing and pulse without direct physical contact, particularly at night</w:t>
      </w:r>
      <w:r w:rsidR="006F1CBA" w:rsidRPr="000C4E79">
        <w:rPr>
          <w:rFonts w:ascii="Arial" w:hAnsi="Arial" w:cs="Arial"/>
          <w:sz w:val="22"/>
          <w:szCs w:val="22"/>
        </w:rPr>
        <w:t xml:space="preserve">, </w:t>
      </w:r>
      <w:r w:rsidR="008C4A12" w:rsidRPr="000C4E79">
        <w:rPr>
          <w:rFonts w:ascii="Arial" w:hAnsi="Arial" w:cs="Arial"/>
          <w:sz w:val="22"/>
          <w:szCs w:val="22"/>
        </w:rPr>
        <w:t>thereby</w:t>
      </w:r>
      <w:r w:rsidR="006F1CBA" w:rsidRPr="000C4E79">
        <w:rPr>
          <w:rFonts w:ascii="Arial" w:hAnsi="Arial" w:cs="Arial"/>
          <w:sz w:val="22"/>
          <w:szCs w:val="22"/>
        </w:rPr>
        <w:t xml:space="preserve"> reducing the need for staff to enter patients’ rooms frequently and helping</w:t>
      </w:r>
      <w:r w:rsidRPr="000C4E79">
        <w:rPr>
          <w:rFonts w:ascii="Arial" w:hAnsi="Arial" w:cs="Arial"/>
          <w:sz w:val="22"/>
          <w:szCs w:val="22"/>
        </w:rPr>
        <w:t xml:space="preserve"> maintain safety while minimising sleep disruption (Zhu et al., 2019). Oxevision can also provide continuous monitoring and alerts to support clinical assessment (Buckley, Malcolm and Hanlon, 2024).</w:t>
      </w:r>
    </w:p>
    <w:p w14:paraId="04C09052" w14:textId="658A2F97" w:rsidR="00741EDF" w:rsidRPr="000C4E79" w:rsidRDefault="00741EDF" w:rsidP="000C4E79">
      <w:pPr>
        <w:spacing w:line="360" w:lineRule="auto"/>
        <w:jc w:val="both"/>
        <w:rPr>
          <w:rFonts w:ascii="Arial" w:hAnsi="Arial" w:cs="Arial"/>
          <w:sz w:val="22"/>
          <w:szCs w:val="22"/>
        </w:rPr>
      </w:pPr>
      <w:r w:rsidRPr="000C4E79">
        <w:rPr>
          <w:rFonts w:ascii="Arial" w:hAnsi="Arial" w:cs="Arial"/>
          <w:sz w:val="22"/>
          <w:szCs w:val="22"/>
        </w:rPr>
        <w:t xml:space="preserve">This </w:t>
      </w:r>
      <w:r w:rsidR="006F68BA" w:rsidRPr="000C4E79">
        <w:rPr>
          <w:rFonts w:ascii="Arial" w:hAnsi="Arial" w:cs="Arial"/>
          <w:sz w:val="22"/>
          <w:szCs w:val="22"/>
        </w:rPr>
        <w:t>report</w:t>
      </w:r>
      <w:r w:rsidRPr="000C4E79">
        <w:rPr>
          <w:rFonts w:ascii="Arial" w:hAnsi="Arial" w:cs="Arial"/>
          <w:sz w:val="22"/>
          <w:szCs w:val="22"/>
        </w:rPr>
        <w:t xml:space="preserve"> will examine the impact of Oxevision on the workplace, service delivery, patients, and the wider community.</w:t>
      </w:r>
    </w:p>
    <w:p w14:paraId="3C9BBB56" w14:textId="7FDABE03" w:rsidR="00741EDF" w:rsidRPr="000C4E79" w:rsidRDefault="00741EDF" w:rsidP="000C4E79">
      <w:pPr>
        <w:spacing w:line="360" w:lineRule="auto"/>
        <w:jc w:val="both"/>
        <w:rPr>
          <w:rFonts w:ascii="Arial" w:hAnsi="Arial" w:cs="Arial"/>
          <w:sz w:val="22"/>
          <w:szCs w:val="22"/>
        </w:rPr>
      </w:pPr>
      <w:r w:rsidRPr="000C4E79">
        <w:rPr>
          <w:rFonts w:ascii="Arial" w:hAnsi="Arial" w:cs="Arial"/>
          <w:sz w:val="22"/>
          <w:szCs w:val="22"/>
        </w:rPr>
        <w:t xml:space="preserve"> </w:t>
      </w:r>
    </w:p>
    <w:p w14:paraId="1CDCA65A" w14:textId="77777777" w:rsidR="00105209" w:rsidRPr="000C4E79" w:rsidRDefault="00105209" w:rsidP="000C4E79">
      <w:pPr>
        <w:spacing w:line="360" w:lineRule="auto"/>
        <w:jc w:val="both"/>
        <w:rPr>
          <w:rFonts w:ascii="Arial" w:hAnsi="Arial" w:cs="Arial"/>
          <w:b/>
          <w:bCs/>
          <w:sz w:val="22"/>
          <w:szCs w:val="22"/>
        </w:rPr>
      </w:pPr>
    </w:p>
    <w:p w14:paraId="4462E30A" w14:textId="77777777" w:rsidR="00105209" w:rsidRPr="000C4E79" w:rsidRDefault="00105209" w:rsidP="000C4E79">
      <w:pPr>
        <w:spacing w:line="360" w:lineRule="auto"/>
        <w:jc w:val="both"/>
        <w:rPr>
          <w:rFonts w:ascii="Arial" w:hAnsi="Arial" w:cs="Arial"/>
          <w:b/>
          <w:bCs/>
          <w:sz w:val="22"/>
          <w:szCs w:val="22"/>
        </w:rPr>
      </w:pPr>
    </w:p>
    <w:p w14:paraId="205C286B" w14:textId="77777777" w:rsidR="00105209" w:rsidRPr="000C4E79" w:rsidRDefault="00105209" w:rsidP="000C4E79">
      <w:pPr>
        <w:spacing w:line="360" w:lineRule="auto"/>
        <w:jc w:val="both"/>
        <w:rPr>
          <w:rFonts w:ascii="Arial" w:hAnsi="Arial" w:cs="Arial"/>
          <w:b/>
          <w:bCs/>
          <w:sz w:val="22"/>
          <w:szCs w:val="22"/>
        </w:rPr>
      </w:pPr>
    </w:p>
    <w:p w14:paraId="021F3E77" w14:textId="77777777" w:rsidR="00105209" w:rsidRPr="000C4E79" w:rsidRDefault="00105209" w:rsidP="000C4E79">
      <w:pPr>
        <w:spacing w:line="360" w:lineRule="auto"/>
        <w:jc w:val="both"/>
        <w:rPr>
          <w:rFonts w:ascii="Arial" w:hAnsi="Arial" w:cs="Arial"/>
          <w:b/>
          <w:bCs/>
          <w:sz w:val="22"/>
          <w:szCs w:val="22"/>
        </w:rPr>
      </w:pPr>
    </w:p>
    <w:p w14:paraId="7AE8257C" w14:textId="77777777" w:rsidR="00105209" w:rsidRPr="000C4E79" w:rsidRDefault="00105209" w:rsidP="000C4E79">
      <w:pPr>
        <w:spacing w:line="360" w:lineRule="auto"/>
        <w:jc w:val="both"/>
        <w:rPr>
          <w:rFonts w:ascii="Arial" w:hAnsi="Arial" w:cs="Arial"/>
          <w:b/>
          <w:bCs/>
          <w:sz w:val="22"/>
          <w:szCs w:val="22"/>
        </w:rPr>
      </w:pPr>
    </w:p>
    <w:p w14:paraId="2420BC8A" w14:textId="77777777" w:rsidR="00105209" w:rsidRPr="000C4E79" w:rsidRDefault="00105209" w:rsidP="000C4E79">
      <w:pPr>
        <w:spacing w:line="360" w:lineRule="auto"/>
        <w:jc w:val="both"/>
        <w:rPr>
          <w:rFonts w:ascii="Arial" w:hAnsi="Arial" w:cs="Arial"/>
          <w:b/>
          <w:bCs/>
          <w:sz w:val="22"/>
          <w:szCs w:val="22"/>
        </w:rPr>
      </w:pPr>
    </w:p>
    <w:p w14:paraId="397D1093" w14:textId="77777777" w:rsidR="00105209" w:rsidRPr="000C4E79" w:rsidRDefault="00105209" w:rsidP="000C4E79">
      <w:pPr>
        <w:spacing w:line="360" w:lineRule="auto"/>
        <w:jc w:val="both"/>
        <w:rPr>
          <w:rFonts w:ascii="Arial" w:hAnsi="Arial" w:cs="Arial"/>
          <w:b/>
          <w:bCs/>
          <w:sz w:val="22"/>
          <w:szCs w:val="22"/>
        </w:rPr>
      </w:pPr>
    </w:p>
    <w:p w14:paraId="0ABC59A0" w14:textId="77777777" w:rsidR="00105209" w:rsidRPr="000C4E79" w:rsidRDefault="00105209" w:rsidP="000C4E79">
      <w:pPr>
        <w:spacing w:line="360" w:lineRule="auto"/>
        <w:jc w:val="both"/>
        <w:rPr>
          <w:rFonts w:ascii="Arial" w:hAnsi="Arial" w:cs="Arial"/>
          <w:b/>
          <w:bCs/>
          <w:sz w:val="22"/>
          <w:szCs w:val="22"/>
        </w:rPr>
      </w:pPr>
    </w:p>
    <w:p w14:paraId="1702230A" w14:textId="0DF1A7BB" w:rsidR="00916BA1" w:rsidRPr="000C4E79" w:rsidRDefault="00C80D0F" w:rsidP="000C4E79">
      <w:pPr>
        <w:spacing w:line="360" w:lineRule="auto"/>
        <w:jc w:val="both"/>
        <w:rPr>
          <w:rFonts w:ascii="Arial" w:hAnsi="Arial" w:cs="Arial"/>
          <w:b/>
          <w:bCs/>
          <w:sz w:val="22"/>
          <w:szCs w:val="22"/>
        </w:rPr>
      </w:pPr>
      <w:r w:rsidRPr="000C4E79">
        <w:rPr>
          <w:rFonts w:ascii="Arial" w:hAnsi="Arial" w:cs="Arial"/>
          <w:b/>
          <w:bCs/>
          <w:sz w:val="22"/>
          <w:szCs w:val="22"/>
        </w:rPr>
        <w:lastRenderedPageBreak/>
        <w:t xml:space="preserve">Impact on </w:t>
      </w:r>
      <w:r w:rsidR="00A6783C" w:rsidRPr="000C4E79">
        <w:rPr>
          <w:rFonts w:ascii="Arial" w:hAnsi="Arial" w:cs="Arial"/>
          <w:b/>
          <w:bCs/>
          <w:sz w:val="22"/>
          <w:szCs w:val="22"/>
        </w:rPr>
        <w:t xml:space="preserve">the </w:t>
      </w:r>
      <w:r w:rsidRPr="000C4E79">
        <w:rPr>
          <w:rFonts w:ascii="Arial" w:hAnsi="Arial" w:cs="Arial"/>
          <w:b/>
          <w:bCs/>
          <w:sz w:val="22"/>
          <w:szCs w:val="22"/>
        </w:rPr>
        <w:t xml:space="preserve">workforce </w:t>
      </w:r>
    </w:p>
    <w:p w14:paraId="4B1BE9C2" w14:textId="77777777" w:rsidR="001B00F8" w:rsidRPr="000C4E79" w:rsidRDefault="001B00F8" w:rsidP="000C4E79">
      <w:pPr>
        <w:spacing w:line="360" w:lineRule="auto"/>
        <w:jc w:val="both"/>
        <w:rPr>
          <w:rFonts w:ascii="Arial" w:hAnsi="Arial" w:cs="Arial"/>
          <w:sz w:val="22"/>
          <w:szCs w:val="22"/>
        </w:rPr>
      </w:pPr>
      <w:r w:rsidRPr="000C4E79">
        <w:rPr>
          <w:rFonts w:ascii="Arial" w:hAnsi="Arial" w:cs="Arial"/>
          <w:sz w:val="22"/>
          <w:szCs w:val="22"/>
        </w:rPr>
        <w:t>Oxevision uses non-contact infrared technology to monitor breathing and pulse without disturbing patients. This technology is changing job roles in healthcare. Nurses are moving from direct observation to analysing digital data and responding to system alerts (Harsha et al., 2019). This shift shows a clear change in job roles and responsibilities. As a result, staff need strong digital skills, ethical awareness, and good clinical judgement. This also reflects changes in the competencies required from healthcare professionals. They should not rely only on automated systems and must continue to use holistic assessment when caring for patients. Training in data protection and confidentiality is also important within the NHS.</w:t>
      </w:r>
    </w:p>
    <w:p w14:paraId="08E39883" w14:textId="367434E7" w:rsidR="001B00F8" w:rsidRPr="000C4E79" w:rsidRDefault="001B00F8" w:rsidP="000C4E79">
      <w:pPr>
        <w:spacing w:line="360" w:lineRule="auto"/>
        <w:jc w:val="both"/>
        <w:rPr>
          <w:rFonts w:ascii="Arial" w:hAnsi="Arial" w:cs="Arial"/>
          <w:sz w:val="22"/>
          <w:szCs w:val="22"/>
        </w:rPr>
      </w:pPr>
      <w:r w:rsidRPr="000C4E79">
        <w:rPr>
          <w:rFonts w:ascii="Arial" w:hAnsi="Arial" w:cs="Arial"/>
          <w:sz w:val="22"/>
          <w:szCs w:val="22"/>
        </w:rPr>
        <w:t xml:space="preserve">Oxevision can help staff detect problems earlier and manage risks more effectively. For example, small changes in breathing caused by medication side effects can be identified faster than with traditional observation. This can support safer prescribing and improve the quality of care (Khan et al., 2021). However, staff roles and responsibilities are changing. This further demonstrates the impact on job roles in clinical practice. Traditional night observations require staff to enter patient rooms regularly, which can disturb patients and increase workload (Isbell et al., 2020). With digital monitoring, staff interpret physiological data and respond to alerts </w:t>
      </w:r>
      <w:r w:rsidR="00E0240D" w:rsidRPr="000C4E79">
        <w:rPr>
          <w:rFonts w:ascii="Arial" w:hAnsi="Arial" w:cs="Arial"/>
          <w:sz w:val="22"/>
          <w:szCs w:val="22"/>
        </w:rPr>
        <w:t>rather than relying solely</w:t>
      </w:r>
      <w:r w:rsidRPr="000C4E79">
        <w:rPr>
          <w:rFonts w:ascii="Arial" w:hAnsi="Arial" w:cs="Arial"/>
          <w:sz w:val="22"/>
          <w:szCs w:val="22"/>
        </w:rPr>
        <w:t xml:space="preserve"> on visual checks.</w:t>
      </w:r>
    </w:p>
    <w:p w14:paraId="1E5E95AF" w14:textId="77777777" w:rsidR="001B00F8" w:rsidRPr="000C4E79" w:rsidRDefault="001B00F8" w:rsidP="000C4E79">
      <w:pPr>
        <w:spacing w:line="360" w:lineRule="auto"/>
        <w:jc w:val="both"/>
        <w:rPr>
          <w:rFonts w:ascii="Arial" w:hAnsi="Arial" w:cs="Arial"/>
          <w:sz w:val="22"/>
          <w:szCs w:val="22"/>
        </w:rPr>
      </w:pPr>
      <w:r w:rsidRPr="000C4E79">
        <w:rPr>
          <w:rFonts w:ascii="Arial" w:hAnsi="Arial" w:cs="Arial"/>
          <w:sz w:val="22"/>
          <w:szCs w:val="22"/>
        </w:rPr>
        <w:t>This change requires proper training and support to ensure safe and ethical use of the technology. It also highlights the need for new competencies, including digital literacy and critical thinking. While Oxevision can improve patient safety and support decision-making, there are concerns about privacy, data security, and the risk of staff becoming too dependent on digital systems. This may lead to important clinical observations being missed (Amin, 2025). The role of professionals may also change. This indicates a broader transformation in professional roles within healthcare. Therapeutic relationships and direct engagement are key in mental health nursing, but digital systems may create a more technology-based approach to care, which can affect how professionals understand their roles (Parker and Grote, 2022). Some staff may feel more confident about patient safety, while others may feel that technology reduces their professional autonomy. Therefore, organisational culture is important for successful implementation.</w:t>
      </w:r>
    </w:p>
    <w:p w14:paraId="2DA127FA" w14:textId="77777777" w:rsidR="001B00F8" w:rsidRPr="000C4E79" w:rsidRDefault="001B00F8" w:rsidP="000C4E79">
      <w:pPr>
        <w:spacing w:line="360" w:lineRule="auto"/>
        <w:jc w:val="both"/>
        <w:rPr>
          <w:rFonts w:ascii="Arial" w:hAnsi="Arial" w:cs="Arial"/>
          <w:sz w:val="22"/>
          <w:szCs w:val="22"/>
        </w:rPr>
      </w:pPr>
      <w:r w:rsidRPr="000C4E79">
        <w:rPr>
          <w:rFonts w:ascii="Arial" w:hAnsi="Arial" w:cs="Arial"/>
          <w:sz w:val="22"/>
          <w:szCs w:val="22"/>
        </w:rPr>
        <w:t xml:space="preserve">In the future, workforce planning may also change. If digital monitoring reduces the need for room visits, staffing models may need to be reviewed. However, any changes should protect time spent with patients and should not lead to staff reductions (Butler, Webster and Diekema, 2022). This shows how technological change can influence workforce roles and expectations. Digital ethics, awareness of algorithmic bias, and reflective practice should be included in </w:t>
      </w:r>
      <w:r w:rsidRPr="000C4E79">
        <w:rPr>
          <w:rFonts w:ascii="Arial" w:hAnsi="Arial" w:cs="Arial"/>
          <w:sz w:val="22"/>
          <w:szCs w:val="22"/>
        </w:rPr>
        <w:lastRenderedPageBreak/>
        <w:t>ongoing professional development to help staff adapt to new roles. These changes will also affect how mental health services are delivered.</w:t>
      </w:r>
    </w:p>
    <w:p w14:paraId="530FADC1" w14:textId="551C8D61" w:rsidR="001F797E" w:rsidRPr="000C4E79" w:rsidRDefault="001B00F8" w:rsidP="000C4E79">
      <w:pPr>
        <w:spacing w:line="360" w:lineRule="auto"/>
        <w:jc w:val="both"/>
        <w:rPr>
          <w:rFonts w:ascii="Arial" w:hAnsi="Arial" w:cs="Arial"/>
          <w:sz w:val="22"/>
          <w:szCs w:val="22"/>
        </w:rPr>
      </w:pPr>
      <w:r w:rsidRPr="000C4E79">
        <w:rPr>
          <w:rFonts w:ascii="Arial" w:hAnsi="Arial" w:cs="Arial"/>
          <w:sz w:val="22"/>
          <w:szCs w:val="22"/>
        </w:rPr>
        <w:t xml:space="preserve">The use of Oxevision has a clear impact on healthcare professionals. While it supports patient monitoring, </w:t>
      </w:r>
      <w:r w:rsidR="00012137" w:rsidRPr="000C4E79">
        <w:rPr>
          <w:rFonts w:ascii="Arial" w:hAnsi="Arial" w:cs="Arial"/>
          <w:sz w:val="22"/>
          <w:szCs w:val="22"/>
        </w:rPr>
        <w:t>excessive reliance on technology also poses risks</w:t>
      </w:r>
      <w:r w:rsidRPr="000C4E79">
        <w:rPr>
          <w:rFonts w:ascii="Arial" w:hAnsi="Arial" w:cs="Arial"/>
          <w:sz w:val="22"/>
          <w:szCs w:val="22"/>
        </w:rPr>
        <w:t>. The case at St Charles Hospital shows that when the system fails or is used incorrectly, reduced human observation can lead to serious consequences. Therefore, Oxevision should be used as a support tool</w:t>
      </w:r>
      <w:r w:rsidR="009E2088" w:rsidRPr="000C4E79">
        <w:rPr>
          <w:rFonts w:ascii="Arial" w:hAnsi="Arial" w:cs="Arial"/>
          <w:sz w:val="22"/>
          <w:szCs w:val="22"/>
        </w:rPr>
        <w:t xml:space="preserve"> rather than</w:t>
      </w:r>
      <w:r w:rsidRPr="000C4E79">
        <w:rPr>
          <w:rFonts w:ascii="Arial" w:hAnsi="Arial" w:cs="Arial"/>
          <w:sz w:val="22"/>
          <w:szCs w:val="22"/>
        </w:rPr>
        <w:t xml:space="preserve"> a replacement for professional care and responsibility (Amin, 2025).</w:t>
      </w:r>
    </w:p>
    <w:p w14:paraId="412A0FEB" w14:textId="77777777" w:rsidR="001F797E" w:rsidRPr="000C4E79" w:rsidRDefault="001F797E" w:rsidP="000C4E79">
      <w:pPr>
        <w:spacing w:line="360" w:lineRule="auto"/>
        <w:jc w:val="both"/>
        <w:rPr>
          <w:rFonts w:ascii="Arial" w:hAnsi="Arial" w:cs="Arial"/>
          <w:b/>
          <w:bCs/>
          <w:sz w:val="22"/>
          <w:szCs w:val="22"/>
        </w:rPr>
      </w:pPr>
    </w:p>
    <w:p w14:paraId="06A577BB" w14:textId="77777777" w:rsidR="001F797E" w:rsidRPr="000C4E79" w:rsidRDefault="001F797E" w:rsidP="000C4E79">
      <w:pPr>
        <w:spacing w:line="360" w:lineRule="auto"/>
        <w:jc w:val="both"/>
        <w:rPr>
          <w:rFonts w:ascii="Arial" w:hAnsi="Arial" w:cs="Arial"/>
          <w:b/>
          <w:bCs/>
          <w:sz w:val="22"/>
          <w:szCs w:val="22"/>
        </w:rPr>
      </w:pPr>
    </w:p>
    <w:p w14:paraId="0E3C783B" w14:textId="3D38B5D3" w:rsidR="00916BA1" w:rsidRPr="000C4E79" w:rsidRDefault="00C80D0F" w:rsidP="000C4E79">
      <w:pPr>
        <w:spacing w:line="360" w:lineRule="auto"/>
        <w:jc w:val="both"/>
        <w:rPr>
          <w:rFonts w:ascii="Arial" w:hAnsi="Arial" w:cs="Arial"/>
          <w:b/>
          <w:bCs/>
          <w:sz w:val="22"/>
          <w:szCs w:val="22"/>
        </w:rPr>
      </w:pPr>
      <w:r w:rsidRPr="000C4E79">
        <w:rPr>
          <w:rFonts w:ascii="Arial" w:hAnsi="Arial" w:cs="Arial"/>
          <w:b/>
          <w:bCs/>
          <w:sz w:val="22"/>
          <w:szCs w:val="22"/>
        </w:rPr>
        <w:t xml:space="preserve">Impact on service delivery </w:t>
      </w:r>
    </w:p>
    <w:p w14:paraId="108CA90A" w14:textId="194DBB71" w:rsidR="00DE2576" w:rsidRPr="000C4E79" w:rsidRDefault="00DE2576" w:rsidP="000C4E79">
      <w:pPr>
        <w:spacing w:line="360" w:lineRule="auto"/>
        <w:jc w:val="both"/>
        <w:rPr>
          <w:rFonts w:ascii="Arial" w:hAnsi="Arial" w:cs="Arial"/>
          <w:color w:val="000000" w:themeColor="text1"/>
          <w:sz w:val="22"/>
          <w:szCs w:val="22"/>
        </w:rPr>
      </w:pPr>
      <w:r w:rsidRPr="000C4E79">
        <w:rPr>
          <w:rFonts w:ascii="Arial" w:hAnsi="Arial" w:cs="Arial"/>
          <w:color w:val="000000" w:themeColor="text1"/>
          <w:sz w:val="22"/>
          <w:szCs w:val="22"/>
        </w:rPr>
        <w:t xml:space="preserve">Oxevision makes an important difference in mental health inpatient services. This shows a clear impact on service delivery, especially in how care is provided </w:t>
      </w:r>
      <w:r w:rsidR="008B1760" w:rsidRPr="000C4E79">
        <w:rPr>
          <w:rFonts w:ascii="Arial" w:hAnsi="Arial" w:cs="Arial"/>
          <w:color w:val="000000" w:themeColor="text1"/>
          <w:sz w:val="22"/>
          <w:szCs w:val="22"/>
        </w:rPr>
        <w:t>day-to-day</w:t>
      </w:r>
      <w:r w:rsidRPr="000C4E79">
        <w:rPr>
          <w:rFonts w:ascii="Arial" w:hAnsi="Arial" w:cs="Arial"/>
          <w:color w:val="000000" w:themeColor="text1"/>
          <w:sz w:val="22"/>
          <w:szCs w:val="22"/>
        </w:rPr>
        <w:t>. Continuous monitoring helps staff detect problems earlier, including changes in breathing caused by medication side effects or self-harm. This makes daily work more proactive instead of reactive. This shows a change in day-to-day service delivery, as care becomes more planned and less based on sudden events. Staff can use this information to guide clinical decisions and care planning. Fewer night disturbances can also support trauma-informed and recovery-focused care (PykeGrimm et al., 2022).</w:t>
      </w:r>
    </w:p>
    <w:p w14:paraId="7F3D99FB" w14:textId="2AFBE6C7" w:rsidR="00DE2576" w:rsidRPr="000C4E79" w:rsidRDefault="00DE2576" w:rsidP="000C4E79">
      <w:pPr>
        <w:spacing w:line="360" w:lineRule="auto"/>
        <w:jc w:val="both"/>
        <w:rPr>
          <w:rFonts w:ascii="Arial" w:hAnsi="Arial" w:cs="Arial"/>
          <w:color w:val="000000" w:themeColor="text1"/>
          <w:sz w:val="22"/>
          <w:szCs w:val="22"/>
        </w:rPr>
      </w:pPr>
      <w:r w:rsidRPr="000C4E79">
        <w:rPr>
          <w:rFonts w:ascii="Arial" w:hAnsi="Arial" w:cs="Arial"/>
          <w:color w:val="000000" w:themeColor="text1"/>
          <w:sz w:val="22"/>
          <w:szCs w:val="22"/>
        </w:rPr>
        <w:t xml:space="preserve">At a wider level, Oxevision may improve clinical governance and audit processes. Continuous physical data can </w:t>
      </w:r>
      <w:r w:rsidR="008D0EFC" w:rsidRPr="000C4E79">
        <w:rPr>
          <w:rFonts w:ascii="Arial" w:hAnsi="Arial" w:cs="Arial"/>
          <w:color w:val="000000" w:themeColor="text1"/>
          <w:sz w:val="22"/>
          <w:szCs w:val="22"/>
        </w:rPr>
        <w:t>provide clear,</w:t>
      </w:r>
      <w:r w:rsidRPr="000C4E79">
        <w:rPr>
          <w:rFonts w:ascii="Arial" w:hAnsi="Arial" w:cs="Arial"/>
          <w:color w:val="000000" w:themeColor="text1"/>
          <w:sz w:val="22"/>
          <w:szCs w:val="22"/>
        </w:rPr>
        <w:t xml:space="preserve"> objective information during incident investigations and serious event reviews. This can improve organisational responsibility and learning. Anonymous data can also be used for service evaluation and research, allowing comparisons between wards or trusts based on patient stability and treatment effectiveness (Donetto et al., 2019). It can also improve bed management. Early detection of deterioration may reduce hospital stays by allowing staff to act quickly. Discharge decisions may feel safer when </w:t>
      </w:r>
      <w:r w:rsidR="00082AA9">
        <w:rPr>
          <w:rFonts w:ascii="Arial" w:hAnsi="Arial" w:cs="Arial"/>
          <w:color w:val="000000" w:themeColor="text1"/>
          <w:sz w:val="22"/>
          <w:szCs w:val="22"/>
        </w:rPr>
        <w:t>consistent physiological data support them</w:t>
      </w:r>
      <w:r w:rsidRPr="000C4E79">
        <w:rPr>
          <w:rFonts w:ascii="Arial" w:hAnsi="Arial" w:cs="Arial"/>
          <w:color w:val="000000" w:themeColor="text1"/>
          <w:sz w:val="22"/>
          <w:szCs w:val="22"/>
        </w:rPr>
        <w:t xml:space="preserve">. Working together with multidisciplinary teams (psychiatrists, psychologists, occupational therapists, and pharmacists) can also improve care (Wood et al., 2019). However, good communication and integration with electronic health record systems are </w:t>
      </w:r>
      <w:r w:rsidR="00436BF4" w:rsidRPr="000C4E79">
        <w:rPr>
          <w:rFonts w:ascii="Arial" w:hAnsi="Arial" w:cs="Arial"/>
          <w:color w:val="000000" w:themeColor="text1"/>
          <w:sz w:val="22"/>
          <w:szCs w:val="22"/>
        </w:rPr>
        <w:t>essential. In</w:t>
      </w:r>
      <w:r w:rsidR="00436BF4" w:rsidRPr="000C4E79">
        <w:rPr>
          <w:rFonts w:ascii="Arial" w:hAnsi="Arial" w:cs="Arial"/>
          <w:color w:val="000000" w:themeColor="text1"/>
          <w:sz w:val="22"/>
          <w:szCs w:val="22"/>
        </w:rPr>
        <w:t xml:space="preserve"> addition, long-term outcomes, cost-effectiveness, and patient satisfaction should be evaluated through independent research (McEwan et al., 2025).</w:t>
      </w:r>
    </w:p>
    <w:p w14:paraId="79492F9C" w14:textId="77777777" w:rsidR="00DE2576" w:rsidRPr="000C4E79" w:rsidRDefault="00DE2576" w:rsidP="000C4E79">
      <w:pPr>
        <w:spacing w:line="360" w:lineRule="auto"/>
        <w:jc w:val="both"/>
        <w:rPr>
          <w:rFonts w:ascii="Arial" w:hAnsi="Arial" w:cs="Arial"/>
          <w:color w:val="000000" w:themeColor="text1"/>
          <w:sz w:val="22"/>
          <w:szCs w:val="22"/>
        </w:rPr>
      </w:pPr>
      <w:r w:rsidRPr="000C4E79">
        <w:rPr>
          <w:rFonts w:ascii="Arial" w:hAnsi="Arial" w:cs="Arial"/>
          <w:color w:val="000000" w:themeColor="text1"/>
          <w:sz w:val="22"/>
          <w:szCs w:val="22"/>
        </w:rPr>
        <w:t xml:space="preserve">Oxevision can improve the patient experience, but it can also create challenges. On one hand, fewer physical checks at night can improve sleep, dignity, and autonomy. Non-contact monitoring can feel less invasive, especially for patients with a history of trauma or paranoia </w:t>
      </w:r>
      <w:r w:rsidRPr="000C4E79">
        <w:rPr>
          <w:rFonts w:ascii="Arial" w:hAnsi="Arial" w:cs="Arial"/>
          <w:color w:val="000000" w:themeColor="text1"/>
          <w:sz w:val="22"/>
          <w:szCs w:val="22"/>
        </w:rPr>
        <w:lastRenderedPageBreak/>
        <w:t>(Bosworth et al., 2024). On the other hand, knowing that cameras are present may cause anxiety. This may be especially difficult for patients with psychotic disorders who have fears about surveillance (Malik, Acharya and Humane, 2024).</w:t>
      </w:r>
    </w:p>
    <w:p w14:paraId="31816A82" w14:textId="0FCC9CE6" w:rsidR="00D20057" w:rsidRPr="000C4E79" w:rsidRDefault="00DE2576" w:rsidP="000C4E79">
      <w:pPr>
        <w:spacing w:line="360" w:lineRule="auto"/>
        <w:jc w:val="both"/>
        <w:rPr>
          <w:rFonts w:ascii="Arial" w:hAnsi="Arial" w:cs="Arial"/>
          <w:color w:val="000000" w:themeColor="text1"/>
          <w:sz w:val="22"/>
          <w:szCs w:val="22"/>
        </w:rPr>
      </w:pPr>
      <w:r w:rsidRPr="000C4E79">
        <w:rPr>
          <w:rFonts w:ascii="Arial" w:hAnsi="Arial" w:cs="Arial"/>
          <w:color w:val="000000" w:themeColor="text1"/>
          <w:sz w:val="22"/>
          <w:szCs w:val="22"/>
        </w:rPr>
        <w:t xml:space="preserve">Overall, Oxevision changes how services are delivered </w:t>
      </w:r>
      <w:r w:rsidR="00C97E11" w:rsidRPr="000C4E79">
        <w:rPr>
          <w:rFonts w:ascii="Arial" w:hAnsi="Arial" w:cs="Arial"/>
          <w:color w:val="000000" w:themeColor="text1"/>
          <w:sz w:val="22"/>
          <w:szCs w:val="22"/>
        </w:rPr>
        <w:t>daily</w:t>
      </w:r>
      <w:r w:rsidRPr="000C4E79">
        <w:rPr>
          <w:rFonts w:ascii="Arial" w:hAnsi="Arial" w:cs="Arial"/>
          <w:color w:val="000000" w:themeColor="text1"/>
          <w:sz w:val="22"/>
          <w:szCs w:val="22"/>
        </w:rPr>
        <w:t xml:space="preserve">, affecting clinical decisions, </w:t>
      </w:r>
      <w:r w:rsidR="00ED2483" w:rsidRPr="000C4E79">
        <w:rPr>
          <w:rFonts w:ascii="Arial" w:hAnsi="Arial" w:cs="Arial"/>
          <w:color w:val="000000" w:themeColor="text1"/>
          <w:sz w:val="22"/>
          <w:szCs w:val="22"/>
        </w:rPr>
        <w:t>the patient experience, and the way</w:t>
      </w:r>
      <w:r w:rsidRPr="000C4E79">
        <w:rPr>
          <w:rFonts w:ascii="Arial" w:hAnsi="Arial" w:cs="Arial"/>
          <w:color w:val="000000" w:themeColor="text1"/>
          <w:sz w:val="22"/>
          <w:szCs w:val="22"/>
        </w:rPr>
        <w:t xml:space="preserve"> care is organised.</w:t>
      </w:r>
    </w:p>
    <w:p w14:paraId="1E5765D4" w14:textId="77777777" w:rsidR="00D20057" w:rsidRPr="000C4E79" w:rsidRDefault="00D20057" w:rsidP="000C4E79">
      <w:pPr>
        <w:spacing w:line="360" w:lineRule="auto"/>
        <w:jc w:val="both"/>
        <w:rPr>
          <w:rFonts w:ascii="Arial" w:hAnsi="Arial" w:cs="Arial"/>
          <w:b/>
          <w:bCs/>
          <w:color w:val="000000" w:themeColor="text1"/>
          <w:sz w:val="22"/>
          <w:szCs w:val="22"/>
        </w:rPr>
      </w:pPr>
    </w:p>
    <w:p w14:paraId="1BD65ADD" w14:textId="77777777" w:rsidR="00091839" w:rsidRPr="000C4E79" w:rsidRDefault="00091839" w:rsidP="000C4E79">
      <w:pPr>
        <w:spacing w:line="360" w:lineRule="auto"/>
        <w:jc w:val="both"/>
        <w:rPr>
          <w:rFonts w:ascii="Arial" w:hAnsi="Arial" w:cs="Arial"/>
          <w:b/>
          <w:bCs/>
          <w:sz w:val="22"/>
          <w:szCs w:val="22"/>
        </w:rPr>
      </w:pPr>
    </w:p>
    <w:p w14:paraId="46327300" w14:textId="731C32D0" w:rsidR="00C80D0F" w:rsidRPr="000C4E79" w:rsidRDefault="00C80D0F" w:rsidP="000C4E79">
      <w:pPr>
        <w:spacing w:line="360" w:lineRule="auto"/>
        <w:jc w:val="both"/>
        <w:rPr>
          <w:rFonts w:ascii="Arial" w:hAnsi="Arial" w:cs="Arial"/>
          <w:b/>
          <w:bCs/>
          <w:sz w:val="22"/>
          <w:szCs w:val="22"/>
        </w:rPr>
      </w:pPr>
      <w:r w:rsidRPr="000C4E79">
        <w:rPr>
          <w:rFonts w:ascii="Arial" w:hAnsi="Arial" w:cs="Arial"/>
          <w:b/>
          <w:bCs/>
          <w:sz w:val="22"/>
          <w:szCs w:val="22"/>
        </w:rPr>
        <w:t xml:space="preserve">Impact on patients </w:t>
      </w:r>
    </w:p>
    <w:p w14:paraId="3EB67432" w14:textId="0D4749B0" w:rsidR="005E55C4" w:rsidRPr="000C4E79" w:rsidRDefault="005E55C4" w:rsidP="000C4E79">
      <w:pPr>
        <w:spacing w:line="360" w:lineRule="auto"/>
        <w:jc w:val="both"/>
        <w:rPr>
          <w:rFonts w:ascii="Arial" w:hAnsi="Arial" w:cs="Arial"/>
          <w:sz w:val="22"/>
          <w:szCs w:val="22"/>
        </w:rPr>
      </w:pPr>
      <w:r w:rsidRPr="000C4E79">
        <w:rPr>
          <w:rFonts w:ascii="Arial" w:hAnsi="Arial" w:cs="Arial"/>
          <w:sz w:val="22"/>
          <w:szCs w:val="22"/>
        </w:rPr>
        <w:t xml:space="preserve">Oxevision can improve the patient care experience, but it can also create some concerns. This shows a clear impact on patients, especially in how they experience and understand their care. On one hand, fewer physical checks at night can improve sleep, dignity, and independence. Non-contact monitoring may feel less invasive, especially for patients who have experienced trauma or who feel paranoid (Bosworth et al., 2024). This can improve </w:t>
      </w:r>
      <w:r w:rsidR="00334CD1" w:rsidRPr="000C4E79">
        <w:rPr>
          <w:rFonts w:ascii="Arial" w:hAnsi="Arial" w:cs="Arial"/>
          <w:sz w:val="22"/>
          <w:szCs w:val="22"/>
        </w:rPr>
        <w:t>patients' perception of</w:t>
      </w:r>
      <w:r w:rsidRPr="000C4E79">
        <w:rPr>
          <w:rFonts w:ascii="Arial" w:hAnsi="Arial" w:cs="Arial"/>
          <w:sz w:val="22"/>
          <w:szCs w:val="22"/>
        </w:rPr>
        <w:t xml:space="preserve"> their care, making it feel more comfortable and less intrusive.</w:t>
      </w:r>
    </w:p>
    <w:p w14:paraId="78948691" w14:textId="77777777" w:rsidR="005E55C4" w:rsidRPr="000C4E79" w:rsidRDefault="005E55C4" w:rsidP="000C4E79">
      <w:pPr>
        <w:spacing w:line="360" w:lineRule="auto"/>
        <w:jc w:val="both"/>
        <w:rPr>
          <w:rFonts w:ascii="Arial" w:hAnsi="Arial" w:cs="Arial"/>
          <w:sz w:val="22"/>
          <w:szCs w:val="22"/>
        </w:rPr>
      </w:pPr>
      <w:r w:rsidRPr="000C4E79">
        <w:rPr>
          <w:rFonts w:ascii="Arial" w:hAnsi="Arial" w:cs="Arial"/>
          <w:sz w:val="22"/>
          <w:szCs w:val="22"/>
        </w:rPr>
        <w:t>On the other hand, knowing that there is camera-based monitoring can cause anxiety. This may be especially difficult for patients with psychotic disorders who have fears about being watched (Malik, Acharya and Humane, 2024). This can negatively affect patient perception and trust in care. As a result, openness, informed consent, and shared decision-making are very important. Patient experience is very important.</w:t>
      </w:r>
    </w:p>
    <w:p w14:paraId="74FB51CC" w14:textId="77777777" w:rsidR="005E55C4" w:rsidRPr="000C4E79" w:rsidRDefault="005E55C4" w:rsidP="000C4E79">
      <w:pPr>
        <w:spacing w:line="360" w:lineRule="auto"/>
        <w:jc w:val="both"/>
        <w:rPr>
          <w:rFonts w:ascii="Arial" w:hAnsi="Arial" w:cs="Arial"/>
          <w:sz w:val="22"/>
          <w:szCs w:val="22"/>
        </w:rPr>
      </w:pPr>
      <w:r w:rsidRPr="000C4E79">
        <w:rPr>
          <w:rFonts w:ascii="Arial" w:hAnsi="Arial" w:cs="Arial"/>
          <w:sz w:val="22"/>
          <w:szCs w:val="22"/>
        </w:rPr>
        <w:t>Some patients may value better sleep and less intrusion. Others, especially those with paranoia or persecutory delusions, may feel uncomfortable with camera monitoring. For this reason, clear communication and co-production are necessary. Patients need to understand how the system works, what data is collected, and how their privacy is protected. Without trust, the benefits of technology may be reduced. This highlights how patient understanding shapes their experience of care.</w:t>
      </w:r>
    </w:p>
    <w:p w14:paraId="687DF951" w14:textId="77777777" w:rsidR="005E55C4" w:rsidRPr="000C4E79" w:rsidRDefault="005E55C4" w:rsidP="000C4E79">
      <w:pPr>
        <w:spacing w:line="360" w:lineRule="auto"/>
        <w:jc w:val="both"/>
        <w:rPr>
          <w:rFonts w:ascii="Arial" w:hAnsi="Arial" w:cs="Arial"/>
          <w:sz w:val="22"/>
          <w:szCs w:val="22"/>
        </w:rPr>
      </w:pPr>
      <w:r w:rsidRPr="000C4E79">
        <w:rPr>
          <w:rFonts w:ascii="Arial" w:hAnsi="Arial" w:cs="Arial"/>
          <w:sz w:val="22"/>
          <w:szCs w:val="22"/>
        </w:rPr>
        <w:t>Another important aspect is patient empowerment. When patients understand how digital monitoring works, they may feel more involved in safety planning. Some patients may also feel safer knowing that their physical health is monitored, especially those with other health conditions such as sleep apnoea or heart problems (Morsy et al., 2019). In this way, Oxevision may help reduce physical health inequalities in people with severe mental illness.</w:t>
      </w:r>
    </w:p>
    <w:p w14:paraId="43D27C28" w14:textId="77777777" w:rsidR="005E55C4" w:rsidRPr="000C4E79" w:rsidRDefault="005E55C4" w:rsidP="000C4E79">
      <w:pPr>
        <w:spacing w:line="360" w:lineRule="auto"/>
        <w:jc w:val="both"/>
        <w:rPr>
          <w:rFonts w:ascii="Arial" w:hAnsi="Arial" w:cs="Arial"/>
          <w:sz w:val="22"/>
          <w:szCs w:val="22"/>
        </w:rPr>
      </w:pPr>
      <w:r w:rsidRPr="000C4E79">
        <w:rPr>
          <w:rFonts w:ascii="Arial" w:hAnsi="Arial" w:cs="Arial"/>
          <w:sz w:val="22"/>
          <w:szCs w:val="22"/>
        </w:rPr>
        <w:t xml:space="preserve">However, digital monitoring also relates to human rights. The Mental Health Act model supports the least restrictive practice (Fletcher et al., 2018). Even if non-contact monitoring </w:t>
      </w:r>
      <w:r w:rsidRPr="000C4E79">
        <w:rPr>
          <w:rFonts w:ascii="Arial" w:hAnsi="Arial" w:cs="Arial"/>
          <w:sz w:val="22"/>
          <w:szCs w:val="22"/>
        </w:rPr>
        <w:lastRenderedPageBreak/>
        <w:t>seems less intrusive than physical checks, it is still a form of surveillance. Ethical decisions should focus on necessity, proportionality, and the patient’s ability to give informed consent. Special attention should be paid to culturally diverse patients, as their understanding of surveillance technology may differ (Gilbert, Degeling and Johnson, 2019). Information should be clear, available in different languages, and easy to understand.</w:t>
      </w:r>
    </w:p>
    <w:p w14:paraId="50F53C45" w14:textId="419F4126" w:rsidR="0081546E" w:rsidRPr="000C4E79" w:rsidRDefault="005E55C4" w:rsidP="000C4E79">
      <w:pPr>
        <w:spacing w:line="360" w:lineRule="auto"/>
        <w:jc w:val="both"/>
        <w:rPr>
          <w:rFonts w:ascii="Arial" w:hAnsi="Arial" w:cs="Arial"/>
          <w:sz w:val="22"/>
          <w:szCs w:val="22"/>
        </w:rPr>
      </w:pPr>
      <w:r w:rsidRPr="000C4E79">
        <w:rPr>
          <w:rFonts w:ascii="Arial" w:hAnsi="Arial" w:cs="Arial"/>
          <w:sz w:val="22"/>
          <w:szCs w:val="22"/>
        </w:rPr>
        <w:t>Finally, patient experience depends not only on the technology itself, but also on how respectfully and transparently it is introduced within therapeutic relationships. While Oxevision helps monitor patients over long distances, it is important to recognise that it has been criticised. The campaign group Stop Oxevision argues that the system represents 24-hour surveillance in psychiatric hospitals in England. According to the campaign, in some hospitals</w:t>
      </w:r>
      <w:r w:rsidR="00082AA9">
        <w:rPr>
          <w:rFonts w:ascii="Arial" w:hAnsi="Arial" w:cs="Arial"/>
          <w:sz w:val="22"/>
          <w:szCs w:val="22"/>
        </w:rPr>
        <w:t>,</w:t>
      </w:r>
      <w:r w:rsidRPr="000C4E79">
        <w:rPr>
          <w:rFonts w:ascii="Arial" w:hAnsi="Arial" w:cs="Arial"/>
          <w:sz w:val="22"/>
          <w:szCs w:val="22"/>
        </w:rPr>
        <w:t xml:space="preserve"> the technology is installed in all patient bedrooms, which may lead to continuous monitoring without ongoing informed consent or individual risk assessments. This raises serious ethical concerns. If monitoring is applied to all patients as a standard practice, it may conflict with principles of least restrictive care and respect for autonomy. Replacing face-to-face observation with camera-based systems may also affect dignity, privacy, and trust between patients and staff. These concerns suggest that digital monitoring should not be used automatically, but only when clearly justified by individual clinical need (Cocker, 2025).</w:t>
      </w:r>
    </w:p>
    <w:p w14:paraId="30E46EF0" w14:textId="77777777" w:rsidR="0081546E" w:rsidRPr="000C4E79" w:rsidRDefault="0081546E" w:rsidP="000C4E79">
      <w:pPr>
        <w:spacing w:line="360" w:lineRule="auto"/>
        <w:jc w:val="both"/>
        <w:rPr>
          <w:rFonts w:ascii="Arial" w:hAnsi="Arial" w:cs="Arial"/>
          <w:b/>
          <w:bCs/>
          <w:sz w:val="22"/>
          <w:szCs w:val="22"/>
        </w:rPr>
      </w:pPr>
    </w:p>
    <w:p w14:paraId="5554A9BB" w14:textId="77777777" w:rsidR="0081546E" w:rsidRPr="000C4E79" w:rsidRDefault="0081546E" w:rsidP="000C4E79">
      <w:pPr>
        <w:spacing w:line="360" w:lineRule="auto"/>
        <w:jc w:val="both"/>
        <w:rPr>
          <w:rFonts w:ascii="Arial" w:hAnsi="Arial" w:cs="Arial"/>
          <w:b/>
          <w:bCs/>
          <w:sz w:val="22"/>
          <w:szCs w:val="22"/>
        </w:rPr>
      </w:pPr>
    </w:p>
    <w:p w14:paraId="37170587" w14:textId="7A909EC6" w:rsidR="00986E9B" w:rsidRPr="000C4E79" w:rsidRDefault="00C80D0F" w:rsidP="000C4E79">
      <w:pPr>
        <w:spacing w:line="360" w:lineRule="auto"/>
        <w:jc w:val="both"/>
        <w:rPr>
          <w:rFonts w:ascii="Arial" w:hAnsi="Arial" w:cs="Arial"/>
          <w:b/>
          <w:bCs/>
          <w:sz w:val="22"/>
          <w:szCs w:val="22"/>
        </w:rPr>
      </w:pPr>
      <w:r w:rsidRPr="000C4E79">
        <w:rPr>
          <w:rFonts w:ascii="Arial" w:hAnsi="Arial" w:cs="Arial"/>
          <w:b/>
          <w:bCs/>
          <w:sz w:val="22"/>
          <w:szCs w:val="22"/>
        </w:rPr>
        <w:t xml:space="preserve">Impact on </w:t>
      </w:r>
      <w:r w:rsidR="003B01B5" w:rsidRPr="000C4E79">
        <w:rPr>
          <w:rFonts w:ascii="Arial" w:hAnsi="Arial" w:cs="Arial"/>
          <w:b/>
          <w:bCs/>
          <w:sz w:val="22"/>
          <w:szCs w:val="22"/>
        </w:rPr>
        <w:t xml:space="preserve">the </w:t>
      </w:r>
      <w:r w:rsidRPr="000C4E79">
        <w:rPr>
          <w:rFonts w:ascii="Arial" w:hAnsi="Arial" w:cs="Arial"/>
          <w:b/>
          <w:bCs/>
          <w:sz w:val="22"/>
          <w:szCs w:val="22"/>
        </w:rPr>
        <w:t xml:space="preserve">community </w:t>
      </w:r>
    </w:p>
    <w:p w14:paraId="5461A6B6" w14:textId="77777777" w:rsidR="000A7268" w:rsidRPr="000C4E79" w:rsidRDefault="00346756" w:rsidP="000C4E79">
      <w:pPr>
        <w:spacing w:line="360" w:lineRule="auto"/>
        <w:jc w:val="both"/>
        <w:rPr>
          <w:rFonts w:ascii="Arial" w:hAnsi="Arial" w:cs="Arial"/>
          <w:sz w:val="22"/>
          <w:szCs w:val="22"/>
        </w:rPr>
      </w:pPr>
      <w:r w:rsidRPr="000C4E79">
        <w:rPr>
          <w:rFonts w:ascii="Arial" w:hAnsi="Arial" w:cs="Arial"/>
          <w:sz w:val="22"/>
          <w:szCs w:val="22"/>
        </w:rPr>
        <w:t xml:space="preserve">Digital technology can influence how communities view inpatient mental health care. </w:t>
      </w:r>
      <w:r w:rsidR="00412006" w:rsidRPr="000C4E79">
        <w:rPr>
          <w:rFonts w:ascii="Arial" w:hAnsi="Arial" w:cs="Arial"/>
          <w:sz w:val="22"/>
          <w:szCs w:val="22"/>
        </w:rPr>
        <w:t>Digital technology can also influence how society views mental health services, improving public perception and trust (De Rosis et al., 2021).</w:t>
      </w:r>
      <w:r w:rsidR="0055010E" w:rsidRPr="000C4E79">
        <w:rPr>
          <w:rFonts w:ascii="Arial" w:hAnsi="Arial" w:cs="Arial"/>
          <w:sz w:val="22"/>
          <w:szCs w:val="22"/>
        </w:rPr>
        <w:t xml:space="preserve"> </w:t>
      </w:r>
      <w:r w:rsidRPr="000C4E79">
        <w:rPr>
          <w:rFonts w:ascii="Arial" w:hAnsi="Arial" w:cs="Arial"/>
          <w:sz w:val="22"/>
          <w:szCs w:val="22"/>
        </w:rPr>
        <w:t xml:space="preserve">This shows a clear impact on the wider community, including families and public trust in services. When families know that their relatives are being monitored, they may feel more confident in the service (Sunde et al., 2025). Co-production is also important. When patients and carers participate in developing policies, they can help define what is acceptable in the use of monitoring systems. This supports community involvement in </w:t>
      </w:r>
      <w:r w:rsidRPr="000C4E79">
        <w:rPr>
          <w:rFonts w:ascii="Arial" w:hAnsi="Arial" w:cs="Arial"/>
          <w:sz w:val="22"/>
          <w:szCs w:val="22"/>
        </w:rPr>
        <w:t>the design and delivery of services</w:t>
      </w:r>
      <w:r w:rsidRPr="000C4E79">
        <w:rPr>
          <w:rFonts w:ascii="Arial" w:hAnsi="Arial" w:cs="Arial"/>
          <w:sz w:val="22"/>
          <w:szCs w:val="22"/>
        </w:rPr>
        <w:t>. Digital monitoring may also reduce negative incidents and support suicide prevention goals (Mann, Michel and Auerbach, 2021). To achieve these benefits, services must involve the community, communicate openly, and ensure that digital innovation follows ethical standards.</w:t>
      </w:r>
    </w:p>
    <w:p w14:paraId="7E816D46" w14:textId="5C4EC17C" w:rsidR="00346756" w:rsidRPr="000C4E79" w:rsidRDefault="00346756" w:rsidP="000C4E79">
      <w:pPr>
        <w:spacing w:line="360" w:lineRule="auto"/>
        <w:jc w:val="both"/>
        <w:rPr>
          <w:rFonts w:ascii="Arial" w:hAnsi="Arial" w:cs="Arial"/>
          <w:sz w:val="22"/>
          <w:szCs w:val="22"/>
        </w:rPr>
      </w:pPr>
      <w:r w:rsidRPr="000C4E79">
        <w:rPr>
          <w:rFonts w:ascii="Arial" w:hAnsi="Arial" w:cs="Arial"/>
          <w:sz w:val="22"/>
          <w:szCs w:val="22"/>
        </w:rPr>
        <w:t xml:space="preserve">At the community level, families may feel reassured knowing that high-risk areas are carefully monitored. Digital monitoring in mental health settings may also help reduce stigma. By </w:t>
      </w:r>
      <w:r w:rsidRPr="000C4E79">
        <w:rPr>
          <w:rFonts w:ascii="Arial" w:hAnsi="Arial" w:cs="Arial"/>
          <w:sz w:val="22"/>
          <w:szCs w:val="22"/>
        </w:rPr>
        <w:lastRenderedPageBreak/>
        <w:t>demonstrating strong safety standards, services may challenge outdated beliefs that mental health wards are unsafe or poorly managed (Jenkin et al., 2022). This may increase public trust and encourage more people to seek support. This shows how technology can influence public health and community attitudes.</w:t>
      </w:r>
    </w:p>
    <w:p w14:paraId="24DB5F4D" w14:textId="77777777" w:rsidR="00210DD5" w:rsidRPr="000C4E79" w:rsidRDefault="00346756" w:rsidP="000C4E79">
      <w:pPr>
        <w:spacing w:line="360" w:lineRule="auto"/>
        <w:jc w:val="both"/>
        <w:rPr>
          <w:rFonts w:ascii="Arial" w:hAnsi="Arial" w:cs="Arial"/>
          <w:sz w:val="22"/>
          <w:szCs w:val="22"/>
        </w:rPr>
      </w:pPr>
      <w:r w:rsidRPr="000C4E79">
        <w:rPr>
          <w:rFonts w:ascii="Arial" w:hAnsi="Arial" w:cs="Arial"/>
          <w:sz w:val="22"/>
          <w:szCs w:val="22"/>
        </w:rPr>
        <w:t>In the future, community mental health services such as supported housing and crisis units may also adopt similar technologies. This could expand digital safety systems across different services. Family involvement may also increase, and clear communication between services and carers about how monitoring systems operate during admission is essential (McEwan et al., 2025).</w:t>
      </w:r>
      <w:r w:rsidR="00624617" w:rsidRPr="000C4E79">
        <w:rPr>
          <w:rFonts w:ascii="Arial" w:hAnsi="Arial" w:cs="Arial"/>
          <w:sz w:val="22"/>
          <w:szCs w:val="22"/>
        </w:rPr>
        <w:t xml:space="preserve"> </w:t>
      </w:r>
    </w:p>
    <w:p w14:paraId="5A537C3F" w14:textId="7986C6CD" w:rsidR="00986E9B" w:rsidRPr="000C4E79" w:rsidRDefault="00346756" w:rsidP="000C4E79">
      <w:pPr>
        <w:spacing w:line="360" w:lineRule="auto"/>
        <w:jc w:val="both"/>
        <w:rPr>
          <w:rFonts w:ascii="Arial" w:hAnsi="Arial" w:cs="Arial"/>
          <w:sz w:val="22"/>
          <w:szCs w:val="22"/>
        </w:rPr>
      </w:pPr>
      <w:r w:rsidRPr="000C4E79">
        <w:rPr>
          <w:rFonts w:ascii="Arial" w:hAnsi="Arial" w:cs="Arial"/>
          <w:sz w:val="22"/>
          <w:szCs w:val="22"/>
        </w:rPr>
        <w:t>However, transparency is essential. People should not feel that they are being secretly monitored or that their data is being used unfairly. Public education about how these systems operate may help reduce misunderstanding. Ultimately, community trust depends on demonstrating that technology does not replace compassion in care; rather, it supports and strengthens it</w:t>
      </w:r>
      <w:r w:rsidR="000A7268" w:rsidRPr="000C4E79">
        <w:rPr>
          <w:rFonts w:ascii="Arial" w:hAnsi="Arial" w:cs="Arial"/>
          <w:sz w:val="22"/>
          <w:szCs w:val="22"/>
        </w:rPr>
        <w:t xml:space="preserve"> while also addressing privacy and data concerns and complying with laws such as the </w:t>
      </w:r>
      <w:r w:rsidR="00412055" w:rsidRPr="000C4E79">
        <w:rPr>
          <w:rFonts w:ascii="Arial" w:hAnsi="Arial" w:cs="Arial"/>
          <w:sz w:val="22"/>
          <w:szCs w:val="22"/>
        </w:rPr>
        <w:t xml:space="preserve">GDPR </w:t>
      </w:r>
      <w:r w:rsidRPr="000C4E79">
        <w:rPr>
          <w:rFonts w:ascii="Arial" w:hAnsi="Arial" w:cs="Arial"/>
          <w:sz w:val="22"/>
          <w:szCs w:val="22"/>
        </w:rPr>
        <w:t>(UK Government, 2025).</w:t>
      </w:r>
    </w:p>
    <w:p w14:paraId="54A6401C" w14:textId="77777777" w:rsidR="00986E9B" w:rsidRPr="000C4E79" w:rsidRDefault="00986E9B" w:rsidP="000C4E79">
      <w:pPr>
        <w:spacing w:line="360" w:lineRule="auto"/>
        <w:jc w:val="both"/>
        <w:rPr>
          <w:rFonts w:ascii="Arial" w:hAnsi="Arial" w:cs="Arial"/>
          <w:sz w:val="22"/>
          <w:szCs w:val="22"/>
        </w:rPr>
      </w:pPr>
    </w:p>
    <w:p w14:paraId="6E38E4F4" w14:textId="77777777" w:rsidR="00986E9B" w:rsidRPr="000C4E79" w:rsidRDefault="00986E9B" w:rsidP="000C4E79">
      <w:pPr>
        <w:spacing w:line="360" w:lineRule="auto"/>
        <w:jc w:val="both"/>
        <w:rPr>
          <w:rFonts w:ascii="Arial" w:hAnsi="Arial" w:cs="Arial"/>
          <w:sz w:val="22"/>
          <w:szCs w:val="22"/>
        </w:rPr>
      </w:pPr>
    </w:p>
    <w:p w14:paraId="7DEF6B40" w14:textId="77777777" w:rsidR="00986E9B" w:rsidRPr="000C4E79" w:rsidRDefault="00986E9B" w:rsidP="000C4E79">
      <w:pPr>
        <w:spacing w:line="360" w:lineRule="auto"/>
        <w:jc w:val="both"/>
        <w:rPr>
          <w:rFonts w:ascii="Arial" w:hAnsi="Arial" w:cs="Arial"/>
          <w:sz w:val="22"/>
          <w:szCs w:val="22"/>
        </w:rPr>
      </w:pPr>
    </w:p>
    <w:p w14:paraId="0C5078D7" w14:textId="17B460BA" w:rsidR="00C80D0F" w:rsidRPr="000C4E79" w:rsidRDefault="00C80D0F" w:rsidP="000C4E79">
      <w:pPr>
        <w:spacing w:line="360" w:lineRule="auto"/>
        <w:jc w:val="both"/>
        <w:rPr>
          <w:rFonts w:ascii="Arial" w:hAnsi="Arial" w:cs="Arial"/>
          <w:b/>
          <w:bCs/>
          <w:sz w:val="22"/>
          <w:szCs w:val="22"/>
        </w:rPr>
      </w:pPr>
      <w:r w:rsidRPr="000C4E79">
        <w:rPr>
          <w:rFonts w:ascii="Arial" w:hAnsi="Arial" w:cs="Arial"/>
          <w:b/>
          <w:bCs/>
          <w:sz w:val="22"/>
          <w:szCs w:val="22"/>
        </w:rPr>
        <w:t>Conclusion</w:t>
      </w:r>
    </w:p>
    <w:p w14:paraId="0148633C" w14:textId="77777777" w:rsidR="008B39A7" w:rsidRPr="000C4E79" w:rsidRDefault="008375B5" w:rsidP="000C4E79">
      <w:pPr>
        <w:spacing w:line="360" w:lineRule="auto"/>
        <w:jc w:val="both"/>
        <w:rPr>
          <w:rFonts w:ascii="Arial" w:hAnsi="Arial" w:cs="Arial"/>
          <w:sz w:val="22"/>
          <w:szCs w:val="22"/>
        </w:rPr>
      </w:pPr>
      <w:r w:rsidRPr="000C4E79">
        <w:rPr>
          <w:rFonts w:ascii="Arial" w:hAnsi="Arial" w:cs="Arial"/>
          <w:sz w:val="22"/>
          <w:szCs w:val="22"/>
        </w:rPr>
        <w:t xml:space="preserve"> </w:t>
      </w:r>
      <w:r w:rsidR="008B39A7" w:rsidRPr="000C4E79">
        <w:rPr>
          <w:rFonts w:ascii="Arial" w:hAnsi="Arial" w:cs="Arial"/>
          <w:sz w:val="22"/>
          <w:szCs w:val="22"/>
        </w:rPr>
        <w:t>In conclusion, Oxevision is an important innovation in UK inpatient mental health care. It helps create safer environments by using infrared monitoring to collect physical health data while reducing intrusive practices. It changes how staff work, how services are organised, how patients experience care, and how society sees mental health services. Oxevision offers clear benefits for risk management and protecting patient dignity.</w:t>
      </w:r>
    </w:p>
    <w:p w14:paraId="51139FBB" w14:textId="77777777" w:rsidR="008B39A7" w:rsidRPr="000C4E79" w:rsidRDefault="008B39A7" w:rsidP="000C4E79">
      <w:pPr>
        <w:spacing w:line="360" w:lineRule="auto"/>
        <w:jc w:val="both"/>
        <w:rPr>
          <w:rFonts w:ascii="Arial" w:hAnsi="Arial" w:cs="Arial"/>
          <w:sz w:val="22"/>
          <w:szCs w:val="22"/>
        </w:rPr>
      </w:pPr>
      <w:r w:rsidRPr="000C4E79">
        <w:rPr>
          <w:rFonts w:ascii="Arial" w:hAnsi="Arial" w:cs="Arial"/>
          <w:sz w:val="22"/>
          <w:szCs w:val="22"/>
        </w:rPr>
        <w:t>However, ethical concerns such as consent, privacy, and possible psychological effects remain important. The success of this technology depends not only on how well it works, but also on how responsibly it is used in person-centred, recovery-focused care. Mental health care must focus not only on safety, but also on human connection and compassion.</w:t>
      </w:r>
    </w:p>
    <w:p w14:paraId="3E461934" w14:textId="78E3A5D8" w:rsidR="00AD0A7A" w:rsidRPr="000C4E79" w:rsidRDefault="008B39A7" w:rsidP="000C4E79">
      <w:pPr>
        <w:spacing w:line="360" w:lineRule="auto"/>
        <w:jc w:val="both"/>
        <w:rPr>
          <w:rFonts w:ascii="Arial" w:hAnsi="Arial" w:cs="Arial"/>
          <w:sz w:val="22"/>
          <w:szCs w:val="22"/>
        </w:rPr>
      </w:pPr>
      <w:r w:rsidRPr="000C4E79">
        <w:rPr>
          <w:rFonts w:ascii="Arial" w:hAnsi="Arial" w:cs="Arial"/>
          <w:sz w:val="22"/>
          <w:szCs w:val="22"/>
        </w:rPr>
        <w:t>In the future, sustainability will depend on regular evaluation, appropriate regulation, and safe use of digital systems.</w:t>
      </w:r>
    </w:p>
    <w:p w14:paraId="3CE01A6C" w14:textId="77777777" w:rsidR="00751154" w:rsidRPr="000C4E79" w:rsidRDefault="00751154" w:rsidP="000C4E79">
      <w:pPr>
        <w:spacing w:line="360" w:lineRule="auto"/>
        <w:jc w:val="both"/>
        <w:rPr>
          <w:rFonts w:ascii="Arial" w:hAnsi="Arial" w:cs="Arial"/>
          <w:b/>
          <w:bCs/>
          <w:sz w:val="22"/>
          <w:szCs w:val="22"/>
        </w:rPr>
      </w:pPr>
    </w:p>
    <w:p w14:paraId="488E65EE" w14:textId="77777777" w:rsidR="006412E3" w:rsidRPr="000C4E79" w:rsidRDefault="006412E3" w:rsidP="000C4E79">
      <w:pPr>
        <w:spacing w:line="360" w:lineRule="auto"/>
        <w:jc w:val="both"/>
        <w:rPr>
          <w:rFonts w:ascii="Arial" w:hAnsi="Arial" w:cs="Arial"/>
          <w:b/>
          <w:bCs/>
          <w:sz w:val="22"/>
          <w:szCs w:val="22"/>
        </w:rPr>
      </w:pPr>
    </w:p>
    <w:p w14:paraId="21FF4489" w14:textId="77777777" w:rsidR="006412E3" w:rsidRDefault="006412E3" w:rsidP="008375B5">
      <w:pPr>
        <w:spacing w:line="360" w:lineRule="auto"/>
        <w:rPr>
          <w:rFonts w:ascii="Arial" w:hAnsi="Arial" w:cs="Arial"/>
          <w:b/>
          <w:bCs/>
          <w:sz w:val="28"/>
          <w:szCs w:val="28"/>
        </w:rPr>
      </w:pPr>
    </w:p>
    <w:p w14:paraId="4AA751BC" w14:textId="77777777" w:rsidR="006412E3" w:rsidRDefault="006412E3" w:rsidP="008375B5">
      <w:pPr>
        <w:spacing w:line="360" w:lineRule="auto"/>
        <w:rPr>
          <w:rFonts w:ascii="Arial" w:hAnsi="Arial" w:cs="Arial"/>
          <w:b/>
          <w:bCs/>
          <w:sz w:val="28"/>
          <w:szCs w:val="28"/>
        </w:rPr>
      </w:pPr>
    </w:p>
    <w:p w14:paraId="245EE800" w14:textId="77777777" w:rsidR="006412E3" w:rsidRDefault="006412E3" w:rsidP="008375B5">
      <w:pPr>
        <w:spacing w:line="360" w:lineRule="auto"/>
        <w:rPr>
          <w:rFonts w:ascii="Arial" w:hAnsi="Arial" w:cs="Arial"/>
          <w:b/>
          <w:bCs/>
          <w:sz w:val="28"/>
          <w:szCs w:val="28"/>
        </w:rPr>
      </w:pPr>
    </w:p>
    <w:p w14:paraId="63857A30" w14:textId="0FF77C0E" w:rsidR="008375B5" w:rsidRDefault="008375B5" w:rsidP="008375B5">
      <w:pPr>
        <w:spacing w:line="360" w:lineRule="auto"/>
        <w:rPr>
          <w:rFonts w:ascii="Arial" w:hAnsi="Arial" w:cs="Arial"/>
          <w:b/>
          <w:bCs/>
          <w:sz w:val="28"/>
          <w:szCs w:val="28"/>
        </w:rPr>
      </w:pPr>
      <w:r>
        <w:rPr>
          <w:rFonts w:ascii="Arial" w:hAnsi="Arial" w:cs="Arial"/>
          <w:b/>
          <w:bCs/>
          <w:sz w:val="28"/>
          <w:szCs w:val="28"/>
        </w:rPr>
        <w:t>References</w:t>
      </w:r>
    </w:p>
    <w:p w14:paraId="6D2286DF" w14:textId="5FEA4EB5" w:rsidR="00612663" w:rsidRPr="00612663" w:rsidRDefault="00612663" w:rsidP="00612663">
      <w:pPr>
        <w:spacing w:line="360" w:lineRule="auto"/>
        <w:rPr>
          <w:rFonts w:ascii="Arial" w:hAnsi="Arial" w:cs="Arial"/>
        </w:rPr>
      </w:pPr>
      <w:r w:rsidRPr="00612663">
        <w:rPr>
          <w:rFonts w:ascii="Arial" w:hAnsi="Arial" w:cs="Arial"/>
        </w:rPr>
        <w:t>Amin, L. (2025)</w:t>
      </w:r>
      <w:r>
        <w:rPr>
          <w:rFonts w:ascii="Arial" w:hAnsi="Arial" w:cs="Arial"/>
        </w:rPr>
        <w:t>.</w:t>
      </w:r>
      <w:r w:rsidRPr="00612663">
        <w:rPr>
          <w:rFonts w:ascii="Arial" w:hAnsi="Arial" w:cs="Arial"/>
        </w:rPr>
        <w:t xml:space="preserve"> </w:t>
      </w:r>
      <w:r w:rsidRPr="00612663">
        <w:rPr>
          <w:rFonts w:ascii="Arial" w:hAnsi="Arial" w:cs="Arial"/>
          <w:i/>
          <w:iCs/>
        </w:rPr>
        <w:t>Is it safe? Is it spying? Disquiet over NHS ‘magic eye’ surveillance camera in mental health units</w:t>
      </w:r>
      <w:r w:rsidRPr="00612663">
        <w:rPr>
          <w:rFonts w:ascii="Arial" w:hAnsi="Arial" w:cs="Arial"/>
        </w:rPr>
        <w:t>. Substack. Available at: https://democracyforsale.substack.com/p/revealed-the-nhs-mental-health-technology-oxevision-deaths</w:t>
      </w:r>
      <w:r w:rsidRPr="00612663">
        <w:rPr>
          <w:rFonts w:ascii="Segoe UI Symbol" w:hAnsi="Segoe UI Symbol" w:cs="Segoe UI Symbol"/>
        </w:rPr>
        <w:t>⁠</w:t>
      </w:r>
      <w:r w:rsidRPr="00612663">
        <w:rPr>
          <w:rFonts w:ascii="Arial" w:hAnsi="Arial" w:cs="Arial"/>
        </w:rPr>
        <w:t xml:space="preserve"> (Accessed: 14 March 2026).</w:t>
      </w:r>
    </w:p>
    <w:p w14:paraId="609CFA58" w14:textId="52F4730A" w:rsidR="00612663" w:rsidRPr="00612663" w:rsidRDefault="00612663" w:rsidP="00612663">
      <w:pPr>
        <w:spacing w:line="360" w:lineRule="auto"/>
        <w:rPr>
          <w:rFonts w:ascii="Arial" w:hAnsi="Arial" w:cs="Arial"/>
        </w:rPr>
      </w:pPr>
      <w:r w:rsidRPr="00612663">
        <w:rPr>
          <w:rFonts w:ascii="Arial" w:hAnsi="Arial" w:cs="Arial"/>
        </w:rPr>
        <w:t>Bosworth, R. et al. (2024) ‘</w:t>
      </w:r>
      <w:r w:rsidRPr="00BD5695">
        <w:rPr>
          <w:rFonts w:ascii="Arial" w:hAnsi="Arial" w:cs="Arial"/>
          <w:i/>
          <w:iCs/>
        </w:rPr>
        <w:t>Contactless monitoring to prevent self-harm and suicide in custodial settings: Protocol for a global scoping review’, BMJ Open,</w:t>
      </w:r>
      <w:r w:rsidRPr="00612663">
        <w:rPr>
          <w:rFonts w:ascii="Arial" w:hAnsi="Arial" w:cs="Arial"/>
        </w:rPr>
        <w:t xml:space="preserve"> 14(10), p. e087925. Available at: https://doi.org/10.1136/bmjopen-2024-087925</w:t>
      </w:r>
      <w:r w:rsidRPr="00612663">
        <w:rPr>
          <w:rFonts w:ascii="Segoe UI Symbol" w:hAnsi="Segoe UI Symbol" w:cs="Segoe UI Symbol"/>
        </w:rPr>
        <w:t>⁠</w:t>
      </w:r>
    </w:p>
    <w:p w14:paraId="013CDA03" w14:textId="06EE366E" w:rsidR="00612663" w:rsidRPr="00612663" w:rsidRDefault="00612663" w:rsidP="00612663">
      <w:pPr>
        <w:spacing w:line="360" w:lineRule="auto"/>
        <w:rPr>
          <w:rFonts w:ascii="Arial" w:hAnsi="Arial" w:cs="Arial"/>
        </w:rPr>
      </w:pPr>
      <w:r w:rsidRPr="00612663">
        <w:rPr>
          <w:rFonts w:ascii="Arial" w:hAnsi="Arial" w:cs="Arial"/>
        </w:rPr>
        <w:t>Buckley, C., Malcolm, R. and Hanlon, J. (2024) ‘</w:t>
      </w:r>
      <w:r w:rsidRPr="00BD5695">
        <w:rPr>
          <w:rFonts w:ascii="Arial" w:hAnsi="Arial" w:cs="Arial"/>
          <w:i/>
          <w:iCs/>
        </w:rPr>
        <w:t xml:space="preserve">Economic impact of a vision-based patient monitoring system across five NHS mental health trusts’, PLOS Digital Health, </w:t>
      </w:r>
      <w:r w:rsidRPr="00612663">
        <w:rPr>
          <w:rFonts w:ascii="Arial" w:hAnsi="Arial" w:cs="Arial"/>
        </w:rPr>
        <w:t>3(9), p. e0000559. Available at: https://doi.org/10.1371/journal.pdig.0000559</w:t>
      </w:r>
      <w:r w:rsidRPr="00612663">
        <w:rPr>
          <w:rFonts w:ascii="Segoe UI Symbol" w:hAnsi="Segoe UI Symbol" w:cs="Segoe UI Symbol"/>
        </w:rPr>
        <w:t>⁠</w:t>
      </w:r>
    </w:p>
    <w:p w14:paraId="168468FA" w14:textId="7BAACDBC" w:rsidR="00612663" w:rsidRPr="00612663" w:rsidRDefault="00612663" w:rsidP="00612663">
      <w:pPr>
        <w:spacing w:line="360" w:lineRule="auto"/>
        <w:rPr>
          <w:rFonts w:ascii="Arial" w:hAnsi="Arial" w:cs="Arial"/>
        </w:rPr>
      </w:pPr>
      <w:r w:rsidRPr="00612663">
        <w:rPr>
          <w:rFonts w:ascii="Arial" w:hAnsi="Arial" w:cs="Arial"/>
        </w:rPr>
        <w:t>Butler, C.R., Webster, L.B. and Diekema, D.S. (2022) ‘Staffing crisis capacity</w:t>
      </w:r>
      <w:r w:rsidRPr="00BD5695">
        <w:rPr>
          <w:rFonts w:ascii="Arial" w:hAnsi="Arial" w:cs="Arial"/>
          <w:i/>
          <w:iCs/>
        </w:rPr>
        <w:t>: A different approach to healthcare resource allocation for a different type of scarce resource’, Journal of Medical Ethics</w:t>
      </w:r>
      <w:r w:rsidRPr="00612663">
        <w:rPr>
          <w:rFonts w:ascii="Arial" w:hAnsi="Arial" w:cs="Arial"/>
        </w:rPr>
        <w:t>, 50(9), p. medethics-2022-108262. Available at: https://doi.org/10.1136/jme-2022-108262</w:t>
      </w:r>
      <w:r w:rsidRPr="00612663">
        <w:rPr>
          <w:rFonts w:ascii="Segoe UI Symbol" w:hAnsi="Segoe UI Symbol" w:cs="Segoe UI Symbol"/>
        </w:rPr>
        <w:t>⁠</w:t>
      </w:r>
    </w:p>
    <w:p w14:paraId="70BC0806" w14:textId="7D77893C" w:rsidR="00612663" w:rsidRPr="00612663" w:rsidRDefault="00612663" w:rsidP="00612663">
      <w:pPr>
        <w:spacing w:line="360" w:lineRule="auto"/>
        <w:rPr>
          <w:rFonts w:ascii="Arial" w:hAnsi="Arial" w:cs="Arial"/>
        </w:rPr>
      </w:pPr>
      <w:r w:rsidRPr="00612663">
        <w:rPr>
          <w:rFonts w:ascii="Arial" w:hAnsi="Arial" w:cs="Arial"/>
        </w:rPr>
        <w:t>Cocker, A. (2025)</w:t>
      </w:r>
      <w:r w:rsidR="00A059F3">
        <w:rPr>
          <w:rFonts w:ascii="Arial" w:hAnsi="Arial" w:cs="Arial"/>
        </w:rPr>
        <w:t>.</w:t>
      </w:r>
      <w:r w:rsidRPr="00612663">
        <w:rPr>
          <w:rFonts w:ascii="Arial" w:hAnsi="Arial" w:cs="Arial"/>
        </w:rPr>
        <w:t xml:space="preserve"> </w:t>
      </w:r>
      <w:r w:rsidRPr="00A059F3">
        <w:rPr>
          <w:rFonts w:ascii="Arial" w:hAnsi="Arial" w:cs="Arial"/>
          <w:i/>
          <w:iCs/>
        </w:rPr>
        <w:t>NHS caught using invasive surveillance tech on mental health wards – without patients’ consent</w:t>
      </w:r>
      <w:r w:rsidRPr="00612663">
        <w:rPr>
          <w:rFonts w:ascii="Arial" w:hAnsi="Arial" w:cs="Arial"/>
        </w:rPr>
        <w:t>. The Canary. Available at: https://www.thecanary.co/uk/analysis/2025/10/14/</w:t>
      </w:r>
      <w:r w:rsidR="006C1A7B">
        <w:rPr>
          <w:rFonts w:ascii="Arial" w:hAnsi="Arial" w:cs="Arial"/>
        </w:rPr>
        <w:t>O</w:t>
      </w:r>
      <w:r w:rsidRPr="00612663">
        <w:rPr>
          <w:rFonts w:ascii="Arial" w:hAnsi="Arial" w:cs="Arial"/>
        </w:rPr>
        <w:t>xevision-nhs/</w:t>
      </w:r>
      <w:r w:rsidRPr="00612663">
        <w:rPr>
          <w:rFonts w:ascii="Segoe UI Symbol" w:hAnsi="Segoe UI Symbol" w:cs="Segoe UI Symbol"/>
        </w:rPr>
        <w:t>⁠</w:t>
      </w:r>
      <w:r w:rsidRPr="00612663">
        <w:rPr>
          <w:rFonts w:ascii="Arial" w:hAnsi="Arial" w:cs="Arial"/>
        </w:rPr>
        <w:t>(Accessed: 14 March 2026).</w:t>
      </w:r>
    </w:p>
    <w:p w14:paraId="788CC546" w14:textId="4BEEF255" w:rsidR="00612663" w:rsidRPr="00612663" w:rsidRDefault="00612663" w:rsidP="00612663">
      <w:pPr>
        <w:spacing w:line="360" w:lineRule="auto"/>
        <w:rPr>
          <w:rFonts w:ascii="Arial" w:hAnsi="Arial" w:cs="Arial"/>
        </w:rPr>
      </w:pPr>
      <w:r w:rsidRPr="00612663">
        <w:rPr>
          <w:rFonts w:ascii="Arial" w:hAnsi="Arial" w:cs="Arial"/>
        </w:rPr>
        <w:t>De Rosis, S., Bacchielli, C., Vainieri, M. and Bellé, N. (2021) ‘</w:t>
      </w:r>
      <w:r w:rsidRPr="00A059F3">
        <w:rPr>
          <w:rFonts w:ascii="Arial" w:hAnsi="Arial" w:cs="Arial"/>
          <w:i/>
          <w:iCs/>
        </w:rPr>
        <w:t>The relationship between healthcare service provision models and patient experience’, Journal of Health Organisation and Management,</w:t>
      </w:r>
      <w:r w:rsidRPr="00612663">
        <w:rPr>
          <w:rFonts w:ascii="Arial" w:hAnsi="Arial" w:cs="Arial"/>
        </w:rPr>
        <w:t xml:space="preserve"> 36(9), pp. 1–24. Available at: https://doi.org/10.1108/jhom-06-2021-0242</w:t>
      </w:r>
      <w:r w:rsidRPr="00612663">
        <w:rPr>
          <w:rFonts w:ascii="Segoe UI Symbol" w:hAnsi="Segoe UI Symbol" w:cs="Segoe UI Symbol"/>
        </w:rPr>
        <w:t>⁠</w:t>
      </w:r>
    </w:p>
    <w:p w14:paraId="4B791706" w14:textId="60C3A071" w:rsidR="00612663" w:rsidRPr="00612663" w:rsidRDefault="00612663" w:rsidP="00612663">
      <w:pPr>
        <w:spacing w:line="360" w:lineRule="auto"/>
        <w:rPr>
          <w:rFonts w:ascii="Arial" w:hAnsi="Arial" w:cs="Arial"/>
        </w:rPr>
      </w:pPr>
      <w:r w:rsidRPr="00612663">
        <w:rPr>
          <w:rFonts w:ascii="Arial" w:hAnsi="Arial" w:cs="Arial"/>
        </w:rPr>
        <w:lastRenderedPageBreak/>
        <w:t>Donetto, S. et al. (2019) ‘</w:t>
      </w:r>
      <w:r w:rsidRPr="00A059F3">
        <w:rPr>
          <w:rFonts w:ascii="Arial" w:hAnsi="Arial" w:cs="Arial"/>
          <w:i/>
          <w:iCs/>
        </w:rPr>
        <w:t>Organisational strategies and practices to improve care using patient experience data in acute NHS hospital trusts: an ethnographic study’, Health Services and Delivery Research</w:t>
      </w:r>
      <w:r w:rsidRPr="00612663">
        <w:rPr>
          <w:rFonts w:ascii="Arial" w:hAnsi="Arial" w:cs="Arial"/>
        </w:rPr>
        <w:t>, 7(34), pp. 1–112. Available at: https://doi.org/10.3310/hsdr07340</w:t>
      </w:r>
      <w:r w:rsidRPr="00612663">
        <w:rPr>
          <w:rFonts w:ascii="Segoe UI Symbol" w:hAnsi="Segoe UI Symbol" w:cs="Segoe UI Symbol"/>
        </w:rPr>
        <w:t>⁠</w:t>
      </w:r>
    </w:p>
    <w:p w14:paraId="7F75201C" w14:textId="44392EC2" w:rsidR="00612663" w:rsidRPr="00612663" w:rsidRDefault="00612663" w:rsidP="00612663">
      <w:pPr>
        <w:spacing w:line="360" w:lineRule="auto"/>
        <w:rPr>
          <w:rFonts w:ascii="Arial" w:hAnsi="Arial" w:cs="Arial"/>
        </w:rPr>
      </w:pPr>
      <w:r w:rsidRPr="00612663">
        <w:rPr>
          <w:rFonts w:ascii="Arial" w:hAnsi="Arial" w:cs="Arial"/>
        </w:rPr>
        <w:t>Fletcher, J. et al. (2018) ‘</w:t>
      </w:r>
      <w:r w:rsidRPr="00A059F3">
        <w:rPr>
          <w:rFonts w:ascii="Arial" w:hAnsi="Arial" w:cs="Arial"/>
          <w:i/>
          <w:iCs/>
        </w:rPr>
        <w:t>Working towards least restrictive environments in acute mental health wards in the context of locked door policy and practice’, Journal of Mental Health Nursing</w:t>
      </w:r>
      <w:r w:rsidRPr="00612663">
        <w:rPr>
          <w:rFonts w:ascii="Arial" w:hAnsi="Arial" w:cs="Arial"/>
        </w:rPr>
        <w:t>, 28(2), pp. 538–550. Available at: https://doi.org/10.1111/inm.12559</w:t>
      </w:r>
      <w:r w:rsidRPr="00612663">
        <w:rPr>
          <w:rFonts w:ascii="Segoe UI Symbol" w:hAnsi="Segoe UI Symbol" w:cs="Segoe UI Symbol"/>
        </w:rPr>
        <w:t>⁠</w:t>
      </w:r>
    </w:p>
    <w:p w14:paraId="4B5DD7B2" w14:textId="28D37435" w:rsidR="00612663" w:rsidRPr="00612663" w:rsidRDefault="00612663" w:rsidP="00612663">
      <w:pPr>
        <w:spacing w:line="360" w:lineRule="auto"/>
        <w:rPr>
          <w:rFonts w:ascii="Arial" w:hAnsi="Arial" w:cs="Arial"/>
        </w:rPr>
      </w:pPr>
      <w:r w:rsidRPr="00612663">
        <w:rPr>
          <w:rFonts w:ascii="Arial" w:hAnsi="Arial" w:cs="Arial"/>
        </w:rPr>
        <w:t>Gilbert, G.L., Degeling, C. and Johnson, J. (2019) ‘</w:t>
      </w:r>
      <w:r w:rsidRPr="00A059F3">
        <w:rPr>
          <w:rFonts w:ascii="Arial" w:hAnsi="Arial" w:cs="Arial"/>
          <w:i/>
          <w:iCs/>
        </w:rPr>
        <w:t xml:space="preserve">Communicable disease surveillance ethics in the age of big data and new technology’, </w:t>
      </w:r>
      <w:r w:rsidRPr="00612663">
        <w:rPr>
          <w:rFonts w:ascii="Arial" w:hAnsi="Arial" w:cs="Arial"/>
        </w:rPr>
        <w:t>Asian Bioethics Review, 11(2), pp. 173–187. Available at: https://doi.org/10.1007/s41649-019-00087-1</w:t>
      </w:r>
      <w:r w:rsidRPr="00612663">
        <w:rPr>
          <w:rFonts w:ascii="Segoe UI Symbol" w:hAnsi="Segoe UI Symbol" w:cs="Segoe UI Symbol"/>
        </w:rPr>
        <w:t>⁠</w:t>
      </w:r>
    </w:p>
    <w:p w14:paraId="6A289583" w14:textId="531DDA1D" w:rsidR="00612663" w:rsidRPr="00612663" w:rsidRDefault="00612663" w:rsidP="00612663">
      <w:pPr>
        <w:spacing w:line="360" w:lineRule="auto"/>
        <w:rPr>
          <w:rFonts w:ascii="Arial" w:hAnsi="Arial" w:cs="Arial"/>
        </w:rPr>
      </w:pPr>
      <w:r w:rsidRPr="00612663">
        <w:rPr>
          <w:rFonts w:ascii="Arial" w:hAnsi="Arial" w:cs="Arial"/>
        </w:rPr>
        <w:t>Harsha, P. et al. (2019) ‘</w:t>
      </w:r>
      <w:r w:rsidRPr="004D0A0A">
        <w:rPr>
          <w:rFonts w:ascii="Arial" w:hAnsi="Arial" w:cs="Arial"/>
          <w:i/>
          <w:iCs/>
        </w:rPr>
        <w:t>Challenges with continuous pulse oximetry monitoring and wireless clinician notification systems after surgery’, JMIR Medical Informatics</w:t>
      </w:r>
      <w:r w:rsidRPr="00612663">
        <w:rPr>
          <w:rFonts w:ascii="Arial" w:hAnsi="Arial" w:cs="Arial"/>
        </w:rPr>
        <w:t>, 7(4), p. e14603. Available at: https://doi.org/10.2196/14603</w:t>
      </w:r>
      <w:r w:rsidRPr="00612663">
        <w:rPr>
          <w:rFonts w:ascii="Segoe UI Symbol" w:hAnsi="Segoe UI Symbol" w:cs="Segoe UI Symbol"/>
        </w:rPr>
        <w:t>⁠</w:t>
      </w:r>
    </w:p>
    <w:p w14:paraId="31FCB83A" w14:textId="3B45619A" w:rsidR="00612663" w:rsidRPr="00612663" w:rsidRDefault="00612663" w:rsidP="00612663">
      <w:pPr>
        <w:spacing w:line="360" w:lineRule="auto"/>
        <w:rPr>
          <w:rFonts w:ascii="Arial" w:hAnsi="Arial" w:cs="Arial"/>
        </w:rPr>
      </w:pPr>
      <w:r w:rsidRPr="00612663">
        <w:rPr>
          <w:rFonts w:ascii="Arial" w:hAnsi="Arial" w:cs="Arial"/>
        </w:rPr>
        <w:t xml:space="preserve">Isbell, L.M. et al. (2020) </w:t>
      </w:r>
      <w:r w:rsidRPr="004D0A0A">
        <w:rPr>
          <w:rFonts w:ascii="Arial" w:hAnsi="Arial" w:cs="Arial"/>
          <w:i/>
          <w:iCs/>
        </w:rPr>
        <w:t>‘What do emergency department physicians and nurses feel?’, BMJ Quality &amp; Safety,</w:t>
      </w:r>
      <w:r w:rsidRPr="00612663">
        <w:rPr>
          <w:rFonts w:ascii="Arial" w:hAnsi="Arial" w:cs="Arial"/>
        </w:rPr>
        <w:t xml:space="preserve"> 29(10), p. bmjqs-2019-010179. Available at: https://doi.org/10.1136/bmjqs-2019-010179</w:t>
      </w:r>
      <w:r w:rsidRPr="00612663">
        <w:rPr>
          <w:rFonts w:ascii="Segoe UI Symbol" w:hAnsi="Segoe UI Symbol" w:cs="Segoe UI Symbol"/>
        </w:rPr>
        <w:t>⁠</w:t>
      </w:r>
    </w:p>
    <w:p w14:paraId="473469A7" w14:textId="6FBE2D54" w:rsidR="00612663" w:rsidRPr="00612663" w:rsidRDefault="00612663" w:rsidP="00612663">
      <w:pPr>
        <w:spacing w:line="360" w:lineRule="auto"/>
        <w:rPr>
          <w:rFonts w:ascii="Arial" w:hAnsi="Arial" w:cs="Arial"/>
        </w:rPr>
      </w:pPr>
      <w:r w:rsidRPr="00612663">
        <w:rPr>
          <w:rFonts w:ascii="Arial" w:hAnsi="Arial" w:cs="Arial"/>
        </w:rPr>
        <w:t xml:space="preserve">Jenkin, G. et al. (2022) </w:t>
      </w:r>
      <w:r w:rsidRPr="004D0A0A">
        <w:rPr>
          <w:rFonts w:ascii="Arial" w:hAnsi="Arial" w:cs="Arial"/>
          <w:i/>
          <w:iCs/>
        </w:rPr>
        <w:t>‘Places of safety? Fear and violence in acute mental health facilities’, PLOS ONE,</w:t>
      </w:r>
      <w:r w:rsidRPr="00612663">
        <w:rPr>
          <w:rFonts w:ascii="Arial" w:hAnsi="Arial" w:cs="Arial"/>
        </w:rPr>
        <w:t xml:space="preserve"> 17(5), p. e0266935. Available at: https://doi.org/10.1371/journal.pone.0266935</w:t>
      </w:r>
      <w:r w:rsidRPr="00612663">
        <w:rPr>
          <w:rFonts w:ascii="Segoe UI Symbol" w:hAnsi="Segoe UI Symbol" w:cs="Segoe UI Symbol"/>
        </w:rPr>
        <w:t>⁠</w:t>
      </w:r>
    </w:p>
    <w:p w14:paraId="40C60AAD" w14:textId="6DDDEE4B" w:rsidR="00612663" w:rsidRPr="00612663" w:rsidRDefault="00612663" w:rsidP="00612663">
      <w:pPr>
        <w:spacing w:line="360" w:lineRule="auto"/>
        <w:rPr>
          <w:rFonts w:ascii="Arial" w:hAnsi="Arial" w:cs="Arial"/>
        </w:rPr>
      </w:pPr>
      <w:r w:rsidRPr="00612663">
        <w:rPr>
          <w:rFonts w:ascii="Arial" w:hAnsi="Arial" w:cs="Arial"/>
        </w:rPr>
        <w:t>Khan, N.F. et al. (2021) ‘</w:t>
      </w:r>
      <w:r w:rsidRPr="004D0A0A">
        <w:rPr>
          <w:rFonts w:ascii="Arial" w:hAnsi="Arial" w:cs="Arial"/>
          <w:i/>
          <w:iCs/>
        </w:rPr>
        <w:t xml:space="preserve">Use of prescribing safety quality improvement reports in UK general practices’, BMC Health Services Research, </w:t>
      </w:r>
      <w:r w:rsidRPr="00612663">
        <w:rPr>
          <w:rFonts w:ascii="Arial" w:hAnsi="Arial" w:cs="Arial"/>
        </w:rPr>
        <w:t>21(1). Available at: https://doi.org/10.1186/s12913-021-06417-0</w:t>
      </w:r>
      <w:r w:rsidRPr="00612663">
        <w:rPr>
          <w:rFonts w:ascii="Segoe UI Symbol" w:hAnsi="Segoe UI Symbol" w:cs="Segoe UI Symbol"/>
        </w:rPr>
        <w:t>⁠</w:t>
      </w:r>
    </w:p>
    <w:p w14:paraId="089474FB" w14:textId="760B99F8" w:rsidR="00612663" w:rsidRPr="00612663" w:rsidRDefault="00612663" w:rsidP="00612663">
      <w:pPr>
        <w:spacing w:line="360" w:lineRule="auto"/>
        <w:rPr>
          <w:rFonts w:ascii="Arial" w:hAnsi="Arial" w:cs="Arial"/>
        </w:rPr>
      </w:pPr>
      <w:r w:rsidRPr="00612663">
        <w:rPr>
          <w:rFonts w:ascii="Arial" w:hAnsi="Arial" w:cs="Arial"/>
        </w:rPr>
        <w:t xml:space="preserve">Li, H., Li, Q., Xu, Z. and Ye, X. (2025) </w:t>
      </w:r>
      <w:r w:rsidRPr="004D0A0A">
        <w:rPr>
          <w:rFonts w:ascii="Arial" w:hAnsi="Arial" w:cs="Arial"/>
          <w:i/>
          <w:iCs/>
        </w:rPr>
        <w:t>‘Digital technologies’, Journal of Digital Economy</w:t>
      </w:r>
      <w:r w:rsidRPr="00612663">
        <w:rPr>
          <w:rFonts w:ascii="Arial" w:hAnsi="Arial" w:cs="Arial"/>
        </w:rPr>
        <w:t>, 3, pp. 240–248. Available at: https://doi.org/10.1016/j.jdec.2025.02.001</w:t>
      </w:r>
      <w:r w:rsidRPr="00612663">
        <w:rPr>
          <w:rFonts w:ascii="Segoe UI Symbol" w:hAnsi="Segoe UI Symbol" w:cs="Segoe UI Symbol"/>
        </w:rPr>
        <w:t>⁠</w:t>
      </w:r>
    </w:p>
    <w:p w14:paraId="42586466" w14:textId="361EC07F" w:rsidR="00612663" w:rsidRPr="00612663" w:rsidRDefault="00612663" w:rsidP="00612663">
      <w:pPr>
        <w:spacing w:line="360" w:lineRule="auto"/>
        <w:rPr>
          <w:rFonts w:ascii="Arial" w:hAnsi="Arial" w:cs="Arial"/>
        </w:rPr>
      </w:pPr>
      <w:r w:rsidRPr="00612663">
        <w:rPr>
          <w:rFonts w:ascii="Arial" w:hAnsi="Arial" w:cs="Arial"/>
        </w:rPr>
        <w:lastRenderedPageBreak/>
        <w:t xml:space="preserve">Malik, A.S., Acharya, S. and Humane, S. (2024) </w:t>
      </w:r>
      <w:r w:rsidRPr="0004574D">
        <w:rPr>
          <w:rFonts w:ascii="Arial" w:hAnsi="Arial" w:cs="Arial"/>
          <w:i/>
          <w:iCs/>
        </w:rPr>
        <w:t>‘Exploring the impact of security technologies on mental health’,</w:t>
      </w:r>
      <w:r w:rsidRPr="00612663">
        <w:rPr>
          <w:rFonts w:ascii="Arial" w:hAnsi="Arial" w:cs="Arial"/>
        </w:rPr>
        <w:t xml:space="preserve"> Cureus, 16(2). Available at: https://doi.org/10.7759/cureus.53664</w:t>
      </w:r>
      <w:r w:rsidRPr="00612663">
        <w:rPr>
          <w:rFonts w:ascii="Segoe UI Symbol" w:hAnsi="Segoe UI Symbol" w:cs="Segoe UI Symbol"/>
        </w:rPr>
        <w:t>⁠</w:t>
      </w:r>
    </w:p>
    <w:p w14:paraId="54108521" w14:textId="72D8E2D2" w:rsidR="00612663" w:rsidRPr="00612663" w:rsidRDefault="00612663" w:rsidP="00612663">
      <w:pPr>
        <w:spacing w:line="360" w:lineRule="auto"/>
        <w:rPr>
          <w:rFonts w:ascii="Arial" w:hAnsi="Arial" w:cs="Arial"/>
        </w:rPr>
      </w:pPr>
      <w:r w:rsidRPr="00612663">
        <w:rPr>
          <w:rFonts w:ascii="Arial" w:hAnsi="Arial" w:cs="Arial"/>
        </w:rPr>
        <w:t>Mann, J.J., Michel, C.A. and Auerbach, R.P. (2021) ‘</w:t>
      </w:r>
      <w:r w:rsidRPr="0004574D">
        <w:rPr>
          <w:rFonts w:ascii="Arial" w:hAnsi="Arial" w:cs="Arial"/>
          <w:i/>
          <w:iCs/>
        </w:rPr>
        <w:t>Improving suicide prevention through evidence-based strategies’, American Journal of Psychiatry</w:t>
      </w:r>
      <w:r w:rsidRPr="00612663">
        <w:rPr>
          <w:rFonts w:ascii="Arial" w:hAnsi="Arial" w:cs="Arial"/>
        </w:rPr>
        <w:t>, 178(7), pp. 611–624. Available at: https://doi.org/10.1176/appi.ajp.2020.20060864</w:t>
      </w:r>
      <w:r w:rsidRPr="00612663">
        <w:rPr>
          <w:rFonts w:ascii="Segoe UI Symbol" w:hAnsi="Segoe UI Symbol" w:cs="Segoe UI Symbol"/>
        </w:rPr>
        <w:t>⁠</w:t>
      </w:r>
    </w:p>
    <w:p w14:paraId="18D0284B" w14:textId="203A8EB7" w:rsidR="00612663" w:rsidRPr="00612663" w:rsidRDefault="00612663" w:rsidP="00612663">
      <w:pPr>
        <w:spacing w:line="360" w:lineRule="auto"/>
        <w:rPr>
          <w:rFonts w:ascii="Arial" w:hAnsi="Arial" w:cs="Arial"/>
        </w:rPr>
      </w:pPr>
      <w:r w:rsidRPr="00612663">
        <w:rPr>
          <w:rFonts w:ascii="Arial" w:hAnsi="Arial" w:cs="Arial"/>
        </w:rPr>
        <w:t>McEwan, K. et al. (2025) ‘</w:t>
      </w:r>
      <w:r w:rsidRPr="004C7D56">
        <w:rPr>
          <w:rFonts w:ascii="Arial" w:hAnsi="Arial" w:cs="Arial"/>
          <w:i/>
          <w:iCs/>
        </w:rPr>
        <w:t>Co-producing personalised discharge planning’, Health Expectations</w:t>
      </w:r>
      <w:r w:rsidRPr="00612663">
        <w:rPr>
          <w:rFonts w:ascii="Arial" w:hAnsi="Arial" w:cs="Arial"/>
        </w:rPr>
        <w:t>, 28(6). Available at: https://doi.org/10.1111/hex.70483</w:t>
      </w:r>
      <w:r w:rsidRPr="00612663">
        <w:rPr>
          <w:rFonts w:ascii="Segoe UI Symbol" w:hAnsi="Segoe UI Symbol" w:cs="Segoe UI Symbol"/>
        </w:rPr>
        <w:t>⁠</w:t>
      </w:r>
    </w:p>
    <w:p w14:paraId="04A68EE8" w14:textId="0181C4F2" w:rsidR="00612663" w:rsidRPr="00612663" w:rsidRDefault="00612663" w:rsidP="00612663">
      <w:pPr>
        <w:spacing w:line="360" w:lineRule="auto"/>
        <w:rPr>
          <w:rFonts w:ascii="Arial" w:hAnsi="Arial" w:cs="Arial"/>
        </w:rPr>
      </w:pPr>
      <w:r w:rsidRPr="00612663">
        <w:rPr>
          <w:rFonts w:ascii="Arial" w:hAnsi="Arial" w:cs="Arial"/>
        </w:rPr>
        <w:t xml:space="preserve">Moakes, K.-J. (2025) </w:t>
      </w:r>
      <w:r w:rsidRPr="00227DEC">
        <w:rPr>
          <w:rFonts w:ascii="Arial" w:hAnsi="Arial" w:cs="Arial"/>
          <w:i/>
          <w:iCs/>
        </w:rPr>
        <w:t xml:space="preserve">e-space </w:t>
      </w:r>
      <w:r w:rsidRPr="00612663">
        <w:rPr>
          <w:rFonts w:ascii="Arial" w:hAnsi="Arial" w:cs="Arial"/>
        </w:rPr>
        <w:t>(Preprint). MMU. Available at: https://e-space.mmu.ac.uk/639843/1/K_Moakes_Thesis_.pdf</w:t>
      </w:r>
      <w:r w:rsidRPr="00612663">
        <w:rPr>
          <w:rFonts w:ascii="Segoe UI Symbol" w:hAnsi="Segoe UI Symbol" w:cs="Segoe UI Symbol"/>
        </w:rPr>
        <w:t>⁠</w:t>
      </w:r>
      <w:r w:rsidRPr="00612663">
        <w:rPr>
          <w:rFonts w:ascii="Arial" w:hAnsi="Arial" w:cs="Arial"/>
        </w:rPr>
        <w:t xml:space="preserve"> (Accessed: 14 March 2026).</w:t>
      </w:r>
    </w:p>
    <w:p w14:paraId="04C4FC9A" w14:textId="17F282E5" w:rsidR="00612663" w:rsidRPr="00612663" w:rsidRDefault="00612663" w:rsidP="00612663">
      <w:pPr>
        <w:spacing w:line="360" w:lineRule="auto"/>
        <w:rPr>
          <w:rFonts w:ascii="Arial" w:hAnsi="Arial" w:cs="Arial"/>
        </w:rPr>
      </w:pPr>
      <w:r w:rsidRPr="00612663">
        <w:rPr>
          <w:rFonts w:ascii="Arial" w:hAnsi="Arial" w:cs="Arial"/>
        </w:rPr>
        <w:t>Morsy, N.E. et al. (2019) ‘</w:t>
      </w:r>
      <w:r w:rsidRPr="00227DEC">
        <w:rPr>
          <w:rFonts w:ascii="Arial" w:hAnsi="Arial" w:cs="Arial"/>
          <w:i/>
          <w:iCs/>
        </w:rPr>
        <w:t>Obstructive sleep apnea: personal, societal, public health, and legal implications’, Reviews on Environmental Health</w:t>
      </w:r>
      <w:r w:rsidRPr="00612663">
        <w:rPr>
          <w:rFonts w:ascii="Arial" w:hAnsi="Arial" w:cs="Arial"/>
        </w:rPr>
        <w:t>, 34(2), pp. 153–169. Available at: https://doi.org/10.1515/reveh-2018-0068</w:t>
      </w:r>
      <w:r w:rsidRPr="00612663">
        <w:rPr>
          <w:rFonts w:ascii="Segoe UI Symbol" w:hAnsi="Segoe UI Symbol" w:cs="Segoe UI Symbol"/>
        </w:rPr>
        <w:t>⁠</w:t>
      </w:r>
    </w:p>
    <w:p w14:paraId="141B5AC4" w14:textId="4D944E40" w:rsidR="00612663" w:rsidRPr="00612663" w:rsidRDefault="00612663" w:rsidP="00612663">
      <w:pPr>
        <w:spacing w:line="360" w:lineRule="auto"/>
        <w:rPr>
          <w:rFonts w:ascii="Arial" w:hAnsi="Arial" w:cs="Arial"/>
        </w:rPr>
      </w:pPr>
      <w:r w:rsidRPr="00612663">
        <w:rPr>
          <w:rFonts w:ascii="Arial" w:hAnsi="Arial" w:cs="Arial"/>
        </w:rPr>
        <w:t xml:space="preserve">NHS England (2019) </w:t>
      </w:r>
      <w:r w:rsidRPr="00227DEC">
        <w:rPr>
          <w:rFonts w:ascii="Arial" w:hAnsi="Arial" w:cs="Arial"/>
          <w:i/>
          <w:iCs/>
        </w:rPr>
        <w:t>NHS Long Term Plan.</w:t>
      </w:r>
      <w:r w:rsidRPr="00612663">
        <w:rPr>
          <w:rFonts w:ascii="Arial" w:hAnsi="Arial" w:cs="Arial"/>
        </w:rPr>
        <w:t xml:space="preserve"> Available at: https://www.england.nhs.uk/long-term-plan/</w:t>
      </w:r>
      <w:r w:rsidRPr="00612663">
        <w:rPr>
          <w:rFonts w:ascii="Segoe UI Symbol" w:hAnsi="Segoe UI Symbol" w:cs="Segoe UI Symbol"/>
        </w:rPr>
        <w:t>⁠</w:t>
      </w:r>
      <w:r w:rsidRPr="00612663">
        <w:rPr>
          <w:rFonts w:ascii="Arial" w:hAnsi="Arial" w:cs="Arial"/>
        </w:rPr>
        <w:t xml:space="preserve"> (Accessed: 1 March 2026).</w:t>
      </w:r>
    </w:p>
    <w:p w14:paraId="7875DB3B" w14:textId="5B34C5F1" w:rsidR="00612663" w:rsidRPr="00612663" w:rsidRDefault="00612663" w:rsidP="00612663">
      <w:pPr>
        <w:spacing w:line="360" w:lineRule="auto"/>
        <w:rPr>
          <w:rFonts w:ascii="Arial" w:hAnsi="Arial" w:cs="Arial"/>
        </w:rPr>
      </w:pPr>
      <w:r w:rsidRPr="00612663">
        <w:rPr>
          <w:rFonts w:ascii="Arial" w:hAnsi="Arial" w:cs="Arial"/>
        </w:rPr>
        <w:t>NHS.uk (2024)</w:t>
      </w:r>
      <w:r w:rsidR="00227DEC">
        <w:rPr>
          <w:rFonts w:ascii="Arial" w:hAnsi="Arial" w:cs="Arial"/>
        </w:rPr>
        <w:t>.</w:t>
      </w:r>
      <w:r w:rsidRPr="00612663">
        <w:rPr>
          <w:rFonts w:ascii="Arial" w:hAnsi="Arial" w:cs="Arial"/>
        </w:rPr>
        <w:t xml:space="preserve"> </w:t>
      </w:r>
      <w:r w:rsidRPr="00D55633">
        <w:rPr>
          <w:rFonts w:ascii="Arial" w:hAnsi="Arial" w:cs="Arial"/>
          <w:i/>
          <w:iCs/>
        </w:rPr>
        <w:t>Combined Healthcare launches Oxevision on wards. Available at: https://www.combined.nhs.uk/news/latest-updates/combined-healthcare-launches-oxevision-on-wards/</w:t>
      </w:r>
      <w:r w:rsidRPr="00D55633">
        <w:rPr>
          <w:rFonts w:ascii="Segoe UI Symbol" w:hAnsi="Segoe UI Symbol" w:cs="Segoe UI Symbol"/>
          <w:i/>
          <w:iCs/>
        </w:rPr>
        <w:t>⁠</w:t>
      </w:r>
      <w:r w:rsidRPr="00612663">
        <w:rPr>
          <w:rFonts w:ascii="Arial" w:hAnsi="Arial" w:cs="Arial"/>
        </w:rPr>
        <w:t xml:space="preserve"> (Accessed: 14 March 2026).</w:t>
      </w:r>
    </w:p>
    <w:p w14:paraId="5C6851F4" w14:textId="3B8BC30C" w:rsidR="00612663" w:rsidRPr="00612663" w:rsidRDefault="00612663" w:rsidP="00612663">
      <w:pPr>
        <w:spacing w:line="360" w:lineRule="auto"/>
        <w:rPr>
          <w:rFonts w:ascii="Arial" w:hAnsi="Arial" w:cs="Arial"/>
        </w:rPr>
      </w:pPr>
      <w:r w:rsidRPr="00612663">
        <w:rPr>
          <w:rFonts w:ascii="Arial" w:hAnsi="Arial" w:cs="Arial"/>
        </w:rPr>
        <w:t>Parker, S.K. and Grote, G. (2022) ‘</w:t>
      </w:r>
      <w:r w:rsidRPr="006412E3">
        <w:rPr>
          <w:rFonts w:ascii="Arial" w:hAnsi="Arial" w:cs="Arial"/>
          <w:i/>
          <w:iCs/>
        </w:rPr>
        <w:t>Automation, algorithms, and beyond’, Applied Psychology,</w:t>
      </w:r>
      <w:r w:rsidRPr="00612663">
        <w:rPr>
          <w:rFonts w:ascii="Arial" w:hAnsi="Arial" w:cs="Arial"/>
        </w:rPr>
        <w:t xml:space="preserve"> 71(4), pp. 1171–1204. Available at: https://doi.org/10.1111/apps.12241</w:t>
      </w:r>
      <w:r w:rsidRPr="00612663">
        <w:rPr>
          <w:rFonts w:ascii="Segoe UI Symbol" w:hAnsi="Segoe UI Symbol" w:cs="Segoe UI Symbol"/>
        </w:rPr>
        <w:t>⁠</w:t>
      </w:r>
    </w:p>
    <w:p w14:paraId="291CF0A8" w14:textId="7BC6745B" w:rsidR="00612663" w:rsidRPr="00612663" w:rsidRDefault="00612663" w:rsidP="00612663">
      <w:pPr>
        <w:spacing w:line="360" w:lineRule="auto"/>
        <w:rPr>
          <w:rFonts w:ascii="Arial" w:hAnsi="Arial" w:cs="Arial"/>
        </w:rPr>
      </w:pPr>
      <w:r w:rsidRPr="00612663">
        <w:rPr>
          <w:rFonts w:ascii="Arial" w:hAnsi="Arial" w:cs="Arial"/>
        </w:rPr>
        <w:t>Pyke-Grimm, K.A. et al. (2022) ‘</w:t>
      </w:r>
      <w:r w:rsidRPr="006412E3">
        <w:rPr>
          <w:rFonts w:ascii="Arial" w:hAnsi="Arial" w:cs="Arial"/>
          <w:i/>
          <w:iCs/>
        </w:rPr>
        <w:t>Day-to-day decision making by adolescents and young adults with cancer’, Journal of Pediatric Hematology/Oncology Nursing</w:t>
      </w:r>
      <w:r w:rsidRPr="00612663">
        <w:rPr>
          <w:rFonts w:ascii="Arial" w:hAnsi="Arial" w:cs="Arial"/>
        </w:rPr>
        <w:t>, 39(5), pp. 290–303. Available at: https://doi.org/10.1177/27527530211068718</w:t>
      </w:r>
      <w:r w:rsidRPr="00612663">
        <w:rPr>
          <w:rFonts w:ascii="Segoe UI Symbol" w:hAnsi="Segoe UI Symbol" w:cs="Segoe UI Symbol"/>
        </w:rPr>
        <w:t>⁠</w:t>
      </w:r>
    </w:p>
    <w:p w14:paraId="56492FE7" w14:textId="64AD8594" w:rsidR="00612663" w:rsidRPr="00612663" w:rsidRDefault="00612663" w:rsidP="00612663">
      <w:pPr>
        <w:spacing w:line="360" w:lineRule="auto"/>
        <w:rPr>
          <w:rFonts w:ascii="Arial" w:hAnsi="Arial" w:cs="Arial"/>
        </w:rPr>
      </w:pPr>
      <w:r w:rsidRPr="00612663">
        <w:rPr>
          <w:rFonts w:ascii="Arial" w:hAnsi="Arial" w:cs="Arial"/>
        </w:rPr>
        <w:t xml:space="preserve">Sunde, O.S. et al. (2025) </w:t>
      </w:r>
      <w:r w:rsidRPr="006412E3">
        <w:rPr>
          <w:rFonts w:ascii="Arial" w:hAnsi="Arial" w:cs="Arial"/>
          <w:i/>
          <w:iCs/>
        </w:rPr>
        <w:t>‘Maintaining trust and seeking support’, BMC Geriatrics</w:t>
      </w:r>
      <w:r w:rsidRPr="00612663">
        <w:rPr>
          <w:rFonts w:ascii="Arial" w:hAnsi="Arial" w:cs="Arial"/>
        </w:rPr>
        <w:t>, 25(1). Available at: https://doi.org/10.1186/s12877-025-05781-4</w:t>
      </w:r>
      <w:r w:rsidRPr="00612663">
        <w:rPr>
          <w:rFonts w:ascii="Segoe UI Symbol" w:hAnsi="Segoe UI Symbol" w:cs="Segoe UI Symbol"/>
        </w:rPr>
        <w:t>⁠</w:t>
      </w:r>
    </w:p>
    <w:p w14:paraId="50BF86B6" w14:textId="77777777" w:rsidR="00612663" w:rsidRPr="00612663" w:rsidRDefault="00612663" w:rsidP="00612663">
      <w:pPr>
        <w:spacing w:line="360" w:lineRule="auto"/>
        <w:rPr>
          <w:rFonts w:ascii="Arial" w:hAnsi="Arial" w:cs="Arial"/>
        </w:rPr>
      </w:pPr>
      <w:r w:rsidRPr="00612663">
        <w:rPr>
          <w:rFonts w:ascii="Arial" w:hAnsi="Arial" w:cs="Arial"/>
        </w:rPr>
        <w:t xml:space="preserve">UK Government (2025) </w:t>
      </w:r>
      <w:r w:rsidRPr="006412E3">
        <w:rPr>
          <w:rFonts w:ascii="Arial" w:hAnsi="Arial" w:cs="Arial"/>
          <w:i/>
          <w:iCs/>
        </w:rPr>
        <w:t>Data Protection Act. Gov.uk</w:t>
      </w:r>
      <w:r w:rsidRPr="00612663">
        <w:rPr>
          <w:rFonts w:ascii="Arial" w:hAnsi="Arial" w:cs="Arial"/>
        </w:rPr>
        <w:t>. Available at: https://www.gov.uk/data-protection</w:t>
      </w:r>
      <w:r w:rsidRPr="00612663">
        <w:rPr>
          <w:rFonts w:ascii="Segoe UI Symbol" w:hAnsi="Segoe UI Symbol" w:cs="Segoe UI Symbol"/>
        </w:rPr>
        <w:t>⁠</w:t>
      </w:r>
      <w:r w:rsidRPr="00612663">
        <w:rPr>
          <w:rFonts w:ascii="Arial" w:hAnsi="Arial" w:cs="Arial"/>
        </w:rPr>
        <w:t>� (Accessed: 14 March 2026).</w:t>
      </w:r>
    </w:p>
    <w:p w14:paraId="5E9FCD21" w14:textId="6FEA7107" w:rsidR="00612663" w:rsidRPr="00612663" w:rsidRDefault="00612663" w:rsidP="00612663">
      <w:pPr>
        <w:spacing w:line="360" w:lineRule="auto"/>
        <w:rPr>
          <w:rFonts w:ascii="Arial" w:hAnsi="Arial" w:cs="Arial"/>
        </w:rPr>
      </w:pPr>
      <w:r w:rsidRPr="00612663">
        <w:rPr>
          <w:rFonts w:ascii="Arial" w:hAnsi="Arial" w:cs="Arial"/>
        </w:rPr>
        <w:lastRenderedPageBreak/>
        <w:t>Wood, L., Williams, C., Billings, J. and Johnson, S. (2019) ‘</w:t>
      </w:r>
      <w:r w:rsidRPr="006412E3">
        <w:rPr>
          <w:rFonts w:ascii="Arial" w:hAnsi="Arial" w:cs="Arial"/>
          <w:i/>
          <w:iCs/>
        </w:rPr>
        <w:t>The role of psychology in a multidisciplinary psychiatric inpatient setting’, Psychology and Psychotherapy</w:t>
      </w:r>
      <w:r w:rsidRPr="00612663">
        <w:rPr>
          <w:rFonts w:ascii="Arial" w:hAnsi="Arial" w:cs="Arial"/>
        </w:rPr>
        <w:t>, 92(4), pp. 554–564. Available at: https://doi.org/10.1111/papt.12199</w:t>
      </w:r>
      <w:r w:rsidRPr="00612663">
        <w:rPr>
          <w:rFonts w:ascii="Segoe UI Symbol" w:hAnsi="Segoe UI Symbol" w:cs="Segoe UI Symbol"/>
        </w:rPr>
        <w:t>⁠</w:t>
      </w:r>
    </w:p>
    <w:p w14:paraId="08ACDF2C" w14:textId="338D6319" w:rsidR="00627244" w:rsidRPr="00D8376D" w:rsidRDefault="00612663" w:rsidP="00612663">
      <w:pPr>
        <w:spacing w:line="360" w:lineRule="auto"/>
        <w:rPr>
          <w:rFonts w:ascii="Arial" w:hAnsi="Arial" w:cs="Arial"/>
        </w:rPr>
      </w:pPr>
      <w:r w:rsidRPr="00612663">
        <w:rPr>
          <w:rFonts w:ascii="Arial" w:hAnsi="Arial" w:cs="Arial"/>
        </w:rPr>
        <w:t>Zhu, Y. et al. (2019) ‘</w:t>
      </w:r>
      <w:r w:rsidRPr="006412E3">
        <w:rPr>
          <w:rFonts w:ascii="Arial" w:hAnsi="Arial" w:cs="Arial"/>
          <w:i/>
          <w:iCs/>
        </w:rPr>
        <w:t>The relationship between cognitive dysfunction and symptom dimensions’, Frontiers in Psychiatry,</w:t>
      </w:r>
      <w:r w:rsidRPr="00612663">
        <w:rPr>
          <w:rFonts w:ascii="Arial" w:hAnsi="Arial" w:cs="Arial"/>
        </w:rPr>
        <w:t xml:space="preserve"> 10. Available at: https://doi.org/10.3389/fpsyt.2019.00253</w:t>
      </w:r>
      <w:r w:rsidRPr="00612663">
        <w:rPr>
          <w:rFonts w:ascii="Segoe UI Symbol" w:hAnsi="Segoe UI Symbol" w:cs="Segoe UI Symbol"/>
        </w:rPr>
        <w:t>⁠</w:t>
      </w:r>
    </w:p>
    <w:sectPr w:rsidR="00627244" w:rsidRPr="00D8376D" w:rsidSect="008375B5">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66198" w14:textId="77777777" w:rsidR="008E1B6F" w:rsidRDefault="008E1B6F" w:rsidP="008375B5">
      <w:pPr>
        <w:spacing w:after="0" w:line="240" w:lineRule="auto"/>
      </w:pPr>
      <w:r>
        <w:separator/>
      </w:r>
    </w:p>
  </w:endnote>
  <w:endnote w:type="continuationSeparator" w:id="0">
    <w:p w14:paraId="3703E6B7" w14:textId="77777777" w:rsidR="008E1B6F" w:rsidRDefault="008E1B6F"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ED5DA" w14:textId="77777777" w:rsidR="008E1B6F" w:rsidRDefault="008E1B6F" w:rsidP="008375B5">
      <w:pPr>
        <w:spacing w:after="0" w:line="240" w:lineRule="auto"/>
      </w:pPr>
      <w:r>
        <w:separator/>
      </w:r>
    </w:p>
  </w:footnote>
  <w:footnote w:type="continuationSeparator" w:id="0">
    <w:p w14:paraId="58227797" w14:textId="77777777" w:rsidR="008E1B6F" w:rsidRDefault="008E1B6F"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12137"/>
    <w:rsid w:val="0003396C"/>
    <w:rsid w:val="0004574D"/>
    <w:rsid w:val="00045ED9"/>
    <w:rsid w:val="000507A3"/>
    <w:rsid w:val="000617FE"/>
    <w:rsid w:val="00072184"/>
    <w:rsid w:val="00080777"/>
    <w:rsid w:val="00082AA9"/>
    <w:rsid w:val="00091839"/>
    <w:rsid w:val="000A7268"/>
    <w:rsid w:val="000C4E79"/>
    <w:rsid w:val="000C6DB2"/>
    <w:rsid w:val="000D0780"/>
    <w:rsid w:val="000E36A0"/>
    <w:rsid w:val="00105209"/>
    <w:rsid w:val="00105672"/>
    <w:rsid w:val="00116281"/>
    <w:rsid w:val="001671A6"/>
    <w:rsid w:val="001B00F8"/>
    <w:rsid w:val="001B1948"/>
    <w:rsid w:val="001D27D1"/>
    <w:rsid w:val="001E3C1B"/>
    <w:rsid w:val="001E6859"/>
    <w:rsid w:val="001F694C"/>
    <w:rsid w:val="001F797E"/>
    <w:rsid w:val="00205C46"/>
    <w:rsid w:val="00210DD5"/>
    <w:rsid w:val="00227DEC"/>
    <w:rsid w:val="002303FD"/>
    <w:rsid w:val="00243D3C"/>
    <w:rsid w:val="00255D51"/>
    <w:rsid w:val="0026630E"/>
    <w:rsid w:val="00296724"/>
    <w:rsid w:val="002A5FA3"/>
    <w:rsid w:val="0030125C"/>
    <w:rsid w:val="00306007"/>
    <w:rsid w:val="0031629F"/>
    <w:rsid w:val="00317F30"/>
    <w:rsid w:val="00334CD1"/>
    <w:rsid w:val="0033506E"/>
    <w:rsid w:val="003418DD"/>
    <w:rsid w:val="00346756"/>
    <w:rsid w:val="003575DE"/>
    <w:rsid w:val="00394044"/>
    <w:rsid w:val="003A55C6"/>
    <w:rsid w:val="003A6A9D"/>
    <w:rsid w:val="003B01B5"/>
    <w:rsid w:val="003D5456"/>
    <w:rsid w:val="003E5F37"/>
    <w:rsid w:val="003E61B8"/>
    <w:rsid w:val="0041182E"/>
    <w:rsid w:val="00412006"/>
    <w:rsid w:val="00412055"/>
    <w:rsid w:val="00423D92"/>
    <w:rsid w:val="00436BF4"/>
    <w:rsid w:val="004510F3"/>
    <w:rsid w:val="00465DDA"/>
    <w:rsid w:val="004732CC"/>
    <w:rsid w:val="00476A03"/>
    <w:rsid w:val="00493668"/>
    <w:rsid w:val="004A4E01"/>
    <w:rsid w:val="004B46E2"/>
    <w:rsid w:val="004C0A87"/>
    <w:rsid w:val="004C7D56"/>
    <w:rsid w:val="004D0A0A"/>
    <w:rsid w:val="00534AA7"/>
    <w:rsid w:val="0055010E"/>
    <w:rsid w:val="0055254B"/>
    <w:rsid w:val="005607FA"/>
    <w:rsid w:val="0058254B"/>
    <w:rsid w:val="005876AA"/>
    <w:rsid w:val="005E55C4"/>
    <w:rsid w:val="00612663"/>
    <w:rsid w:val="00624617"/>
    <w:rsid w:val="00627244"/>
    <w:rsid w:val="0063112E"/>
    <w:rsid w:val="006412E3"/>
    <w:rsid w:val="00670B1B"/>
    <w:rsid w:val="006A77E0"/>
    <w:rsid w:val="006C1A7B"/>
    <w:rsid w:val="006C764E"/>
    <w:rsid w:val="006D6CEF"/>
    <w:rsid w:val="006E068A"/>
    <w:rsid w:val="006E1B9F"/>
    <w:rsid w:val="006F1CBA"/>
    <w:rsid w:val="006F68BA"/>
    <w:rsid w:val="006F6F54"/>
    <w:rsid w:val="00741EDF"/>
    <w:rsid w:val="00751154"/>
    <w:rsid w:val="00793E3D"/>
    <w:rsid w:val="007A248A"/>
    <w:rsid w:val="007A73A2"/>
    <w:rsid w:val="007C59D3"/>
    <w:rsid w:val="007D5FF4"/>
    <w:rsid w:val="00800FA2"/>
    <w:rsid w:val="0081546E"/>
    <w:rsid w:val="008265EC"/>
    <w:rsid w:val="008319F9"/>
    <w:rsid w:val="008375B5"/>
    <w:rsid w:val="008642A1"/>
    <w:rsid w:val="0087746A"/>
    <w:rsid w:val="00883258"/>
    <w:rsid w:val="008B1760"/>
    <w:rsid w:val="008B39A7"/>
    <w:rsid w:val="008C4A12"/>
    <w:rsid w:val="008D0EFC"/>
    <w:rsid w:val="008E1B6F"/>
    <w:rsid w:val="008E31E6"/>
    <w:rsid w:val="00901E9C"/>
    <w:rsid w:val="00916BA1"/>
    <w:rsid w:val="009334D8"/>
    <w:rsid w:val="00950AD9"/>
    <w:rsid w:val="009807CF"/>
    <w:rsid w:val="00986E9B"/>
    <w:rsid w:val="00987515"/>
    <w:rsid w:val="00987802"/>
    <w:rsid w:val="009957F1"/>
    <w:rsid w:val="009A019D"/>
    <w:rsid w:val="009B04E9"/>
    <w:rsid w:val="009D31F3"/>
    <w:rsid w:val="009E2088"/>
    <w:rsid w:val="00A059F3"/>
    <w:rsid w:val="00A14827"/>
    <w:rsid w:val="00A34715"/>
    <w:rsid w:val="00A41310"/>
    <w:rsid w:val="00A6783C"/>
    <w:rsid w:val="00A875D4"/>
    <w:rsid w:val="00A9474F"/>
    <w:rsid w:val="00AA74B7"/>
    <w:rsid w:val="00AC2DCE"/>
    <w:rsid w:val="00AC3FDE"/>
    <w:rsid w:val="00AD0A7A"/>
    <w:rsid w:val="00AD74ED"/>
    <w:rsid w:val="00B709DC"/>
    <w:rsid w:val="00B9215F"/>
    <w:rsid w:val="00BB62FC"/>
    <w:rsid w:val="00BD5695"/>
    <w:rsid w:val="00C02196"/>
    <w:rsid w:val="00C303CF"/>
    <w:rsid w:val="00C348D8"/>
    <w:rsid w:val="00C66EFD"/>
    <w:rsid w:val="00C80D0F"/>
    <w:rsid w:val="00C97E11"/>
    <w:rsid w:val="00CA6791"/>
    <w:rsid w:val="00CB4808"/>
    <w:rsid w:val="00CB691A"/>
    <w:rsid w:val="00CC702E"/>
    <w:rsid w:val="00CD1F68"/>
    <w:rsid w:val="00CD595C"/>
    <w:rsid w:val="00CD64BF"/>
    <w:rsid w:val="00CF7375"/>
    <w:rsid w:val="00D04B9F"/>
    <w:rsid w:val="00D11F25"/>
    <w:rsid w:val="00D20057"/>
    <w:rsid w:val="00D21AA3"/>
    <w:rsid w:val="00D40915"/>
    <w:rsid w:val="00D40ECD"/>
    <w:rsid w:val="00D55633"/>
    <w:rsid w:val="00D77F11"/>
    <w:rsid w:val="00D8376D"/>
    <w:rsid w:val="00D93367"/>
    <w:rsid w:val="00DD1FEC"/>
    <w:rsid w:val="00DE1268"/>
    <w:rsid w:val="00DE2576"/>
    <w:rsid w:val="00DF1B2C"/>
    <w:rsid w:val="00E0240D"/>
    <w:rsid w:val="00E071A2"/>
    <w:rsid w:val="00E1054A"/>
    <w:rsid w:val="00E13B07"/>
    <w:rsid w:val="00E16D8D"/>
    <w:rsid w:val="00E23369"/>
    <w:rsid w:val="00E40750"/>
    <w:rsid w:val="00EA150F"/>
    <w:rsid w:val="00ED2483"/>
    <w:rsid w:val="00ED4B9F"/>
    <w:rsid w:val="00F20CAD"/>
    <w:rsid w:val="00F679F5"/>
    <w:rsid w:val="00F711AB"/>
    <w:rsid w:val="00F77E4A"/>
    <w:rsid w:val="00FA4F23"/>
    <w:rsid w:val="00FD08AB"/>
    <w:rsid w:val="00FD5028"/>
    <w:rsid w:val="00FE3446"/>
    <w:rsid w:val="00FF69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6C1A7B"/>
    <w:rPr>
      <w:color w:val="467886" w:themeColor="hyperlink"/>
      <w:u w:val="single"/>
    </w:rPr>
  </w:style>
  <w:style w:type="character" w:styleId="UnresolvedMention">
    <w:name w:val="Unresolved Mention"/>
    <w:basedOn w:val="DefaultParagraphFont"/>
    <w:uiPriority w:val="99"/>
    <w:semiHidden/>
    <w:unhideWhenUsed/>
    <w:rsid w:val="006C1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452</TotalTime>
  <Pages>12</Pages>
  <Words>3111</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20803</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Marinela Bragança</cp:lastModifiedBy>
  <cp:revision>166</cp:revision>
  <dcterms:created xsi:type="dcterms:W3CDTF">2026-03-03T10:57:00Z</dcterms:created>
  <dcterms:modified xsi:type="dcterms:W3CDTF">2026-03-23T01:10:00Z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5c619377-dc48-4e5b-9400-ffeff0a38df4</vt:lpwstr>
  </property>
</Properties>
</file>