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3E53F68" w:rsidR="7908378C" w:rsidRDefault="7908378C" w:rsidP="33572C6E">
            <w:pPr>
              <w:ind w:right="237"/>
              <w:rPr>
                <w:b/>
                <w:bCs/>
                <w:color w:val="auto"/>
                <w:sz w:val="32"/>
                <w:szCs w:val="32"/>
              </w:rPr>
            </w:pPr>
            <w:r w:rsidRPr="33572C6E">
              <w:rPr>
                <w:b/>
                <w:bCs/>
                <w:color w:val="auto"/>
                <w:sz w:val="32"/>
                <w:szCs w:val="32"/>
              </w:rPr>
              <w:t xml:space="preserve">Learner name: </w:t>
            </w:r>
            <w:r w:rsidR="00D010CF">
              <w:rPr>
                <w:b/>
                <w:bCs/>
                <w:color w:val="auto"/>
                <w:sz w:val="32"/>
                <w:szCs w:val="32"/>
              </w:rPr>
              <w:t xml:space="preserve"> Gareth David Martin Hirst</w:t>
            </w:r>
          </w:p>
          <w:p w14:paraId="3A3A802D" w14:textId="77777777" w:rsidR="33572C6E" w:rsidRDefault="33572C6E" w:rsidP="33572C6E">
            <w:pPr>
              <w:ind w:right="237"/>
              <w:rPr>
                <w:b/>
                <w:bCs/>
                <w:color w:val="auto"/>
                <w:sz w:val="32"/>
                <w:szCs w:val="32"/>
              </w:rPr>
            </w:pPr>
          </w:p>
          <w:p w14:paraId="7883A53E" w14:textId="4AD783CF" w:rsidR="7908378C" w:rsidRDefault="7908378C" w:rsidP="33572C6E">
            <w:pPr>
              <w:ind w:right="237"/>
              <w:rPr>
                <w:b/>
                <w:bCs/>
                <w:color w:val="auto"/>
                <w:sz w:val="32"/>
                <w:szCs w:val="32"/>
              </w:rPr>
            </w:pPr>
            <w:r w:rsidRPr="33572C6E">
              <w:rPr>
                <w:b/>
                <w:bCs/>
                <w:color w:val="auto"/>
                <w:sz w:val="32"/>
                <w:szCs w:val="32"/>
              </w:rPr>
              <w:t>Learner’s University Registration Number:</w:t>
            </w:r>
            <w:r w:rsidR="00D010CF">
              <w:rPr>
                <w:b/>
                <w:bCs/>
                <w:color w:val="auto"/>
                <w:sz w:val="32"/>
                <w:szCs w:val="32"/>
              </w:rPr>
              <w:t>2124826</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Default="5B843AF0" w:rsidP="5B843AF0">
      <w:pPr>
        <w:ind w:right="237"/>
        <w:jc w:val="both"/>
        <w:rPr>
          <w:rFonts w:eastAsia="Arial"/>
          <w:color w:val="000000" w:themeColor="text1"/>
          <w:sz w:val="24"/>
          <w:szCs w:val="24"/>
        </w:rPr>
      </w:pPr>
    </w:p>
    <w:p w14:paraId="7E58BAAC" w14:textId="3F0B1DDD"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For this reflection I will be basing the reflective approach on Driscoll’s (2007) model. This model relates to three questions used to reflect on a situation or scenario that has happened. The three questions are ‘What?’, ‘So What?’, and ‘Now What?’. Driscoll’s reflective model allows for a given situation to be explored and evaluated providing a greater understanding (Norman and Nixon 2013). </w:t>
      </w:r>
    </w:p>
    <w:p w14:paraId="2CFE64E7" w14:textId="1132CB11"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The incident I will be focusing on is one where I specifically dealt with the golden hour enquiries which I conducted after an incident had taken place. The first part of Driscoll’s reflective model is the What stage, this stage focuses on highlighting key events and explains what has happened</w:t>
      </w:r>
      <w:r w:rsidR="00290A8D">
        <w:rPr>
          <w:rFonts w:asciiTheme="majorHAnsi" w:eastAsiaTheme="minorHAnsi" w:hAnsiTheme="majorHAnsi" w:cstheme="majorHAnsi"/>
          <w:color w:val="auto"/>
          <w:sz w:val="24"/>
          <w:szCs w:val="24"/>
          <w:lang w:eastAsia="en-US"/>
        </w:rPr>
        <w:t xml:space="preserve"> (</w:t>
      </w:r>
      <w:r w:rsidR="00290A8D">
        <w:t>Janse, B. (2023)</w:t>
      </w:r>
      <w:r w:rsidRPr="00C7447F">
        <w:rPr>
          <w:rFonts w:asciiTheme="majorHAnsi" w:eastAsiaTheme="minorHAnsi" w:hAnsiTheme="majorHAnsi" w:cstheme="majorHAnsi"/>
          <w:color w:val="auto"/>
          <w:sz w:val="24"/>
          <w:szCs w:val="24"/>
          <w:lang w:eastAsia="en-US"/>
        </w:rPr>
        <w:t>.</w:t>
      </w:r>
      <w:r w:rsidR="00290A8D">
        <w:rPr>
          <w:rFonts w:asciiTheme="majorHAnsi" w:eastAsiaTheme="minorHAnsi" w:hAnsiTheme="majorHAnsi" w:cstheme="majorHAnsi"/>
          <w:color w:val="auto"/>
          <w:sz w:val="24"/>
          <w:szCs w:val="24"/>
          <w:lang w:eastAsia="en-US"/>
        </w:rPr>
        <w:t xml:space="preserve"> </w:t>
      </w:r>
    </w:p>
    <w:p w14:paraId="3671B4AE"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u w:val="single"/>
          <w:lang w:eastAsia="en-US"/>
        </w:rPr>
      </w:pPr>
      <w:r w:rsidRPr="00C7447F">
        <w:rPr>
          <w:rFonts w:asciiTheme="majorHAnsi" w:eastAsiaTheme="minorHAnsi" w:hAnsiTheme="majorHAnsi" w:cstheme="majorHAnsi"/>
          <w:color w:val="auto"/>
          <w:sz w:val="24"/>
          <w:szCs w:val="24"/>
          <w:u w:val="single"/>
          <w:lang w:eastAsia="en-US"/>
        </w:rPr>
        <w:t>What?</w:t>
      </w:r>
    </w:p>
    <w:p w14:paraId="432D4AFB" w14:textId="5BB2BAC8"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 The neighbouring team struggled to attend an emergency response call whereby the call handler was able to give suitable advice to prevent the incident from worsening. Due to the reporting person being able to reassure the call handler that there was no immediate danger the call was downgraded</w:t>
      </w:r>
      <w:r w:rsidR="004E2DAD" w:rsidRPr="00C7447F">
        <w:rPr>
          <w:rFonts w:asciiTheme="majorHAnsi" w:eastAsiaTheme="minorHAnsi" w:hAnsiTheme="majorHAnsi" w:cstheme="majorHAnsi"/>
          <w:color w:val="auto"/>
          <w:sz w:val="24"/>
          <w:szCs w:val="24"/>
          <w:lang w:eastAsia="en-US"/>
        </w:rPr>
        <w:t xml:space="preserve">. </w:t>
      </w:r>
      <w:r w:rsidRPr="00C7447F">
        <w:rPr>
          <w:rFonts w:asciiTheme="majorHAnsi" w:eastAsiaTheme="minorHAnsi" w:hAnsiTheme="majorHAnsi" w:cstheme="majorHAnsi"/>
          <w:color w:val="auto"/>
          <w:sz w:val="24"/>
          <w:szCs w:val="24"/>
          <w:lang w:eastAsia="en-US"/>
        </w:rPr>
        <w:t xml:space="preserve">The reporting person made a second call to the police as she felt </w:t>
      </w:r>
      <w:r w:rsidRPr="00C7447F">
        <w:rPr>
          <w:rFonts w:asciiTheme="majorHAnsi" w:eastAsiaTheme="minorHAnsi" w:hAnsiTheme="majorHAnsi" w:cstheme="majorHAnsi"/>
          <w:color w:val="auto"/>
          <w:sz w:val="24"/>
          <w:szCs w:val="24"/>
          <w:lang w:eastAsia="en-US"/>
        </w:rPr>
        <w:lastRenderedPageBreak/>
        <w:t xml:space="preserve">that she was unable to cope with her husband whilst being back at her house. The call become a priority due to the possible mental health nature that was highlighted by the reporting person, stating the female was unable to deal with her husband and his mental health issues. </w:t>
      </w:r>
    </w:p>
    <w:p w14:paraId="3BA25BDF" w14:textId="0EB2E0C8"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My colleague and I arrived at the address, I heard a female scream from inside the house</w:t>
      </w:r>
      <w:r w:rsidR="009B7CBA">
        <w:rPr>
          <w:rFonts w:asciiTheme="majorHAnsi" w:eastAsiaTheme="minorHAnsi" w:hAnsiTheme="majorHAnsi" w:cstheme="majorHAnsi"/>
          <w:color w:val="auto"/>
          <w:sz w:val="24"/>
          <w:szCs w:val="24"/>
          <w:lang w:eastAsia="en-US"/>
        </w:rPr>
        <w:t xml:space="preserve"> to enter</w:t>
      </w:r>
      <w:r w:rsidRPr="00C7447F">
        <w:rPr>
          <w:rFonts w:asciiTheme="majorHAnsi" w:eastAsiaTheme="minorHAnsi" w:hAnsiTheme="majorHAnsi" w:cstheme="majorHAnsi"/>
          <w:color w:val="auto"/>
          <w:sz w:val="24"/>
          <w:szCs w:val="24"/>
          <w:lang w:eastAsia="en-US"/>
        </w:rPr>
        <w:t xml:space="preserve">, </w:t>
      </w:r>
      <w:r w:rsidR="00BC422C">
        <w:rPr>
          <w:rFonts w:asciiTheme="majorHAnsi" w:eastAsiaTheme="minorHAnsi" w:hAnsiTheme="majorHAnsi" w:cstheme="majorHAnsi"/>
          <w:color w:val="auto"/>
          <w:sz w:val="24"/>
          <w:szCs w:val="24"/>
          <w:lang w:eastAsia="en-US"/>
        </w:rPr>
        <w:t>the female voice</w:t>
      </w:r>
      <w:r w:rsidRPr="00C7447F">
        <w:rPr>
          <w:rFonts w:asciiTheme="majorHAnsi" w:eastAsiaTheme="minorHAnsi" w:hAnsiTheme="majorHAnsi" w:cstheme="majorHAnsi"/>
          <w:color w:val="auto"/>
          <w:sz w:val="24"/>
          <w:szCs w:val="24"/>
          <w:lang w:eastAsia="en-US"/>
        </w:rPr>
        <w:t xml:space="preserve"> I can only assume was the reporting person, the door was unlocked, </w:t>
      </w:r>
      <w:r w:rsidR="009B7CBA">
        <w:rPr>
          <w:rFonts w:asciiTheme="majorHAnsi" w:eastAsiaTheme="minorHAnsi" w:hAnsiTheme="majorHAnsi" w:cstheme="majorHAnsi"/>
          <w:color w:val="auto"/>
          <w:sz w:val="24"/>
          <w:szCs w:val="24"/>
          <w:lang w:eastAsia="en-US"/>
        </w:rPr>
        <w:t>due to the information and intelligence not giving an immediate threat I</w:t>
      </w:r>
      <w:r w:rsidRPr="00C7447F">
        <w:rPr>
          <w:rFonts w:asciiTheme="majorHAnsi" w:eastAsiaTheme="minorHAnsi" w:hAnsiTheme="majorHAnsi" w:cstheme="majorHAnsi"/>
          <w:color w:val="auto"/>
          <w:sz w:val="24"/>
          <w:szCs w:val="24"/>
          <w:lang w:eastAsia="en-US"/>
        </w:rPr>
        <w:t xml:space="preserve"> activating my body worn camera</w:t>
      </w:r>
      <w:r w:rsidR="009B7CBA">
        <w:rPr>
          <w:rFonts w:asciiTheme="majorHAnsi" w:eastAsiaTheme="minorHAnsi" w:hAnsiTheme="majorHAnsi" w:cstheme="majorHAnsi"/>
          <w:color w:val="auto"/>
          <w:sz w:val="24"/>
          <w:szCs w:val="24"/>
          <w:lang w:eastAsia="en-US"/>
        </w:rPr>
        <w:t xml:space="preserve"> and entered the house</w:t>
      </w:r>
      <w:r w:rsidRPr="00C7447F">
        <w:rPr>
          <w:rFonts w:asciiTheme="majorHAnsi" w:eastAsiaTheme="minorHAnsi" w:hAnsiTheme="majorHAnsi" w:cstheme="majorHAnsi"/>
          <w:color w:val="auto"/>
          <w:sz w:val="24"/>
          <w:szCs w:val="24"/>
          <w:lang w:eastAsia="en-US"/>
        </w:rPr>
        <w:t>. When entering the house, I approached a female in distress who was sat on the stairs approximately three metres from the front door shaking with a dog lead wrapped tightly around her arm attached to her rather large dog that remained alert and a knife clutched to her chest.</w:t>
      </w:r>
    </w:p>
    <w:p w14:paraId="33DEDB65" w14:textId="51810187" w:rsidR="004E2DAD" w:rsidRDefault="00D010CF" w:rsidP="00D010CF">
      <w:pPr>
        <w:overflowPunct/>
        <w:autoSpaceDE/>
        <w:autoSpaceDN/>
        <w:adjustRightInd/>
        <w:spacing w:after="160" w:line="360" w:lineRule="auto"/>
        <w:textAlignment w:val="auto"/>
        <w:rPr>
          <w:rFonts w:asciiTheme="majorHAnsi" w:eastAsiaTheme="minorHAnsi" w:hAnsiTheme="majorHAnsi" w:cstheme="majorHAnsi"/>
          <w:color w:val="000000" w:themeColor="text1"/>
          <w:sz w:val="24"/>
          <w:szCs w:val="24"/>
          <w:lang w:eastAsia="en-US"/>
        </w:rPr>
      </w:pPr>
      <w:r w:rsidRPr="00C7447F">
        <w:rPr>
          <w:rFonts w:asciiTheme="majorHAnsi" w:eastAsiaTheme="minorHAnsi" w:hAnsiTheme="majorHAnsi" w:cstheme="majorHAnsi"/>
          <w:color w:val="auto"/>
          <w:sz w:val="24"/>
          <w:szCs w:val="24"/>
          <w:lang w:eastAsia="en-US"/>
        </w:rPr>
        <w:t xml:space="preserve">My colleague calmly approached the female to listen to the issues that have unfolded, and the use of the National Decision Model </w:t>
      </w:r>
      <w:r w:rsidR="004E2DAD">
        <w:rPr>
          <w:rFonts w:asciiTheme="majorHAnsi" w:eastAsiaTheme="minorHAnsi" w:hAnsiTheme="majorHAnsi" w:cstheme="majorHAnsi"/>
          <w:color w:val="auto"/>
          <w:sz w:val="24"/>
          <w:szCs w:val="24"/>
          <w:lang w:eastAsia="en-US"/>
        </w:rPr>
        <w:t>(</w:t>
      </w:r>
      <w:r w:rsidR="001C4FF3">
        <w:rPr>
          <w:i/>
          <w:iCs/>
        </w:rPr>
        <w:t xml:space="preserve">2023 </w:t>
      </w:r>
      <w:r w:rsidRPr="00C7447F">
        <w:rPr>
          <w:rFonts w:asciiTheme="majorHAnsi" w:eastAsiaTheme="minorHAnsi" w:hAnsiTheme="majorHAnsi" w:cstheme="majorHAnsi"/>
          <w:color w:val="auto"/>
          <w:sz w:val="24"/>
          <w:szCs w:val="24"/>
          <w:lang w:eastAsia="en-US"/>
        </w:rPr>
        <w:t>(NDM)</w:t>
      </w:r>
      <w:r w:rsidR="004E2DAD">
        <w:rPr>
          <w:rFonts w:asciiTheme="majorHAnsi" w:eastAsiaTheme="minorHAnsi" w:hAnsiTheme="majorHAnsi" w:cstheme="majorHAnsi"/>
          <w:color w:val="auto"/>
          <w:sz w:val="24"/>
          <w:szCs w:val="24"/>
          <w:lang w:eastAsia="en-US"/>
        </w:rPr>
        <w:t>)</w:t>
      </w:r>
      <w:r w:rsidRPr="00C7447F">
        <w:rPr>
          <w:rFonts w:asciiTheme="majorHAnsi" w:eastAsiaTheme="minorHAnsi" w:hAnsiTheme="majorHAnsi" w:cstheme="majorHAnsi"/>
          <w:color w:val="auto"/>
          <w:sz w:val="24"/>
          <w:szCs w:val="24"/>
          <w:lang w:eastAsia="en-US"/>
        </w:rPr>
        <w:t xml:space="preserve"> was used to take the appropriate action. As I opened the lounge door which came off the hallway, there was a male who was calmly rigidly sitting on the sofa, when entering I could smell intoxicants and the male had glazed eyes and little to no expression. </w:t>
      </w:r>
      <w:r w:rsidR="004E2DAD">
        <w:rPr>
          <w:rFonts w:asciiTheme="majorHAnsi" w:eastAsiaTheme="minorHAnsi" w:hAnsiTheme="majorHAnsi" w:cstheme="majorHAnsi"/>
          <w:color w:val="auto"/>
          <w:sz w:val="24"/>
          <w:szCs w:val="24"/>
          <w:lang w:eastAsia="en-US"/>
        </w:rPr>
        <w:t>W</w:t>
      </w:r>
      <w:r w:rsidRPr="00C7447F">
        <w:rPr>
          <w:rFonts w:asciiTheme="majorHAnsi" w:eastAsiaTheme="minorHAnsi" w:hAnsiTheme="majorHAnsi" w:cstheme="majorHAnsi"/>
          <w:color w:val="auto"/>
          <w:sz w:val="24"/>
          <w:szCs w:val="24"/>
          <w:lang w:eastAsia="en-US"/>
        </w:rPr>
        <w:t>hile my colleague reassured the female on the stairs, I kept the door a jar in case the situation escalated for either myself or my colleague</w:t>
      </w:r>
      <w:r w:rsidR="004E2DAD">
        <w:rPr>
          <w:rFonts w:asciiTheme="majorHAnsi" w:eastAsiaTheme="minorHAnsi" w:hAnsiTheme="majorHAnsi" w:cstheme="majorHAnsi"/>
          <w:color w:val="auto"/>
          <w:sz w:val="24"/>
          <w:szCs w:val="24"/>
          <w:lang w:eastAsia="en-US"/>
        </w:rPr>
        <w:t>. I</w:t>
      </w:r>
      <w:r w:rsidRPr="00C7447F">
        <w:rPr>
          <w:rFonts w:asciiTheme="majorHAnsi" w:eastAsiaTheme="minorHAnsi" w:hAnsiTheme="majorHAnsi" w:cstheme="majorHAnsi"/>
          <w:color w:val="auto"/>
          <w:sz w:val="24"/>
          <w:szCs w:val="24"/>
          <w:lang w:eastAsia="en-US"/>
        </w:rPr>
        <w:t xml:space="preserve"> attempted to gather details of what has happened from both </w:t>
      </w:r>
      <w:r w:rsidRPr="00C7447F">
        <w:rPr>
          <w:rFonts w:asciiTheme="majorHAnsi" w:eastAsiaTheme="minorHAnsi" w:hAnsiTheme="majorHAnsi" w:cstheme="majorHAnsi"/>
          <w:color w:val="000000" w:themeColor="text1"/>
          <w:sz w:val="24"/>
          <w:szCs w:val="24"/>
          <w:lang w:eastAsia="en-US"/>
        </w:rPr>
        <w:t>separately.</w:t>
      </w:r>
      <w:r w:rsidR="004E2DAD">
        <w:rPr>
          <w:rFonts w:asciiTheme="majorHAnsi" w:eastAsiaTheme="minorHAnsi" w:hAnsiTheme="majorHAnsi" w:cstheme="majorHAnsi"/>
          <w:color w:val="000000" w:themeColor="text1"/>
          <w:sz w:val="24"/>
          <w:szCs w:val="24"/>
          <w:lang w:eastAsia="en-US"/>
        </w:rPr>
        <w:t xml:space="preserve"> It was evident this was a domestic related incident as they were both in a relationship. The male had verbally threatened to kill his partner and the female was fearful. </w:t>
      </w:r>
    </w:p>
    <w:p w14:paraId="6BF3986D"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When I spoke with the male he was clearly intoxicated, unable to put a sentence together, struggling to concentrate on the questions I was putting forward to him. When asked what had happened this evening he was unwilling to say, keeping his answers short and stating he wasn’t sure why we had attended the property. The male said he had drunk approximately 2 bottles of red wine and when attempting to gain the males details it was evident how intoxicated he was as he could not give his details and he became embarrassed. </w:t>
      </w:r>
    </w:p>
    <w:p w14:paraId="4AA6129B" w14:textId="77777777" w:rsidR="006064E8"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The female explained the ongoing domestic abuse she had been suffering and the control she has been under by her partner was too much and she was living in fear of what could happen. The male was arrested for </w:t>
      </w:r>
      <w:r w:rsidR="006064E8">
        <w:rPr>
          <w:rFonts w:asciiTheme="majorHAnsi" w:eastAsiaTheme="minorHAnsi" w:hAnsiTheme="majorHAnsi" w:cstheme="majorHAnsi"/>
          <w:color w:val="auto"/>
          <w:sz w:val="24"/>
          <w:szCs w:val="24"/>
          <w:lang w:eastAsia="en-US"/>
        </w:rPr>
        <w:t xml:space="preserve">domestic abuse which is defined in the Domestic Abuse </w:t>
      </w:r>
      <w:r w:rsidR="006064E8">
        <w:rPr>
          <w:rFonts w:asciiTheme="majorHAnsi" w:eastAsiaTheme="minorHAnsi" w:hAnsiTheme="majorHAnsi" w:cstheme="majorHAnsi"/>
          <w:color w:val="auto"/>
          <w:sz w:val="24"/>
          <w:szCs w:val="24"/>
          <w:lang w:eastAsia="en-US"/>
        </w:rPr>
        <w:lastRenderedPageBreak/>
        <w:t>Act 2021 Section 1, in relation to common assault which is Section 39 of the Criminal Justice Act 1988 which was alleged by the victim.</w:t>
      </w:r>
    </w:p>
    <w:p w14:paraId="7B2B906B" w14:textId="00202303"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 </w:t>
      </w:r>
      <w:r w:rsidR="006064E8">
        <w:rPr>
          <w:rFonts w:asciiTheme="majorHAnsi" w:eastAsiaTheme="minorHAnsi" w:hAnsiTheme="majorHAnsi" w:cstheme="majorHAnsi"/>
          <w:color w:val="auto"/>
          <w:sz w:val="24"/>
          <w:szCs w:val="24"/>
          <w:lang w:eastAsia="en-US"/>
        </w:rPr>
        <w:t>A</w:t>
      </w:r>
      <w:r w:rsidRPr="00C7447F">
        <w:rPr>
          <w:rFonts w:asciiTheme="majorHAnsi" w:eastAsiaTheme="minorHAnsi" w:hAnsiTheme="majorHAnsi" w:cstheme="majorHAnsi"/>
          <w:color w:val="auto"/>
          <w:sz w:val="24"/>
          <w:szCs w:val="24"/>
          <w:lang w:eastAsia="en-US"/>
        </w:rPr>
        <w:t xml:space="preserve">fter given the caution he stated under his breath while being handcuffed to the rear “She will be sorry for this” at this moment I reminded him that he was under caution. He was conveyed by colleagues to the closest police station </w:t>
      </w:r>
      <w:r w:rsidR="00501873">
        <w:rPr>
          <w:rFonts w:asciiTheme="majorHAnsi" w:eastAsiaTheme="minorHAnsi" w:hAnsiTheme="majorHAnsi" w:cstheme="majorHAnsi"/>
          <w:color w:val="auto"/>
          <w:sz w:val="24"/>
          <w:szCs w:val="24"/>
          <w:lang w:eastAsia="en-US"/>
        </w:rPr>
        <w:t xml:space="preserve">to be compliant with the Police and Crimal Evidence Act </w:t>
      </w:r>
      <w:r w:rsidR="009471B1">
        <w:rPr>
          <w:rFonts w:asciiTheme="majorHAnsi" w:eastAsiaTheme="minorHAnsi" w:hAnsiTheme="majorHAnsi" w:cstheme="majorHAnsi"/>
          <w:color w:val="auto"/>
          <w:sz w:val="24"/>
          <w:szCs w:val="24"/>
          <w:lang w:eastAsia="en-US"/>
        </w:rPr>
        <w:t>(Police and Criminal Evidence Act 1984)</w:t>
      </w:r>
      <w:r w:rsidRPr="00C7447F">
        <w:rPr>
          <w:rFonts w:asciiTheme="majorHAnsi" w:eastAsiaTheme="minorHAnsi" w:hAnsiTheme="majorHAnsi" w:cstheme="majorHAnsi"/>
          <w:color w:val="auto"/>
          <w:sz w:val="24"/>
          <w:szCs w:val="24"/>
          <w:lang w:eastAsia="en-US"/>
        </w:rPr>
        <w:t>where his custody was authorised by the custody sergeant.</w:t>
      </w:r>
    </w:p>
    <w:p w14:paraId="51505EC4" w14:textId="25C570E5" w:rsidR="00D010CF" w:rsidRPr="00C7447F" w:rsidRDefault="00501873"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When speaking</w:t>
      </w:r>
      <w:r w:rsidR="00D010CF" w:rsidRPr="00C7447F">
        <w:rPr>
          <w:rFonts w:asciiTheme="majorHAnsi" w:eastAsiaTheme="minorHAnsi" w:hAnsiTheme="majorHAnsi" w:cstheme="majorHAnsi"/>
          <w:color w:val="auto"/>
          <w:sz w:val="24"/>
          <w:szCs w:val="24"/>
          <w:lang w:eastAsia="en-US"/>
        </w:rPr>
        <w:t xml:space="preserve"> to the victim to explain the process of moving forward if she would be willing to give a statement and how she can be supported through the process and understanding the process of going to court. During which time she was with her daughter, she was overwhelmed with the situation, and I felt it considerate and appropriate to give her time to think about it. My colleague and I returned shortly afterwards to discover the victim was willing to give a statement, I explained the process once again so her daughter </w:t>
      </w:r>
      <w:r w:rsidR="004E2DAD">
        <w:rPr>
          <w:rFonts w:asciiTheme="majorHAnsi" w:eastAsiaTheme="minorHAnsi" w:hAnsiTheme="majorHAnsi" w:cstheme="majorHAnsi"/>
          <w:color w:val="auto"/>
          <w:sz w:val="24"/>
          <w:szCs w:val="24"/>
          <w:lang w:eastAsia="en-US"/>
        </w:rPr>
        <w:t>could</w:t>
      </w:r>
      <w:r w:rsidR="00D010CF" w:rsidRPr="00C7447F">
        <w:rPr>
          <w:rFonts w:asciiTheme="majorHAnsi" w:eastAsiaTheme="minorHAnsi" w:hAnsiTheme="majorHAnsi" w:cstheme="majorHAnsi"/>
          <w:color w:val="auto"/>
          <w:sz w:val="24"/>
          <w:szCs w:val="24"/>
          <w:lang w:eastAsia="en-US"/>
        </w:rPr>
        <w:t xml:space="preserve"> explain at </w:t>
      </w:r>
      <w:r w:rsidR="009471B1" w:rsidRPr="00C7447F">
        <w:rPr>
          <w:rFonts w:asciiTheme="majorHAnsi" w:eastAsiaTheme="minorHAnsi" w:hAnsiTheme="majorHAnsi" w:cstheme="majorHAnsi"/>
          <w:color w:val="auto"/>
          <w:sz w:val="24"/>
          <w:szCs w:val="24"/>
          <w:lang w:eastAsia="en-US"/>
        </w:rPr>
        <w:t>any time</w:t>
      </w:r>
      <w:r w:rsidR="00D010CF" w:rsidRPr="00C7447F">
        <w:rPr>
          <w:rFonts w:asciiTheme="majorHAnsi" w:eastAsiaTheme="minorHAnsi" w:hAnsiTheme="majorHAnsi" w:cstheme="majorHAnsi"/>
          <w:color w:val="auto"/>
          <w:sz w:val="24"/>
          <w:szCs w:val="24"/>
          <w:lang w:eastAsia="en-US"/>
        </w:rPr>
        <w:t xml:space="preserve"> to her mother.</w:t>
      </w:r>
    </w:p>
    <w:p w14:paraId="135075D3" w14:textId="508F66A6"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When taking the statement, I reassured the victim that we could take a break at any moment</w:t>
      </w:r>
      <w:r w:rsidR="000815D9">
        <w:rPr>
          <w:rFonts w:asciiTheme="majorHAnsi" w:eastAsiaTheme="minorHAnsi" w:hAnsiTheme="majorHAnsi" w:cstheme="majorHAnsi"/>
          <w:color w:val="auto"/>
          <w:sz w:val="24"/>
          <w:szCs w:val="24"/>
          <w:lang w:eastAsia="en-US"/>
        </w:rPr>
        <w:t>. W</w:t>
      </w:r>
      <w:r w:rsidRPr="00C7447F">
        <w:rPr>
          <w:rFonts w:asciiTheme="majorHAnsi" w:eastAsiaTheme="minorHAnsi" w:hAnsiTheme="majorHAnsi" w:cstheme="majorHAnsi"/>
          <w:color w:val="auto"/>
          <w:sz w:val="24"/>
          <w:szCs w:val="24"/>
          <w:lang w:eastAsia="en-US"/>
        </w:rPr>
        <w:t>hen explaining the situation and she would act out his aggression towards her and become emotional</w:t>
      </w:r>
      <w:r w:rsidR="000815D9">
        <w:rPr>
          <w:rFonts w:asciiTheme="majorHAnsi" w:eastAsiaTheme="minorHAnsi" w:hAnsiTheme="majorHAnsi" w:cstheme="majorHAnsi"/>
          <w:color w:val="auto"/>
          <w:sz w:val="24"/>
          <w:szCs w:val="24"/>
          <w:lang w:eastAsia="en-US"/>
        </w:rPr>
        <w:t>. I</w:t>
      </w:r>
      <w:r w:rsidRPr="00C7447F">
        <w:rPr>
          <w:rFonts w:asciiTheme="majorHAnsi" w:eastAsiaTheme="minorHAnsi" w:hAnsiTheme="majorHAnsi" w:cstheme="majorHAnsi"/>
          <w:color w:val="auto"/>
          <w:sz w:val="24"/>
          <w:szCs w:val="24"/>
          <w:lang w:eastAsia="en-US"/>
        </w:rPr>
        <w:t xml:space="preserve"> gave her time to consider her answers when I asked for further explanation and giving her time to have space in-between. Once the statement was complete, thorough answers were </w:t>
      </w:r>
      <w:r w:rsidR="0097330F">
        <w:rPr>
          <w:rFonts w:asciiTheme="majorHAnsi" w:eastAsiaTheme="minorHAnsi" w:hAnsiTheme="majorHAnsi" w:cstheme="majorHAnsi"/>
          <w:color w:val="auto"/>
          <w:sz w:val="24"/>
          <w:szCs w:val="24"/>
          <w:lang w:eastAsia="en-US"/>
        </w:rPr>
        <w:t xml:space="preserve">given to </w:t>
      </w:r>
      <w:r w:rsidR="000815D9">
        <w:rPr>
          <w:rFonts w:asciiTheme="majorHAnsi" w:eastAsiaTheme="minorHAnsi" w:hAnsiTheme="majorHAnsi" w:cstheme="majorHAnsi"/>
          <w:color w:val="auto"/>
          <w:sz w:val="24"/>
          <w:szCs w:val="24"/>
          <w:lang w:eastAsia="en-US"/>
        </w:rPr>
        <w:t xml:space="preserve">the </w:t>
      </w:r>
      <w:r w:rsidR="0097330F">
        <w:rPr>
          <w:rFonts w:asciiTheme="majorHAnsi" w:eastAsiaTheme="minorHAnsi" w:hAnsiTheme="majorHAnsi" w:cstheme="majorHAnsi"/>
          <w:color w:val="auto"/>
          <w:sz w:val="24"/>
          <w:szCs w:val="24"/>
          <w:lang w:eastAsia="en-US"/>
        </w:rPr>
        <w:t>Domestic Abuse Stalking and Harassmen</w:t>
      </w:r>
      <w:r w:rsidR="000815D9">
        <w:rPr>
          <w:rFonts w:asciiTheme="majorHAnsi" w:eastAsiaTheme="minorHAnsi" w:hAnsiTheme="majorHAnsi" w:cstheme="majorHAnsi"/>
          <w:color w:val="auto"/>
          <w:sz w:val="24"/>
          <w:szCs w:val="24"/>
          <w:lang w:eastAsia="en-US"/>
        </w:rPr>
        <w:t>t (DASH)</w:t>
      </w:r>
      <w:r w:rsidR="0097330F">
        <w:rPr>
          <w:rFonts w:asciiTheme="majorHAnsi" w:eastAsiaTheme="minorHAnsi" w:hAnsiTheme="majorHAnsi" w:cstheme="majorHAnsi"/>
          <w:color w:val="auto"/>
          <w:sz w:val="24"/>
          <w:szCs w:val="24"/>
          <w:lang w:eastAsia="en-US"/>
        </w:rPr>
        <w:t xml:space="preserve"> questions which can explain the circumstances of the victim to the relevant victim support</w:t>
      </w:r>
      <w:r w:rsidR="000815D9">
        <w:rPr>
          <w:rFonts w:asciiTheme="majorHAnsi" w:eastAsiaTheme="minorHAnsi" w:hAnsiTheme="majorHAnsi" w:cstheme="majorHAnsi"/>
          <w:color w:val="auto"/>
          <w:sz w:val="24"/>
          <w:szCs w:val="24"/>
          <w:lang w:eastAsia="en-US"/>
        </w:rPr>
        <w:t>. I</w:t>
      </w:r>
      <w:r w:rsidR="0097330F">
        <w:rPr>
          <w:rFonts w:asciiTheme="majorHAnsi" w:eastAsiaTheme="minorHAnsi" w:hAnsiTheme="majorHAnsi" w:cstheme="majorHAnsi"/>
          <w:color w:val="auto"/>
          <w:sz w:val="24"/>
          <w:szCs w:val="24"/>
          <w:lang w:eastAsia="en-US"/>
        </w:rPr>
        <w:t xml:space="preserve">n this case a charity would be Women Aid and victims support will be notified. </w:t>
      </w:r>
      <w:r w:rsidRPr="00C7447F">
        <w:rPr>
          <w:rFonts w:asciiTheme="majorHAnsi" w:eastAsiaTheme="minorHAnsi" w:hAnsiTheme="majorHAnsi" w:cstheme="majorHAnsi"/>
          <w:color w:val="auto"/>
          <w:sz w:val="24"/>
          <w:szCs w:val="24"/>
          <w:lang w:eastAsia="en-US"/>
        </w:rPr>
        <w:t xml:space="preserve">I completed a </w:t>
      </w:r>
      <w:r w:rsidRPr="00CC2003">
        <w:rPr>
          <w:rFonts w:asciiTheme="majorHAnsi" w:eastAsiaTheme="minorHAnsi" w:hAnsiTheme="majorHAnsi" w:cstheme="majorHAnsi"/>
          <w:color w:val="auto"/>
          <w:sz w:val="24"/>
          <w:szCs w:val="24"/>
          <w:lang w:eastAsia="en-US"/>
        </w:rPr>
        <w:t>public protection</w:t>
      </w:r>
      <w:r w:rsidRPr="00C7447F">
        <w:rPr>
          <w:rFonts w:asciiTheme="majorHAnsi" w:eastAsiaTheme="minorHAnsi" w:hAnsiTheme="majorHAnsi" w:cstheme="majorHAnsi"/>
          <w:color w:val="auto"/>
          <w:sz w:val="24"/>
          <w:szCs w:val="24"/>
          <w:lang w:eastAsia="en-US"/>
        </w:rPr>
        <w:t xml:space="preserve"> notification</w:t>
      </w:r>
      <w:r w:rsidR="000815D9">
        <w:rPr>
          <w:rFonts w:asciiTheme="majorHAnsi" w:eastAsiaTheme="minorHAnsi" w:hAnsiTheme="majorHAnsi" w:cstheme="majorHAnsi"/>
          <w:color w:val="auto"/>
          <w:sz w:val="24"/>
          <w:szCs w:val="24"/>
          <w:lang w:eastAsia="en-US"/>
        </w:rPr>
        <w:t xml:space="preserve"> (PPN)</w:t>
      </w:r>
      <w:r w:rsidRPr="00C7447F">
        <w:rPr>
          <w:rFonts w:asciiTheme="majorHAnsi" w:eastAsiaTheme="minorHAnsi" w:hAnsiTheme="majorHAnsi" w:cstheme="majorHAnsi"/>
          <w:color w:val="auto"/>
          <w:sz w:val="24"/>
          <w:szCs w:val="24"/>
          <w:lang w:eastAsia="en-US"/>
        </w:rPr>
        <w:t xml:space="preserve"> </w:t>
      </w:r>
      <w:r w:rsidR="00BC2E7E">
        <w:rPr>
          <w:rFonts w:asciiTheme="majorHAnsi" w:eastAsiaTheme="minorHAnsi" w:hAnsiTheme="majorHAnsi" w:cstheme="majorHAnsi"/>
          <w:color w:val="auto"/>
          <w:sz w:val="24"/>
          <w:szCs w:val="24"/>
          <w:lang w:eastAsia="en-US"/>
        </w:rPr>
        <w:t xml:space="preserve">(Public Protection Notification 2023) </w:t>
      </w:r>
      <w:r w:rsidRPr="00C7447F">
        <w:rPr>
          <w:rFonts w:asciiTheme="majorHAnsi" w:eastAsiaTheme="minorHAnsi" w:hAnsiTheme="majorHAnsi" w:cstheme="majorHAnsi"/>
          <w:color w:val="auto"/>
          <w:sz w:val="24"/>
          <w:szCs w:val="24"/>
          <w:lang w:eastAsia="en-US"/>
        </w:rPr>
        <w:t xml:space="preserve">whilst with </w:t>
      </w:r>
      <w:r w:rsidR="0097330F">
        <w:rPr>
          <w:rFonts w:asciiTheme="majorHAnsi" w:eastAsiaTheme="minorHAnsi" w:hAnsiTheme="majorHAnsi" w:cstheme="majorHAnsi"/>
          <w:color w:val="auto"/>
          <w:sz w:val="24"/>
          <w:szCs w:val="24"/>
          <w:lang w:eastAsia="en-US"/>
        </w:rPr>
        <w:t>the victim</w:t>
      </w:r>
      <w:r w:rsidRPr="00C7447F">
        <w:rPr>
          <w:rFonts w:asciiTheme="majorHAnsi" w:eastAsiaTheme="minorHAnsi" w:hAnsiTheme="majorHAnsi" w:cstheme="majorHAnsi"/>
          <w:color w:val="auto"/>
          <w:sz w:val="24"/>
          <w:szCs w:val="24"/>
          <w:lang w:eastAsia="en-US"/>
        </w:rPr>
        <w:t xml:space="preserve"> making sure that everything was thoroughly explained for</w:t>
      </w:r>
      <w:r w:rsidR="0097330F">
        <w:rPr>
          <w:rFonts w:asciiTheme="majorHAnsi" w:eastAsiaTheme="minorHAnsi" w:hAnsiTheme="majorHAnsi" w:cstheme="majorHAnsi"/>
          <w:color w:val="auto"/>
          <w:sz w:val="24"/>
          <w:szCs w:val="24"/>
          <w:lang w:eastAsia="en-US"/>
        </w:rPr>
        <w:t xml:space="preserve"> the agency</w:t>
      </w:r>
      <w:r w:rsidRPr="00C7447F">
        <w:rPr>
          <w:rFonts w:asciiTheme="majorHAnsi" w:eastAsiaTheme="minorHAnsi" w:hAnsiTheme="majorHAnsi" w:cstheme="majorHAnsi"/>
          <w:color w:val="auto"/>
          <w:sz w:val="24"/>
          <w:szCs w:val="24"/>
          <w:lang w:eastAsia="en-US"/>
        </w:rPr>
        <w:t xml:space="preserve"> when they give the victim the support and the aftercare which is needed</w:t>
      </w:r>
      <w:r w:rsidR="00CC2003">
        <w:rPr>
          <w:rFonts w:asciiTheme="majorHAnsi" w:eastAsiaTheme="minorHAnsi" w:hAnsiTheme="majorHAnsi" w:cstheme="majorHAnsi"/>
          <w:color w:val="auto"/>
          <w:sz w:val="24"/>
          <w:szCs w:val="24"/>
          <w:lang w:eastAsia="en-US"/>
        </w:rPr>
        <w:t>, the PPN is completed with the victim to have the relevant information passed that the victim has provided to support them going forward.</w:t>
      </w:r>
    </w:p>
    <w:p w14:paraId="10C4D35B" w14:textId="675DC008"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Leaving the victims address myself and my colleague made sure any needs and expectations were met including any questions she had, </w:t>
      </w:r>
      <w:r w:rsidR="000815D9" w:rsidRPr="00C7447F">
        <w:rPr>
          <w:rFonts w:asciiTheme="majorHAnsi" w:eastAsiaTheme="minorHAnsi" w:hAnsiTheme="majorHAnsi" w:cstheme="majorHAnsi"/>
          <w:color w:val="auto"/>
          <w:sz w:val="24"/>
          <w:szCs w:val="24"/>
          <w:lang w:eastAsia="en-US"/>
        </w:rPr>
        <w:t>surrounding</w:t>
      </w:r>
      <w:r w:rsidRPr="00C7447F">
        <w:rPr>
          <w:rFonts w:asciiTheme="majorHAnsi" w:eastAsiaTheme="minorHAnsi" w:hAnsiTheme="majorHAnsi" w:cstheme="majorHAnsi"/>
          <w:color w:val="auto"/>
          <w:sz w:val="24"/>
          <w:szCs w:val="24"/>
          <w:lang w:eastAsia="en-US"/>
        </w:rPr>
        <w:t xml:space="preserve"> when the detained person would be released and if he would be returning that evening. I explained due to him being intoxicated </w:t>
      </w:r>
      <w:r w:rsidRPr="00C7447F">
        <w:rPr>
          <w:rFonts w:asciiTheme="majorHAnsi" w:eastAsiaTheme="minorHAnsi" w:hAnsiTheme="majorHAnsi" w:cstheme="majorHAnsi"/>
          <w:color w:val="auto"/>
          <w:sz w:val="24"/>
          <w:szCs w:val="24"/>
          <w:lang w:eastAsia="en-US"/>
        </w:rPr>
        <w:lastRenderedPageBreak/>
        <w:t xml:space="preserve">he will not be interviewed until he is deemed fit to do so and upon his release there would be bail conditions not to approach her or her address. The victim felt reassured. </w:t>
      </w:r>
    </w:p>
    <w:p w14:paraId="69ED0A45" w14:textId="2F36494E"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On returning to the station, I made the decision to complete a statement for what I witnessed while the detained person was being arrested stating “She will be sorry for this</w:t>
      </w:r>
      <w:r w:rsidR="000815D9" w:rsidRPr="00C7447F">
        <w:rPr>
          <w:rFonts w:asciiTheme="majorHAnsi" w:eastAsiaTheme="minorHAnsi" w:hAnsiTheme="majorHAnsi" w:cstheme="majorHAnsi"/>
          <w:color w:val="auto"/>
          <w:sz w:val="24"/>
          <w:szCs w:val="24"/>
          <w:lang w:eastAsia="en-US"/>
        </w:rPr>
        <w:t>.”</w:t>
      </w:r>
      <w:r w:rsidRPr="00C7447F">
        <w:rPr>
          <w:rFonts w:asciiTheme="majorHAnsi" w:eastAsiaTheme="minorHAnsi" w:hAnsiTheme="majorHAnsi" w:cstheme="majorHAnsi"/>
          <w:color w:val="auto"/>
          <w:sz w:val="24"/>
          <w:szCs w:val="24"/>
          <w:lang w:eastAsia="en-US"/>
        </w:rPr>
        <w:t xml:space="preserve">  I considered this to be significant if the victim further down the line makes the decision to withdraw support in prosecution and there is an opportunity for a victimless prosecution</w:t>
      </w:r>
      <w:r w:rsidR="00783A7D">
        <w:rPr>
          <w:rFonts w:asciiTheme="majorHAnsi" w:eastAsiaTheme="minorHAnsi" w:hAnsiTheme="majorHAnsi" w:cstheme="majorHAnsi"/>
          <w:color w:val="auto"/>
          <w:sz w:val="24"/>
          <w:szCs w:val="24"/>
          <w:lang w:eastAsia="en-US"/>
        </w:rPr>
        <w:t xml:space="preserve"> which is an evidence lead </w:t>
      </w:r>
      <w:r w:rsidR="00783A7D" w:rsidRPr="00BD6A0B">
        <w:rPr>
          <w:rFonts w:asciiTheme="majorHAnsi" w:eastAsiaTheme="minorHAnsi" w:hAnsiTheme="majorHAnsi" w:cstheme="majorHAnsi"/>
          <w:color w:val="auto"/>
          <w:sz w:val="24"/>
          <w:szCs w:val="24"/>
          <w:lang w:eastAsia="en-US"/>
        </w:rPr>
        <w:t>prosecution</w:t>
      </w:r>
      <w:r w:rsidR="00BD6A0B">
        <w:rPr>
          <w:rFonts w:asciiTheme="majorHAnsi" w:eastAsiaTheme="minorHAnsi" w:hAnsiTheme="majorHAnsi" w:cstheme="majorHAnsi"/>
          <w:color w:val="auto"/>
          <w:sz w:val="24"/>
          <w:szCs w:val="24"/>
          <w:lang w:eastAsia="en-US"/>
        </w:rPr>
        <w:t xml:space="preserve"> (</w:t>
      </w:r>
      <w:r w:rsidR="00BD6A0B" w:rsidRPr="00BD6A0B">
        <w:rPr>
          <w:rFonts w:asciiTheme="majorHAnsi" w:eastAsiaTheme="minorHAnsi" w:hAnsiTheme="majorHAnsi" w:cstheme="majorHAnsi"/>
          <w:i/>
          <w:iCs/>
          <w:color w:val="auto"/>
          <w:sz w:val="24"/>
          <w:szCs w:val="24"/>
          <w:lang w:eastAsia="en-US"/>
        </w:rPr>
        <w:t>Evidence led domestic abuse prosecutions</w:t>
      </w:r>
      <w:r w:rsidR="00BD6A0B">
        <w:rPr>
          <w:rFonts w:asciiTheme="majorHAnsi" w:eastAsiaTheme="minorHAnsi" w:hAnsiTheme="majorHAnsi" w:cstheme="majorHAnsi"/>
          <w:color w:val="auto"/>
          <w:sz w:val="24"/>
          <w:szCs w:val="24"/>
          <w:lang w:eastAsia="en-US"/>
        </w:rPr>
        <w:t>,</w:t>
      </w:r>
      <w:r w:rsidR="00BD6A0B" w:rsidRPr="00BD6A0B">
        <w:rPr>
          <w:rFonts w:asciiTheme="majorHAnsi" w:eastAsiaTheme="minorHAnsi" w:hAnsiTheme="majorHAnsi" w:cstheme="majorHAnsi"/>
          <w:color w:val="auto"/>
          <w:sz w:val="24"/>
          <w:szCs w:val="24"/>
          <w:lang w:eastAsia="en-US"/>
        </w:rPr>
        <w:t>2020)</w:t>
      </w:r>
      <w:r w:rsidR="000815D9">
        <w:rPr>
          <w:rFonts w:asciiTheme="majorHAnsi" w:eastAsiaTheme="minorHAnsi" w:hAnsiTheme="majorHAnsi" w:cstheme="majorHAnsi"/>
          <w:color w:val="auto"/>
          <w:sz w:val="24"/>
          <w:szCs w:val="24"/>
          <w:lang w:eastAsia="en-US"/>
        </w:rPr>
        <w:t>. T</w:t>
      </w:r>
      <w:r w:rsidR="0058162F">
        <w:rPr>
          <w:rFonts w:asciiTheme="majorHAnsi" w:eastAsiaTheme="minorHAnsi" w:hAnsiTheme="majorHAnsi" w:cstheme="majorHAnsi"/>
          <w:color w:val="auto"/>
          <w:sz w:val="24"/>
          <w:szCs w:val="24"/>
          <w:lang w:eastAsia="en-US"/>
        </w:rPr>
        <w:t>his is</w:t>
      </w:r>
      <w:r w:rsidR="000815D9">
        <w:rPr>
          <w:rFonts w:asciiTheme="majorHAnsi" w:eastAsiaTheme="minorHAnsi" w:hAnsiTheme="majorHAnsi" w:cstheme="majorHAnsi"/>
          <w:color w:val="auto"/>
          <w:sz w:val="24"/>
          <w:szCs w:val="24"/>
          <w:lang w:eastAsia="en-US"/>
        </w:rPr>
        <w:t xml:space="preserve"> one of the</w:t>
      </w:r>
      <w:r w:rsidR="0058162F">
        <w:rPr>
          <w:rFonts w:asciiTheme="majorHAnsi" w:eastAsiaTheme="minorHAnsi" w:hAnsiTheme="majorHAnsi" w:cstheme="majorHAnsi"/>
          <w:color w:val="auto"/>
          <w:sz w:val="24"/>
          <w:szCs w:val="24"/>
          <w:lang w:eastAsia="en-US"/>
        </w:rPr>
        <w:t xml:space="preserve"> most common </w:t>
      </w:r>
      <w:r w:rsidR="000815D9">
        <w:rPr>
          <w:rFonts w:asciiTheme="majorHAnsi" w:eastAsiaTheme="minorHAnsi" w:hAnsiTheme="majorHAnsi" w:cstheme="majorHAnsi"/>
          <w:color w:val="auto"/>
          <w:sz w:val="24"/>
          <w:szCs w:val="24"/>
          <w:lang w:eastAsia="en-US"/>
        </w:rPr>
        <w:t xml:space="preserve">forms of prosecution whereby </w:t>
      </w:r>
      <w:r w:rsidR="0058162F">
        <w:rPr>
          <w:rFonts w:asciiTheme="majorHAnsi" w:eastAsiaTheme="minorHAnsi" w:hAnsiTheme="majorHAnsi" w:cstheme="majorHAnsi"/>
          <w:color w:val="auto"/>
          <w:sz w:val="24"/>
          <w:szCs w:val="24"/>
          <w:lang w:eastAsia="en-US"/>
        </w:rPr>
        <w:t xml:space="preserve">domestic violence prosecutions </w:t>
      </w:r>
      <w:r w:rsidR="00464005">
        <w:rPr>
          <w:rFonts w:asciiTheme="majorHAnsi" w:eastAsiaTheme="minorHAnsi" w:hAnsiTheme="majorHAnsi" w:cstheme="majorHAnsi"/>
          <w:color w:val="auto"/>
          <w:sz w:val="24"/>
          <w:szCs w:val="24"/>
          <w:lang w:eastAsia="en-US"/>
        </w:rPr>
        <w:t>remains</w:t>
      </w:r>
      <w:r w:rsidR="0058162F">
        <w:rPr>
          <w:rFonts w:asciiTheme="majorHAnsi" w:eastAsiaTheme="minorHAnsi" w:hAnsiTheme="majorHAnsi" w:cstheme="majorHAnsi"/>
          <w:color w:val="auto"/>
          <w:sz w:val="24"/>
          <w:szCs w:val="24"/>
          <w:lang w:eastAsia="en-US"/>
        </w:rPr>
        <w:t xml:space="preserve"> in the public interest to prosecute.</w:t>
      </w:r>
    </w:p>
    <w:p w14:paraId="45AFEC75"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u w:val="single"/>
          <w:lang w:eastAsia="en-US"/>
        </w:rPr>
      </w:pPr>
      <w:r w:rsidRPr="00C7447F">
        <w:rPr>
          <w:rFonts w:asciiTheme="majorHAnsi" w:eastAsiaTheme="minorHAnsi" w:hAnsiTheme="majorHAnsi" w:cstheme="majorHAnsi"/>
          <w:color w:val="auto"/>
          <w:sz w:val="24"/>
          <w:szCs w:val="24"/>
          <w:u w:val="single"/>
          <w:lang w:eastAsia="en-US"/>
        </w:rPr>
        <w:t>So What?</w:t>
      </w:r>
    </w:p>
    <w:p w14:paraId="090F13DB" w14:textId="2216055B"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bCs/>
          <w:sz w:val="24"/>
          <w:szCs w:val="24"/>
          <w:shd w:val="clear" w:color="auto" w:fill="FFFFFF"/>
          <w:lang w:eastAsia="en-US"/>
        </w:rPr>
        <w:t>The next stage of the reflective process in the ‘So What?’ stage. This stage emphasises the impact of the individuals’ reactions and feelings of the situation</w:t>
      </w:r>
      <w:r w:rsidR="000815D9">
        <w:rPr>
          <w:rFonts w:asciiTheme="majorHAnsi" w:eastAsiaTheme="minorHAnsi" w:hAnsiTheme="majorHAnsi" w:cstheme="majorHAnsi"/>
          <w:bCs/>
          <w:sz w:val="24"/>
          <w:szCs w:val="24"/>
          <w:shd w:val="clear" w:color="auto" w:fill="FFFFFF"/>
          <w:lang w:eastAsia="en-US"/>
        </w:rPr>
        <w:t>, allowing</w:t>
      </w:r>
      <w:r w:rsidRPr="00C7447F">
        <w:rPr>
          <w:rFonts w:asciiTheme="majorHAnsi" w:eastAsiaTheme="minorHAnsi" w:hAnsiTheme="majorHAnsi" w:cstheme="majorHAnsi"/>
          <w:bCs/>
          <w:sz w:val="24"/>
          <w:szCs w:val="24"/>
          <w:shd w:val="clear" w:color="auto" w:fill="FFFFFF"/>
          <w:lang w:eastAsia="en-US"/>
        </w:rPr>
        <w:t xml:space="preserve"> for an analysis of the scenario, highlighting what went well. </w:t>
      </w:r>
    </w:p>
    <w:p w14:paraId="227979C0"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According to the College of Policing it is essential to take positive action when dealing with domestic abuse incidents (College of Policing 2023). The Human Rights Act 1998 highlights the positive obligations within the United Kingdom (UK) to protect those from acts which restrict their rights. By ensuring an individual’s rights are protected allows for their right to life, the right to not be subjected to torture of degrading treatment and allows for their right of privacy within their private and family life to be protected. The use of the Human Rights Act 1998 allows for those individuals to be protected and safeguarded from harm or risk to life. In relation to the scenario highlighted on arrival to the property it was essential to ensure the female was safe and free of any harm, whilst ensuring the rights of all involved are respected. It was paramount I was sensitive to the female as well as the male due to the ongoing issues with both individuals. </w:t>
      </w:r>
    </w:p>
    <w:p w14:paraId="29406F47"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The Police and Criminal Evidence Act 1984 (PACE) encompasses and regulates a code of practice that ensures the regulation of policing powers and protects the rights of the public (Bell 2013). Code G within the PACE Act 1984 states that among other grounds the Act allows an officer to carry out an arrest who they believe have grounds that an individuals may intimidate or threaten another individual to allow for prompt and effective investigation of the offence (GOV.UK 2013). Additionally, it crucial the decision for an individual to be </w:t>
      </w:r>
      <w:r w:rsidRPr="00C7447F">
        <w:rPr>
          <w:rFonts w:asciiTheme="majorHAnsi" w:eastAsiaTheme="minorHAnsi" w:hAnsiTheme="majorHAnsi" w:cstheme="majorHAnsi"/>
          <w:color w:val="auto"/>
          <w:sz w:val="24"/>
          <w:szCs w:val="24"/>
          <w:lang w:eastAsia="en-US"/>
        </w:rPr>
        <w:lastRenderedPageBreak/>
        <w:t xml:space="preserve">arrested comes from the leading officer and the victim should not be asked if they require an arrest to happen. The scenario emphasises the need for the male to be arrested due to the female being threatened and scared of the male. Additionally, as the male was intoxicated it was impossible to gather the relevant information. </w:t>
      </w:r>
    </w:p>
    <w:p w14:paraId="27F9B6EF"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The National Decision Model (NDM) should be used by everyone in policing. The model encompasses six elements providing structure and rationale when making decisions. The six elements include Code of Ethics, Gathering information and intelligence, Assess threat and risk, Consider powers and policy, Identify options and contingencies and take action and review what happened. The use of the NDM allows the officer to focus on elements at one given time (The College of Policing 2014). The use of this model was essential during this scenario as it enabled the relevant and appropriate information to be obtained from both individuals. </w:t>
      </w:r>
    </w:p>
    <w:p w14:paraId="31EBB4E2" w14:textId="1C378D61"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Furthermore, it is essential when dealing with those </w:t>
      </w:r>
      <w:r w:rsidR="00716DD2">
        <w:rPr>
          <w:rFonts w:asciiTheme="majorHAnsi" w:eastAsiaTheme="minorHAnsi" w:hAnsiTheme="majorHAnsi" w:cstheme="majorHAnsi"/>
          <w:color w:val="auto"/>
          <w:sz w:val="24"/>
          <w:szCs w:val="24"/>
          <w:lang w:eastAsia="en-US"/>
        </w:rPr>
        <w:t xml:space="preserve">people </w:t>
      </w:r>
      <w:r w:rsidRPr="00C7447F">
        <w:rPr>
          <w:rFonts w:asciiTheme="majorHAnsi" w:eastAsiaTheme="minorHAnsi" w:hAnsiTheme="majorHAnsi" w:cstheme="majorHAnsi"/>
          <w:color w:val="auto"/>
          <w:sz w:val="24"/>
          <w:szCs w:val="24"/>
          <w:lang w:eastAsia="en-US"/>
        </w:rPr>
        <w:t xml:space="preserve">who are vulnerable </w:t>
      </w:r>
      <w:r w:rsidR="00716DD2">
        <w:rPr>
          <w:rFonts w:asciiTheme="majorHAnsi" w:eastAsiaTheme="minorHAnsi" w:hAnsiTheme="majorHAnsi" w:cstheme="majorHAnsi"/>
          <w:color w:val="auto"/>
          <w:sz w:val="24"/>
          <w:szCs w:val="24"/>
          <w:lang w:eastAsia="en-US"/>
        </w:rPr>
        <w:t xml:space="preserve"> by being exposed to the likely chance of being in harms way either physically or mentally </w:t>
      </w:r>
      <w:r w:rsidRPr="00C7447F">
        <w:rPr>
          <w:rFonts w:asciiTheme="majorHAnsi" w:eastAsiaTheme="minorHAnsi" w:hAnsiTheme="majorHAnsi" w:cstheme="majorHAnsi"/>
          <w:color w:val="auto"/>
          <w:sz w:val="24"/>
          <w:szCs w:val="24"/>
          <w:lang w:eastAsia="en-US"/>
        </w:rPr>
        <w:t>appropriate approaches are used. Approaches such as effective communication are essential for example the use of building a rapport with the individuals involved. This allows for a professional relationship to be developed whereby a mutual trust between individual and officer is obtained to allow for effective information gathering (Reid 2021). Ensuring when communicating with the individuals that questions are asked in ‘the right way’ will allow for the individual to ‘open up’ and relay the information that is needed. Showing empathy when communicating with individuals is essential as it allows for a greater understanding of how they are feeling (Jennings 2014). Therefore, the use of empathy allows for individuals values, feelings, and beliefs to be taken into consideration. Thus, enforcing the effectiveness of the communication process.</w:t>
      </w:r>
    </w:p>
    <w:p w14:paraId="3A871593"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Ensuring I used effective communication allowed for greater understanding between us and the individuals involved in the scenario. To obtain trust and show empathy towards the individuals I ensured I showed no judgement towards them, I ensured I actively listened to all the information the female had to offer whilst showing her reassurance throughout. </w:t>
      </w:r>
    </w:p>
    <w:p w14:paraId="6B536937" w14:textId="19B34782"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000000" w:themeColor="text1"/>
          <w:sz w:val="24"/>
          <w:szCs w:val="24"/>
          <w:lang w:eastAsia="en-US"/>
        </w:rPr>
      </w:pPr>
      <w:r w:rsidRPr="00C7447F">
        <w:rPr>
          <w:rFonts w:asciiTheme="majorHAnsi" w:eastAsiaTheme="minorHAnsi" w:hAnsiTheme="majorHAnsi" w:cstheme="majorHAnsi"/>
          <w:color w:val="000000" w:themeColor="text1"/>
          <w:sz w:val="24"/>
          <w:szCs w:val="24"/>
          <w:lang w:eastAsia="en-US"/>
        </w:rPr>
        <w:t xml:space="preserve">Several approaches are additionally used to target and prevent </w:t>
      </w:r>
      <w:r w:rsidRPr="009A0973">
        <w:rPr>
          <w:rFonts w:asciiTheme="majorHAnsi" w:eastAsiaTheme="minorHAnsi" w:hAnsiTheme="majorHAnsi" w:cstheme="majorHAnsi"/>
          <w:color w:val="000000" w:themeColor="text1"/>
          <w:sz w:val="24"/>
          <w:szCs w:val="24"/>
          <w:lang w:eastAsia="en-US"/>
        </w:rPr>
        <w:t>repeat victimisation</w:t>
      </w:r>
      <w:r w:rsidR="009A0973">
        <w:rPr>
          <w:rFonts w:asciiTheme="majorHAnsi" w:eastAsiaTheme="minorHAnsi" w:hAnsiTheme="majorHAnsi" w:cstheme="majorHAnsi"/>
          <w:color w:val="000000" w:themeColor="text1"/>
          <w:sz w:val="24"/>
          <w:szCs w:val="24"/>
          <w:lang w:eastAsia="en-US"/>
        </w:rPr>
        <w:t xml:space="preserve"> referring to places, businesses, vehicles or persons a</w:t>
      </w:r>
      <w:r w:rsidRPr="00C7447F">
        <w:rPr>
          <w:rFonts w:asciiTheme="majorHAnsi" w:eastAsiaTheme="minorHAnsi" w:hAnsiTheme="majorHAnsi" w:cstheme="majorHAnsi"/>
          <w:color w:val="000000" w:themeColor="text1"/>
          <w:sz w:val="24"/>
          <w:szCs w:val="24"/>
          <w:lang w:eastAsia="en-US"/>
        </w:rPr>
        <w:t>nd repeat offending</w:t>
      </w:r>
      <w:r w:rsidR="009A0973">
        <w:rPr>
          <w:rFonts w:asciiTheme="majorHAnsi" w:eastAsiaTheme="minorHAnsi" w:hAnsiTheme="majorHAnsi" w:cstheme="majorHAnsi"/>
          <w:color w:val="000000" w:themeColor="text1"/>
          <w:sz w:val="24"/>
          <w:szCs w:val="24"/>
          <w:lang w:eastAsia="en-US"/>
        </w:rPr>
        <w:t xml:space="preserve"> knowing an area, person or </w:t>
      </w:r>
      <w:r w:rsidR="009A0973">
        <w:rPr>
          <w:rFonts w:asciiTheme="majorHAnsi" w:eastAsiaTheme="minorHAnsi" w:hAnsiTheme="majorHAnsi" w:cstheme="majorHAnsi"/>
          <w:color w:val="000000" w:themeColor="text1"/>
          <w:sz w:val="24"/>
          <w:szCs w:val="24"/>
          <w:lang w:eastAsia="en-US"/>
        </w:rPr>
        <w:lastRenderedPageBreak/>
        <w:t>place is an obvious target</w:t>
      </w:r>
      <w:r w:rsidRPr="00C7447F">
        <w:rPr>
          <w:rFonts w:asciiTheme="majorHAnsi" w:eastAsiaTheme="minorHAnsi" w:hAnsiTheme="majorHAnsi" w:cstheme="majorHAnsi"/>
          <w:color w:val="000000" w:themeColor="text1"/>
          <w:sz w:val="24"/>
          <w:szCs w:val="24"/>
          <w:lang w:eastAsia="en-US"/>
        </w:rPr>
        <w:t xml:space="preserve">. Approaches such as targeting places whereby the places that create the most demand for the police are monitored this therefore providing a crime reduction strategy within a given area (Farrell and Pease 2012). However, evidence highlights that crime such burglary is affected by this not all crimes are reduced. Additionally, the use of targeting people can have an impact on crime by focusing on specific induvial who are victims of repeat offenders (Robinson 2006). Findings suggest this is beneficial in reducing both </w:t>
      </w:r>
      <w:r w:rsidR="00CC27F4" w:rsidRPr="00C7447F">
        <w:rPr>
          <w:rFonts w:asciiTheme="majorHAnsi" w:eastAsiaTheme="minorHAnsi" w:hAnsiTheme="majorHAnsi" w:cstheme="majorHAnsi"/>
          <w:color w:val="000000" w:themeColor="text1"/>
          <w:sz w:val="24"/>
          <w:szCs w:val="24"/>
          <w:lang w:eastAsia="en-US"/>
        </w:rPr>
        <w:t>revictimization</w:t>
      </w:r>
      <w:r w:rsidRPr="00C7447F">
        <w:rPr>
          <w:rFonts w:asciiTheme="majorHAnsi" w:eastAsiaTheme="minorHAnsi" w:hAnsiTheme="majorHAnsi" w:cstheme="majorHAnsi"/>
          <w:color w:val="000000" w:themeColor="text1"/>
          <w:sz w:val="24"/>
          <w:szCs w:val="24"/>
          <w:lang w:eastAsia="en-US"/>
        </w:rPr>
        <w:t xml:space="preserve"> and overall crime when repeat victims and their surrounding neighbours are targeted. </w:t>
      </w:r>
    </w:p>
    <w:p w14:paraId="79F84163" w14:textId="77777777" w:rsidR="00D010CF" w:rsidRPr="00C7447F" w:rsidRDefault="00D010CF" w:rsidP="00D010CF">
      <w:pPr>
        <w:overflowPunct/>
        <w:autoSpaceDE/>
        <w:autoSpaceDN/>
        <w:adjustRightInd/>
        <w:spacing w:after="160" w:line="259" w:lineRule="auto"/>
        <w:textAlignment w:val="auto"/>
        <w:rPr>
          <w:rFonts w:asciiTheme="majorHAnsi" w:eastAsiaTheme="minorHAnsi" w:hAnsiTheme="majorHAnsi" w:cstheme="majorHAnsi"/>
          <w:color w:val="auto"/>
          <w:sz w:val="24"/>
          <w:szCs w:val="24"/>
          <w:u w:val="single"/>
          <w:lang w:eastAsia="en-US"/>
        </w:rPr>
      </w:pPr>
      <w:r w:rsidRPr="00C7447F">
        <w:rPr>
          <w:rFonts w:asciiTheme="majorHAnsi" w:eastAsiaTheme="minorHAnsi" w:hAnsiTheme="majorHAnsi" w:cstheme="majorHAnsi"/>
          <w:color w:val="auto"/>
          <w:sz w:val="24"/>
          <w:szCs w:val="24"/>
          <w:u w:val="single"/>
          <w:lang w:eastAsia="en-US"/>
        </w:rPr>
        <w:t>Now What?</w:t>
      </w:r>
    </w:p>
    <w:p w14:paraId="43F16E12" w14:textId="3BDA0836"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This stage is the final process of reflection and aids to evaluate a shared experience or an event and include the actions and responses from those individuals involved in the scenario. Additionally</w:t>
      </w:r>
      <w:r w:rsidRPr="007F52C3">
        <w:rPr>
          <w:rFonts w:asciiTheme="majorHAnsi" w:eastAsiaTheme="minorHAnsi" w:hAnsiTheme="majorHAnsi" w:cstheme="majorHAnsi"/>
          <w:color w:val="auto"/>
          <w:sz w:val="24"/>
          <w:szCs w:val="24"/>
          <w:lang w:eastAsia="en-US"/>
        </w:rPr>
        <w:t>, this stage allows those to revisit what has happened and learn from experiences by ways to improve or act</w:t>
      </w:r>
      <w:r w:rsidR="00EE20D2" w:rsidRPr="007F52C3">
        <w:rPr>
          <w:rFonts w:asciiTheme="majorHAnsi" w:eastAsiaTheme="minorHAnsi" w:hAnsiTheme="majorHAnsi" w:cstheme="majorHAnsi"/>
          <w:color w:val="auto"/>
          <w:sz w:val="24"/>
          <w:szCs w:val="24"/>
          <w:lang w:eastAsia="en-US"/>
        </w:rPr>
        <w:t xml:space="preserve"> (</w:t>
      </w:r>
      <w:r w:rsidR="00EE20D2" w:rsidRPr="00EE20D2">
        <w:rPr>
          <w:rFonts w:asciiTheme="majorHAnsi" w:eastAsiaTheme="minorHAnsi" w:hAnsiTheme="majorHAnsi" w:cstheme="majorHAnsi"/>
          <w:color w:val="auto"/>
          <w:sz w:val="24"/>
          <w:szCs w:val="24"/>
          <w:lang w:eastAsia="en-US"/>
        </w:rPr>
        <w:t>Ochoa, D. 2023)</w:t>
      </w:r>
      <w:r w:rsidRPr="007F52C3">
        <w:rPr>
          <w:rFonts w:asciiTheme="majorHAnsi" w:eastAsiaTheme="minorHAnsi" w:hAnsiTheme="majorHAnsi" w:cstheme="majorHAnsi"/>
          <w:color w:val="auto"/>
          <w:sz w:val="24"/>
          <w:szCs w:val="24"/>
          <w:lang w:eastAsia="en-US"/>
        </w:rPr>
        <w:t>.</w:t>
      </w:r>
      <w:r w:rsidRPr="00C7447F">
        <w:rPr>
          <w:rFonts w:asciiTheme="majorHAnsi" w:eastAsiaTheme="minorHAnsi" w:hAnsiTheme="majorHAnsi" w:cstheme="majorHAnsi"/>
          <w:color w:val="auto"/>
          <w:sz w:val="24"/>
          <w:szCs w:val="24"/>
          <w:lang w:eastAsia="en-US"/>
        </w:rPr>
        <w:t xml:space="preserve"> </w:t>
      </w:r>
    </w:p>
    <w:p w14:paraId="2018932A" w14:textId="3DF03418"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Following this incident, when communicating with individuals who are vulnerable it is essential to ensure you obtain trust where possible to ensure </w:t>
      </w:r>
      <w:r w:rsidRPr="00790978">
        <w:rPr>
          <w:rFonts w:asciiTheme="majorHAnsi" w:eastAsiaTheme="minorHAnsi" w:hAnsiTheme="majorHAnsi" w:cstheme="majorHAnsi"/>
          <w:color w:val="auto"/>
          <w:sz w:val="24"/>
          <w:szCs w:val="24"/>
          <w:lang w:eastAsia="en-US"/>
        </w:rPr>
        <w:t>an effective communication process</w:t>
      </w:r>
      <w:r w:rsidR="00790978" w:rsidRPr="00790978">
        <w:rPr>
          <w:i/>
          <w:iCs/>
        </w:rPr>
        <w:t xml:space="preserve"> ( </w:t>
      </w:r>
      <w:r w:rsidR="00790978" w:rsidRPr="00790978">
        <w:rPr>
          <w:rFonts w:asciiTheme="majorHAnsi" w:eastAsiaTheme="minorHAnsi" w:hAnsiTheme="majorHAnsi" w:cstheme="majorHAnsi"/>
          <w:i/>
          <w:iCs/>
          <w:color w:val="auto"/>
          <w:sz w:val="24"/>
          <w:szCs w:val="24"/>
          <w:lang w:eastAsia="en-US"/>
        </w:rPr>
        <w:t>Rapport building</w:t>
      </w:r>
      <w:r w:rsidR="00790978" w:rsidRPr="00790978">
        <w:rPr>
          <w:rFonts w:asciiTheme="majorHAnsi" w:eastAsiaTheme="minorHAnsi" w:hAnsiTheme="majorHAnsi" w:cstheme="majorHAnsi"/>
          <w:color w:val="auto"/>
          <w:sz w:val="24"/>
          <w:szCs w:val="24"/>
          <w:lang w:eastAsia="en-US"/>
        </w:rPr>
        <w:t xml:space="preserve"> 2020)</w:t>
      </w:r>
      <w:r w:rsidRPr="00790978">
        <w:rPr>
          <w:rFonts w:asciiTheme="majorHAnsi" w:eastAsiaTheme="minorHAnsi" w:hAnsiTheme="majorHAnsi" w:cstheme="majorHAnsi"/>
          <w:color w:val="auto"/>
          <w:sz w:val="24"/>
          <w:szCs w:val="24"/>
          <w:lang w:eastAsia="en-US"/>
        </w:rPr>
        <w:t>.</w:t>
      </w:r>
      <w:r w:rsidRPr="00C7447F">
        <w:rPr>
          <w:rFonts w:asciiTheme="majorHAnsi" w:eastAsiaTheme="minorHAnsi" w:hAnsiTheme="majorHAnsi" w:cstheme="majorHAnsi"/>
          <w:color w:val="auto"/>
          <w:sz w:val="24"/>
          <w:szCs w:val="24"/>
          <w:lang w:eastAsia="en-US"/>
        </w:rPr>
        <w:t xml:space="preserve"> During this scenario I felt I was able to provide the female with reassurance therefore gain here trust and enable her to provide a statement and provide us with as much information as possible. </w:t>
      </w:r>
    </w:p>
    <w:p w14:paraId="69D277F0" w14:textId="0DCAFAFB"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2"/>
          <w:lang w:eastAsia="en-US"/>
        </w:rPr>
      </w:pPr>
      <w:r w:rsidRPr="00C7447F">
        <w:rPr>
          <w:rFonts w:asciiTheme="majorHAnsi" w:eastAsiaTheme="minorHAnsi" w:hAnsiTheme="majorHAnsi" w:cstheme="majorHAnsi"/>
          <w:color w:val="auto"/>
          <w:sz w:val="24"/>
          <w:szCs w:val="24"/>
          <w:lang w:eastAsia="en-US"/>
        </w:rPr>
        <w:t xml:space="preserve">Additionally, from researching and reflecting on this scenario, it has provided me the opportunity to further increase my knowledge of the importance of effective communication skills especially when communicating with vulnerable individuals. It has also highlighted the need to use further approaches such as reassurance and empathy to provide a safe environment for the female individual. </w:t>
      </w:r>
      <w:r w:rsidRPr="00C7447F">
        <w:rPr>
          <w:rFonts w:asciiTheme="majorHAnsi" w:eastAsiaTheme="minorHAnsi" w:hAnsiTheme="majorHAnsi" w:cstheme="majorHAnsi"/>
          <w:color w:val="auto"/>
          <w:sz w:val="24"/>
          <w:szCs w:val="22"/>
          <w:lang w:eastAsia="en-US"/>
        </w:rPr>
        <w:t>For future experiences I will follow techniques to ensure when dealing with vulnerable individuals the situations are effectively managed to allow for positive and effective outcomes. Therefore, safeguarding my colleagues, the public and myself.</w:t>
      </w:r>
    </w:p>
    <w:p w14:paraId="4A502F8B"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2"/>
          <w:u w:val="single"/>
          <w:lang w:eastAsia="en-US"/>
        </w:rPr>
      </w:pPr>
      <w:r w:rsidRPr="00C7447F">
        <w:rPr>
          <w:rFonts w:asciiTheme="majorHAnsi" w:eastAsiaTheme="minorHAnsi" w:hAnsiTheme="majorHAnsi" w:cstheme="majorHAnsi"/>
          <w:color w:val="auto"/>
          <w:sz w:val="24"/>
          <w:szCs w:val="22"/>
          <w:u w:val="single"/>
          <w:lang w:eastAsia="en-US"/>
        </w:rPr>
        <w:t xml:space="preserve">Conclusion </w:t>
      </w:r>
    </w:p>
    <w:p w14:paraId="013CBCEB" w14:textId="77777777"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This task emphasises the importance of</w:t>
      </w:r>
      <w:r w:rsidRPr="00C7447F">
        <w:rPr>
          <w:rFonts w:asciiTheme="majorHAnsi" w:eastAsiaTheme="minorHAnsi" w:hAnsiTheme="majorHAnsi" w:cstheme="majorHAnsi"/>
          <w:color w:val="auto"/>
          <w:sz w:val="24"/>
          <w:szCs w:val="22"/>
          <w:lang w:eastAsia="en-US"/>
        </w:rPr>
        <w:t xml:space="preserve"> using reflection in everyday practice to ensure individuals evaluate their practice and improve their skills for future experiences. This provides additional learning opportunities to further evaluate scenarios from different </w:t>
      </w:r>
      <w:r w:rsidRPr="00C7447F">
        <w:rPr>
          <w:rFonts w:asciiTheme="majorHAnsi" w:eastAsiaTheme="minorHAnsi" w:hAnsiTheme="majorHAnsi" w:cstheme="majorHAnsi"/>
          <w:color w:val="auto"/>
          <w:sz w:val="24"/>
          <w:szCs w:val="22"/>
          <w:lang w:eastAsia="en-US"/>
        </w:rPr>
        <w:lastRenderedPageBreak/>
        <w:t xml:space="preserve">perspectives. Self-reflection is the power to witness and evaluate our own behavioural processes. It has also allowed me to reflect on </w:t>
      </w:r>
      <w:r w:rsidRPr="00C7447F">
        <w:rPr>
          <w:rFonts w:asciiTheme="majorHAnsi" w:eastAsiaTheme="minorHAnsi" w:hAnsiTheme="majorHAnsi" w:cstheme="majorHAnsi"/>
          <w:color w:val="auto"/>
          <w:sz w:val="24"/>
          <w:szCs w:val="24"/>
          <w:lang w:eastAsia="en-US"/>
        </w:rPr>
        <w:t xml:space="preserve">ways on how to manage the scenario highlighted. </w:t>
      </w:r>
    </w:p>
    <w:p w14:paraId="1228398C" w14:textId="557A5164" w:rsidR="00D010CF" w:rsidRPr="00C7447F" w:rsidRDefault="00D010CF" w:rsidP="00D010CF">
      <w:pPr>
        <w:overflowPunct/>
        <w:autoSpaceDE/>
        <w:autoSpaceDN/>
        <w:adjustRightInd/>
        <w:spacing w:after="160" w:line="360" w:lineRule="auto"/>
        <w:textAlignment w:val="auto"/>
        <w:rPr>
          <w:rFonts w:asciiTheme="majorHAnsi" w:eastAsiaTheme="minorHAnsi" w:hAnsiTheme="majorHAnsi" w:cstheme="majorHAnsi"/>
          <w:color w:val="auto"/>
          <w:sz w:val="22"/>
          <w:szCs w:val="22"/>
          <w:lang w:eastAsia="en-US"/>
        </w:rPr>
      </w:pPr>
      <w:r w:rsidRPr="00C7447F">
        <w:rPr>
          <w:rFonts w:asciiTheme="majorHAnsi" w:eastAsiaTheme="minorHAnsi" w:hAnsiTheme="majorHAnsi" w:cstheme="majorHAnsi"/>
          <w:color w:val="auto"/>
          <w:sz w:val="24"/>
          <w:szCs w:val="24"/>
          <w:lang w:eastAsia="en-US"/>
        </w:rPr>
        <w:t>(2</w:t>
      </w:r>
      <w:r w:rsidR="000815D9">
        <w:rPr>
          <w:rFonts w:asciiTheme="majorHAnsi" w:eastAsiaTheme="minorHAnsi" w:hAnsiTheme="majorHAnsi" w:cstheme="majorHAnsi"/>
          <w:color w:val="auto"/>
          <w:sz w:val="24"/>
          <w:szCs w:val="24"/>
          <w:lang w:eastAsia="en-US"/>
        </w:rPr>
        <w:t>191</w:t>
      </w:r>
      <w:r w:rsidRPr="00C7447F">
        <w:rPr>
          <w:rFonts w:asciiTheme="majorHAnsi" w:eastAsiaTheme="minorHAnsi" w:hAnsiTheme="majorHAnsi" w:cstheme="majorHAnsi"/>
          <w:color w:val="auto"/>
          <w:sz w:val="24"/>
          <w:szCs w:val="24"/>
          <w:lang w:eastAsia="en-US"/>
        </w:rPr>
        <w:t xml:space="preserve"> words) </w:t>
      </w:r>
    </w:p>
    <w:p w14:paraId="1ACB5AE0" w14:textId="77777777" w:rsidR="00D010CF" w:rsidRPr="00E676F7" w:rsidRDefault="00D010CF"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814062C" w:rsidR="00A221AB" w:rsidRDefault="00A221AB" w:rsidP="5CE196A1">
      <w:pPr>
        <w:pStyle w:val="paragraph"/>
        <w:spacing w:before="0" w:beforeAutospacing="0" w:after="0" w:afterAutospacing="0"/>
        <w:rPr>
          <w:b/>
          <w:bCs/>
        </w:rPr>
      </w:pP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lastRenderedPageBreak/>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Default="3E63D7DA" w:rsidP="0FF883D4">
      <w:pPr>
        <w:ind w:right="237"/>
        <w:jc w:val="both"/>
        <w:rPr>
          <w:b/>
          <w:bCs/>
          <w:sz w:val="24"/>
          <w:szCs w:val="24"/>
        </w:rPr>
      </w:pPr>
      <w:r w:rsidRPr="5CE196A1">
        <w:rPr>
          <w:b/>
          <w:bCs/>
          <w:sz w:val="24"/>
          <w:szCs w:val="24"/>
        </w:rPr>
        <w:t xml:space="preserve">Answer: </w:t>
      </w:r>
    </w:p>
    <w:p w14:paraId="2BD65398" w14:textId="77777777" w:rsidR="00E12F55" w:rsidRDefault="00E12F55" w:rsidP="0FF883D4">
      <w:pPr>
        <w:ind w:right="237"/>
        <w:jc w:val="both"/>
        <w:rPr>
          <w:b/>
          <w:bCs/>
          <w:sz w:val="24"/>
          <w:szCs w:val="24"/>
        </w:rPr>
      </w:pPr>
    </w:p>
    <w:p w14:paraId="7E9CD9FB"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In regards to  community policing, I have chosen an incident that I have attended that presented a complex issue for the community, and that I played a significant role in providing a response. In this task I will critically evaluate a range of interventions that I have employed to promote community engagement that assisted in resolving the issue.</w:t>
      </w:r>
    </w:p>
    <w:p w14:paraId="6263783B"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To provide an account using a reflective model I have chosen Driscoll’s 2007 ‘The What Model’. This encompasses three questions – ‘What?’, ‘So what?’, and ‘Now What?’ are used to reflect on an event or scenario according to Driscoll’s (2007) model of reflection. To facilitate reflection, these three questions will be used throughout. This model has been applied to this assignment because it enables evaluation and reflection of the experience. I’ll use the incident that occurred during my time responding to a call since my tutorship.</w:t>
      </w:r>
    </w:p>
    <w:p w14:paraId="1D0847A0"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The ‘What?’ is the first stage in Driscoll’s reflective model. This stage emphasises and highlights the significant occurrences and provides an explanation of what has occurred.</w:t>
      </w:r>
    </w:p>
    <w:p w14:paraId="61B096F2"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8"/>
          <w:szCs w:val="28"/>
          <w:u w:val="single"/>
          <w:lang w:eastAsia="en-US"/>
        </w:rPr>
      </w:pPr>
      <w:r w:rsidRPr="00C7447F">
        <w:rPr>
          <w:rFonts w:asciiTheme="majorHAnsi" w:eastAsiaTheme="minorHAnsi" w:hAnsiTheme="majorHAnsi" w:cstheme="majorHAnsi"/>
          <w:color w:val="auto"/>
          <w:sz w:val="28"/>
          <w:szCs w:val="28"/>
          <w:u w:val="single"/>
          <w:lang w:eastAsia="en-US"/>
        </w:rPr>
        <w:t>What?</w:t>
      </w:r>
    </w:p>
    <w:p w14:paraId="4E9BA93D"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My colleague and I were leaving a call which was reported by a neighbour that youths were climbing and entering the old, abandoned school which was opposite their house. While in attendance there was no-one there but there was a way of entry which I notified the local authority. </w:t>
      </w:r>
    </w:p>
    <w:p w14:paraId="44B87582"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A member of the public flagged us down as we were leaving the area, to tell us if we were attending the corner shop at the top of the hill as there seemed to be a disturbance there. I </w:t>
      </w:r>
      <w:r w:rsidRPr="00C7447F">
        <w:rPr>
          <w:rFonts w:asciiTheme="majorHAnsi" w:eastAsiaTheme="minorHAnsi" w:hAnsiTheme="majorHAnsi" w:cstheme="majorHAnsi"/>
          <w:color w:val="auto"/>
          <w:sz w:val="24"/>
          <w:szCs w:val="24"/>
          <w:lang w:eastAsia="en-US"/>
        </w:rPr>
        <w:lastRenderedPageBreak/>
        <w:t xml:space="preserve">checked with the public service centre by my police issued radio device if any call had been made, there was none yet but I reassured him that we’d make our way over. </w:t>
      </w:r>
    </w:p>
    <w:p w14:paraId="7380C8BA"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When my colleague and I at the corner shop, there was a crowd of around twenty people standing outside the shop, arguing, and spectating. I contacted the public service centre to ask for an occurrence to be created for the incident and asked for any available units to assist to prevent any situation from escalating.</w:t>
      </w:r>
    </w:p>
    <w:p w14:paraId="2EA172D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According to The College of Policing (2013) a group of individuals known as a ‘crowd’ can result in a spread of behaviour caused by the members’ involved if they were to become extremely emotional or hostile and this could spread to those around them. A minority may have the chance to mobilise and influence those around them. This supports the action I had taken to inform the service centre and ask for more units. </w:t>
      </w:r>
    </w:p>
    <w:p w14:paraId="02C08CB0"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I spoke with someone who seemed to have a grasp of the situation, explaining that a group of youths had entered the corner shop. This escalated into a fight with the sales assistant and a racist term was used against the sales assistant which was meant with offence and then left the area. I asked if anyone who was in the area to give details to my colleague if they were in the location at the time of the incident if they would need to be contacted again for information or even a statement.</w:t>
      </w:r>
    </w:p>
    <w:p w14:paraId="2FE1EDD7"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Once in the shop I spoke with the victim of the incident, he was visibly shaken up about what had happened. Once I gained details to be able to update the log, I asked him to explain what had happened. He stated that it was a group of boys who regularly came into the shop, he asked them to leave earlier that day as they were causing trouble. </w:t>
      </w:r>
    </w:p>
    <w:p w14:paraId="096E29E7"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When they came back into the shop, he asked them to leave as they were ‘play fighting’ with the intention to pull and push things off the shelves in the shop and cause a mess. The victim gave them a warning to leave as he was pulling the shutters down, as his warning was unheard, he ushered them out of the shop and whilst outside the two teenage boys attempted to go back into the shop while the shutters were coming down.</w:t>
      </w:r>
    </w:p>
    <w:p w14:paraId="624A3066"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The shop attendant pushed the teenage boys away against the wall, so they didn’t get hurt by the shutters or go back into the shop, in the process one of the teenage boys pushed away </w:t>
      </w:r>
      <w:r w:rsidRPr="00C7447F">
        <w:rPr>
          <w:rFonts w:asciiTheme="majorHAnsi" w:eastAsiaTheme="minorHAnsi" w:hAnsiTheme="majorHAnsi" w:cstheme="majorHAnsi"/>
          <w:color w:val="auto"/>
          <w:sz w:val="24"/>
          <w:szCs w:val="24"/>
          <w:lang w:eastAsia="en-US"/>
        </w:rPr>
        <w:lastRenderedPageBreak/>
        <w:t>and the other punched out at the shop attendant and shouted, ‘Get off me and a racists comment followed’.</w:t>
      </w:r>
    </w:p>
    <w:p w14:paraId="532F9CB5"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I obtained the names of the teenage boys who were involved, the victim was asked what he’d like to have done about the incident moving forward, he stated he’d like nothing to be done but for the boys to be spoken to and that the boys are banned until they apologise. The parents were notified of what happened and I strongly advised them how their behaviour was unacceptable, when speaking with each of them individually I used transactional analysis developed by Eric Berne (Berne (2011) with the philosophy that a person can adapt the characteristics of the parent at a given time by the language, typical behaviours and attitudes shown in front of them.</w:t>
      </w:r>
    </w:p>
    <w:p w14:paraId="649BBBEB"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The teenagers apologised and the next day both teenage boys attended the shop with their parent to apologise for what had happened. I completed the relevant forms as this was documented as a hate crime as this was racially aggravated by words used against the victim. </w:t>
      </w:r>
    </w:p>
    <w:p w14:paraId="4585235A"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8"/>
          <w:szCs w:val="28"/>
          <w:u w:val="single"/>
          <w:lang w:eastAsia="en-US"/>
        </w:rPr>
      </w:pPr>
      <w:r w:rsidRPr="00C7447F">
        <w:rPr>
          <w:rFonts w:asciiTheme="majorHAnsi" w:eastAsiaTheme="minorHAnsi" w:hAnsiTheme="majorHAnsi" w:cstheme="majorHAnsi"/>
          <w:color w:val="auto"/>
          <w:sz w:val="28"/>
          <w:szCs w:val="28"/>
          <w:u w:val="single"/>
          <w:lang w:eastAsia="en-US"/>
        </w:rPr>
        <w:t>So What?</w:t>
      </w:r>
    </w:p>
    <w:p w14:paraId="1FAA0CA3"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Community policing dates to the 1960s during a time when riots and gang activities were on the increase. Whereby brute force resulted in the decrease of policing relationships with those in the community (Bayley 2016). Therefore, causing a review of the role of the police in the community.</w:t>
      </w:r>
    </w:p>
    <w:p w14:paraId="59B393F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Community engagement is an essential aspect involved in policing. Effective engagement with community allows for the building and maintaining of trust between officers and the public (Hyland-Wood et al 2021). This enhances the partnership and therefore enables effective problem solving. To promote engagement education and knowledge is essential. By enforcing and educating the police and public on policies, practices and incidents allows for clarity and a greater understanding between those involved (Kubiak et al 2019). </w:t>
      </w:r>
    </w:p>
    <w:p w14:paraId="59415BC0"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It has been suggested that effective community engagement such as foot patrols and cooperative problem solving can have a considerable impact on the confidence in activities associated with the police (College of Policing 2013). This could relieve tensions associated with hate crimes as identified in the scenario and other crimes. </w:t>
      </w:r>
    </w:p>
    <w:p w14:paraId="3B69C4D8"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lastRenderedPageBreak/>
        <w:t xml:space="preserve">One intervention used within the police to engage communities is visible presence or foot patrols. The use of this can have a considerable impact on antisocial behaviour and reduce crime (Ariel, Weinborn and Sherman 2016). Additionally, the increased presence of the police in communities provides the public with reassurance. Furthermore, the presence of the police allows for effective engagement and problem solving when needed. Using information provision and under section 34 of the Police Reform and Social Responsibility Act 2011 it is required the public are aware of how the police aim to respond to crime (Lister 2013). </w:t>
      </w:r>
    </w:p>
    <w:p w14:paraId="63B1621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However, in some instances officers may be met with communities who are unwilling to engage. This could be because of officer not listening to public views nevertheless it is essential to play an active role in overcoming barrier (Walker and Archbold 2020). </w:t>
      </w:r>
    </w:p>
    <w:p w14:paraId="270DF5F6"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Problem solving is an effective policing strategy and has been shown to be vital in decreasing antisocial behaviour and crime when fully utilised.  An essential model used when requiring problem solving is SARA. This relates to Scanning, Analysis, Response and Assessment. This model aids in recognizing and understanding the cause of a situation and allows for a solution to be established that will therefore be effective (College of Policing 2020).</w:t>
      </w:r>
    </w:p>
    <w:p w14:paraId="5DA1A8C5"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Another strategy used is targeting police and places. There is a considerable link between crimes and anti-social behaviour between specific places and people (Crawford 2009). Therefore, you can reduce the demand of these happening by targeting those who are at most risk.  </w:t>
      </w:r>
    </w:p>
    <w:p w14:paraId="1DD47592"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Additionally, effective communication is essential when engaging with the community. This is due to communication shaping the delivery of services and the way it is perceived by the public. Adapting the forms of communication to their communities allows for more people to understand. Showing a greater understanding of communities through interaction via data, social media and face-to-face interactions improves service delivery College of Policing 2020)</w:t>
      </w:r>
    </w:p>
    <w:p w14:paraId="7AAF1A02"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Those involved in community engagement whereby it be the police or the public need to be committed to the engagement process at all levels to ensure effectiveness and cooperation (Myhill 2012). Therefore, ensuring the success of implementation. </w:t>
      </w:r>
    </w:p>
    <w:p w14:paraId="2A85B2D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8"/>
          <w:szCs w:val="28"/>
          <w:u w:val="single"/>
          <w:lang w:eastAsia="en-US"/>
        </w:rPr>
      </w:pPr>
      <w:r w:rsidRPr="00C7447F">
        <w:rPr>
          <w:rFonts w:asciiTheme="majorHAnsi" w:eastAsiaTheme="minorHAnsi" w:hAnsiTheme="majorHAnsi" w:cstheme="majorHAnsi"/>
          <w:color w:val="auto"/>
          <w:sz w:val="28"/>
          <w:szCs w:val="28"/>
          <w:u w:val="single"/>
          <w:lang w:eastAsia="en-US"/>
        </w:rPr>
        <w:t>Now what?</w:t>
      </w:r>
    </w:p>
    <w:p w14:paraId="662BB71A"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lastRenderedPageBreak/>
        <w:t>In response to the scenario identified I reacted quickly as we had no prior knowledge of the severity of the situation as this had not been reported. Therefore, I feel I would still act the same if the situation was to happen again as gaining control of the situation by having more officers on scene is important to prevent having more victims from people’s emotions being heightened due to having a good relationship with the shop keeper.</w:t>
      </w:r>
    </w:p>
    <w:p w14:paraId="361C5316"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Regarding my personal values, the nature of the shopkeeper dealing with the way he was treated and spoken to this made me feel the behaviour was unacceptable and that I didn’t condone the behaviour stating this to the bystanders and that the shopkeeper should not be made to feel uncomfortable in his place of work.</w:t>
      </w:r>
    </w:p>
    <w:p w14:paraId="77AC4962"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My past experiences dealing with crowds has only been at a road traffic collision. This sort of experience aided in knowing to distinguish who needs to be kept separate. I have learnt from reflecting on this incident the importance of when arriving somewhere with a high volume of people who all want to be listened to there needs to be a management of expectations and prioritise the situation, the victim and what the victim wants to be done about what happened.</w:t>
      </w:r>
    </w:p>
    <w:p w14:paraId="27881F00"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 xml:space="preserve">If a similar incident was to happen in the future, I would do things differently by gaining as much information from the members of public who stopped me. By doing this it would have allowed me gain further information such as descriptions of people involved. Then collect details from all involved. When speaking to the whole group of people when arriving at the scene of the incident, I learnt looking back now that I should have detailed the steps that I would be taking and that the police will be taking control of the situation to enforce engagement with the community.  </w:t>
      </w:r>
    </w:p>
    <w:p w14:paraId="2C1A1A25" w14:textId="77777777" w:rsidR="00E12F55"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sidRPr="00C7447F">
        <w:rPr>
          <w:rFonts w:asciiTheme="majorHAnsi" w:eastAsiaTheme="minorHAnsi" w:hAnsiTheme="majorHAnsi" w:cstheme="majorHAnsi"/>
          <w:color w:val="auto"/>
          <w:sz w:val="24"/>
          <w:szCs w:val="24"/>
          <w:lang w:eastAsia="en-US"/>
        </w:rPr>
        <w:t>To further expand on how I dealt with a complete issue for the community whereby I played a significant role in providing a response, the scenario discussed re-enforced how I gathered all information available on arrival, spoke to victims and witnesses. This allowed me to listen and give support and to gain an understanding of an outcome they expect to receive. The perpetrators were spoken to, their parents were informed and both teenagers gave a formal apology to the shop keeper.</w:t>
      </w:r>
    </w:p>
    <w:p w14:paraId="79AF94CA" w14:textId="668FAD89" w:rsidR="00CC27F4" w:rsidRPr="00C7447F" w:rsidRDefault="00CC27F4"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r>
        <w:rPr>
          <w:rFonts w:asciiTheme="majorHAnsi" w:eastAsiaTheme="minorHAnsi" w:hAnsiTheme="majorHAnsi" w:cstheme="majorHAnsi"/>
          <w:color w:val="auto"/>
          <w:sz w:val="24"/>
          <w:szCs w:val="24"/>
          <w:lang w:eastAsia="en-US"/>
        </w:rPr>
        <w:t>Wordcount:1803</w:t>
      </w:r>
    </w:p>
    <w:p w14:paraId="0069BA70"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76A96464" w14:textId="77777777" w:rsidR="00E12F55" w:rsidRPr="00E676F7" w:rsidRDefault="00E12F55" w:rsidP="0FF883D4">
      <w:pPr>
        <w:ind w:right="237"/>
        <w:jc w:val="both"/>
        <w:rPr>
          <w:b/>
          <w:bCs/>
          <w:sz w:val="24"/>
          <w:szCs w:val="24"/>
        </w:rPr>
      </w:pP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lastRenderedPageBreak/>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C23032B" w:rsidR="0FF883D4" w:rsidRDefault="5CE196A1" w:rsidP="5CE196A1">
      <w:r w:rsidRPr="5CE196A1">
        <w:rPr>
          <w:rFonts w:eastAsia="Arial"/>
          <w:b/>
          <w:bCs/>
          <w:color w:val="000000" w:themeColor="text1"/>
          <w:sz w:val="24"/>
          <w:szCs w:val="24"/>
        </w:rPr>
        <w:t xml:space="preserve">Signed: </w:t>
      </w:r>
      <w:r w:rsidR="000D44A6">
        <w:rPr>
          <w:rFonts w:eastAsia="Arial"/>
          <w:b/>
          <w:bCs/>
          <w:color w:val="000000" w:themeColor="text1"/>
          <w:sz w:val="24"/>
          <w:szCs w:val="24"/>
        </w:rPr>
        <w:t>Gareth Hirst</w:t>
      </w:r>
    </w:p>
    <w:p w14:paraId="563192E7" w14:textId="7A83C86F" w:rsidR="0FF883D4" w:rsidRDefault="5CE196A1" w:rsidP="5CE196A1">
      <w:r w:rsidRPr="5CE196A1">
        <w:rPr>
          <w:rFonts w:eastAsia="Arial"/>
          <w:b/>
          <w:bCs/>
          <w:color w:val="000000" w:themeColor="text1"/>
          <w:sz w:val="24"/>
          <w:szCs w:val="24"/>
        </w:rPr>
        <w:t xml:space="preserve"> </w:t>
      </w:r>
    </w:p>
    <w:p w14:paraId="482B2B3A" w14:textId="515099A4" w:rsidR="0FF883D4" w:rsidRPr="00CC27F4" w:rsidRDefault="5CE196A1" w:rsidP="00CC27F4">
      <w:pPr>
        <w:sectPr w:rsidR="0FF883D4" w:rsidRPr="00CC27F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CC27F4">
        <w:rPr>
          <w:rFonts w:eastAsia="Arial"/>
          <w:b/>
          <w:bCs/>
          <w:color w:val="000000" w:themeColor="text1"/>
          <w:sz w:val="24"/>
          <w:szCs w:val="24"/>
        </w:rPr>
        <w:t xml:space="preserve"> </w:t>
      </w:r>
      <w:r w:rsidR="00CC27F4" w:rsidRPr="00CC27F4">
        <w:rPr>
          <w:b/>
          <w:bCs/>
          <w:sz w:val="22"/>
          <w:szCs w:val="22"/>
        </w:rPr>
        <w:t>07/08/2023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E8BD28F" w14:textId="77777777" w:rsidR="00E12F55" w:rsidRDefault="00E12F55" w:rsidP="00EA28F1">
      <w:pPr>
        <w:keepNext/>
        <w:spacing w:before="240" w:after="60"/>
        <w:ind w:right="237"/>
        <w:jc w:val="both"/>
        <w:rPr>
          <w:sz w:val="24"/>
          <w:szCs w:val="24"/>
        </w:rPr>
      </w:pPr>
    </w:p>
    <w:p w14:paraId="29C84773" w14:textId="77777777" w:rsidR="000D44A6" w:rsidRDefault="000D44A6" w:rsidP="00E12F55">
      <w:pPr>
        <w:spacing w:line="480" w:lineRule="auto"/>
        <w:ind w:left="720" w:hanging="720"/>
        <w:rPr>
          <w:rFonts w:ascii="Times New Roman" w:hAnsi="Times New Roman"/>
        </w:rPr>
      </w:pPr>
    </w:p>
    <w:p w14:paraId="0369BEAE" w14:textId="77777777" w:rsidR="000D44A6" w:rsidRDefault="000D44A6" w:rsidP="00290A8D">
      <w:pPr>
        <w:pStyle w:val="NormalWeb"/>
        <w:ind w:left="567" w:hanging="567"/>
      </w:pPr>
    </w:p>
    <w:p w14:paraId="7B472788" w14:textId="3976FC36" w:rsidR="000D44A6" w:rsidRPr="000D44A6" w:rsidRDefault="000D44A6" w:rsidP="00EE20D2">
      <w:pPr>
        <w:pStyle w:val="NormalWeb"/>
        <w:rPr>
          <w:rFonts w:asciiTheme="majorHAnsi" w:hAnsiTheme="majorHAnsi" w:cstheme="majorHAnsi"/>
          <w:u w:val="single"/>
        </w:rPr>
      </w:pPr>
      <w:r w:rsidRPr="000D44A6">
        <w:rPr>
          <w:rFonts w:asciiTheme="majorHAnsi" w:hAnsiTheme="majorHAnsi" w:cstheme="majorHAnsi"/>
          <w:u w:val="single"/>
        </w:rPr>
        <w:t>Bibliography</w:t>
      </w:r>
    </w:p>
    <w:p w14:paraId="73C48AA8" w14:textId="77777777" w:rsidR="000D44A6" w:rsidRPr="000D44A6" w:rsidRDefault="000D44A6" w:rsidP="00E12F55">
      <w:pPr>
        <w:spacing w:line="480" w:lineRule="auto"/>
        <w:ind w:left="720" w:hanging="720"/>
        <w:rPr>
          <w:rFonts w:asciiTheme="majorHAnsi" w:hAnsiTheme="majorHAnsi" w:cstheme="majorHAnsi"/>
          <w:color w:val="auto"/>
          <w:sz w:val="24"/>
          <w:szCs w:val="24"/>
        </w:rPr>
      </w:pPr>
      <w:r w:rsidRPr="000D44A6">
        <w:rPr>
          <w:rFonts w:asciiTheme="majorHAnsi" w:hAnsiTheme="majorHAnsi" w:cstheme="majorHAnsi"/>
          <w:sz w:val="24"/>
          <w:szCs w:val="24"/>
        </w:rPr>
        <w:t xml:space="preserve">Ariel, B., Weinborn, C. and Sherman, L.W. (2016) ‘“soft” policing at hot spots—do Police Community Support Officers Work? A randomized controlled trial’, </w:t>
      </w:r>
      <w:r w:rsidRPr="000D44A6">
        <w:rPr>
          <w:rFonts w:asciiTheme="majorHAnsi" w:hAnsiTheme="majorHAnsi" w:cstheme="majorHAnsi"/>
          <w:i/>
          <w:sz w:val="24"/>
          <w:szCs w:val="24"/>
        </w:rPr>
        <w:t>Journal of Experimental Criminology</w:t>
      </w:r>
      <w:r w:rsidRPr="000D44A6">
        <w:rPr>
          <w:rFonts w:asciiTheme="majorHAnsi" w:hAnsiTheme="majorHAnsi" w:cstheme="majorHAnsi"/>
          <w:sz w:val="24"/>
          <w:szCs w:val="24"/>
        </w:rPr>
        <w:t xml:space="preserve">, 12(3), pp. 277–317. doi:10.1007/s11292-016-9260-4. </w:t>
      </w:r>
    </w:p>
    <w:p w14:paraId="560851C8"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Bayley, D.H. (2016) ‘The complexities of 21st Century policing’, </w:t>
      </w:r>
      <w:r w:rsidRPr="000D44A6">
        <w:rPr>
          <w:rFonts w:asciiTheme="majorHAnsi" w:hAnsiTheme="majorHAnsi" w:cstheme="majorHAnsi"/>
          <w:i/>
          <w:sz w:val="24"/>
          <w:szCs w:val="24"/>
        </w:rPr>
        <w:t>Policing</w:t>
      </w:r>
      <w:r w:rsidRPr="000D44A6">
        <w:rPr>
          <w:rFonts w:asciiTheme="majorHAnsi" w:hAnsiTheme="majorHAnsi" w:cstheme="majorHAnsi"/>
          <w:sz w:val="24"/>
          <w:szCs w:val="24"/>
        </w:rPr>
        <w:t xml:space="preserve">, 10(3), pp. 163–170. doi:10.1093/police/paw019. </w:t>
      </w:r>
    </w:p>
    <w:p w14:paraId="18363E26"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College of Policing  (2013) </w:t>
      </w:r>
      <w:r w:rsidRPr="000D44A6">
        <w:rPr>
          <w:rFonts w:asciiTheme="majorHAnsi" w:hAnsiTheme="majorHAnsi" w:cstheme="majorHAnsi"/>
          <w:i/>
          <w:sz w:val="24"/>
          <w:szCs w:val="24"/>
        </w:rPr>
        <w:t>Engagement</w:t>
      </w:r>
      <w:r w:rsidRPr="000D44A6">
        <w:rPr>
          <w:rFonts w:asciiTheme="majorHAnsi" w:hAnsiTheme="majorHAnsi" w:cstheme="majorHAnsi"/>
          <w:sz w:val="24"/>
          <w:szCs w:val="24"/>
        </w:rPr>
        <w:t xml:space="preserve">, </w:t>
      </w:r>
      <w:r w:rsidRPr="000D44A6">
        <w:rPr>
          <w:rFonts w:asciiTheme="majorHAnsi" w:hAnsiTheme="majorHAnsi" w:cstheme="majorHAnsi"/>
          <w:i/>
          <w:sz w:val="24"/>
          <w:szCs w:val="24"/>
        </w:rPr>
        <w:t>College of Policing</w:t>
      </w:r>
      <w:r w:rsidRPr="000D44A6">
        <w:rPr>
          <w:rFonts w:asciiTheme="majorHAnsi" w:hAnsiTheme="majorHAnsi" w:cstheme="majorHAnsi"/>
          <w:sz w:val="24"/>
          <w:szCs w:val="24"/>
        </w:rPr>
        <w:t xml:space="preserve">. Available at: https://www.college.police.uk/app/engagement-and-communication/engagement (Accessed: 16 July 2023). </w:t>
      </w:r>
    </w:p>
    <w:p w14:paraId="73FAFF22" w14:textId="77777777" w:rsidR="000D44A6" w:rsidRPr="000D44A6" w:rsidRDefault="000D44A6" w:rsidP="00E12F55">
      <w:pPr>
        <w:spacing w:line="480" w:lineRule="auto"/>
        <w:ind w:left="720" w:hanging="720"/>
        <w:rPr>
          <w:rFonts w:asciiTheme="majorHAnsi" w:hAnsiTheme="majorHAnsi" w:cstheme="majorHAnsi"/>
          <w:color w:val="auto"/>
          <w:sz w:val="24"/>
          <w:szCs w:val="24"/>
        </w:rPr>
      </w:pPr>
      <w:r w:rsidRPr="000D44A6">
        <w:rPr>
          <w:rFonts w:asciiTheme="majorHAnsi" w:hAnsiTheme="majorHAnsi" w:cstheme="majorHAnsi"/>
          <w:sz w:val="24"/>
          <w:szCs w:val="24"/>
        </w:rPr>
        <w:t xml:space="preserve">College of Policing  (2014) </w:t>
      </w:r>
      <w:r w:rsidRPr="000D44A6">
        <w:rPr>
          <w:rFonts w:asciiTheme="majorHAnsi" w:hAnsiTheme="majorHAnsi" w:cstheme="majorHAnsi"/>
          <w:i/>
          <w:sz w:val="24"/>
          <w:szCs w:val="24"/>
        </w:rPr>
        <w:t>National decision model</w:t>
      </w:r>
      <w:r w:rsidRPr="000D44A6">
        <w:rPr>
          <w:rFonts w:asciiTheme="majorHAnsi" w:hAnsiTheme="majorHAnsi" w:cstheme="majorHAnsi"/>
          <w:sz w:val="24"/>
          <w:szCs w:val="24"/>
        </w:rPr>
        <w:t xml:space="preserve">, </w:t>
      </w:r>
      <w:r w:rsidRPr="000D44A6">
        <w:rPr>
          <w:rFonts w:asciiTheme="majorHAnsi" w:hAnsiTheme="majorHAnsi" w:cstheme="majorHAnsi"/>
          <w:i/>
          <w:sz w:val="24"/>
          <w:szCs w:val="24"/>
        </w:rPr>
        <w:t>College of Policing</w:t>
      </w:r>
      <w:r w:rsidRPr="000D44A6">
        <w:rPr>
          <w:rFonts w:asciiTheme="majorHAnsi" w:hAnsiTheme="majorHAnsi" w:cstheme="majorHAnsi"/>
          <w:sz w:val="24"/>
          <w:szCs w:val="24"/>
        </w:rPr>
        <w:t xml:space="preserve">. Available at: https://www.college.police.uk/app/national-decision-model/national-decision-model (Accessed: 15 July 2023). </w:t>
      </w:r>
    </w:p>
    <w:p w14:paraId="7F1AB88E"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College of Policing (2023) </w:t>
      </w:r>
      <w:r w:rsidRPr="000D44A6">
        <w:rPr>
          <w:rFonts w:asciiTheme="majorHAnsi" w:hAnsiTheme="majorHAnsi" w:cstheme="majorHAnsi"/>
          <w:i/>
          <w:sz w:val="24"/>
          <w:szCs w:val="24"/>
        </w:rPr>
        <w:t>Arrest and other positive approaches</w:t>
      </w:r>
      <w:r w:rsidRPr="000D44A6">
        <w:rPr>
          <w:rFonts w:asciiTheme="majorHAnsi" w:hAnsiTheme="majorHAnsi" w:cstheme="majorHAnsi"/>
          <w:sz w:val="24"/>
          <w:szCs w:val="24"/>
        </w:rPr>
        <w:t xml:space="preserve">, </w:t>
      </w:r>
      <w:r w:rsidRPr="000D44A6">
        <w:rPr>
          <w:rFonts w:asciiTheme="majorHAnsi" w:hAnsiTheme="majorHAnsi" w:cstheme="majorHAnsi"/>
          <w:i/>
          <w:sz w:val="24"/>
          <w:szCs w:val="24"/>
        </w:rPr>
        <w:t>College of Policing</w:t>
      </w:r>
      <w:r w:rsidRPr="000D44A6">
        <w:rPr>
          <w:rFonts w:asciiTheme="majorHAnsi" w:hAnsiTheme="majorHAnsi" w:cstheme="majorHAnsi"/>
          <w:sz w:val="24"/>
          <w:szCs w:val="24"/>
        </w:rPr>
        <w:t xml:space="preserve">. Available at: https://www.college.police.uk/app/major-investigation-and-public-protection/domestic-abuse/arrest-and-other-positive-approaches (Accessed: 15 July 2023). </w:t>
      </w:r>
    </w:p>
    <w:p w14:paraId="3F270D82"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lastRenderedPageBreak/>
        <w:t xml:space="preserve">College of Policing (no date) </w:t>
      </w:r>
      <w:r w:rsidRPr="000D44A6">
        <w:rPr>
          <w:rFonts w:asciiTheme="majorHAnsi" w:hAnsiTheme="majorHAnsi" w:cstheme="majorHAnsi"/>
          <w:i/>
          <w:sz w:val="24"/>
          <w:szCs w:val="24"/>
        </w:rPr>
        <w:t>Problem-oriented policing</w:t>
      </w:r>
      <w:r w:rsidRPr="000D44A6">
        <w:rPr>
          <w:rFonts w:asciiTheme="majorHAnsi" w:hAnsiTheme="majorHAnsi" w:cstheme="majorHAnsi"/>
          <w:sz w:val="24"/>
          <w:szCs w:val="24"/>
        </w:rPr>
        <w:t xml:space="preserve">, </w:t>
      </w:r>
      <w:r w:rsidRPr="000D44A6">
        <w:rPr>
          <w:rFonts w:asciiTheme="majorHAnsi" w:hAnsiTheme="majorHAnsi" w:cstheme="majorHAnsi"/>
          <w:i/>
          <w:sz w:val="24"/>
          <w:szCs w:val="24"/>
        </w:rPr>
        <w:t>College of Policing</w:t>
      </w:r>
      <w:r w:rsidRPr="000D44A6">
        <w:rPr>
          <w:rFonts w:asciiTheme="majorHAnsi" w:hAnsiTheme="majorHAnsi" w:cstheme="majorHAnsi"/>
          <w:sz w:val="24"/>
          <w:szCs w:val="24"/>
        </w:rPr>
        <w:t xml:space="preserve">. Available at: https://www.college.police.uk/research/crime-reduction-toolkit/problem-oriented-policing (Accessed: 16 July 2023). </w:t>
      </w:r>
    </w:p>
    <w:p w14:paraId="583DF9AF"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Crawford, A. (2009) ‘Governing through anti-social behaviour: Regulatory challenges to criminal justice’, </w:t>
      </w:r>
      <w:r w:rsidRPr="000D44A6">
        <w:rPr>
          <w:rFonts w:asciiTheme="majorHAnsi" w:hAnsiTheme="majorHAnsi" w:cstheme="majorHAnsi"/>
          <w:i/>
          <w:sz w:val="24"/>
          <w:szCs w:val="24"/>
        </w:rPr>
        <w:t>British Journal of Criminology</w:t>
      </w:r>
      <w:r w:rsidRPr="000D44A6">
        <w:rPr>
          <w:rFonts w:asciiTheme="majorHAnsi" w:hAnsiTheme="majorHAnsi" w:cstheme="majorHAnsi"/>
          <w:sz w:val="24"/>
          <w:szCs w:val="24"/>
        </w:rPr>
        <w:t xml:space="preserve">, 49(6), pp. 810–831. doi:10.1093/bjc/azp041. </w:t>
      </w:r>
    </w:p>
    <w:p w14:paraId="5CA09706" w14:textId="77777777" w:rsidR="000D44A6" w:rsidRPr="000D44A6" w:rsidRDefault="000D44A6" w:rsidP="00783A7D">
      <w:pPr>
        <w:pStyle w:val="NormalWeb"/>
        <w:ind w:left="567" w:hanging="567"/>
        <w:rPr>
          <w:rFonts w:asciiTheme="majorHAnsi" w:hAnsiTheme="majorHAnsi" w:cstheme="majorHAnsi"/>
        </w:rPr>
      </w:pPr>
      <w:bookmarkStart w:id="1" w:name="_Hlk141884679"/>
      <w:r w:rsidRPr="000D44A6">
        <w:rPr>
          <w:rFonts w:asciiTheme="majorHAnsi" w:hAnsiTheme="majorHAnsi" w:cstheme="majorHAnsi"/>
          <w:i/>
          <w:iCs/>
        </w:rPr>
        <w:t>Evidence led domestic abuse prosecutions</w:t>
      </w:r>
      <w:r w:rsidRPr="000D44A6">
        <w:rPr>
          <w:rFonts w:asciiTheme="majorHAnsi" w:hAnsiTheme="majorHAnsi" w:cstheme="majorHAnsi"/>
        </w:rPr>
        <w:t xml:space="preserve"> (2020) </w:t>
      </w:r>
      <w:bookmarkEnd w:id="1"/>
      <w:r w:rsidRPr="000D44A6">
        <w:rPr>
          <w:rFonts w:asciiTheme="majorHAnsi" w:hAnsiTheme="majorHAnsi" w:cstheme="majorHAnsi"/>
          <w:i/>
          <w:iCs/>
        </w:rPr>
        <w:t>His Majesty’s Inspectorate of Constabulary and Fire &amp; Rescue Services</w:t>
      </w:r>
      <w:r w:rsidRPr="000D44A6">
        <w:rPr>
          <w:rFonts w:asciiTheme="majorHAnsi" w:hAnsiTheme="majorHAnsi" w:cstheme="majorHAnsi"/>
        </w:rPr>
        <w:t xml:space="preserve">. Available at: https://www.justiceinspectorates.gov.uk/hmicfrs/publications/evidence-led-domestic-abuse-prosecutions/ (Accessed: 02 August 2023). </w:t>
      </w:r>
    </w:p>
    <w:p w14:paraId="17CEA2F7"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Farrell, G. and Pease, K. (2012) ‘Preventing repeat residential burglary victimization’, </w:t>
      </w:r>
      <w:r w:rsidRPr="000D44A6">
        <w:rPr>
          <w:rFonts w:asciiTheme="majorHAnsi" w:hAnsiTheme="majorHAnsi" w:cstheme="majorHAnsi"/>
          <w:i/>
          <w:sz w:val="24"/>
          <w:szCs w:val="24"/>
        </w:rPr>
        <w:t>Preventing Crime</w:t>
      </w:r>
      <w:r w:rsidRPr="000D44A6">
        <w:rPr>
          <w:rFonts w:asciiTheme="majorHAnsi" w:hAnsiTheme="majorHAnsi" w:cstheme="majorHAnsi"/>
          <w:sz w:val="24"/>
          <w:szCs w:val="24"/>
        </w:rPr>
        <w:t xml:space="preserve">, pp. 161–176. doi:10.1007/1-4020-4244-2_11. </w:t>
      </w:r>
    </w:p>
    <w:p w14:paraId="6D4E92C7"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Gov.uk (2013) </w:t>
      </w:r>
      <w:r w:rsidRPr="000D44A6">
        <w:rPr>
          <w:rFonts w:asciiTheme="majorHAnsi" w:hAnsiTheme="majorHAnsi" w:cstheme="majorHAnsi"/>
          <w:i/>
          <w:sz w:val="24"/>
          <w:szCs w:val="24"/>
        </w:rPr>
        <w:t>Police and criminal evidence act 1984 (PACE) codes of Practice</w:t>
      </w:r>
      <w:r w:rsidRPr="000D44A6">
        <w:rPr>
          <w:rFonts w:asciiTheme="majorHAnsi" w:hAnsiTheme="majorHAnsi" w:cstheme="majorHAnsi"/>
          <w:sz w:val="24"/>
          <w:szCs w:val="24"/>
        </w:rPr>
        <w:t xml:space="preserve">, </w:t>
      </w:r>
      <w:r w:rsidRPr="000D44A6">
        <w:rPr>
          <w:rFonts w:asciiTheme="majorHAnsi" w:hAnsiTheme="majorHAnsi" w:cstheme="majorHAnsi"/>
          <w:i/>
          <w:sz w:val="24"/>
          <w:szCs w:val="24"/>
        </w:rPr>
        <w:t>GOV.UK</w:t>
      </w:r>
      <w:r w:rsidRPr="000D44A6">
        <w:rPr>
          <w:rFonts w:asciiTheme="majorHAnsi" w:hAnsiTheme="majorHAnsi" w:cstheme="majorHAnsi"/>
          <w:sz w:val="24"/>
          <w:szCs w:val="24"/>
        </w:rPr>
        <w:t xml:space="preserve">. Available at: https://www.gov.uk/guidance/police-and-criminal-evidence-act-1984-pace-codes-of-practice (Accessed: 15 July 2023). </w:t>
      </w:r>
    </w:p>
    <w:p w14:paraId="7A61CD35"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Hyland-Wood, B. </w:t>
      </w:r>
      <w:r w:rsidRPr="000D44A6">
        <w:rPr>
          <w:rFonts w:asciiTheme="majorHAnsi" w:hAnsiTheme="majorHAnsi" w:cstheme="majorHAnsi"/>
          <w:i/>
          <w:sz w:val="24"/>
          <w:szCs w:val="24"/>
        </w:rPr>
        <w:t>et al.</w:t>
      </w:r>
      <w:r w:rsidRPr="000D44A6">
        <w:rPr>
          <w:rFonts w:asciiTheme="majorHAnsi" w:hAnsiTheme="majorHAnsi" w:cstheme="majorHAnsi"/>
          <w:sz w:val="24"/>
          <w:szCs w:val="24"/>
        </w:rPr>
        <w:t xml:space="preserve"> (2021) ‘Toward effective government communication strategies in the era of covid-19’, </w:t>
      </w:r>
      <w:r w:rsidRPr="000D44A6">
        <w:rPr>
          <w:rFonts w:asciiTheme="majorHAnsi" w:hAnsiTheme="majorHAnsi" w:cstheme="majorHAnsi"/>
          <w:i/>
          <w:sz w:val="24"/>
          <w:szCs w:val="24"/>
        </w:rPr>
        <w:t>Humanities and Social Sciences Communications</w:t>
      </w:r>
      <w:r w:rsidRPr="000D44A6">
        <w:rPr>
          <w:rFonts w:asciiTheme="majorHAnsi" w:hAnsiTheme="majorHAnsi" w:cstheme="majorHAnsi"/>
          <w:sz w:val="24"/>
          <w:szCs w:val="24"/>
        </w:rPr>
        <w:t xml:space="preserve">, 8(1). doi:10.1057/s41599-020-00701-w. </w:t>
      </w:r>
    </w:p>
    <w:p w14:paraId="150A6045" w14:textId="77777777" w:rsidR="000D44A6" w:rsidRPr="000D44A6" w:rsidRDefault="000D44A6" w:rsidP="00290A8D">
      <w:pPr>
        <w:pStyle w:val="NormalWeb"/>
        <w:ind w:left="567" w:hanging="567"/>
        <w:rPr>
          <w:rFonts w:asciiTheme="majorHAnsi" w:hAnsiTheme="majorHAnsi" w:cstheme="majorHAnsi"/>
        </w:rPr>
      </w:pPr>
      <w:bookmarkStart w:id="2" w:name="_Hlk141809378"/>
      <w:r w:rsidRPr="000D44A6">
        <w:rPr>
          <w:rFonts w:asciiTheme="majorHAnsi" w:hAnsiTheme="majorHAnsi" w:cstheme="majorHAnsi"/>
        </w:rPr>
        <w:t xml:space="preserve">Janse, B. (2023) </w:t>
      </w:r>
      <w:bookmarkEnd w:id="2"/>
      <w:r w:rsidRPr="000D44A6">
        <w:rPr>
          <w:rFonts w:asciiTheme="majorHAnsi" w:hAnsiTheme="majorHAnsi" w:cstheme="majorHAnsi"/>
          <w:i/>
          <w:iCs/>
        </w:rPr>
        <w:t>John Driscoll model of Reflection</w:t>
      </w:r>
      <w:r w:rsidRPr="000D44A6">
        <w:rPr>
          <w:rFonts w:asciiTheme="majorHAnsi" w:hAnsiTheme="majorHAnsi" w:cstheme="majorHAnsi"/>
        </w:rPr>
        <w:t xml:space="preserve">, </w:t>
      </w:r>
      <w:r w:rsidRPr="000D44A6">
        <w:rPr>
          <w:rFonts w:asciiTheme="majorHAnsi" w:hAnsiTheme="majorHAnsi" w:cstheme="majorHAnsi"/>
          <w:i/>
          <w:iCs/>
        </w:rPr>
        <w:t>Toolshero</w:t>
      </w:r>
      <w:r w:rsidRPr="000D44A6">
        <w:rPr>
          <w:rFonts w:asciiTheme="majorHAnsi" w:hAnsiTheme="majorHAnsi" w:cstheme="majorHAnsi"/>
        </w:rPr>
        <w:t xml:space="preserve">. Available at: https://www.toolshero.com/personal-development/john-driscoll-model-of-reflection/ (Accessed: 01 August 2023). </w:t>
      </w:r>
    </w:p>
    <w:p w14:paraId="4A1BEDD7"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Kubiak, S., Shamrova, D. and Comartin, E. (2019) ‘Enhancing knowledge of adolescent mental health among law enforcement: Implementing youth-focused crisis intervention team training’, </w:t>
      </w:r>
      <w:r w:rsidRPr="000D44A6">
        <w:rPr>
          <w:rFonts w:asciiTheme="majorHAnsi" w:hAnsiTheme="majorHAnsi" w:cstheme="majorHAnsi"/>
          <w:i/>
          <w:sz w:val="24"/>
          <w:szCs w:val="24"/>
        </w:rPr>
        <w:t>Evaluation and Program Planning</w:t>
      </w:r>
      <w:r w:rsidRPr="000D44A6">
        <w:rPr>
          <w:rFonts w:asciiTheme="majorHAnsi" w:hAnsiTheme="majorHAnsi" w:cstheme="majorHAnsi"/>
          <w:sz w:val="24"/>
          <w:szCs w:val="24"/>
        </w:rPr>
        <w:t xml:space="preserve">, 73, pp. 44–52. doi:10.1016/j.evalprogplan.2018.11.006. </w:t>
      </w:r>
    </w:p>
    <w:p w14:paraId="2C80227B"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lastRenderedPageBreak/>
        <w:t xml:space="preserve">Lister, S. (2013) ‘The New Politics of the Police: Police and Crime Commissioners and the “operational independence” of the police’, </w:t>
      </w:r>
      <w:r w:rsidRPr="000D44A6">
        <w:rPr>
          <w:rFonts w:asciiTheme="majorHAnsi" w:hAnsiTheme="majorHAnsi" w:cstheme="majorHAnsi"/>
          <w:i/>
          <w:sz w:val="24"/>
          <w:szCs w:val="24"/>
        </w:rPr>
        <w:t>Policing</w:t>
      </w:r>
      <w:r w:rsidRPr="000D44A6">
        <w:rPr>
          <w:rFonts w:asciiTheme="majorHAnsi" w:hAnsiTheme="majorHAnsi" w:cstheme="majorHAnsi"/>
          <w:sz w:val="24"/>
          <w:szCs w:val="24"/>
        </w:rPr>
        <w:t xml:space="preserve">, 7(3), pp. 239–247. doi:10.1093/police/pat011. </w:t>
      </w:r>
    </w:p>
    <w:p w14:paraId="4AB78633" w14:textId="77777777" w:rsidR="000D44A6" w:rsidRPr="000D44A6" w:rsidRDefault="000D44A6" w:rsidP="001C4FF3">
      <w:pPr>
        <w:pStyle w:val="NormalWeb"/>
        <w:ind w:left="567" w:hanging="567"/>
        <w:rPr>
          <w:rFonts w:asciiTheme="majorHAnsi" w:hAnsiTheme="majorHAnsi" w:cstheme="majorHAnsi"/>
        </w:rPr>
      </w:pPr>
      <w:r w:rsidRPr="000D44A6">
        <w:rPr>
          <w:rFonts w:asciiTheme="majorHAnsi" w:hAnsiTheme="majorHAnsi" w:cstheme="majorHAnsi"/>
          <w:i/>
          <w:iCs/>
        </w:rPr>
        <w:t>National decision model</w:t>
      </w:r>
      <w:r w:rsidRPr="000D44A6">
        <w:rPr>
          <w:rFonts w:asciiTheme="majorHAnsi" w:hAnsiTheme="majorHAnsi" w:cstheme="majorHAnsi"/>
        </w:rPr>
        <w:t xml:space="preserve"> (2023) </w:t>
      </w:r>
      <w:r w:rsidRPr="000D44A6">
        <w:rPr>
          <w:rFonts w:asciiTheme="majorHAnsi" w:hAnsiTheme="majorHAnsi" w:cstheme="majorHAnsi"/>
          <w:i/>
          <w:iCs/>
        </w:rPr>
        <w:t>College of Policing</w:t>
      </w:r>
      <w:r w:rsidRPr="000D44A6">
        <w:rPr>
          <w:rFonts w:asciiTheme="majorHAnsi" w:hAnsiTheme="majorHAnsi" w:cstheme="majorHAnsi"/>
        </w:rPr>
        <w:t xml:space="preserve">. Available at: https://www.college.police.uk/app/national-decision-model/national-decision-model (Accessed: 01 August 2023). </w:t>
      </w:r>
    </w:p>
    <w:p w14:paraId="7DA4313C"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Norman , K. and Nixon , V. (2013) </w:t>
      </w:r>
      <w:r w:rsidRPr="000D44A6">
        <w:rPr>
          <w:rFonts w:asciiTheme="majorHAnsi" w:hAnsiTheme="majorHAnsi" w:cstheme="majorHAnsi"/>
          <w:i/>
          <w:sz w:val="24"/>
          <w:szCs w:val="24"/>
        </w:rPr>
        <w:t>Reflection and reflective practice - wiley online library</w:t>
      </w:r>
      <w:r w:rsidRPr="000D44A6">
        <w:rPr>
          <w:rFonts w:asciiTheme="majorHAnsi" w:hAnsiTheme="majorHAnsi" w:cstheme="majorHAnsi"/>
          <w:sz w:val="24"/>
          <w:szCs w:val="24"/>
        </w:rPr>
        <w:t xml:space="preserve">. Available at: https://onlinelibrary.wiley.com/doi/10.1002/9781119464389.ch5 (Accessed: 15 July 2023). </w:t>
      </w:r>
    </w:p>
    <w:p w14:paraId="1F01BB6B" w14:textId="77777777" w:rsidR="000D44A6" w:rsidRPr="000D44A6" w:rsidRDefault="000D44A6" w:rsidP="00EE20D2">
      <w:pPr>
        <w:pStyle w:val="NormalWeb"/>
        <w:rPr>
          <w:rFonts w:asciiTheme="majorHAnsi" w:hAnsiTheme="majorHAnsi" w:cstheme="majorHAnsi"/>
        </w:rPr>
      </w:pPr>
      <w:bookmarkStart w:id="3" w:name="_Hlk141896153"/>
      <w:r w:rsidRPr="000D44A6">
        <w:rPr>
          <w:rFonts w:asciiTheme="majorHAnsi" w:hAnsiTheme="majorHAnsi" w:cstheme="majorHAnsi"/>
        </w:rPr>
        <w:t xml:space="preserve">Ochoa, D. (2023) </w:t>
      </w:r>
      <w:bookmarkEnd w:id="3"/>
      <w:r w:rsidRPr="000D44A6">
        <w:rPr>
          <w:rFonts w:asciiTheme="majorHAnsi" w:hAnsiTheme="majorHAnsi" w:cstheme="majorHAnsi"/>
          <w:i/>
          <w:iCs/>
        </w:rPr>
        <w:t>What so what now what (reflective model &amp; examples)</w:t>
      </w:r>
      <w:r w:rsidRPr="000D44A6">
        <w:rPr>
          <w:rFonts w:asciiTheme="majorHAnsi" w:hAnsiTheme="majorHAnsi" w:cstheme="majorHAnsi"/>
        </w:rPr>
        <w:t xml:space="preserve">, </w:t>
      </w:r>
      <w:r w:rsidRPr="000D44A6">
        <w:rPr>
          <w:rFonts w:asciiTheme="majorHAnsi" w:hAnsiTheme="majorHAnsi" w:cstheme="majorHAnsi"/>
          <w:i/>
          <w:iCs/>
        </w:rPr>
        <w:t>Thinkific</w:t>
      </w:r>
      <w:r w:rsidRPr="000D44A6">
        <w:rPr>
          <w:rFonts w:asciiTheme="majorHAnsi" w:hAnsiTheme="majorHAnsi" w:cstheme="majorHAnsi"/>
        </w:rPr>
        <w:t xml:space="preserve">. Available at: https://www.thinkific.com/blog/what-so-what-now-what/ (Accessed: 02 August 2023). </w:t>
      </w:r>
    </w:p>
    <w:p w14:paraId="207FABA6" w14:textId="77777777" w:rsidR="000D44A6" w:rsidRPr="000D44A6" w:rsidRDefault="000D44A6" w:rsidP="009471B1">
      <w:pPr>
        <w:pStyle w:val="NormalWeb"/>
        <w:ind w:left="567" w:hanging="567"/>
        <w:rPr>
          <w:rFonts w:asciiTheme="majorHAnsi" w:hAnsiTheme="majorHAnsi" w:cstheme="majorHAnsi"/>
        </w:rPr>
      </w:pPr>
      <w:r w:rsidRPr="000D44A6">
        <w:rPr>
          <w:rFonts w:asciiTheme="majorHAnsi" w:hAnsiTheme="majorHAnsi" w:cstheme="majorHAnsi"/>
        </w:rPr>
        <w:t xml:space="preserve">Participation, E. (1984) </w:t>
      </w:r>
      <w:bookmarkStart w:id="4" w:name="_Hlk141873277"/>
      <w:r w:rsidRPr="000D44A6">
        <w:rPr>
          <w:rFonts w:asciiTheme="majorHAnsi" w:hAnsiTheme="majorHAnsi" w:cstheme="majorHAnsi"/>
          <w:i/>
          <w:iCs/>
        </w:rPr>
        <w:t>Police and criminal evidence act 1984</w:t>
      </w:r>
      <w:bookmarkEnd w:id="4"/>
      <w:r w:rsidRPr="000D44A6">
        <w:rPr>
          <w:rFonts w:asciiTheme="majorHAnsi" w:hAnsiTheme="majorHAnsi" w:cstheme="majorHAnsi"/>
        </w:rPr>
        <w:t xml:space="preserve">, </w:t>
      </w:r>
      <w:r w:rsidRPr="000D44A6">
        <w:rPr>
          <w:rFonts w:asciiTheme="majorHAnsi" w:hAnsiTheme="majorHAnsi" w:cstheme="majorHAnsi"/>
          <w:i/>
          <w:iCs/>
        </w:rPr>
        <w:t>Legislation.gov.uk</w:t>
      </w:r>
      <w:r w:rsidRPr="000D44A6">
        <w:rPr>
          <w:rFonts w:asciiTheme="majorHAnsi" w:hAnsiTheme="majorHAnsi" w:cstheme="majorHAnsi"/>
        </w:rPr>
        <w:t xml:space="preserve">. Available at: https://www.legislation.gov.uk/ukpga/1984/60/section/30 (Accessed: 02 August 2023). </w:t>
      </w:r>
    </w:p>
    <w:p w14:paraId="5CE8C67C" w14:textId="77777777" w:rsidR="000D44A6" w:rsidRPr="000D44A6" w:rsidRDefault="000D44A6" w:rsidP="00E20BF2">
      <w:pPr>
        <w:pStyle w:val="NormalWeb"/>
        <w:ind w:left="567" w:hanging="567"/>
        <w:rPr>
          <w:rFonts w:asciiTheme="majorHAnsi" w:hAnsiTheme="majorHAnsi" w:cstheme="majorHAnsi"/>
        </w:rPr>
      </w:pPr>
      <w:bookmarkStart w:id="5" w:name="_Hlk141876795"/>
      <w:r w:rsidRPr="000D44A6">
        <w:rPr>
          <w:rFonts w:asciiTheme="majorHAnsi" w:hAnsiTheme="majorHAnsi" w:cstheme="majorHAnsi"/>
          <w:i/>
          <w:iCs/>
        </w:rPr>
        <w:t>Public protection notice (PPN)</w:t>
      </w:r>
      <w:r w:rsidRPr="000D44A6">
        <w:rPr>
          <w:rFonts w:asciiTheme="majorHAnsi" w:hAnsiTheme="majorHAnsi" w:cstheme="majorHAnsi"/>
        </w:rPr>
        <w:t xml:space="preserve"> (2023</w:t>
      </w:r>
      <w:bookmarkEnd w:id="5"/>
      <w:r w:rsidRPr="000D44A6">
        <w:rPr>
          <w:rFonts w:asciiTheme="majorHAnsi" w:hAnsiTheme="majorHAnsi" w:cstheme="majorHAnsi"/>
        </w:rPr>
        <w:t xml:space="preserve">) </w:t>
      </w:r>
      <w:r w:rsidRPr="000D44A6">
        <w:rPr>
          <w:rFonts w:asciiTheme="majorHAnsi" w:hAnsiTheme="majorHAnsi" w:cstheme="majorHAnsi"/>
          <w:i/>
          <w:iCs/>
        </w:rPr>
        <w:t>His Majesty’s Inspectorate of Constabulary and Fire &amp; Rescue Services</w:t>
      </w:r>
      <w:r w:rsidRPr="000D44A6">
        <w:rPr>
          <w:rFonts w:asciiTheme="majorHAnsi" w:hAnsiTheme="majorHAnsi" w:cstheme="majorHAnsi"/>
        </w:rPr>
        <w:t xml:space="preserve">. Available at: https://www.justiceinspectorates.gov.uk/hmicfrs/glossary/public-protection-notice/ (Accessed: 02 August 2023). </w:t>
      </w:r>
    </w:p>
    <w:p w14:paraId="69137250" w14:textId="77777777" w:rsidR="000D44A6" w:rsidRPr="000D44A6" w:rsidRDefault="000D44A6" w:rsidP="007F52C3">
      <w:pPr>
        <w:pStyle w:val="NormalWeb"/>
        <w:ind w:left="567" w:hanging="567"/>
        <w:rPr>
          <w:rFonts w:asciiTheme="majorHAnsi" w:hAnsiTheme="majorHAnsi" w:cstheme="majorHAnsi"/>
        </w:rPr>
      </w:pPr>
      <w:bookmarkStart w:id="6" w:name="_Hlk141896871"/>
      <w:r w:rsidRPr="000D44A6">
        <w:rPr>
          <w:rFonts w:asciiTheme="majorHAnsi" w:hAnsiTheme="majorHAnsi" w:cstheme="majorHAnsi"/>
          <w:i/>
          <w:iCs/>
        </w:rPr>
        <w:t>Rapport building</w:t>
      </w:r>
      <w:r w:rsidRPr="000D44A6">
        <w:rPr>
          <w:rFonts w:asciiTheme="majorHAnsi" w:hAnsiTheme="majorHAnsi" w:cstheme="majorHAnsi"/>
        </w:rPr>
        <w:t xml:space="preserve"> (2020) </w:t>
      </w:r>
      <w:bookmarkEnd w:id="6"/>
      <w:r w:rsidRPr="000D44A6">
        <w:rPr>
          <w:rFonts w:asciiTheme="majorHAnsi" w:hAnsiTheme="majorHAnsi" w:cstheme="majorHAnsi"/>
          <w:i/>
          <w:iCs/>
        </w:rPr>
        <w:t>College of Policing</w:t>
      </w:r>
      <w:r w:rsidRPr="000D44A6">
        <w:rPr>
          <w:rFonts w:asciiTheme="majorHAnsi" w:hAnsiTheme="majorHAnsi" w:cstheme="majorHAnsi"/>
        </w:rPr>
        <w:t xml:space="preserve">. Available at: https://www.college.police.uk/guidance/obtaining-initial-accounts/rapport-building (Accessed: 02 August 2023). </w:t>
      </w:r>
    </w:p>
    <w:p w14:paraId="2A155D27"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Reid ,  sharon (2021) </w:t>
      </w:r>
      <w:r w:rsidRPr="000D44A6">
        <w:rPr>
          <w:rFonts w:asciiTheme="majorHAnsi" w:hAnsiTheme="majorHAnsi" w:cstheme="majorHAnsi"/>
          <w:i/>
          <w:sz w:val="24"/>
          <w:szCs w:val="24"/>
        </w:rPr>
        <w:t>Recognising and responding to vulnerability-related risks</w:t>
      </w:r>
      <w:r w:rsidRPr="000D44A6">
        <w:rPr>
          <w:rFonts w:asciiTheme="majorHAnsi" w:hAnsiTheme="majorHAnsi" w:cstheme="majorHAnsi"/>
          <w:sz w:val="24"/>
          <w:szCs w:val="24"/>
        </w:rPr>
        <w:t xml:space="preserve">. Available at: https://assets.college.police.uk/s3fs-public/2021-11/Recognising-responding-vulnerability-related-risks-guidelines.pdf (Accessed: 15 July 2023). </w:t>
      </w:r>
    </w:p>
    <w:p w14:paraId="10A35ED6"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Robinson, A.L. (2006) ‘Reducing repeat victimization among high-risk victims of domestic violence’, </w:t>
      </w:r>
      <w:r w:rsidRPr="000D44A6">
        <w:rPr>
          <w:rFonts w:asciiTheme="majorHAnsi" w:hAnsiTheme="majorHAnsi" w:cstheme="majorHAnsi"/>
          <w:i/>
          <w:sz w:val="24"/>
          <w:szCs w:val="24"/>
        </w:rPr>
        <w:t>Violence Against Women</w:t>
      </w:r>
      <w:r w:rsidRPr="000D44A6">
        <w:rPr>
          <w:rFonts w:asciiTheme="majorHAnsi" w:hAnsiTheme="majorHAnsi" w:cstheme="majorHAnsi"/>
          <w:sz w:val="24"/>
          <w:szCs w:val="24"/>
        </w:rPr>
        <w:t xml:space="preserve">, 12(8), pp. 761–788. doi:10.1177/1077801206291477. </w:t>
      </w:r>
    </w:p>
    <w:p w14:paraId="6679FE06" w14:textId="77777777" w:rsidR="000D44A6" w:rsidRPr="000D44A6" w:rsidRDefault="000D44A6" w:rsidP="00E12F55">
      <w:pPr>
        <w:spacing w:line="480" w:lineRule="auto"/>
        <w:ind w:left="720" w:hanging="720"/>
        <w:rPr>
          <w:rFonts w:asciiTheme="majorHAnsi" w:hAnsiTheme="majorHAnsi" w:cstheme="majorHAnsi"/>
          <w:sz w:val="24"/>
          <w:szCs w:val="24"/>
        </w:rPr>
      </w:pPr>
      <w:r w:rsidRPr="000D44A6">
        <w:rPr>
          <w:rFonts w:asciiTheme="majorHAnsi" w:hAnsiTheme="majorHAnsi" w:cstheme="majorHAnsi"/>
          <w:sz w:val="24"/>
          <w:szCs w:val="24"/>
        </w:rPr>
        <w:t xml:space="preserve">Walker, S. and Archbold, C.A. (2020) </w:t>
      </w:r>
      <w:r w:rsidRPr="000D44A6">
        <w:rPr>
          <w:rFonts w:asciiTheme="majorHAnsi" w:hAnsiTheme="majorHAnsi" w:cstheme="majorHAnsi"/>
          <w:i/>
          <w:sz w:val="24"/>
          <w:szCs w:val="24"/>
        </w:rPr>
        <w:t>The New World of Police accountability</w:t>
      </w:r>
      <w:r w:rsidRPr="000D44A6">
        <w:rPr>
          <w:rFonts w:asciiTheme="majorHAnsi" w:hAnsiTheme="majorHAnsi" w:cstheme="majorHAnsi"/>
          <w:sz w:val="24"/>
          <w:szCs w:val="24"/>
        </w:rPr>
        <w:t xml:space="preserve">. Los Angeles: SAGE. </w:t>
      </w:r>
    </w:p>
    <w:p w14:paraId="3D976456" w14:textId="77777777" w:rsidR="007F52C3" w:rsidRPr="00EE20D2" w:rsidRDefault="007F52C3" w:rsidP="00EE20D2">
      <w:pPr>
        <w:pStyle w:val="NormalWeb"/>
      </w:pPr>
    </w:p>
    <w:p w14:paraId="076844EB" w14:textId="77777777" w:rsidR="00EE20D2" w:rsidRDefault="00EE20D2" w:rsidP="00783A7D">
      <w:pPr>
        <w:pStyle w:val="NormalWeb"/>
        <w:ind w:left="567" w:hanging="567"/>
      </w:pPr>
    </w:p>
    <w:p w14:paraId="239BD0CB" w14:textId="77777777" w:rsidR="00783A7D" w:rsidRDefault="00783A7D" w:rsidP="00E20BF2">
      <w:pPr>
        <w:pStyle w:val="NormalWeb"/>
        <w:ind w:left="567" w:hanging="567"/>
      </w:pPr>
    </w:p>
    <w:p w14:paraId="2CCDB507" w14:textId="77777777" w:rsidR="00154268" w:rsidRDefault="00154268" w:rsidP="00E12F55">
      <w:pPr>
        <w:spacing w:line="480" w:lineRule="auto"/>
        <w:ind w:left="720" w:hanging="720"/>
        <w:rPr>
          <w:rFonts w:ascii="Calibri Light" w:hAnsi="Calibri Light" w:cs="Calibri Light"/>
        </w:rPr>
      </w:pPr>
    </w:p>
    <w:p w14:paraId="7BBFC396"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06BF4483"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72B4022B"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7EC42EB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47422A6E" w14:textId="77777777" w:rsidR="00E12F55" w:rsidRPr="00C7447F" w:rsidRDefault="00E12F55" w:rsidP="00E12F55">
      <w:pPr>
        <w:overflowPunct/>
        <w:autoSpaceDE/>
        <w:autoSpaceDN/>
        <w:adjustRightInd/>
        <w:spacing w:after="160" w:line="360" w:lineRule="auto"/>
        <w:textAlignment w:val="auto"/>
        <w:rPr>
          <w:rFonts w:asciiTheme="majorHAnsi" w:eastAsiaTheme="minorHAnsi" w:hAnsiTheme="majorHAnsi" w:cstheme="majorHAnsi"/>
          <w:color w:val="auto"/>
          <w:sz w:val="24"/>
          <w:szCs w:val="24"/>
          <w:lang w:eastAsia="en-US"/>
        </w:rPr>
      </w:pPr>
    </w:p>
    <w:p w14:paraId="54E31720" w14:textId="77777777" w:rsidR="00E12F55" w:rsidRDefault="00E12F55" w:rsidP="00EA28F1">
      <w:pPr>
        <w:keepNext/>
        <w:spacing w:before="240" w:after="60"/>
        <w:ind w:right="237"/>
        <w:jc w:val="both"/>
      </w:pPr>
    </w:p>
    <w:sectPr w:rsidR="00E12F55"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8F53E" w14:textId="77777777" w:rsidR="0039790E" w:rsidRDefault="0039790E">
      <w:r>
        <w:separator/>
      </w:r>
    </w:p>
  </w:endnote>
  <w:endnote w:type="continuationSeparator" w:id="0">
    <w:p w14:paraId="0C5271A1" w14:textId="77777777" w:rsidR="0039790E" w:rsidRDefault="003979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18DA50" w14:textId="77777777" w:rsidR="002963D0" w:rsidRDefault="002963D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70F7E" w14:textId="77777777" w:rsidR="002963D0" w:rsidRDefault="002963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D90F38" w14:textId="77777777" w:rsidR="0039790E" w:rsidRDefault="0039790E">
      <w:r>
        <w:separator/>
      </w:r>
    </w:p>
  </w:footnote>
  <w:footnote w:type="continuationSeparator" w:id="0">
    <w:p w14:paraId="746A881E" w14:textId="77777777" w:rsidR="0039790E" w:rsidRDefault="003979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CFD7B" w14:textId="77777777" w:rsidR="002963D0" w:rsidRDefault="002963D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E4ED4" w14:textId="77777777" w:rsidR="002963D0" w:rsidRDefault="002963D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5BEF" w14:textId="77777777" w:rsidR="002963D0" w:rsidRDefault="002963D0">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1C2F2D6"/>
    <w:lvl w:ilvl="0" w:tplc="C5B8CD8C">
      <w:start w:val="1"/>
      <w:numFmt w:val="decimal"/>
      <w:lvlText w:val="%1."/>
      <w:lvlJc w:val="left"/>
      <w:pPr>
        <w:ind w:left="720" w:hanging="360"/>
      </w:pPr>
    </w:lvl>
    <w:lvl w:ilvl="1" w:tplc="300EE8E2">
      <w:start w:val="1"/>
      <w:numFmt w:val="lowerLetter"/>
      <w:lvlText w:val="%2."/>
      <w:lvlJc w:val="left"/>
      <w:pPr>
        <w:ind w:left="1440" w:hanging="360"/>
      </w:pPr>
    </w:lvl>
    <w:lvl w:ilvl="2" w:tplc="E788D63E">
      <w:start w:val="1"/>
      <w:numFmt w:val="lowerRoman"/>
      <w:lvlText w:val="%3."/>
      <w:lvlJc w:val="right"/>
      <w:pPr>
        <w:ind w:left="2160" w:hanging="180"/>
      </w:pPr>
    </w:lvl>
    <w:lvl w:ilvl="3" w:tplc="9AF66A96">
      <w:start w:val="1"/>
      <w:numFmt w:val="decimal"/>
      <w:lvlText w:val="%4."/>
      <w:lvlJc w:val="left"/>
      <w:pPr>
        <w:ind w:left="2880" w:hanging="360"/>
      </w:pPr>
    </w:lvl>
    <w:lvl w:ilvl="4" w:tplc="964EA2C2">
      <w:start w:val="1"/>
      <w:numFmt w:val="lowerLetter"/>
      <w:lvlText w:val="%5."/>
      <w:lvlJc w:val="left"/>
      <w:pPr>
        <w:ind w:left="3600" w:hanging="360"/>
      </w:pPr>
    </w:lvl>
    <w:lvl w:ilvl="5" w:tplc="6C0C60A2">
      <w:start w:val="1"/>
      <w:numFmt w:val="lowerRoman"/>
      <w:lvlText w:val="%6."/>
      <w:lvlJc w:val="right"/>
      <w:pPr>
        <w:ind w:left="4320" w:hanging="180"/>
      </w:pPr>
    </w:lvl>
    <w:lvl w:ilvl="6" w:tplc="A6882EB4">
      <w:start w:val="1"/>
      <w:numFmt w:val="decimal"/>
      <w:lvlText w:val="%7."/>
      <w:lvlJc w:val="left"/>
      <w:pPr>
        <w:ind w:left="5040" w:hanging="360"/>
      </w:pPr>
    </w:lvl>
    <w:lvl w:ilvl="7" w:tplc="18B09016">
      <w:start w:val="1"/>
      <w:numFmt w:val="lowerLetter"/>
      <w:lvlText w:val="%8."/>
      <w:lvlJc w:val="left"/>
      <w:pPr>
        <w:ind w:left="5760" w:hanging="360"/>
      </w:pPr>
    </w:lvl>
    <w:lvl w:ilvl="8" w:tplc="495EED44">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1941028"/>
    <w:lvl w:ilvl="0" w:tplc="1346DD4C">
      <w:start w:val="1"/>
      <w:numFmt w:val="decimal"/>
      <w:lvlText w:val="%1."/>
      <w:lvlJc w:val="left"/>
      <w:pPr>
        <w:ind w:left="720" w:hanging="360"/>
      </w:pPr>
    </w:lvl>
    <w:lvl w:ilvl="1" w:tplc="5D1ED48C">
      <w:start w:val="1"/>
      <w:numFmt w:val="decimal"/>
      <w:lvlText w:val="%2."/>
      <w:lvlJc w:val="left"/>
      <w:pPr>
        <w:ind w:left="1440" w:hanging="360"/>
      </w:pPr>
    </w:lvl>
    <w:lvl w:ilvl="2" w:tplc="A9AE2DBE">
      <w:start w:val="1"/>
      <w:numFmt w:val="lowerRoman"/>
      <w:lvlText w:val="%3."/>
      <w:lvlJc w:val="right"/>
      <w:pPr>
        <w:ind w:left="2160" w:hanging="180"/>
      </w:pPr>
    </w:lvl>
    <w:lvl w:ilvl="3" w:tplc="1B66722E">
      <w:start w:val="1"/>
      <w:numFmt w:val="decimal"/>
      <w:lvlText w:val="%4."/>
      <w:lvlJc w:val="left"/>
      <w:pPr>
        <w:ind w:left="2880" w:hanging="360"/>
      </w:pPr>
    </w:lvl>
    <w:lvl w:ilvl="4" w:tplc="EFFAEA60">
      <w:start w:val="1"/>
      <w:numFmt w:val="lowerLetter"/>
      <w:lvlText w:val="%5."/>
      <w:lvlJc w:val="left"/>
      <w:pPr>
        <w:ind w:left="3600" w:hanging="360"/>
      </w:pPr>
    </w:lvl>
    <w:lvl w:ilvl="5" w:tplc="F0884FC6">
      <w:start w:val="1"/>
      <w:numFmt w:val="lowerRoman"/>
      <w:lvlText w:val="%6."/>
      <w:lvlJc w:val="right"/>
      <w:pPr>
        <w:ind w:left="4320" w:hanging="180"/>
      </w:pPr>
    </w:lvl>
    <w:lvl w:ilvl="6" w:tplc="EF0404A4">
      <w:start w:val="1"/>
      <w:numFmt w:val="decimal"/>
      <w:lvlText w:val="%7."/>
      <w:lvlJc w:val="left"/>
      <w:pPr>
        <w:ind w:left="5040" w:hanging="360"/>
      </w:pPr>
    </w:lvl>
    <w:lvl w:ilvl="7" w:tplc="5BC625FC">
      <w:start w:val="1"/>
      <w:numFmt w:val="lowerLetter"/>
      <w:lvlText w:val="%8."/>
      <w:lvlJc w:val="left"/>
      <w:pPr>
        <w:ind w:left="5760" w:hanging="360"/>
      </w:pPr>
    </w:lvl>
    <w:lvl w:ilvl="8" w:tplc="8862B63A">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7771745">
    <w:abstractNumId w:val="47"/>
  </w:num>
  <w:num w:numId="2" w16cid:durableId="2131509064">
    <w:abstractNumId w:val="10"/>
  </w:num>
  <w:num w:numId="3" w16cid:durableId="1935748851">
    <w:abstractNumId w:val="1"/>
    <w:lvlOverride w:ilvl="0">
      <w:lvl w:ilvl="0">
        <w:start w:val="1"/>
        <w:numFmt w:val="bullet"/>
        <w:lvlText w:val=""/>
        <w:lvlJc w:val="left"/>
        <w:pPr>
          <w:ind w:left="720" w:hanging="360"/>
        </w:pPr>
        <w:rPr>
          <w:rFonts w:ascii="Symbol" w:hAnsi="Symbol" w:hint="default"/>
        </w:rPr>
      </w:lvl>
    </w:lvlOverride>
  </w:num>
  <w:num w:numId="4" w16cid:durableId="1987658374">
    <w:abstractNumId w:val="22"/>
  </w:num>
  <w:num w:numId="5" w16cid:durableId="1498301282">
    <w:abstractNumId w:val="44"/>
  </w:num>
  <w:num w:numId="6" w16cid:durableId="1134181029">
    <w:abstractNumId w:val="46"/>
  </w:num>
  <w:num w:numId="7" w16cid:durableId="1113480558">
    <w:abstractNumId w:val="34"/>
  </w:num>
  <w:num w:numId="8" w16cid:durableId="236137218">
    <w:abstractNumId w:val="32"/>
  </w:num>
  <w:num w:numId="9" w16cid:durableId="467358734">
    <w:abstractNumId w:val="29"/>
  </w:num>
  <w:num w:numId="10" w16cid:durableId="1187985651">
    <w:abstractNumId w:val="30"/>
  </w:num>
  <w:num w:numId="11" w16cid:durableId="1392658516">
    <w:abstractNumId w:val="9"/>
  </w:num>
  <w:num w:numId="12" w16cid:durableId="1566530295">
    <w:abstractNumId w:val="33"/>
  </w:num>
  <w:num w:numId="13" w16cid:durableId="21593272">
    <w:abstractNumId w:val="17"/>
  </w:num>
  <w:num w:numId="14" w16cid:durableId="1473595755">
    <w:abstractNumId w:val="16"/>
  </w:num>
  <w:num w:numId="15" w16cid:durableId="671294324">
    <w:abstractNumId w:val="26"/>
  </w:num>
  <w:num w:numId="16" w16cid:durableId="776876125">
    <w:abstractNumId w:val="7"/>
  </w:num>
  <w:num w:numId="17" w16cid:durableId="1700279883">
    <w:abstractNumId w:val="25"/>
  </w:num>
  <w:num w:numId="18" w16cid:durableId="1959726116">
    <w:abstractNumId w:val="15"/>
  </w:num>
  <w:num w:numId="19" w16cid:durableId="336811477">
    <w:abstractNumId w:val="13"/>
  </w:num>
  <w:num w:numId="20" w16cid:durableId="54225778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344675314">
    <w:abstractNumId w:val="23"/>
  </w:num>
  <w:num w:numId="22" w16cid:durableId="990864956">
    <w:abstractNumId w:val="18"/>
  </w:num>
  <w:num w:numId="23" w16cid:durableId="2050032374">
    <w:abstractNumId w:val="14"/>
  </w:num>
  <w:num w:numId="24" w16cid:durableId="1177813793">
    <w:abstractNumId w:val="11"/>
  </w:num>
  <w:num w:numId="25" w16cid:durableId="225379934">
    <w:abstractNumId w:val="27"/>
  </w:num>
  <w:num w:numId="26" w16cid:durableId="1003438812">
    <w:abstractNumId w:val="19"/>
  </w:num>
  <w:num w:numId="27" w16cid:durableId="618879398">
    <w:abstractNumId w:val="40"/>
  </w:num>
  <w:num w:numId="28" w16cid:durableId="1566529197">
    <w:abstractNumId w:val="35"/>
  </w:num>
  <w:num w:numId="29" w16cid:durableId="440761287">
    <w:abstractNumId w:val="39"/>
  </w:num>
  <w:num w:numId="30" w16cid:durableId="1615356749">
    <w:abstractNumId w:val="20"/>
  </w:num>
  <w:num w:numId="31" w16cid:durableId="1056315741">
    <w:abstractNumId w:val="42"/>
  </w:num>
  <w:num w:numId="32" w16cid:durableId="490758523">
    <w:abstractNumId w:val="31"/>
  </w:num>
  <w:num w:numId="33" w16cid:durableId="299727891">
    <w:abstractNumId w:val="12"/>
  </w:num>
  <w:num w:numId="34" w16cid:durableId="221647350">
    <w:abstractNumId w:val="43"/>
  </w:num>
  <w:num w:numId="35" w16cid:durableId="234826962">
    <w:abstractNumId w:val="38"/>
  </w:num>
  <w:num w:numId="36" w16cid:durableId="654384214">
    <w:abstractNumId w:val="4"/>
  </w:num>
  <w:num w:numId="37" w16cid:durableId="110898824">
    <w:abstractNumId w:val="45"/>
  </w:num>
  <w:num w:numId="38" w16cid:durableId="1527863976">
    <w:abstractNumId w:val="41"/>
  </w:num>
  <w:num w:numId="39" w16cid:durableId="2076273404">
    <w:abstractNumId w:val="36"/>
  </w:num>
  <w:num w:numId="40" w16cid:durableId="1073046493">
    <w:abstractNumId w:val="37"/>
  </w:num>
  <w:num w:numId="41" w16cid:durableId="1261645733">
    <w:abstractNumId w:val="3"/>
  </w:num>
  <w:num w:numId="42" w16cid:durableId="729814588">
    <w:abstractNumId w:val="5"/>
  </w:num>
  <w:num w:numId="43" w16cid:durableId="1405303305">
    <w:abstractNumId w:val="24"/>
  </w:num>
  <w:num w:numId="44" w16cid:durableId="1874296281">
    <w:abstractNumId w:val="6"/>
  </w:num>
  <w:num w:numId="45" w16cid:durableId="1550339330">
    <w:abstractNumId w:val="2"/>
  </w:num>
  <w:num w:numId="46" w16cid:durableId="1722288358">
    <w:abstractNumId w:val="0"/>
  </w:num>
  <w:num w:numId="47" w16cid:durableId="1321537995">
    <w:abstractNumId w:val="21"/>
  </w:num>
  <w:num w:numId="48" w16cid:durableId="1808889487">
    <w:abstractNumId w:val="28"/>
  </w:num>
  <w:num w:numId="49" w16cid:durableId="164161781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15D9"/>
    <w:rsid w:val="00083D99"/>
    <w:rsid w:val="00084EA6"/>
    <w:rsid w:val="00085699"/>
    <w:rsid w:val="00087891"/>
    <w:rsid w:val="00091F52"/>
    <w:rsid w:val="00092970"/>
    <w:rsid w:val="00092BC7"/>
    <w:rsid w:val="00093720"/>
    <w:rsid w:val="000938E6"/>
    <w:rsid w:val="00093B3C"/>
    <w:rsid w:val="0009488C"/>
    <w:rsid w:val="00095C1B"/>
    <w:rsid w:val="00096DEA"/>
    <w:rsid w:val="000A176A"/>
    <w:rsid w:val="000A2D9F"/>
    <w:rsid w:val="000A4240"/>
    <w:rsid w:val="000A469A"/>
    <w:rsid w:val="000B1E96"/>
    <w:rsid w:val="000C378F"/>
    <w:rsid w:val="000C6892"/>
    <w:rsid w:val="000C6FFE"/>
    <w:rsid w:val="000D0BB6"/>
    <w:rsid w:val="000D44A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54268"/>
    <w:rsid w:val="001608C4"/>
    <w:rsid w:val="00171418"/>
    <w:rsid w:val="00190913"/>
    <w:rsid w:val="001961CF"/>
    <w:rsid w:val="001A59BB"/>
    <w:rsid w:val="001A6A51"/>
    <w:rsid w:val="001A79C4"/>
    <w:rsid w:val="001B331A"/>
    <w:rsid w:val="001C0E74"/>
    <w:rsid w:val="001C4FF3"/>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0A8D"/>
    <w:rsid w:val="00291ADD"/>
    <w:rsid w:val="00294868"/>
    <w:rsid w:val="00295CA1"/>
    <w:rsid w:val="002963D0"/>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9790E"/>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4005"/>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2DAD"/>
    <w:rsid w:val="004E44A4"/>
    <w:rsid w:val="004E7B8B"/>
    <w:rsid w:val="004E7BDD"/>
    <w:rsid w:val="004F1E21"/>
    <w:rsid w:val="004F740D"/>
    <w:rsid w:val="004F7B8F"/>
    <w:rsid w:val="00500748"/>
    <w:rsid w:val="005011D6"/>
    <w:rsid w:val="0050167A"/>
    <w:rsid w:val="00501873"/>
    <w:rsid w:val="005042F1"/>
    <w:rsid w:val="00510D6A"/>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62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4E8"/>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16DD2"/>
    <w:rsid w:val="007203DA"/>
    <w:rsid w:val="007204AE"/>
    <w:rsid w:val="0072678F"/>
    <w:rsid w:val="00727C4C"/>
    <w:rsid w:val="00734809"/>
    <w:rsid w:val="0073644B"/>
    <w:rsid w:val="007406E1"/>
    <w:rsid w:val="00743E40"/>
    <w:rsid w:val="00751263"/>
    <w:rsid w:val="0075704F"/>
    <w:rsid w:val="00763B2D"/>
    <w:rsid w:val="00772924"/>
    <w:rsid w:val="00783A7D"/>
    <w:rsid w:val="00784EC4"/>
    <w:rsid w:val="007872F2"/>
    <w:rsid w:val="007874BC"/>
    <w:rsid w:val="007908E0"/>
    <w:rsid w:val="00790978"/>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2C3"/>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71B1"/>
    <w:rsid w:val="009544C0"/>
    <w:rsid w:val="00954FA4"/>
    <w:rsid w:val="00956AE9"/>
    <w:rsid w:val="00964CC6"/>
    <w:rsid w:val="0097330F"/>
    <w:rsid w:val="00986F15"/>
    <w:rsid w:val="00991FDA"/>
    <w:rsid w:val="009927A1"/>
    <w:rsid w:val="0099774D"/>
    <w:rsid w:val="009A0973"/>
    <w:rsid w:val="009A310E"/>
    <w:rsid w:val="009A5F3B"/>
    <w:rsid w:val="009B0B61"/>
    <w:rsid w:val="009B28C0"/>
    <w:rsid w:val="009B395A"/>
    <w:rsid w:val="009B7136"/>
    <w:rsid w:val="009B7806"/>
    <w:rsid w:val="009B7CBA"/>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AF76F2"/>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E7E"/>
    <w:rsid w:val="00BC422C"/>
    <w:rsid w:val="00BC460B"/>
    <w:rsid w:val="00BC5725"/>
    <w:rsid w:val="00BD30B1"/>
    <w:rsid w:val="00BD6A0B"/>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2003"/>
    <w:rsid w:val="00CC27F4"/>
    <w:rsid w:val="00CD5D3F"/>
    <w:rsid w:val="00CF1E90"/>
    <w:rsid w:val="00CF3DB3"/>
    <w:rsid w:val="00D010CF"/>
    <w:rsid w:val="00D052BC"/>
    <w:rsid w:val="00D07026"/>
    <w:rsid w:val="00D07BAB"/>
    <w:rsid w:val="00D11C62"/>
    <w:rsid w:val="00D22C8F"/>
    <w:rsid w:val="00D2577E"/>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2F55"/>
    <w:rsid w:val="00E17160"/>
    <w:rsid w:val="00E20BF2"/>
    <w:rsid w:val="00E2794E"/>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12B5"/>
    <w:rsid w:val="00EA28F1"/>
    <w:rsid w:val="00EA4D48"/>
    <w:rsid w:val="00EB2173"/>
    <w:rsid w:val="00EB62E6"/>
    <w:rsid w:val="00ED1B30"/>
    <w:rsid w:val="00ED250E"/>
    <w:rsid w:val="00ED6535"/>
    <w:rsid w:val="00EE1AC1"/>
    <w:rsid w:val="00EE20D2"/>
    <w:rsid w:val="00EE39D6"/>
    <w:rsid w:val="00EE413C"/>
    <w:rsid w:val="00EE52AD"/>
    <w:rsid w:val="00F01F92"/>
    <w:rsid w:val="00F10A08"/>
    <w:rsid w:val="00F139CF"/>
    <w:rsid w:val="00F22AC5"/>
    <w:rsid w:val="00F254D1"/>
    <w:rsid w:val="00F32B82"/>
    <w:rsid w:val="00F4043E"/>
    <w:rsid w:val="00F40CB5"/>
    <w:rsid w:val="00F41269"/>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290A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674110417">
      <w:bodyDiv w:val="1"/>
      <w:marLeft w:val="0"/>
      <w:marRight w:val="0"/>
      <w:marTop w:val="0"/>
      <w:marBottom w:val="0"/>
      <w:divBdr>
        <w:top w:val="none" w:sz="0" w:space="0" w:color="auto"/>
        <w:left w:val="none" w:sz="0" w:space="0" w:color="auto"/>
        <w:bottom w:val="none" w:sz="0" w:space="0" w:color="auto"/>
        <w:right w:val="none" w:sz="0" w:space="0" w:color="auto"/>
      </w:divBdr>
    </w:div>
    <w:div w:id="695351066">
      <w:bodyDiv w:val="1"/>
      <w:marLeft w:val="0"/>
      <w:marRight w:val="0"/>
      <w:marTop w:val="0"/>
      <w:marBottom w:val="0"/>
      <w:divBdr>
        <w:top w:val="none" w:sz="0" w:space="0" w:color="auto"/>
        <w:left w:val="none" w:sz="0" w:space="0" w:color="auto"/>
        <w:bottom w:val="none" w:sz="0" w:space="0" w:color="auto"/>
        <w:right w:val="none" w:sz="0" w:space="0" w:color="auto"/>
      </w:divBdr>
    </w:div>
    <w:div w:id="757989984">
      <w:bodyDiv w:val="1"/>
      <w:marLeft w:val="0"/>
      <w:marRight w:val="0"/>
      <w:marTop w:val="0"/>
      <w:marBottom w:val="0"/>
      <w:divBdr>
        <w:top w:val="none" w:sz="0" w:space="0" w:color="auto"/>
        <w:left w:val="none" w:sz="0" w:space="0" w:color="auto"/>
        <w:bottom w:val="none" w:sz="0" w:space="0" w:color="auto"/>
        <w:right w:val="none" w:sz="0" w:space="0" w:color="auto"/>
      </w:divBdr>
    </w:div>
    <w:div w:id="1016927897">
      <w:bodyDiv w:val="1"/>
      <w:marLeft w:val="0"/>
      <w:marRight w:val="0"/>
      <w:marTop w:val="0"/>
      <w:marBottom w:val="0"/>
      <w:divBdr>
        <w:top w:val="none" w:sz="0" w:space="0" w:color="auto"/>
        <w:left w:val="none" w:sz="0" w:space="0" w:color="auto"/>
        <w:bottom w:val="none" w:sz="0" w:space="0" w:color="auto"/>
        <w:right w:val="none" w:sz="0" w:space="0" w:color="auto"/>
      </w:divBdr>
    </w:div>
    <w:div w:id="104078618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1822401">
      <w:bodyDiv w:val="1"/>
      <w:marLeft w:val="0"/>
      <w:marRight w:val="0"/>
      <w:marTop w:val="0"/>
      <w:marBottom w:val="0"/>
      <w:divBdr>
        <w:top w:val="none" w:sz="0" w:space="0" w:color="auto"/>
        <w:left w:val="none" w:sz="0" w:space="0" w:color="auto"/>
        <w:bottom w:val="none" w:sz="0" w:space="0" w:color="auto"/>
        <w:right w:val="none" w:sz="0" w:space="0" w:color="auto"/>
      </w:divBdr>
    </w:div>
    <w:div w:id="1565287476">
      <w:bodyDiv w:val="1"/>
      <w:marLeft w:val="0"/>
      <w:marRight w:val="0"/>
      <w:marTop w:val="0"/>
      <w:marBottom w:val="0"/>
      <w:divBdr>
        <w:top w:val="none" w:sz="0" w:space="0" w:color="auto"/>
        <w:left w:val="none" w:sz="0" w:space="0" w:color="auto"/>
        <w:bottom w:val="none" w:sz="0" w:space="0" w:color="auto"/>
        <w:right w:val="none" w:sz="0" w:space="0" w:color="auto"/>
      </w:divBdr>
    </w:div>
    <w:div w:id="15902330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27297930">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23"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29</Pages>
  <Words>6074</Words>
  <Characters>34623</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Hirst,Gareth swp8132</cp:lastModifiedBy>
  <cp:revision>3</cp:revision>
  <cp:lastPrinted>2014-08-26T08:55:00Z</cp:lastPrinted>
  <dcterms:created xsi:type="dcterms:W3CDTF">2023-08-02T18:31:00Z</dcterms:created>
  <dcterms:modified xsi:type="dcterms:W3CDTF">2023-08-07T16:51:00Z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2023-01-18T11:13:05Z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44d0c91f-b2ab-44c9-b818-483bb031a2fc</vt:lpwstr>
  </property>
  <property fmtid="{D5CDD505-2E9C-101B-9397-08002B2CF9AE}" pid="9" name="MSIP_Label_66cf8fe5-b7b7-4df7-b38d-1c61ac2f6639_ContentBits">
    <vt:lpwstr>0</vt:lpwstr>
  </property>
</Properties>
</file>