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434211" w14:textId="77777777" w:rsidR="00314D66" w:rsidRPr="00494029" w:rsidRDefault="00314D66" w:rsidP="00494029">
      <w:pPr>
        <w:spacing w:after="0"/>
        <w:jc w:val="center"/>
        <w:rPr>
          <w:rFonts w:cs="Arial"/>
        </w:rPr>
      </w:pPr>
    </w:p>
    <w:p w14:paraId="7C4A5BBE" w14:textId="77777777" w:rsidR="00314D66" w:rsidRPr="00494029" w:rsidRDefault="00314D66" w:rsidP="00494029">
      <w:pPr>
        <w:spacing w:after="0"/>
        <w:jc w:val="center"/>
        <w:rPr>
          <w:rFonts w:cs="Arial"/>
        </w:rPr>
      </w:pPr>
    </w:p>
    <w:p w14:paraId="4BAE727F" w14:textId="77777777" w:rsidR="00314D66" w:rsidRPr="00494029" w:rsidRDefault="00314D66" w:rsidP="00494029">
      <w:pPr>
        <w:spacing w:after="0"/>
        <w:jc w:val="center"/>
        <w:rPr>
          <w:rFonts w:cs="Arial"/>
        </w:rPr>
      </w:pPr>
    </w:p>
    <w:p w14:paraId="7E6B5051" w14:textId="77777777" w:rsidR="00314D66" w:rsidRPr="00494029" w:rsidRDefault="00314D66" w:rsidP="00494029">
      <w:pPr>
        <w:spacing w:after="0"/>
        <w:jc w:val="center"/>
        <w:rPr>
          <w:rFonts w:cs="Arial"/>
        </w:rPr>
      </w:pPr>
    </w:p>
    <w:p w14:paraId="75F53FFD" w14:textId="77777777" w:rsidR="00314D66" w:rsidRPr="00494029" w:rsidRDefault="00314D66" w:rsidP="00494029">
      <w:pPr>
        <w:spacing w:after="0"/>
        <w:jc w:val="center"/>
        <w:rPr>
          <w:rFonts w:cs="Arial"/>
        </w:rPr>
      </w:pPr>
    </w:p>
    <w:p w14:paraId="37F93352" w14:textId="731FD9C6" w:rsidR="00314D66" w:rsidRPr="00494029" w:rsidRDefault="00226895" w:rsidP="00494029">
      <w:pPr>
        <w:spacing w:after="0"/>
        <w:jc w:val="center"/>
        <w:rPr>
          <w:rFonts w:cs="Arial"/>
        </w:rPr>
      </w:pPr>
      <w:bookmarkStart w:id="0" w:name="_Hlk154588859"/>
      <w:r w:rsidRPr="00494029">
        <w:rPr>
          <w:rFonts w:cs="Arial"/>
        </w:rPr>
        <w:t>CHANGE MANAGEMENT PLAN</w:t>
      </w:r>
    </w:p>
    <w:bookmarkEnd w:id="0"/>
    <w:p w14:paraId="6E329712" w14:textId="2EC61B48" w:rsidR="00314D66" w:rsidRDefault="00494029" w:rsidP="00494029">
      <w:pPr>
        <w:spacing w:after="0"/>
        <w:jc w:val="center"/>
        <w:rPr>
          <w:rFonts w:cs="Arial"/>
        </w:rPr>
      </w:pPr>
      <w:r>
        <w:rPr>
          <w:rFonts w:cs="Arial"/>
        </w:rPr>
        <w:t>b</w:t>
      </w:r>
      <w:r w:rsidR="00CD1CA8" w:rsidRPr="00494029">
        <w:rPr>
          <w:rFonts w:cs="Arial"/>
        </w:rPr>
        <w:t xml:space="preserve">y </w:t>
      </w:r>
      <w:r w:rsidR="00973D73">
        <w:rPr>
          <w:rFonts w:cs="Arial"/>
        </w:rPr>
        <w:t>Asen Gegov</w:t>
      </w:r>
    </w:p>
    <w:p w14:paraId="783AF48D" w14:textId="08C4BCBD" w:rsidR="00494029" w:rsidRDefault="00494029" w:rsidP="00494029">
      <w:pPr>
        <w:spacing w:after="0"/>
        <w:jc w:val="center"/>
        <w:rPr>
          <w:rFonts w:cs="Arial"/>
        </w:rPr>
      </w:pPr>
    </w:p>
    <w:p w14:paraId="7E894758" w14:textId="7382ED02" w:rsidR="00494029" w:rsidRDefault="00494029" w:rsidP="00494029">
      <w:pPr>
        <w:spacing w:after="0"/>
        <w:jc w:val="center"/>
        <w:rPr>
          <w:rFonts w:cs="Arial"/>
        </w:rPr>
      </w:pPr>
    </w:p>
    <w:p w14:paraId="00CB5141" w14:textId="77777777" w:rsidR="00494029" w:rsidRPr="00494029" w:rsidRDefault="00494029" w:rsidP="00494029">
      <w:pPr>
        <w:spacing w:after="0"/>
        <w:jc w:val="center"/>
        <w:rPr>
          <w:rFonts w:cs="Arial"/>
        </w:rPr>
      </w:pPr>
    </w:p>
    <w:p w14:paraId="25DA75EB" w14:textId="77777777" w:rsidR="00314D66" w:rsidRDefault="00CD1CA8" w:rsidP="00494029">
      <w:pPr>
        <w:spacing w:after="0"/>
        <w:jc w:val="center"/>
        <w:rPr>
          <w:rFonts w:cs="Arial"/>
        </w:rPr>
      </w:pPr>
      <w:r w:rsidRPr="00494029">
        <w:rPr>
          <w:rFonts w:cs="Arial"/>
        </w:rPr>
        <w:t>Student Number</w:t>
      </w:r>
    </w:p>
    <w:p w14:paraId="148C9CC9" w14:textId="6C8FEA5C" w:rsidR="00973D73" w:rsidRPr="00494029" w:rsidRDefault="00973D73" w:rsidP="00494029">
      <w:pPr>
        <w:spacing w:after="0"/>
        <w:jc w:val="center"/>
        <w:rPr>
          <w:rFonts w:cs="Arial"/>
        </w:rPr>
      </w:pPr>
      <w:r>
        <w:rPr>
          <w:rFonts w:cs="Arial"/>
        </w:rPr>
        <w:t>2018572</w:t>
      </w:r>
    </w:p>
    <w:p w14:paraId="48EA6CE5" w14:textId="77777777" w:rsidR="00314D66" w:rsidRDefault="00CD1CA8" w:rsidP="00494029">
      <w:pPr>
        <w:spacing w:after="0"/>
        <w:jc w:val="center"/>
        <w:rPr>
          <w:rFonts w:cs="Arial"/>
        </w:rPr>
      </w:pPr>
      <w:r w:rsidRPr="00494029">
        <w:rPr>
          <w:rFonts w:cs="Arial"/>
        </w:rPr>
        <w:t>Module Code</w:t>
      </w:r>
    </w:p>
    <w:p w14:paraId="00A1A903" w14:textId="75A78536" w:rsidR="00973D73" w:rsidRPr="00494029" w:rsidRDefault="00973D73" w:rsidP="00494029">
      <w:pPr>
        <w:spacing w:after="0"/>
        <w:jc w:val="center"/>
        <w:rPr>
          <w:rFonts w:cs="Arial"/>
        </w:rPr>
      </w:pPr>
      <w:r>
        <w:rPr>
          <w:rFonts w:cs="Arial"/>
        </w:rPr>
        <w:t>BMSW6103</w:t>
      </w:r>
    </w:p>
    <w:p w14:paraId="646073B1" w14:textId="5EE6E266" w:rsidR="00314D66" w:rsidRPr="00494029" w:rsidRDefault="00314D66" w:rsidP="00494029">
      <w:pPr>
        <w:spacing w:after="0"/>
        <w:jc w:val="center"/>
        <w:rPr>
          <w:rFonts w:cs="Arial"/>
        </w:rPr>
      </w:pPr>
    </w:p>
    <w:p w14:paraId="634339B8" w14:textId="5F8BC995" w:rsidR="00314D66" w:rsidRDefault="00973D73" w:rsidP="00494029">
      <w:pPr>
        <w:spacing w:after="0"/>
        <w:jc w:val="center"/>
        <w:rPr>
          <w:rFonts w:cs="Arial"/>
        </w:rPr>
      </w:pPr>
      <w:r>
        <w:rPr>
          <w:rFonts w:cs="Arial"/>
        </w:rPr>
        <w:t>Module Leader</w:t>
      </w:r>
    </w:p>
    <w:p w14:paraId="62B858A1" w14:textId="34582AC8" w:rsidR="00973D73" w:rsidRDefault="00973D73" w:rsidP="00494029">
      <w:pPr>
        <w:spacing w:after="0"/>
        <w:jc w:val="center"/>
        <w:rPr>
          <w:rFonts w:cs="Arial"/>
        </w:rPr>
      </w:pPr>
      <w:r>
        <w:rPr>
          <w:rFonts w:cs="Arial"/>
        </w:rPr>
        <w:t>Nadeem Mirza</w:t>
      </w:r>
    </w:p>
    <w:p w14:paraId="3C85B5F6" w14:textId="77777777" w:rsidR="00973D73" w:rsidRPr="00494029" w:rsidRDefault="00973D73" w:rsidP="00494029">
      <w:pPr>
        <w:spacing w:after="0"/>
        <w:jc w:val="center"/>
        <w:rPr>
          <w:rFonts w:cs="Arial"/>
        </w:rPr>
      </w:pPr>
    </w:p>
    <w:p w14:paraId="250A41AE" w14:textId="12F8D0E8" w:rsidR="00494029" w:rsidRDefault="00494029">
      <w:pPr>
        <w:spacing w:line="259" w:lineRule="auto"/>
        <w:ind w:firstLine="0"/>
        <w:rPr>
          <w:rFonts w:cs="Arial"/>
        </w:rPr>
      </w:pPr>
      <w:r>
        <w:rPr>
          <w:rFonts w:cs="Arial"/>
        </w:rPr>
        <w:br w:type="page"/>
      </w:r>
    </w:p>
    <w:p w14:paraId="179ADA0B" w14:textId="4A606651" w:rsidR="006344A2" w:rsidRPr="00494029" w:rsidRDefault="00CD1CA8" w:rsidP="00071EAC">
      <w:pPr>
        <w:pStyle w:val="Heading1"/>
      </w:pPr>
      <w:bookmarkStart w:id="1" w:name="_Toc154629639"/>
      <w:r w:rsidRPr="00494029">
        <w:lastRenderedPageBreak/>
        <w:t>Executive Summary</w:t>
      </w:r>
      <w:bookmarkEnd w:id="1"/>
    </w:p>
    <w:p w14:paraId="5501BD24" w14:textId="5EAF90C5" w:rsidR="00314D66" w:rsidRPr="00494029" w:rsidRDefault="00CD1CA8" w:rsidP="00494029">
      <w:pPr>
        <w:spacing w:after="0"/>
        <w:rPr>
          <w:rFonts w:cs="Arial"/>
        </w:rPr>
      </w:pPr>
      <w:r w:rsidRPr="00494029">
        <w:rPr>
          <w:rFonts w:cs="Arial"/>
        </w:rPr>
        <w:t>Leading and implementing change is vital in aligning organisations with the changes in the external business environment. This report discussed Morgan Sindall</w:t>
      </w:r>
      <w:r w:rsidR="006922E3" w:rsidRPr="00494029">
        <w:rPr>
          <w:rFonts w:cs="Arial"/>
        </w:rPr>
        <w:t>'</w:t>
      </w:r>
      <w:r w:rsidRPr="00494029">
        <w:rPr>
          <w:rFonts w:cs="Arial"/>
        </w:rPr>
        <w:t>s change implementation by focussing on the recent histories, challenges, and new possibilities that the firm has explored. The report established that the company continues to face workforce challenges due to the disruptions of COVID-19, leading to understaffing challenges. Furthermore, as more innovations are being discovered in the construction industry and integrated into building practices, Morgan Sindall has embraced new ways to promote sustainability and create social value. The current economic uncertainty has also created a volatile and ambiguous operating environment, leading to high rates of inflation and interest payments for loans that companies take to undertake development projects. This report suggests using a transformational leadership style in following Kurt Lewin</w:t>
      </w:r>
      <w:r w:rsidR="006922E3" w:rsidRPr="00494029">
        <w:rPr>
          <w:rFonts w:cs="Arial"/>
        </w:rPr>
        <w:t>'</w:t>
      </w:r>
      <w:r w:rsidRPr="00494029">
        <w:rPr>
          <w:rFonts w:cs="Arial"/>
        </w:rPr>
        <w:t>s change model in Morgan Sindall to steer corporate progress. Moreover, the project underscores that the collective leadership style is suitable for promoting the use of Kotter</w:t>
      </w:r>
      <w:r w:rsidR="006922E3" w:rsidRPr="00494029">
        <w:rPr>
          <w:rFonts w:cs="Arial"/>
        </w:rPr>
        <w:t>'</w:t>
      </w:r>
      <w:r w:rsidRPr="00494029">
        <w:rPr>
          <w:rFonts w:cs="Arial"/>
        </w:rPr>
        <w:t>s 8 steps of change management. Lastly, the report recommends the exploration of more sustainable building materials like concrete and fly ash. These are possible changes that can be implemented at Morgan Sindall by following the proposed staff training, communication and evaluation plans.</w:t>
      </w:r>
    </w:p>
    <w:p w14:paraId="1AF2F1EC" w14:textId="4CF226AD" w:rsidR="00494029" w:rsidRDefault="00494029">
      <w:pPr>
        <w:spacing w:line="259" w:lineRule="auto"/>
        <w:ind w:firstLine="0"/>
        <w:rPr>
          <w:rFonts w:cs="Arial"/>
        </w:rPr>
      </w:pPr>
      <w:r>
        <w:rPr>
          <w:rFonts w:cs="Arial"/>
        </w:rPr>
        <w:br w:type="page"/>
      </w:r>
    </w:p>
    <w:sdt>
      <w:sdtPr>
        <w:rPr>
          <w:rFonts w:ascii="Arial" w:eastAsiaTheme="minorHAnsi" w:hAnsi="Arial" w:cstheme="minorBidi"/>
          <w:color w:val="000000" w:themeColor="text1"/>
          <w:kern w:val="2"/>
          <w:sz w:val="22"/>
          <w:lang w:eastAsia="en-US"/>
          <w14:ligatures w14:val="standardContextual"/>
        </w:rPr>
        <w:id w:val="-163244859"/>
        <w:docPartObj>
          <w:docPartGallery w:val="Table of Contents"/>
          <w:docPartUnique/>
        </w:docPartObj>
      </w:sdtPr>
      <w:sdtEndPr>
        <w:rPr>
          <w:b/>
          <w:bCs/>
        </w:rPr>
      </w:sdtEndPr>
      <w:sdtContent>
        <w:p w14:paraId="539C2C51" w14:textId="6821F340" w:rsidR="00BD30E4" w:rsidRPr="00071EAC" w:rsidRDefault="00494029" w:rsidP="00071EAC">
          <w:pPr>
            <w:pStyle w:val="TOCHeading"/>
            <w:spacing w:line="360" w:lineRule="auto"/>
            <w:jc w:val="center"/>
            <w:rPr>
              <w:rFonts w:ascii="Arial" w:hAnsi="Arial"/>
              <w:color w:val="000000" w:themeColor="text1"/>
              <w:sz w:val="22"/>
            </w:rPr>
          </w:pPr>
          <w:r w:rsidRPr="00071EAC">
            <w:rPr>
              <w:rFonts w:ascii="Arial" w:eastAsiaTheme="minorHAnsi" w:hAnsi="Arial"/>
              <w:color w:val="000000" w:themeColor="text1"/>
              <w:sz w:val="22"/>
            </w:rPr>
            <w:t xml:space="preserve">Table of </w:t>
          </w:r>
          <w:r w:rsidR="00CD1CA8" w:rsidRPr="00071EAC">
            <w:rPr>
              <w:rFonts w:ascii="Arial" w:hAnsi="Arial"/>
              <w:color w:val="000000" w:themeColor="text1"/>
              <w:sz w:val="22"/>
            </w:rPr>
            <w:t>Contents</w:t>
          </w:r>
        </w:p>
        <w:p w14:paraId="2817832D" w14:textId="2189235B" w:rsidR="00071EAC" w:rsidRPr="00071EAC" w:rsidRDefault="00CD1CA8" w:rsidP="00071EAC">
          <w:pPr>
            <w:pStyle w:val="TOC1"/>
            <w:tabs>
              <w:tab w:val="right" w:leader="dot" w:pos="9350"/>
            </w:tabs>
            <w:spacing w:after="0"/>
            <w:ind w:firstLine="0"/>
            <w:rPr>
              <w:rFonts w:eastAsiaTheme="minorEastAsia" w:cs="Arial"/>
              <w:noProof/>
              <w:color w:val="000000" w:themeColor="text1"/>
              <w:kern w:val="0"/>
              <w:lang w:val="uk-UA" w:eastAsia="uk-UA"/>
              <w14:ligatures w14:val="none"/>
            </w:rPr>
          </w:pPr>
          <w:r w:rsidRPr="00071EAC">
            <w:rPr>
              <w:rFonts w:cs="Arial"/>
              <w:color w:val="000000" w:themeColor="text1"/>
            </w:rPr>
            <w:fldChar w:fldCharType="begin"/>
          </w:r>
          <w:r w:rsidRPr="00071EAC">
            <w:rPr>
              <w:rFonts w:cs="Arial"/>
              <w:color w:val="000000" w:themeColor="text1"/>
            </w:rPr>
            <w:instrText xml:space="preserve"> TOC \o "1-3" \h \z \u </w:instrText>
          </w:r>
          <w:r w:rsidRPr="00071EAC">
            <w:rPr>
              <w:rFonts w:cs="Arial"/>
              <w:color w:val="000000" w:themeColor="text1"/>
            </w:rPr>
            <w:fldChar w:fldCharType="separate"/>
          </w:r>
          <w:hyperlink w:anchor="_Toc154629639" w:history="1">
            <w:r w:rsidR="00071EAC" w:rsidRPr="00071EAC">
              <w:rPr>
                <w:rStyle w:val="Hyperlink"/>
                <w:rFonts w:cs="Arial"/>
                <w:noProof/>
                <w:color w:val="000000" w:themeColor="text1"/>
              </w:rPr>
              <w:t>Executive Summary</w:t>
            </w:r>
            <w:r w:rsidR="00071EAC" w:rsidRPr="00071EAC">
              <w:rPr>
                <w:rFonts w:cs="Arial"/>
                <w:noProof/>
                <w:webHidden/>
                <w:color w:val="000000" w:themeColor="text1"/>
              </w:rPr>
              <w:tab/>
            </w:r>
            <w:r w:rsidR="00071EAC" w:rsidRPr="00071EAC">
              <w:rPr>
                <w:rFonts w:cs="Arial"/>
                <w:noProof/>
                <w:webHidden/>
                <w:color w:val="000000" w:themeColor="text1"/>
              </w:rPr>
              <w:fldChar w:fldCharType="begin"/>
            </w:r>
            <w:r w:rsidR="00071EAC" w:rsidRPr="00071EAC">
              <w:rPr>
                <w:rFonts w:cs="Arial"/>
                <w:noProof/>
                <w:webHidden/>
                <w:color w:val="000000" w:themeColor="text1"/>
              </w:rPr>
              <w:instrText xml:space="preserve"> PAGEREF _Toc154629639 \h </w:instrText>
            </w:r>
            <w:r w:rsidR="00071EAC" w:rsidRPr="00071EAC">
              <w:rPr>
                <w:rFonts w:cs="Arial"/>
                <w:noProof/>
                <w:webHidden/>
                <w:color w:val="000000" w:themeColor="text1"/>
              </w:rPr>
            </w:r>
            <w:r w:rsidR="00071EAC" w:rsidRPr="00071EAC">
              <w:rPr>
                <w:rFonts w:cs="Arial"/>
                <w:noProof/>
                <w:webHidden/>
                <w:color w:val="000000" w:themeColor="text1"/>
              </w:rPr>
              <w:fldChar w:fldCharType="separate"/>
            </w:r>
            <w:r w:rsidR="00071EAC" w:rsidRPr="00071EAC">
              <w:rPr>
                <w:rFonts w:cs="Arial"/>
                <w:noProof/>
                <w:webHidden/>
                <w:color w:val="000000" w:themeColor="text1"/>
              </w:rPr>
              <w:t>2</w:t>
            </w:r>
            <w:r w:rsidR="00071EAC" w:rsidRPr="00071EAC">
              <w:rPr>
                <w:rFonts w:cs="Arial"/>
                <w:noProof/>
                <w:webHidden/>
                <w:color w:val="000000" w:themeColor="text1"/>
              </w:rPr>
              <w:fldChar w:fldCharType="end"/>
            </w:r>
          </w:hyperlink>
        </w:p>
        <w:p w14:paraId="2910157D" w14:textId="344C1518" w:rsidR="00071EAC" w:rsidRPr="00071EAC" w:rsidRDefault="00000000" w:rsidP="00071EAC">
          <w:pPr>
            <w:pStyle w:val="TOC1"/>
            <w:tabs>
              <w:tab w:val="right" w:leader="dot" w:pos="9350"/>
            </w:tabs>
            <w:spacing w:after="0"/>
            <w:ind w:firstLine="0"/>
            <w:rPr>
              <w:rFonts w:eastAsiaTheme="minorEastAsia" w:cs="Arial"/>
              <w:noProof/>
              <w:color w:val="000000" w:themeColor="text1"/>
              <w:kern w:val="0"/>
              <w:lang w:val="uk-UA" w:eastAsia="uk-UA"/>
              <w14:ligatures w14:val="none"/>
            </w:rPr>
          </w:pPr>
          <w:hyperlink w:anchor="_Toc154629640" w:history="1">
            <w:r w:rsidR="00071EAC" w:rsidRPr="00071EAC">
              <w:rPr>
                <w:rStyle w:val="Hyperlink"/>
                <w:rFonts w:cs="Arial"/>
                <w:noProof/>
                <w:color w:val="000000" w:themeColor="text1"/>
              </w:rPr>
              <w:t>a) A Brief Review of the Current State of the Company</w:t>
            </w:r>
            <w:r w:rsidR="00071EAC" w:rsidRPr="00071EAC">
              <w:rPr>
                <w:rFonts w:cs="Arial"/>
                <w:noProof/>
                <w:webHidden/>
                <w:color w:val="000000" w:themeColor="text1"/>
              </w:rPr>
              <w:tab/>
            </w:r>
            <w:r w:rsidR="00071EAC" w:rsidRPr="00071EAC">
              <w:rPr>
                <w:rFonts w:cs="Arial"/>
                <w:noProof/>
                <w:webHidden/>
                <w:color w:val="000000" w:themeColor="text1"/>
              </w:rPr>
              <w:fldChar w:fldCharType="begin"/>
            </w:r>
            <w:r w:rsidR="00071EAC" w:rsidRPr="00071EAC">
              <w:rPr>
                <w:rFonts w:cs="Arial"/>
                <w:noProof/>
                <w:webHidden/>
                <w:color w:val="000000" w:themeColor="text1"/>
              </w:rPr>
              <w:instrText xml:space="preserve"> PAGEREF _Toc154629640 \h </w:instrText>
            </w:r>
            <w:r w:rsidR="00071EAC" w:rsidRPr="00071EAC">
              <w:rPr>
                <w:rFonts w:cs="Arial"/>
                <w:noProof/>
                <w:webHidden/>
                <w:color w:val="000000" w:themeColor="text1"/>
              </w:rPr>
            </w:r>
            <w:r w:rsidR="00071EAC" w:rsidRPr="00071EAC">
              <w:rPr>
                <w:rFonts w:cs="Arial"/>
                <w:noProof/>
                <w:webHidden/>
                <w:color w:val="000000" w:themeColor="text1"/>
              </w:rPr>
              <w:fldChar w:fldCharType="separate"/>
            </w:r>
            <w:r w:rsidR="00071EAC" w:rsidRPr="00071EAC">
              <w:rPr>
                <w:rFonts w:cs="Arial"/>
                <w:noProof/>
                <w:webHidden/>
                <w:color w:val="000000" w:themeColor="text1"/>
              </w:rPr>
              <w:t>4</w:t>
            </w:r>
            <w:r w:rsidR="00071EAC" w:rsidRPr="00071EAC">
              <w:rPr>
                <w:rFonts w:cs="Arial"/>
                <w:noProof/>
                <w:webHidden/>
                <w:color w:val="000000" w:themeColor="text1"/>
              </w:rPr>
              <w:fldChar w:fldCharType="end"/>
            </w:r>
          </w:hyperlink>
        </w:p>
        <w:p w14:paraId="69152277" w14:textId="25A870BC" w:rsidR="00071EAC" w:rsidRPr="00071EAC" w:rsidRDefault="00000000" w:rsidP="00071EAC">
          <w:pPr>
            <w:pStyle w:val="TOC1"/>
            <w:tabs>
              <w:tab w:val="right" w:leader="dot" w:pos="9350"/>
            </w:tabs>
            <w:spacing w:after="0"/>
            <w:ind w:firstLine="0"/>
            <w:rPr>
              <w:rFonts w:eastAsiaTheme="minorEastAsia" w:cs="Arial"/>
              <w:noProof/>
              <w:color w:val="000000" w:themeColor="text1"/>
              <w:kern w:val="0"/>
              <w:lang w:val="uk-UA" w:eastAsia="uk-UA"/>
              <w14:ligatures w14:val="none"/>
            </w:rPr>
          </w:pPr>
          <w:hyperlink w:anchor="_Toc154629641" w:history="1">
            <w:r w:rsidR="00071EAC" w:rsidRPr="00071EAC">
              <w:rPr>
                <w:rStyle w:val="Hyperlink"/>
                <w:rFonts w:cs="Arial"/>
                <w:noProof/>
                <w:color w:val="000000" w:themeColor="text1"/>
              </w:rPr>
              <w:t>b) The Researcher's Involvement /Relationship with the Company</w:t>
            </w:r>
            <w:r w:rsidR="00071EAC" w:rsidRPr="00071EAC">
              <w:rPr>
                <w:rFonts w:cs="Arial"/>
                <w:noProof/>
                <w:webHidden/>
                <w:color w:val="000000" w:themeColor="text1"/>
              </w:rPr>
              <w:tab/>
            </w:r>
            <w:r w:rsidR="00071EAC" w:rsidRPr="00071EAC">
              <w:rPr>
                <w:rFonts w:cs="Arial"/>
                <w:noProof/>
                <w:webHidden/>
                <w:color w:val="000000" w:themeColor="text1"/>
              </w:rPr>
              <w:fldChar w:fldCharType="begin"/>
            </w:r>
            <w:r w:rsidR="00071EAC" w:rsidRPr="00071EAC">
              <w:rPr>
                <w:rFonts w:cs="Arial"/>
                <w:noProof/>
                <w:webHidden/>
                <w:color w:val="000000" w:themeColor="text1"/>
              </w:rPr>
              <w:instrText xml:space="preserve"> PAGEREF _Toc154629641 \h </w:instrText>
            </w:r>
            <w:r w:rsidR="00071EAC" w:rsidRPr="00071EAC">
              <w:rPr>
                <w:rFonts w:cs="Arial"/>
                <w:noProof/>
                <w:webHidden/>
                <w:color w:val="000000" w:themeColor="text1"/>
              </w:rPr>
            </w:r>
            <w:r w:rsidR="00071EAC" w:rsidRPr="00071EAC">
              <w:rPr>
                <w:rFonts w:cs="Arial"/>
                <w:noProof/>
                <w:webHidden/>
                <w:color w:val="000000" w:themeColor="text1"/>
              </w:rPr>
              <w:fldChar w:fldCharType="separate"/>
            </w:r>
            <w:r w:rsidR="00071EAC" w:rsidRPr="00071EAC">
              <w:rPr>
                <w:rFonts w:cs="Arial"/>
                <w:noProof/>
                <w:webHidden/>
                <w:color w:val="000000" w:themeColor="text1"/>
              </w:rPr>
              <w:t>4</w:t>
            </w:r>
            <w:r w:rsidR="00071EAC" w:rsidRPr="00071EAC">
              <w:rPr>
                <w:rFonts w:cs="Arial"/>
                <w:noProof/>
                <w:webHidden/>
                <w:color w:val="000000" w:themeColor="text1"/>
              </w:rPr>
              <w:fldChar w:fldCharType="end"/>
            </w:r>
          </w:hyperlink>
        </w:p>
        <w:p w14:paraId="6AD82910" w14:textId="4BCFFDD8" w:rsidR="00071EAC" w:rsidRPr="00071EAC" w:rsidRDefault="00000000" w:rsidP="00071EAC">
          <w:pPr>
            <w:pStyle w:val="TOC1"/>
            <w:tabs>
              <w:tab w:val="right" w:leader="dot" w:pos="9350"/>
            </w:tabs>
            <w:spacing w:after="0"/>
            <w:ind w:firstLine="0"/>
            <w:rPr>
              <w:rFonts w:eastAsiaTheme="minorEastAsia" w:cs="Arial"/>
              <w:noProof/>
              <w:color w:val="000000" w:themeColor="text1"/>
              <w:kern w:val="0"/>
              <w:lang w:val="uk-UA" w:eastAsia="uk-UA"/>
              <w14:ligatures w14:val="none"/>
            </w:rPr>
          </w:pPr>
          <w:hyperlink w:anchor="_Toc154629642" w:history="1">
            <w:r w:rsidR="00071EAC" w:rsidRPr="00071EAC">
              <w:rPr>
                <w:rStyle w:val="Hyperlink"/>
                <w:rFonts w:cs="Arial"/>
                <w:noProof/>
                <w:color w:val="000000" w:themeColor="text1"/>
              </w:rPr>
              <w:t>c) An Outline of the Company's Recent Change Initiative Investigated in This Report</w:t>
            </w:r>
            <w:r w:rsidR="00071EAC" w:rsidRPr="00071EAC">
              <w:rPr>
                <w:rFonts w:cs="Arial"/>
                <w:noProof/>
                <w:webHidden/>
                <w:color w:val="000000" w:themeColor="text1"/>
              </w:rPr>
              <w:tab/>
            </w:r>
            <w:r w:rsidR="00071EAC" w:rsidRPr="00071EAC">
              <w:rPr>
                <w:rFonts w:cs="Arial"/>
                <w:noProof/>
                <w:webHidden/>
                <w:color w:val="000000" w:themeColor="text1"/>
              </w:rPr>
              <w:fldChar w:fldCharType="begin"/>
            </w:r>
            <w:r w:rsidR="00071EAC" w:rsidRPr="00071EAC">
              <w:rPr>
                <w:rFonts w:cs="Arial"/>
                <w:noProof/>
                <w:webHidden/>
                <w:color w:val="000000" w:themeColor="text1"/>
              </w:rPr>
              <w:instrText xml:space="preserve"> PAGEREF _Toc154629642 \h </w:instrText>
            </w:r>
            <w:r w:rsidR="00071EAC" w:rsidRPr="00071EAC">
              <w:rPr>
                <w:rFonts w:cs="Arial"/>
                <w:noProof/>
                <w:webHidden/>
                <w:color w:val="000000" w:themeColor="text1"/>
              </w:rPr>
            </w:r>
            <w:r w:rsidR="00071EAC" w:rsidRPr="00071EAC">
              <w:rPr>
                <w:rFonts w:cs="Arial"/>
                <w:noProof/>
                <w:webHidden/>
                <w:color w:val="000000" w:themeColor="text1"/>
              </w:rPr>
              <w:fldChar w:fldCharType="separate"/>
            </w:r>
            <w:r w:rsidR="00071EAC" w:rsidRPr="00071EAC">
              <w:rPr>
                <w:rFonts w:cs="Arial"/>
                <w:noProof/>
                <w:webHidden/>
                <w:color w:val="000000" w:themeColor="text1"/>
              </w:rPr>
              <w:t>4</w:t>
            </w:r>
            <w:r w:rsidR="00071EAC" w:rsidRPr="00071EAC">
              <w:rPr>
                <w:rFonts w:cs="Arial"/>
                <w:noProof/>
                <w:webHidden/>
                <w:color w:val="000000" w:themeColor="text1"/>
              </w:rPr>
              <w:fldChar w:fldCharType="end"/>
            </w:r>
          </w:hyperlink>
        </w:p>
        <w:p w14:paraId="01AC31FE" w14:textId="22454D6F" w:rsidR="00071EAC" w:rsidRPr="00071EAC" w:rsidRDefault="00000000" w:rsidP="00071EAC">
          <w:pPr>
            <w:pStyle w:val="TOC1"/>
            <w:tabs>
              <w:tab w:val="right" w:leader="dot" w:pos="9350"/>
            </w:tabs>
            <w:spacing w:after="0"/>
            <w:ind w:firstLine="0"/>
            <w:rPr>
              <w:rFonts w:eastAsiaTheme="minorEastAsia" w:cs="Arial"/>
              <w:noProof/>
              <w:color w:val="000000" w:themeColor="text1"/>
              <w:kern w:val="0"/>
              <w:lang w:val="uk-UA" w:eastAsia="uk-UA"/>
              <w14:ligatures w14:val="none"/>
            </w:rPr>
          </w:pPr>
          <w:hyperlink w:anchor="_Toc154629643" w:history="1">
            <w:r w:rsidR="00071EAC" w:rsidRPr="00071EAC">
              <w:rPr>
                <w:rStyle w:val="Hyperlink"/>
                <w:rFonts w:cs="Arial"/>
                <w:noProof/>
                <w:color w:val="000000" w:themeColor="text1"/>
              </w:rPr>
              <w:t>d) An Analysis of the Recent History of the Organisation, How Changes in the External Environment Have Impacted the Company</w:t>
            </w:r>
            <w:r w:rsidR="00071EAC" w:rsidRPr="00071EAC">
              <w:rPr>
                <w:rFonts w:cs="Arial"/>
                <w:noProof/>
                <w:webHidden/>
                <w:color w:val="000000" w:themeColor="text1"/>
              </w:rPr>
              <w:tab/>
            </w:r>
            <w:r w:rsidR="00071EAC" w:rsidRPr="00071EAC">
              <w:rPr>
                <w:rFonts w:cs="Arial"/>
                <w:noProof/>
                <w:webHidden/>
                <w:color w:val="000000" w:themeColor="text1"/>
              </w:rPr>
              <w:fldChar w:fldCharType="begin"/>
            </w:r>
            <w:r w:rsidR="00071EAC" w:rsidRPr="00071EAC">
              <w:rPr>
                <w:rFonts w:cs="Arial"/>
                <w:noProof/>
                <w:webHidden/>
                <w:color w:val="000000" w:themeColor="text1"/>
              </w:rPr>
              <w:instrText xml:space="preserve"> PAGEREF _Toc154629643 \h </w:instrText>
            </w:r>
            <w:r w:rsidR="00071EAC" w:rsidRPr="00071EAC">
              <w:rPr>
                <w:rFonts w:cs="Arial"/>
                <w:noProof/>
                <w:webHidden/>
                <w:color w:val="000000" w:themeColor="text1"/>
              </w:rPr>
            </w:r>
            <w:r w:rsidR="00071EAC" w:rsidRPr="00071EAC">
              <w:rPr>
                <w:rFonts w:cs="Arial"/>
                <w:noProof/>
                <w:webHidden/>
                <w:color w:val="000000" w:themeColor="text1"/>
              </w:rPr>
              <w:fldChar w:fldCharType="separate"/>
            </w:r>
            <w:r w:rsidR="00071EAC" w:rsidRPr="00071EAC">
              <w:rPr>
                <w:rFonts w:cs="Arial"/>
                <w:noProof/>
                <w:webHidden/>
                <w:color w:val="000000" w:themeColor="text1"/>
              </w:rPr>
              <w:t>5</w:t>
            </w:r>
            <w:r w:rsidR="00071EAC" w:rsidRPr="00071EAC">
              <w:rPr>
                <w:rFonts w:cs="Arial"/>
                <w:noProof/>
                <w:webHidden/>
                <w:color w:val="000000" w:themeColor="text1"/>
              </w:rPr>
              <w:fldChar w:fldCharType="end"/>
            </w:r>
          </w:hyperlink>
        </w:p>
        <w:p w14:paraId="46069565" w14:textId="7183A52A" w:rsidR="00071EAC" w:rsidRPr="00071EAC" w:rsidRDefault="00000000" w:rsidP="00071EAC">
          <w:pPr>
            <w:pStyle w:val="TOC2"/>
            <w:tabs>
              <w:tab w:val="right" w:leader="dot" w:pos="9350"/>
            </w:tabs>
            <w:spacing w:after="0"/>
            <w:ind w:left="0" w:firstLine="0"/>
            <w:rPr>
              <w:rFonts w:eastAsiaTheme="minorEastAsia" w:cs="Arial"/>
              <w:noProof/>
              <w:color w:val="000000" w:themeColor="text1"/>
              <w:kern w:val="0"/>
              <w:lang w:val="uk-UA" w:eastAsia="uk-UA"/>
              <w14:ligatures w14:val="none"/>
            </w:rPr>
          </w:pPr>
          <w:hyperlink w:anchor="_Toc154629644" w:history="1">
            <w:r w:rsidR="00071EAC" w:rsidRPr="00071EAC">
              <w:rPr>
                <w:rStyle w:val="Hyperlink"/>
                <w:rFonts w:cs="Arial"/>
                <w:noProof/>
                <w:color w:val="000000" w:themeColor="text1"/>
              </w:rPr>
              <w:t>The COVID-19 Pandemic</w:t>
            </w:r>
            <w:r w:rsidR="00071EAC" w:rsidRPr="00071EAC">
              <w:rPr>
                <w:rFonts w:cs="Arial"/>
                <w:noProof/>
                <w:webHidden/>
                <w:color w:val="000000" w:themeColor="text1"/>
              </w:rPr>
              <w:tab/>
            </w:r>
            <w:r w:rsidR="00071EAC" w:rsidRPr="00071EAC">
              <w:rPr>
                <w:rFonts w:cs="Arial"/>
                <w:noProof/>
                <w:webHidden/>
                <w:color w:val="000000" w:themeColor="text1"/>
              </w:rPr>
              <w:fldChar w:fldCharType="begin"/>
            </w:r>
            <w:r w:rsidR="00071EAC" w:rsidRPr="00071EAC">
              <w:rPr>
                <w:rFonts w:cs="Arial"/>
                <w:noProof/>
                <w:webHidden/>
                <w:color w:val="000000" w:themeColor="text1"/>
              </w:rPr>
              <w:instrText xml:space="preserve"> PAGEREF _Toc154629644 \h </w:instrText>
            </w:r>
            <w:r w:rsidR="00071EAC" w:rsidRPr="00071EAC">
              <w:rPr>
                <w:rFonts w:cs="Arial"/>
                <w:noProof/>
                <w:webHidden/>
                <w:color w:val="000000" w:themeColor="text1"/>
              </w:rPr>
            </w:r>
            <w:r w:rsidR="00071EAC" w:rsidRPr="00071EAC">
              <w:rPr>
                <w:rFonts w:cs="Arial"/>
                <w:noProof/>
                <w:webHidden/>
                <w:color w:val="000000" w:themeColor="text1"/>
              </w:rPr>
              <w:fldChar w:fldCharType="separate"/>
            </w:r>
            <w:r w:rsidR="00071EAC" w:rsidRPr="00071EAC">
              <w:rPr>
                <w:rFonts w:cs="Arial"/>
                <w:noProof/>
                <w:webHidden/>
                <w:color w:val="000000" w:themeColor="text1"/>
              </w:rPr>
              <w:t>5</w:t>
            </w:r>
            <w:r w:rsidR="00071EAC" w:rsidRPr="00071EAC">
              <w:rPr>
                <w:rFonts w:cs="Arial"/>
                <w:noProof/>
                <w:webHidden/>
                <w:color w:val="000000" w:themeColor="text1"/>
              </w:rPr>
              <w:fldChar w:fldCharType="end"/>
            </w:r>
          </w:hyperlink>
        </w:p>
        <w:p w14:paraId="059E1F69" w14:textId="02553C68" w:rsidR="00071EAC" w:rsidRPr="00071EAC" w:rsidRDefault="00000000" w:rsidP="00071EAC">
          <w:pPr>
            <w:pStyle w:val="TOC2"/>
            <w:tabs>
              <w:tab w:val="right" w:leader="dot" w:pos="9350"/>
            </w:tabs>
            <w:spacing w:after="0"/>
            <w:ind w:left="0" w:firstLine="0"/>
            <w:rPr>
              <w:rFonts w:eastAsiaTheme="minorEastAsia" w:cs="Arial"/>
              <w:noProof/>
              <w:color w:val="000000" w:themeColor="text1"/>
              <w:kern w:val="0"/>
              <w:lang w:val="uk-UA" w:eastAsia="uk-UA"/>
              <w14:ligatures w14:val="none"/>
            </w:rPr>
          </w:pPr>
          <w:hyperlink w:anchor="_Toc154629645" w:history="1">
            <w:r w:rsidR="00071EAC" w:rsidRPr="00071EAC">
              <w:rPr>
                <w:rStyle w:val="Hyperlink"/>
                <w:rFonts w:cs="Arial"/>
                <w:noProof/>
                <w:color w:val="000000" w:themeColor="text1"/>
              </w:rPr>
              <w:t>Digital Disruption</w:t>
            </w:r>
            <w:r w:rsidR="00071EAC" w:rsidRPr="00071EAC">
              <w:rPr>
                <w:rFonts w:cs="Arial"/>
                <w:noProof/>
                <w:webHidden/>
                <w:color w:val="000000" w:themeColor="text1"/>
              </w:rPr>
              <w:tab/>
            </w:r>
            <w:r w:rsidR="00071EAC" w:rsidRPr="00071EAC">
              <w:rPr>
                <w:rFonts w:cs="Arial"/>
                <w:noProof/>
                <w:webHidden/>
                <w:color w:val="000000" w:themeColor="text1"/>
              </w:rPr>
              <w:fldChar w:fldCharType="begin"/>
            </w:r>
            <w:r w:rsidR="00071EAC" w:rsidRPr="00071EAC">
              <w:rPr>
                <w:rFonts w:cs="Arial"/>
                <w:noProof/>
                <w:webHidden/>
                <w:color w:val="000000" w:themeColor="text1"/>
              </w:rPr>
              <w:instrText xml:space="preserve"> PAGEREF _Toc154629645 \h </w:instrText>
            </w:r>
            <w:r w:rsidR="00071EAC" w:rsidRPr="00071EAC">
              <w:rPr>
                <w:rFonts w:cs="Arial"/>
                <w:noProof/>
                <w:webHidden/>
                <w:color w:val="000000" w:themeColor="text1"/>
              </w:rPr>
            </w:r>
            <w:r w:rsidR="00071EAC" w:rsidRPr="00071EAC">
              <w:rPr>
                <w:rFonts w:cs="Arial"/>
                <w:noProof/>
                <w:webHidden/>
                <w:color w:val="000000" w:themeColor="text1"/>
              </w:rPr>
              <w:fldChar w:fldCharType="separate"/>
            </w:r>
            <w:r w:rsidR="00071EAC" w:rsidRPr="00071EAC">
              <w:rPr>
                <w:rFonts w:cs="Arial"/>
                <w:noProof/>
                <w:webHidden/>
                <w:color w:val="000000" w:themeColor="text1"/>
              </w:rPr>
              <w:t>7</w:t>
            </w:r>
            <w:r w:rsidR="00071EAC" w:rsidRPr="00071EAC">
              <w:rPr>
                <w:rFonts w:cs="Arial"/>
                <w:noProof/>
                <w:webHidden/>
                <w:color w:val="000000" w:themeColor="text1"/>
              </w:rPr>
              <w:fldChar w:fldCharType="end"/>
            </w:r>
          </w:hyperlink>
        </w:p>
        <w:p w14:paraId="1E27AFDA" w14:textId="415AFB2E" w:rsidR="00071EAC" w:rsidRPr="00071EAC" w:rsidRDefault="00000000" w:rsidP="00071EAC">
          <w:pPr>
            <w:pStyle w:val="TOC2"/>
            <w:tabs>
              <w:tab w:val="right" w:leader="dot" w:pos="9350"/>
            </w:tabs>
            <w:spacing w:after="0"/>
            <w:ind w:left="0" w:firstLine="0"/>
            <w:rPr>
              <w:rFonts w:eastAsiaTheme="minorEastAsia" w:cs="Arial"/>
              <w:noProof/>
              <w:color w:val="000000" w:themeColor="text1"/>
              <w:kern w:val="0"/>
              <w:lang w:val="uk-UA" w:eastAsia="uk-UA"/>
              <w14:ligatures w14:val="none"/>
            </w:rPr>
          </w:pPr>
          <w:hyperlink w:anchor="_Toc154629646" w:history="1">
            <w:r w:rsidR="00071EAC" w:rsidRPr="00071EAC">
              <w:rPr>
                <w:rStyle w:val="Hyperlink"/>
                <w:rFonts w:cs="Arial"/>
                <w:noProof/>
                <w:color w:val="000000" w:themeColor="text1"/>
              </w:rPr>
              <w:t>Ongoing Economic Uncertainty</w:t>
            </w:r>
            <w:r w:rsidR="00071EAC" w:rsidRPr="00071EAC">
              <w:rPr>
                <w:rFonts w:cs="Arial"/>
                <w:noProof/>
                <w:webHidden/>
                <w:color w:val="000000" w:themeColor="text1"/>
              </w:rPr>
              <w:tab/>
            </w:r>
            <w:r w:rsidR="00071EAC" w:rsidRPr="00071EAC">
              <w:rPr>
                <w:rFonts w:cs="Arial"/>
                <w:noProof/>
                <w:webHidden/>
                <w:color w:val="000000" w:themeColor="text1"/>
              </w:rPr>
              <w:fldChar w:fldCharType="begin"/>
            </w:r>
            <w:r w:rsidR="00071EAC" w:rsidRPr="00071EAC">
              <w:rPr>
                <w:rFonts w:cs="Arial"/>
                <w:noProof/>
                <w:webHidden/>
                <w:color w:val="000000" w:themeColor="text1"/>
              </w:rPr>
              <w:instrText xml:space="preserve"> PAGEREF _Toc154629646 \h </w:instrText>
            </w:r>
            <w:r w:rsidR="00071EAC" w:rsidRPr="00071EAC">
              <w:rPr>
                <w:rFonts w:cs="Arial"/>
                <w:noProof/>
                <w:webHidden/>
                <w:color w:val="000000" w:themeColor="text1"/>
              </w:rPr>
            </w:r>
            <w:r w:rsidR="00071EAC" w:rsidRPr="00071EAC">
              <w:rPr>
                <w:rFonts w:cs="Arial"/>
                <w:noProof/>
                <w:webHidden/>
                <w:color w:val="000000" w:themeColor="text1"/>
              </w:rPr>
              <w:fldChar w:fldCharType="separate"/>
            </w:r>
            <w:r w:rsidR="00071EAC" w:rsidRPr="00071EAC">
              <w:rPr>
                <w:rFonts w:cs="Arial"/>
                <w:noProof/>
                <w:webHidden/>
                <w:color w:val="000000" w:themeColor="text1"/>
              </w:rPr>
              <w:t>8</w:t>
            </w:r>
            <w:r w:rsidR="00071EAC" w:rsidRPr="00071EAC">
              <w:rPr>
                <w:rFonts w:cs="Arial"/>
                <w:noProof/>
                <w:webHidden/>
                <w:color w:val="000000" w:themeColor="text1"/>
              </w:rPr>
              <w:fldChar w:fldCharType="end"/>
            </w:r>
          </w:hyperlink>
        </w:p>
        <w:p w14:paraId="7391F437" w14:textId="767E73F3" w:rsidR="00071EAC" w:rsidRPr="00071EAC" w:rsidRDefault="00000000" w:rsidP="00071EAC">
          <w:pPr>
            <w:pStyle w:val="TOC1"/>
            <w:tabs>
              <w:tab w:val="right" w:leader="dot" w:pos="9350"/>
            </w:tabs>
            <w:spacing w:after="0"/>
            <w:ind w:firstLine="0"/>
            <w:rPr>
              <w:rFonts w:eastAsiaTheme="minorEastAsia" w:cs="Arial"/>
              <w:noProof/>
              <w:color w:val="000000" w:themeColor="text1"/>
              <w:kern w:val="0"/>
              <w:lang w:val="uk-UA" w:eastAsia="uk-UA"/>
              <w14:ligatures w14:val="none"/>
            </w:rPr>
          </w:pPr>
          <w:hyperlink w:anchor="_Toc154629647" w:history="1">
            <w:r w:rsidR="00071EAC" w:rsidRPr="00071EAC">
              <w:rPr>
                <w:rStyle w:val="Hyperlink"/>
                <w:rFonts w:cs="Arial"/>
                <w:noProof/>
                <w:color w:val="000000" w:themeColor="text1"/>
              </w:rPr>
              <w:t>e) Issues that May Be Related to Strategic Change in Organisation, Including How the Change Was Managed and What Leadership Style/Styles Was/Were Used</w:t>
            </w:r>
            <w:r w:rsidR="00071EAC" w:rsidRPr="00071EAC">
              <w:rPr>
                <w:rFonts w:cs="Arial"/>
                <w:noProof/>
                <w:webHidden/>
                <w:color w:val="000000" w:themeColor="text1"/>
              </w:rPr>
              <w:tab/>
            </w:r>
            <w:r w:rsidR="00071EAC" w:rsidRPr="00071EAC">
              <w:rPr>
                <w:rFonts w:cs="Arial"/>
                <w:noProof/>
                <w:webHidden/>
                <w:color w:val="000000" w:themeColor="text1"/>
              </w:rPr>
              <w:fldChar w:fldCharType="begin"/>
            </w:r>
            <w:r w:rsidR="00071EAC" w:rsidRPr="00071EAC">
              <w:rPr>
                <w:rFonts w:cs="Arial"/>
                <w:noProof/>
                <w:webHidden/>
                <w:color w:val="000000" w:themeColor="text1"/>
              </w:rPr>
              <w:instrText xml:space="preserve"> PAGEREF _Toc154629647 \h </w:instrText>
            </w:r>
            <w:r w:rsidR="00071EAC" w:rsidRPr="00071EAC">
              <w:rPr>
                <w:rFonts w:cs="Arial"/>
                <w:noProof/>
                <w:webHidden/>
                <w:color w:val="000000" w:themeColor="text1"/>
              </w:rPr>
            </w:r>
            <w:r w:rsidR="00071EAC" w:rsidRPr="00071EAC">
              <w:rPr>
                <w:rFonts w:cs="Arial"/>
                <w:noProof/>
                <w:webHidden/>
                <w:color w:val="000000" w:themeColor="text1"/>
              </w:rPr>
              <w:fldChar w:fldCharType="separate"/>
            </w:r>
            <w:r w:rsidR="00071EAC" w:rsidRPr="00071EAC">
              <w:rPr>
                <w:rFonts w:cs="Arial"/>
                <w:noProof/>
                <w:webHidden/>
                <w:color w:val="000000" w:themeColor="text1"/>
              </w:rPr>
              <w:t>9</w:t>
            </w:r>
            <w:r w:rsidR="00071EAC" w:rsidRPr="00071EAC">
              <w:rPr>
                <w:rFonts w:cs="Arial"/>
                <w:noProof/>
                <w:webHidden/>
                <w:color w:val="000000" w:themeColor="text1"/>
              </w:rPr>
              <w:fldChar w:fldCharType="end"/>
            </w:r>
          </w:hyperlink>
        </w:p>
        <w:p w14:paraId="4152E0C2" w14:textId="2DACE137" w:rsidR="00071EAC" w:rsidRPr="00071EAC" w:rsidRDefault="00000000" w:rsidP="00071EAC">
          <w:pPr>
            <w:pStyle w:val="TOC2"/>
            <w:tabs>
              <w:tab w:val="right" w:leader="dot" w:pos="9350"/>
            </w:tabs>
            <w:spacing w:after="0"/>
            <w:ind w:left="0" w:firstLine="0"/>
            <w:rPr>
              <w:rFonts w:eastAsiaTheme="minorEastAsia" w:cs="Arial"/>
              <w:noProof/>
              <w:color w:val="000000" w:themeColor="text1"/>
              <w:kern w:val="0"/>
              <w:lang w:val="uk-UA" w:eastAsia="uk-UA"/>
              <w14:ligatures w14:val="none"/>
            </w:rPr>
          </w:pPr>
          <w:hyperlink w:anchor="_Toc154629648" w:history="1">
            <w:r w:rsidR="00071EAC" w:rsidRPr="00071EAC">
              <w:rPr>
                <w:rStyle w:val="Hyperlink"/>
                <w:rFonts w:cs="Arial"/>
                <w:noProof/>
                <w:color w:val="000000" w:themeColor="text1"/>
              </w:rPr>
              <w:t>Kurt Lewin's Change Model</w:t>
            </w:r>
            <w:r w:rsidR="00071EAC" w:rsidRPr="00071EAC">
              <w:rPr>
                <w:rFonts w:cs="Arial"/>
                <w:noProof/>
                <w:webHidden/>
                <w:color w:val="000000" w:themeColor="text1"/>
              </w:rPr>
              <w:tab/>
            </w:r>
            <w:r w:rsidR="00071EAC" w:rsidRPr="00071EAC">
              <w:rPr>
                <w:rFonts w:cs="Arial"/>
                <w:noProof/>
                <w:webHidden/>
                <w:color w:val="000000" w:themeColor="text1"/>
              </w:rPr>
              <w:fldChar w:fldCharType="begin"/>
            </w:r>
            <w:r w:rsidR="00071EAC" w:rsidRPr="00071EAC">
              <w:rPr>
                <w:rFonts w:cs="Arial"/>
                <w:noProof/>
                <w:webHidden/>
                <w:color w:val="000000" w:themeColor="text1"/>
              </w:rPr>
              <w:instrText xml:space="preserve"> PAGEREF _Toc154629648 \h </w:instrText>
            </w:r>
            <w:r w:rsidR="00071EAC" w:rsidRPr="00071EAC">
              <w:rPr>
                <w:rFonts w:cs="Arial"/>
                <w:noProof/>
                <w:webHidden/>
                <w:color w:val="000000" w:themeColor="text1"/>
              </w:rPr>
            </w:r>
            <w:r w:rsidR="00071EAC" w:rsidRPr="00071EAC">
              <w:rPr>
                <w:rFonts w:cs="Arial"/>
                <w:noProof/>
                <w:webHidden/>
                <w:color w:val="000000" w:themeColor="text1"/>
              </w:rPr>
              <w:fldChar w:fldCharType="separate"/>
            </w:r>
            <w:r w:rsidR="00071EAC" w:rsidRPr="00071EAC">
              <w:rPr>
                <w:rFonts w:cs="Arial"/>
                <w:noProof/>
                <w:webHidden/>
                <w:color w:val="000000" w:themeColor="text1"/>
              </w:rPr>
              <w:t>9</w:t>
            </w:r>
            <w:r w:rsidR="00071EAC" w:rsidRPr="00071EAC">
              <w:rPr>
                <w:rFonts w:cs="Arial"/>
                <w:noProof/>
                <w:webHidden/>
                <w:color w:val="000000" w:themeColor="text1"/>
              </w:rPr>
              <w:fldChar w:fldCharType="end"/>
            </w:r>
          </w:hyperlink>
        </w:p>
        <w:p w14:paraId="23855935" w14:textId="62BAE1EA" w:rsidR="00071EAC" w:rsidRPr="00071EAC" w:rsidRDefault="00000000" w:rsidP="00071EAC">
          <w:pPr>
            <w:pStyle w:val="TOC2"/>
            <w:tabs>
              <w:tab w:val="right" w:leader="dot" w:pos="9350"/>
            </w:tabs>
            <w:spacing w:after="0"/>
            <w:ind w:left="0" w:firstLine="0"/>
            <w:rPr>
              <w:rFonts w:eastAsiaTheme="minorEastAsia" w:cs="Arial"/>
              <w:noProof/>
              <w:color w:val="000000" w:themeColor="text1"/>
              <w:kern w:val="0"/>
              <w:lang w:val="uk-UA" w:eastAsia="uk-UA"/>
              <w14:ligatures w14:val="none"/>
            </w:rPr>
          </w:pPr>
          <w:hyperlink w:anchor="_Toc154629649" w:history="1">
            <w:r w:rsidR="00071EAC" w:rsidRPr="00071EAC">
              <w:rPr>
                <w:rStyle w:val="Hyperlink"/>
                <w:rFonts w:cs="Arial"/>
                <w:noProof/>
                <w:color w:val="000000" w:themeColor="text1"/>
              </w:rPr>
              <w:t>Kotter's Eight Steps Model</w:t>
            </w:r>
            <w:r w:rsidR="00071EAC" w:rsidRPr="00071EAC">
              <w:rPr>
                <w:rFonts w:cs="Arial"/>
                <w:noProof/>
                <w:webHidden/>
                <w:color w:val="000000" w:themeColor="text1"/>
              </w:rPr>
              <w:tab/>
            </w:r>
            <w:r w:rsidR="00071EAC" w:rsidRPr="00071EAC">
              <w:rPr>
                <w:rFonts w:cs="Arial"/>
                <w:noProof/>
                <w:webHidden/>
                <w:color w:val="000000" w:themeColor="text1"/>
              </w:rPr>
              <w:fldChar w:fldCharType="begin"/>
            </w:r>
            <w:r w:rsidR="00071EAC" w:rsidRPr="00071EAC">
              <w:rPr>
                <w:rFonts w:cs="Arial"/>
                <w:noProof/>
                <w:webHidden/>
                <w:color w:val="000000" w:themeColor="text1"/>
              </w:rPr>
              <w:instrText xml:space="preserve"> PAGEREF _Toc154629649 \h </w:instrText>
            </w:r>
            <w:r w:rsidR="00071EAC" w:rsidRPr="00071EAC">
              <w:rPr>
                <w:rFonts w:cs="Arial"/>
                <w:noProof/>
                <w:webHidden/>
                <w:color w:val="000000" w:themeColor="text1"/>
              </w:rPr>
            </w:r>
            <w:r w:rsidR="00071EAC" w:rsidRPr="00071EAC">
              <w:rPr>
                <w:rFonts w:cs="Arial"/>
                <w:noProof/>
                <w:webHidden/>
                <w:color w:val="000000" w:themeColor="text1"/>
              </w:rPr>
              <w:fldChar w:fldCharType="separate"/>
            </w:r>
            <w:r w:rsidR="00071EAC" w:rsidRPr="00071EAC">
              <w:rPr>
                <w:rFonts w:cs="Arial"/>
                <w:noProof/>
                <w:webHidden/>
                <w:color w:val="000000" w:themeColor="text1"/>
              </w:rPr>
              <w:t>11</w:t>
            </w:r>
            <w:r w:rsidR="00071EAC" w:rsidRPr="00071EAC">
              <w:rPr>
                <w:rFonts w:cs="Arial"/>
                <w:noProof/>
                <w:webHidden/>
                <w:color w:val="000000" w:themeColor="text1"/>
              </w:rPr>
              <w:fldChar w:fldCharType="end"/>
            </w:r>
          </w:hyperlink>
        </w:p>
        <w:p w14:paraId="4DBBFADA" w14:textId="396556D9" w:rsidR="00071EAC" w:rsidRPr="00071EAC" w:rsidRDefault="00000000" w:rsidP="00071EAC">
          <w:pPr>
            <w:pStyle w:val="TOC1"/>
            <w:tabs>
              <w:tab w:val="right" w:leader="dot" w:pos="9350"/>
            </w:tabs>
            <w:spacing w:after="0"/>
            <w:ind w:firstLine="0"/>
            <w:rPr>
              <w:rFonts w:eastAsiaTheme="minorEastAsia" w:cs="Arial"/>
              <w:noProof/>
              <w:color w:val="000000" w:themeColor="text1"/>
              <w:kern w:val="0"/>
              <w:lang w:val="uk-UA" w:eastAsia="uk-UA"/>
              <w14:ligatures w14:val="none"/>
            </w:rPr>
          </w:pPr>
          <w:hyperlink w:anchor="_Toc154629650" w:history="1">
            <w:r w:rsidR="00071EAC" w:rsidRPr="00071EAC">
              <w:rPr>
                <w:rStyle w:val="Hyperlink"/>
                <w:rFonts w:cs="Arial"/>
                <w:noProof/>
                <w:color w:val="000000" w:themeColor="text1"/>
              </w:rPr>
              <w:t>f) Impact of Organisational Culture on The Change Management Program</w:t>
            </w:r>
            <w:r w:rsidR="00071EAC" w:rsidRPr="00071EAC">
              <w:rPr>
                <w:rFonts w:cs="Arial"/>
                <w:noProof/>
                <w:webHidden/>
                <w:color w:val="000000" w:themeColor="text1"/>
              </w:rPr>
              <w:tab/>
            </w:r>
            <w:r w:rsidR="00071EAC" w:rsidRPr="00071EAC">
              <w:rPr>
                <w:rFonts w:cs="Arial"/>
                <w:noProof/>
                <w:webHidden/>
                <w:color w:val="000000" w:themeColor="text1"/>
              </w:rPr>
              <w:fldChar w:fldCharType="begin"/>
            </w:r>
            <w:r w:rsidR="00071EAC" w:rsidRPr="00071EAC">
              <w:rPr>
                <w:rFonts w:cs="Arial"/>
                <w:noProof/>
                <w:webHidden/>
                <w:color w:val="000000" w:themeColor="text1"/>
              </w:rPr>
              <w:instrText xml:space="preserve"> PAGEREF _Toc154629650 \h </w:instrText>
            </w:r>
            <w:r w:rsidR="00071EAC" w:rsidRPr="00071EAC">
              <w:rPr>
                <w:rFonts w:cs="Arial"/>
                <w:noProof/>
                <w:webHidden/>
                <w:color w:val="000000" w:themeColor="text1"/>
              </w:rPr>
            </w:r>
            <w:r w:rsidR="00071EAC" w:rsidRPr="00071EAC">
              <w:rPr>
                <w:rFonts w:cs="Arial"/>
                <w:noProof/>
                <w:webHidden/>
                <w:color w:val="000000" w:themeColor="text1"/>
              </w:rPr>
              <w:fldChar w:fldCharType="separate"/>
            </w:r>
            <w:r w:rsidR="00071EAC" w:rsidRPr="00071EAC">
              <w:rPr>
                <w:rFonts w:cs="Arial"/>
                <w:noProof/>
                <w:webHidden/>
                <w:color w:val="000000" w:themeColor="text1"/>
              </w:rPr>
              <w:t>12</w:t>
            </w:r>
            <w:r w:rsidR="00071EAC" w:rsidRPr="00071EAC">
              <w:rPr>
                <w:rFonts w:cs="Arial"/>
                <w:noProof/>
                <w:webHidden/>
                <w:color w:val="000000" w:themeColor="text1"/>
              </w:rPr>
              <w:fldChar w:fldCharType="end"/>
            </w:r>
          </w:hyperlink>
        </w:p>
        <w:p w14:paraId="3F936AAA" w14:textId="010219C5" w:rsidR="00071EAC" w:rsidRPr="00071EAC" w:rsidRDefault="00000000" w:rsidP="00071EAC">
          <w:pPr>
            <w:pStyle w:val="TOC2"/>
            <w:tabs>
              <w:tab w:val="right" w:leader="dot" w:pos="9350"/>
            </w:tabs>
            <w:spacing w:after="0"/>
            <w:ind w:left="0" w:firstLine="0"/>
            <w:rPr>
              <w:rFonts w:eastAsiaTheme="minorEastAsia" w:cs="Arial"/>
              <w:noProof/>
              <w:color w:val="000000" w:themeColor="text1"/>
              <w:kern w:val="0"/>
              <w:lang w:val="uk-UA" w:eastAsia="uk-UA"/>
              <w14:ligatures w14:val="none"/>
            </w:rPr>
          </w:pPr>
          <w:hyperlink w:anchor="_Toc154629651" w:history="1">
            <w:r w:rsidR="00071EAC" w:rsidRPr="00071EAC">
              <w:rPr>
                <w:rStyle w:val="Hyperlink"/>
                <w:rFonts w:cs="Arial"/>
                <w:noProof/>
                <w:color w:val="000000" w:themeColor="text1"/>
              </w:rPr>
              <w:t>Change Management Plan</w:t>
            </w:r>
            <w:r w:rsidR="00071EAC" w:rsidRPr="00071EAC">
              <w:rPr>
                <w:rFonts w:cs="Arial"/>
                <w:noProof/>
                <w:webHidden/>
                <w:color w:val="000000" w:themeColor="text1"/>
              </w:rPr>
              <w:tab/>
            </w:r>
            <w:r w:rsidR="00071EAC" w:rsidRPr="00071EAC">
              <w:rPr>
                <w:rFonts w:cs="Arial"/>
                <w:noProof/>
                <w:webHidden/>
                <w:color w:val="000000" w:themeColor="text1"/>
              </w:rPr>
              <w:fldChar w:fldCharType="begin"/>
            </w:r>
            <w:r w:rsidR="00071EAC" w:rsidRPr="00071EAC">
              <w:rPr>
                <w:rFonts w:cs="Arial"/>
                <w:noProof/>
                <w:webHidden/>
                <w:color w:val="000000" w:themeColor="text1"/>
              </w:rPr>
              <w:instrText xml:space="preserve"> PAGEREF _Toc154629651 \h </w:instrText>
            </w:r>
            <w:r w:rsidR="00071EAC" w:rsidRPr="00071EAC">
              <w:rPr>
                <w:rFonts w:cs="Arial"/>
                <w:noProof/>
                <w:webHidden/>
                <w:color w:val="000000" w:themeColor="text1"/>
              </w:rPr>
            </w:r>
            <w:r w:rsidR="00071EAC" w:rsidRPr="00071EAC">
              <w:rPr>
                <w:rFonts w:cs="Arial"/>
                <w:noProof/>
                <w:webHidden/>
                <w:color w:val="000000" w:themeColor="text1"/>
              </w:rPr>
              <w:fldChar w:fldCharType="separate"/>
            </w:r>
            <w:r w:rsidR="00071EAC" w:rsidRPr="00071EAC">
              <w:rPr>
                <w:rFonts w:cs="Arial"/>
                <w:noProof/>
                <w:webHidden/>
                <w:color w:val="000000" w:themeColor="text1"/>
              </w:rPr>
              <w:t>14</w:t>
            </w:r>
            <w:r w:rsidR="00071EAC" w:rsidRPr="00071EAC">
              <w:rPr>
                <w:rFonts w:cs="Arial"/>
                <w:noProof/>
                <w:webHidden/>
                <w:color w:val="000000" w:themeColor="text1"/>
              </w:rPr>
              <w:fldChar w:fldCharType="end"/>
            </w:r>
          </w:hyperlink>
        </w:p>
        <w:p w14:paraId="156FE410" w14:textId="66446AB0" w:rsidR="00071EAC" w:rsidRPr="00071EAC" w:rsidRDefault="00000000" w:rsidP="00071EAC">
          <w:pPr>
            <w:pStyle w:val="TOC3"/>
            <w:tabs>
              <w:tab w:val="right" w:leader="dot" w:pos="9350"/>
            </w:tabs>
            <w:spacing w:after="0"/>
            <w:ind w:left="0" w:firstLine="0"/>
            <w:rPr>
              <w:rFonts w:eastAsiaTheme="minorEastAsia" w:cs="Arial"/>
              <w:noProof/>
              <w:color w:val="000000" w:themeColor="text1"/>
              <w:kern w:val="0"/>
              <w:lang w:val="uk-UA" w:eastAsia="uk-UA"/>
              <w14:ligatures w14:val="none"/>
            </w:rPr>
          </w:pPr>
          <w:hyperlink w:anchor="_Toc154629652" w:history="1">
            <w:r w:rsidR="00071EAC" w:rsidRPr="00071EAC">
              <w:rPr>
                <w:rStyle w:val="Hyperlink"/>
                <w:rFonts w:cs="Arial"/>
                <w:noProof/>
                <w:color w:val="000000" w:themeColor="text1"/>
              </w:rPr>
              <w:t>Proposed change</w:t>
            </w:r>
            <w:r w:rsidR="00071EAC" w:rsidRPr="00071EAC">
              <w:rPr>
                <w:rFonts w:cs="Arial"/>
                <w:noProof/>
                <w:webHidden/>
                <w:color w:val="000000" w:themeColor="text1"/>
              </w:rPr>
              <w:tab/>
            </w:r>
            <w:r w:rsidR="00071EAC" w:rsidRPr="00071EAC">
              <w:rPr>
                <w:rFonts w:cs="Arial"/>
                <w:noProof/>
                <w:webHidden/>
                <w:color w:val="000000" w:themeColor="text1"/>
              </w:rPr>
              <w:fldChar w:fldCharType="begin"/>
            </w:r>
            <w:r w:rsidR="00071EAC" w:rsidRPr="00071EAC">
              <w:rPr>
                <w:rFonts w:cs="Arial"/>
                <w:noProof/>
                <w:webHidden/>
                <w:color w:val="000000" w:themeColor="text1"/>
              </w:rPr>
              <w:instrText xml:space="preserve"> PAGEREF _Toc154629652 \h </w:instrText>
            </w:r>
            <w:r w:rsidR="00071EAC" w:rsidRPr="00071EAC">
              <w:rPr>
                <w:rFonts w:cs="Arial"/>
                <w:noProof/>
                <w:webHidden/>
                <w:color w:val="000000" w:themeColor="text1"/>
              </w:rPr>
            </w:r>
            <w:r w:rsidR="00071EAC" w:rsidRPr="00071EAC">
              <w:rPr>
                <w:rFonts w:cs="Arial"/>
                <w:noProof/>
                <w:webHidden/>
                <w:color w:val="000000" w:themeColor="text1"/>
              </w:rPr>
              <w:fldChar w:fldCharType="separate"/>
            </w:r>
            <w:r w:rsidR="00071EAC" w:rsidRPr="00071EAC">
              <w:rPr>
                <w:rFonts w:cs="Arial"/>
                <w:noProof/>
                <w:webHidden/>
                <w:color w:val="000000" w:themeColor="text1"/>
              </w:rPr>
              <w:t>14</w:t>
            </w:r>
            <w:r w:rsidR="00071EAC" w:rsidRPr="00071EAC">
              <w:rPr>
                <w:rFonts w:cs="Arial"/>
                <w:noProof/>
                <w:webHidden/>
                <w:color w:val="000000" w:themeColor="text1"/>
              </w:rPr>
              <w:fldChar w:fldCharType="end"/>
            </w:r>
          </w:hyperlink>
        </w:p>
        <w:p w14:paraId="008CE74C" w14:textId="1600EA3C" w:rsidR="00071EAC" w:rsidRPr="00071EAC" w:rsidRDefault="00000000" w:rsidP="00071EAC">
          <w:pPr>
            <w:pStyle w:val="TOC3"/>
            <w:tabs>
              <w:tab w:val="right" w:leader="dot" w:pos="9350"/>
            </w:tabs>
            <w:spacing w:after="0"/>
            <w:ind w:left="0" w:firstLine="0"/>
            <w:rPr>
              <w:rFonts w:eastAsiaTheme="minorEastAsia" w:cs="Arial"/>
              <w:noProof/>
              <w:color w:val="000000" w:themeColor="text1"/>
              <w:kern w:val="0"/>
              <w:lang w:val="uk-UA" w:eastAsia="uk-UA"/>
              <w14:ligatures w14:val="none"/>
            </w:rPr>
          </w:pPr>
          <w:hyperlink w:anchor="_Toc154629653" w:history="1">
            <w:r w:rsidR="00071EAC" w:rsidRPr="00071EAC">
              <w:rPr>
                <w:rStyle w:val="Hyperlink"/>
                <w:rFonts w:cs="Arial"/>
                <w:noProof/>
                <w:color w:val="000000" w:themeColor="text1"/>
              </w:rPr>
              <w:t>Staff training and development plan</w:t>
            </w:r>
            <w:r w:rsidR="00071EAC" w:rsidRPr="00071EAC">
              <w:rPr>
                <w:rFonts w:cs="Arial"/>
                <w:noProof/>
                <w:webHidden/>
                <w:color w:val="000000" w:themeColor="text1"/>
              </w:rPr>
              <w:tab/>
            </w:r>
            <w:r w:rsidR="00071EAC" w:rsidRPr="00071EAC">
              <w:rPr>
                <w:rFonts w:cs="Arial"/>
                <w:noProof/>
                <w:webHidden/>
                <w:color w:val="000000" w:themeColor="text1"/>
              </w:rPr>
              <w:fldChar w:fldCharType="begin"/>
            </w:r>
            <w:r w:rsidR="00071EAC" w:rsidRPr="00071EAC">
              <w:rPr>
                <w:rFonts w:cs="Arial"/>
                <w:noProof/>
                <w:webHidden/>
                <w:color w:val="000000" w:themeColor="text1"/>
              </w:rPr>
              <w:instrText xml:space="preserve"> PAGEREF _Toc154629653 \h </w:instrText>
            </w:r>
            <w:r w:rsidR="00071EAC" w:rsidRPr="00071EAC">
              <w:rPr>
                <w:rFonts w:cs="Arial"/>
                <w:noProof/>
                <w:webHidden/>
                <w:color w:val="000000" w:themeColor="text1"/>
              </w:rPr>
            </w:r>
            <w:r w:rsidR="00071EAC" w:rsidRPr="00071EAC">
              <w:rPr>
                <w:rFonts w:cs="Arial"/>
                <w:noProof/>
                <w:webHidden/>
                <w:color w:val="000000" w:themeColor="text1"/>
              </w:rPr>
              <w:fldChar w:fldCharType="separate"/>
            </w:r>
            <w:r w:rsidR="00071EAC" w:rsidRPr="00071EAC">
              <w:rPr>
                <w:rFonts w:cs="Arial"/>
                <w:noProof/>
                <w:webHidden/>
                <w:color w:val="000000" w:themeColor="text1"/>
              </w:rPr>
              <w:t>14</w:t>
            </w:r>
            <w:r w:rsidR="00071EAC" w:rsidRPr="00071EAC">
              <w:rPr>
                <w:rFonts w:cs="Arial"/>
                <w:noProof/>
                <w:webHidden/>
                <w:color w:val="000000" w:themeColor="text1"/>
              </w:rPr>
              <w:fldChar w:fldCharType="end"/>
            </w:r>
          </w:hyperlink>
        </w:p>
        <w:p w14:paraId="38920BE7" w14:textId="60D0231B" w:rsidR="00071EAC" w:rsidRPr="00071EAC" w:rsidRDefault="00000000" w:rsidP="00071EAC">
          <w:pPr>
            <w:pStyle w:val="TOC3"/>
            <w:tabs>
              <w:tab w:val="right" w:leader="dot" w:pos="9350"/>
            </w:tabs>
            <w:spacing w:after="0"/>
            <w:ind w:left="0" w:firstLine="0"/>
            <w:rPr>
              <w:rFonts w:eastAsiaTheme="minorEastAsia" w:cs="Arial"/>
              <w:noProof/>
              <w:color w:val="000000" w:themeColor="text1"/>
              <w:kern w:val="0"/>
              <w:lang w:val="uk-UA" w:eastAsia="uk-UA"/>
              <w14:ligatures w14:val="none"/>
            </w:rPr>
          </w:pPr>
          <w:hyperlink w:anchor="_Toc154629654" w:history="1">
            <w:r w:rsidR="00071EAC" w:rsidRPr="00071EAC">
              <w:rPr>
                <w:rStyle w:val="Hyperlink"/>
                <w:rFonts w:cs="Arial"/>
                <w:noProof/>
                <w:color w:val="000000" w:themeColor="text1"/>
              </w:rPr>
              <w:t>Communication plan</w:t>
            </w:r>
            <w:r w:rsidR="00071EAC" w:rsidRPr="00071EAC">
              <w:rPr>
                <w:rFonts w:cs="Arial"/>
                <w:noProof/>
                <w:webHidden/>
                <w:color w:val="000000" w:themeColor="text1"/>
              </w:rPr>
              <w:tab/>
            </w:r>
            <w:r w:rsidR="00071EAC" w:rsidRPr="00071EAC">
              <w:rPr>
                <w:rFonts w:cs="Arial"/>
                <w:noProof/>
                <w:webHidden/>
                <w:color w:val="000000" w:themeColor="text1"/>
              </w:rPr>
              <w:fldChar w:fldCharType="begin"/>
            </w:r>
            <w:r w:rsidR="00071EAC" w:rsidRPr="00071EAC">
              <w:rPr>
                <w:rFonts w:cs="Arial"/>
                <w:noProof/>
                <w:webHidden/>
                <w:color w:val="000000" w:themeColor="text1"/>
              </w:rPr>
              <w:instrText xml:space="preserve"> PAGEREF _Toc154629654 \h </w:instrText>
            </w:r>
            <w:r w:rsidR="00071EAC" w:rsidRPr="00071EAC">
              <w:rPr>
                <w:rFonts w:cs="Arial"/>
                <w:noProof/>
                <w:webHidden/>
                <w:color w:val="000000" w:themeColor="text1"/>
              </w:rPr>
            </w:r>
            <w:r w:rsidR="00071EAC" w:rsidRPr="00071EAC">
              <w:rPr>
                <w:rFonts w:cs="Arial"/>
                <w:noProof/>
                <w:webHidden/>
                <w:color w:val="000000" w:themeColor="text1"/>
              </w:rPr>
              <w:fldChar w:fldCharType="separate"/>
            </w:r>
            <w:r w:rsidR="00071EAC" w:rsidRPr="00071EAC">
              <w:rPr>
                <w:rFonts w:cs="Arial"/>
                <w:noProof/>
                <w:webHidden/>
                <w:color w:val="000000" w:themeColor="text1"/>
              </w:rPr>
              <w:t>15</w:t>
            </w:r>
            <w:r w:rsidR="00071EAC" w:rsidRPr="00071EAC">
              <w:rPr>
                <w:rFonts w:cs="Arial"/>
                <w:noProof/>
                <w:webHidden/>
                <w:color w:val="000000" w:themeColor="text1"/>
              </w:rPr>
              <w:fldChar w:fldCharType="end"/>
            </w:r>
          </w:hyperlink>
        </w:p>
        <w:p w14:paraId="55DF66B9" w14:textId="73ED49BD" w:rsidR="00071EAC" w:rsidRPr="00071EAC" w:rsidRDefault="00000000" w:rsidP="00071EAC">
          <w:pPr>
            <w:pStyle w:val="TOC3"/>
            <w:tabs>
              <w:tab w:val="right" w:leader="dot" w:pos="9350"/>
            </w:tabs>
            <w:spacing w:after="0"/>
            <w:ind w:left="0" w:firstLine="0"/>
            <w:rPr>
              <w:rFonts w:eastAsiaTheme="minorEastAsia" w:cs="Arial"/>
              <w:noProof/>
              <w:color w:val="000000" w:themeColor="text1"/>
              <w:kern w:val="0"/>
              <w:lang w:val="uk-UA" w:eastAsia="uk-UA"/>
              <w14:ligatures w14:val="none"/>
            </w:rPr>
          </w:pPr>
          <w:hyperlink w:anchor="_Toc154629655" w:history="1">
            <w:r w:rsidR="00071EAC" w:rsidRPr="00071EAC">
              <w:rPr>
                <w:rStyle w:val="Hyperlink"/>
                <w:rFonts w:cs="Arial"/>
                <w:noProof/>
                <w:color w:val="000000" w:themeColor="text1"/>
              </w:rPr>
              <w:t>Evaluation plan</w:t>
            </w:r>
            <w:r w:rsidR="00071EAC" w:rsidRPr="00071EAC">
              <w:rPr>
                <w:rFonts w:cs="Arial"/>
                <w:noProof/>
                <w:webHidden/>
                <w:color w:val="000000" w:themeColor="text1"/>
              </w:rPr>
              <w:tab/>
            </w:r>
            <w:r w:rsidR="00071EAC" w:rsidRPr="00071EAC">
              <w:rPr>
                <w:rFonts w:cs="Arial"/>
                <w:noProof/>
                <w:webHidden/>
                <w:color w:val="000000" w:themeColor="text1"/>
              </w:rPr>
              <w:fldChar w:fldCharType="begin"/>
            </w:r>
            <w:r w:rsidR="00071EAC" w:rsidRPr="00071EAC">
              <w:rPr>
                <w:rFonts w:cs="Arial"/>
                <w:noProof/>
                <w:webHidden/>
                <w:color w:val="000000" w:themeColor="text1"/>
              </w:rPr>
              <w:instrText xml:space="preserve"> PAGEREF _Toc154629655 \h </w:instrText>
            </w:r>
            <w:r w:rsidR="00071EAC" w:rsidRPr="00071EAC">
              <w:rPr>
                <w:rFonts w:cs="Arial"/>
                <w:noProof/>
                <w:webHidden/>
                <w:color w:val="000000" w:themeColor="text1"/>
              </w:rPr>
            </w:r>
            <w:r w:rsidR="00071EAC" w:rsidRPr="00071EAC">
              <w:rPr>
                <w:rFonts w:cs="Arial"/>
                <w:noProof/>
                <w:webHidden/>
                <w:color w:val="000000" w:themeColor="text1"/>
              </w:rPr>
              <w:fldChar w:fldCharType="separate"/>
            </w:r>
            <w:r w:rsidR="00071EAC" w:rsidRPr="00071EAC">
              <w:rPr>
                <w:rFonts w:cs="Arial"/>
                <w:noProof/>
                <w:webHidden/>
                <w:color w:val="000000" w:themeColor="text1"/>
              </w:rPr>
              <w:t>15</w:t>
            </w:r>
            <w:r w:rsidR="00071EAC" w:rsidRPr="00071EAC">
              <w:rPr>
                <w:rFonts w:cs="Arial"/>
                <w:noProof/>
                <w:webHidden/>
                <w:color w:val="000000" w:themeColor="text1"/>
              </w:rPr>
              <w:fldChar w:fldCharType="end"/>
            </w:r>
          </w:hyperlink>
        </w:p>
        <w:p w14:paraId="7674A949" w14:textId="3681520F" w:rsidR="00071EAC" w:rsidRPr="00071EAC" w:rsidRDefault="00000000" w:rsidP="00071EAC">
          <w:pPr>
            <w:pStyle w:val="TOC1"/>
            <w:tabs>
              <w:tab w:val="right" w:leader="dot" w:pos="9350"/>
            </w:tabs>
            <w:spacing w:after="0"/>
            <w:ind w:firstLine="0"/>
            <w:rPr>
              <w:rFonts w:eastAsiaTheme="minorEastAsia" w:cs="Arial"/>
              <w:noProof/>
              <w:color w:val="000000" w:themeColor="text1"/>
              <w:kern w:val="0"/>
              <w:lang w:val="uk-UA" w:eastAsia="uk-UA"/>
              <w14:ligatures w14:val="none"/>
            </w:rPr>
          </w:pPr>
          <w:hyperlink w:anchor="_Toc154629656" w:history="1">
            <w:r w:rsidR="00071EAC" w:rsidRPr="00071EAC">
              <w:rPr>
                <w:rStyle w:val="Hyperlink"/>
                <w:rFonts w:cs="Arial"/>
                <w:noProof/>
                <w:color w:val="000000" w:themeColor="text1"/>
              </w:rPr>
              <w:t>References</w:t>
            </w:r>
            <w:r w:rsidR="00071EAC" w:rsidRPr="00071EAC">
              <w:rPr>
                <w:rFonts w:cs="Arial"/>
                <w:noProof/>
                <w:webHidden/>
                <w:color w:val="000000" w:themeColor="text1"/>
              </w:rPr>
              <w:tab/>
            </w:r>
            <w:r w:rsidR="00071EAC" w:rsidRPr="00071EAC">
              <w:rPr>
                <w:rFonts w:cs="Arial"/>
                <w:noProof/>
                <w:webHidden/>
                <w:color w:val="000000" w:themeColor="text1"/>
              </w:rPr>
              <w:fldChar w:fldCharType="begin"/>
            </w:r>
            <w:r w:rsidR="00071EAC" w:rsidRPr="00071EAC">
              <w:rPr>
                <w:rFonts w:cs="Arial"/>
                <w:noProof/>
                <w:webHidden/>
                <w:color w:val="000000" w:themeColor="text1"/>
              </w:rPr>
              <w:instrText xml:space="preserve"> PAGEREF _Toc154629656 \h </w:instrText>
            </w:r>
            <w:r w:rsidR="00071EAC" w:rsidRPr="00071EAC">
              <w:rPr>
                <w:rFonts w:cs="Arial"/>
                <w:noProof/>
                <w:webHidden/>
                <w:color w:val="000000" w:themeColor="text1"/>
              </w:rPr>
            </w:r>
            <w:r w:rsidR="00071EAC" w:rsidRPr="00071EAC">
              <w:rPr>
                <w:rFonts w:cs="Arial"/>
                <w:noProof/>
                <w:webHidden/>
                <w:color w:val="000000" w:themeColor="text1"/>
              </w:rPr>
              <w:fldChar w:fldCharType="separate"/>
            </w:r>
            <w:r w:rsidR="00071EAC" w:rsidRPr="00071EAC">
              <w:rPr>
                <w:rFonts w:cs="Arial"/>
                <w:noProof/>
                <w:webHidden/>
                <w:color w:val="000000" w:themeColor="text1"/>
              </w:rPr>
              <w:t>16</w:t>
            </w:r>
            <w:r w:rsidR="00071EAC" w:rsidRPr="00071EAC">
              <w:rPr>
                <w:rFonts w:cs="Arial"/>
                <w:noProof/>
                <w:webHidden/>
                <w:color w:val="000000" w:themeColor="text1"/>
              </w:rPr>
              <w:fldChar w:fldCharType="end"/>
            </w:r>
          </w:hyperlink>
        </w:p>
        <w:p w14:paraId="295CEF4D" w14:textId="748F4CCD" w:rsidR="00BD30E4" w:rsidRPr="00071EAC" w:rsidRDefault="00CD1CA8" w:rsidP="00071EAC">
          <w:pPr>
            <w:spacing w:after="0"/>
            <w:ind w:firstLine="0"/>
            <w:rPr>
              <w:rFonts w:cs="Arial"/>
              <w:color w:val="000000" w:themeColor="text1"/>
            </w:rPr>
          </w:pPr>
          <w:r w:rsidRPr="00071EAC">
            <w:rPr>
              <w:rFonts w:cs="Arial"/>
              <w:b/>
              <w:bCs/>
              <w:color w:val="000000" w:themeColor="text1"/>
            </w:rPr>
            <w:fldChar w:fldCharType="end"/>
          </w:r>
        </w:p>
      </w:sdtContent>
    </w:sdt>
    <w:p w14:paraId="73526225" w14:textId="77777777" w:rsidR="00BD30E4" w:rsidRPr="00071EAC" w:rsidRDefault="00BD30E4" w:rsidP="00071EAC">
      <w:pPr>
        <w:spacing w:after="0"/>
        <w:ind w:firstLine="0"/>
        <w:rPr>
          <w:rFonts w:cs="Arial"/>
          <w:color w:val="000000" w:themeColor="text1"/>
        </w:rPr>
      </w:pPr>
    </w:p>
    <w:p w14:paraId="1A85E902" w14:textId="77777777" w:rsidR="00BD30E4" w:rsidRPr="00494029" w:rsidRDefault="00BD30E4" w:rsidP="00494029">
      <w:pPr>
        <w:spacing w:after="0"/>
        <w:ind w:firstLine="0"/>
        <w:rPr>
          <w:rFonts w:cs="Arial"/>
          <w:color w:val="000000" w:themeColor="text1"/>
        </w:rPr>
      </w:pPr>
    </w:p>
    <w:p w14:paraId="66972F4C" w14:textId="77777777" w:rsidR="00BD30E4" w:rsidRPr="00494029" w:rsidRDefault="00BD30E4" w:rsidP="00494029">
      <w:pPr>
        <w:spacing w:after="0"/>
        <w:ind w:firstLine="0"/>
        <w:rPr>
          <w:rFonts w:cs="Arial"/>
        </w:rPr>
      </w:pPr>
    </w:p>
    <w:p w14:paraId="4C466510" w14:textId="45E59D8E" w:rsidR="00494029" w:rsidRDefault="00494029">
      <w:pPr>
        <w:spacing w:line="259" w:lineRule="auto"/>
        <w:ind w:firstLine="0"/>
        <w:rPr>
          <w:rFonts w:cs="Arial"/>
        </w:rPr>
      </w:pPr>
      <w:r>
        <w:rPr>
          <w:rFonts w:cs="Arial"/>
        </w:rPr>
        <w:br w:type="page"/>
      </w:r>
    </w:p>
    <w:p w14:paraId="78170E77" w14:textId="1620E00E" w:rsidR="00BD30E4" w:rsidRPr="00494029" w:rsidRDefault="00CD1CA8" w:rsidP="00494029">
      <w:pPr>
        <w:spacing w:after="0"/>
        <w:ind w:firstLine="0"/>
        <w:jc w:val="center"/>
        <w:rPr>
          <w:rFonts w:cs="Arial"/>
        </w:rPr>
      </w:pPr>
      <w:r w:rsidRPr="00494029">
        <w:rPr>
          <w:rFonts w:cs="Arial"/>
        </w:rPr>
        <w:lastRenderedPageBreak/>
        <w:t>Individual Report on Change Management Plan</w:t>
      </w:r>
    </w:p>
    <w:p w14:paraId="18BD8FE6" w14:textId="00CE2C66" w:rsidR="00CE1CF7" w:rsidRPr="00071EAC" w:rsidRDefault="00CD1CA8" w:rsidP="00071EAC">
      <w:pPr>
        <w:pStyle w:val="Heading1"/>
      </w:pPr>
      <w:bookmarkStart w:id="2" w:name="_Toc154629640"/>
      <w:r w:rsidRPr="00071EAC">
        <w:t xml:space="preserve">a) A Brief Review of </w:t>
      </w:r>
      <w:r w:rsidR="00494029" w:rsidRPr="00071EAC">
        <w:t>t</w:t>
      </w:r>
      <w:r w:rsidRPr="00071EAC">
        <w:t xml:space="preserve">he Current State of </w:t>
      </w:r>
      <w:r w:rsidR="00494029" w:rsidRPr="00071EAC">
        <w:t>t</w:t>
      </w:r>
      <w:r w:rsidRPr="00071EAC">
        <w:t>he Company</w:t>
      </w:r>
      <w:bookmarkEnd w:id="2"/>
    </w:p>
    <w:p w14:paraId="17702DE7" w14:textId="49A3EB11" w:rsidR="00CE1CF7" w:rsidRPr="00494029" w:rsidRDefault="00CD1CA8" w:rsidP="00494029">
      <w:pPr>
        <w:spacing w:after="0"/>
        <w:rPr>
          <w:rFonts w:cs="Arial"/>
        </w:rPr>
      </w:pPr>
      <w:r w:rsidRPr="00494029">
        <w:rPr>
          <w:rFonts w:cs="Arial"/>
        </w:rPr>
        <w:t xml:space="preserve">This evaluation report focuses on Morgan Sindall, a construction company of which the researcher has extensive knowledge of its internal organisation environment. </w:t>
      </w:r>
      <w:bookmarkStart w:id="3" w:name="_Hlk154370920"/>
      <w:r w:rsidRPr="00494029">
        <w:rPr>
          <w:rFonts w:cs="Arial"/>
        </w:rPr>
        <w:t xml:space="preserve">The company </w:t>
      </w:r>
      <w:r w:rsidR="00912769" w:rsidRPr="00494029">
        <w:rPr>
          <w:rFonts w:cs="Arial"/>
        </w:rPr>
        <w:t xml:space="preserve">undertakes the </w:t>
      </w:r>
      <w:r w:rsidRPr="00494029">
        <w:rPr>
          <w:rFonts w:cs="Arial"/>
        </w:rPr>
        <w:t>creati</w:t>
      </w:r>
      <w:r w:rsidR="00912769" w:rsidRPr="00494029">
        <w:rPr>
          <w:rFonts w:cs="Arial"/>
        </w:rPr>
        <w:t>on of</w:t>
      </w:r>
      <w:r w:rsidRPr="00494029">
        <w:rPr>
          <w:rFonts w:cs="Arial"/>
        </w:rPr>
        <w:t xml:space="preserve"> inspiring places that enhance communities' livability, learning, working, care</w:t>
      </w:r>
      <w:r w:rsidR="00F65F50" w:rsidRPr="00494029">
        <w:rPr>
          <w:rFonts w:cs="Arial"/>
        </w:rPr>
        <w:t>,</w:t>
      </w:r>
      <w:r w:rsidRPr="00494029">
        <w:rPr>
          <w:rFonts w:cs="Arial"/>
        </w:rPr>
        <w:t xml:space="preserve"> and protection in the UK (Morgan Sindall Construction, 2023). </w:t>
      </w:r>
      <w:bookmarkEnd w:id="3"/>
      <w:r w:rsidRPr="00494029">
        <w:rPr>
          <w:rFonts w:cs="Arial"/>
        </w:rPr>
        <w:t xml:space="preserve">As a leading UK construction and </w:t>
      </w:r>
      <w:r w:rsidR="00A45A41" w:rsidRPr="00494029">
        <w:rPr>
          <w:rFonts w:cs="Arial"/>
        </w:rPr>
        <w:t>regeneration</w:t>
      </w:r>
      <w:r w:rsidRPr="00494029">
        <w:rPr>
          <w:rFonts w:cs="Arial"/>
        </w:rPr>
        <w:t xml:space="preserve"> firm, Morgan Sindall is committed to </w:t>
      </w:r>
      <w:r w:rsidR="00A45A41" w:rsidRPr="00494029">
        <w:rPr>
          <w:rFonts w:cs="Arial"/>
        </w:rPr>
        <w:t>establishing</w:t>
      </w:r>
      <w:r w:rsidRPr="00494029">
        <w:rPr>
          <w:rFonts w:cs="Arial"/>
        </w:rPr>
        <w:t xml:space="preserve"> social and ecological value through </w:t>
      </w:r>
      <w:r w:rsidR="00F65F50" w:rsidRPr="00494029">
        <w:rPr>
          <w:rFonts w:cs="Arial"/>
        </w:rPr>
        <w:t>its</w:t>
      </w:r>
      <w:r w:rsidRPr="00494029">
        <w:rPr>
          <w:rFonts w:cs="Arial"/>
        </w:rPr>
        <w:t xml:space="preserve"> sustainable building practices in </w:t>
      </w:r>
      <w:r w:rsidR="00F65F50" w:rsidRPr="00494029">
        <w:rPr>
          <w:rFonts w:cs="Arial"/>
        </w:rPr>
        <w:t>its</w:t>
      </w:r>
      <w:r w:rsidRPr="00494029">
        <w:rPr>
          <w:rFonts w:cs="Arial"/>
        </w:rPr>
        <w:t xml:space="preserve"> projects (Morgan Sindall Group plc, 2022). In 2022, despite the complex </w:t>
      </w:r>
      <w:r w:rsidR="00A45A41" w:rsidRPr="00494029">
        <w:rPr>
          <w:rFonts w:cs="Arial"/>
        </w:rPr>
        <w:t>economic</w:t>
      </w:r>
      <w:r w:rsidRPr="00494029">
        <w:rPr>
          <w:rFonts w:cs="Arial"/>
        </w:rPr>
        <w:t xml:space="preserve"> challenges that many </w:t>
      </w:r>
      <w:r w:rsidR="00A45A41" w:rsidRPr="00494029">
        <w:rPr>
          <w:rFonts w:cs="Arial"/>
        </w:rPr>
        <w:t>companies</w:t>
      </w:r>
      <w:r w:rsidRPr="00494029">
        <w:rPr>
          <w:rFonts w:cs="Arial"/>
        </w:rPr>
        <w:t xml:space="preserve"> faced globally, Morgan Sindall recorded </w:t>
      </w:r>
      <w:r w:rsidR="00A45A41" w:rsidRPr="00494029">
        <w:rPr>
          <w:rFonts w:cs="Arial"/>
        </w:rPr>
        <w:t>astounding</w:t>
      </w:r>
      <w:r w:rsidRPr="00494029">
        <w:rPr>
          <w:rFonts w:cs="Arial"/>
        </w:rPr>
        <w:t xml:space="preserve"> financial performance results and retained a robust balance sheet as well as a strong cash position (Morgan Sindall Group plc, 2022). </w:t>
      </w:r>
      <w:r w:rsidR="00B2545F" w:rsidRPr="00494029">
        <w:rPr>
          <w:rFonts w:cs="Arial"/>
        </w:rPr>
        <w:t>As such, the company is financially sound currently, with a clear focus on creating a sustainable environmental contribution to reducing its carbon emissions and leverag</w:t>
      </w:r>
      <w:r w:rsidR="006A78DE" w:rsidRPr="00494029">
        <w:rPr>
          <w:rFonts w:cs="Arial"/>
        </w:rPr>
        <w:t>ing</w:t>
      </w:r>
      <w:r w:rsidR="00B2545F" w:rsidRPr="00494029">
        <w:rPr>
          <w:rFonts w:cs="Arial"/>
        </w:rPr>
        <w:t xml:space="preserve"> social value to surrounding communities. </w:t>
      </w:r>
    </w:p>
    <w:p w14:paraId="4BE99E83" w14:textId="6184309F" w:rsidR="00CE1CF7" w:rsidRPr="00494029" w:rsidRDefault="00CD1CA8" w:rsidP="00071EAC">
      <w:pPr>
        <w:pStyle w:val="Heading1"/>
      </w:pPr>
      <w:bookmarkStart w:id="4" w:name="_Toc154629641"/>
      <w:r w:rsidRPr="00494029">
        <w:t xml:space="preserve">b) </w:t>
      </w:r>
      <w:r w:rsidR="00D1080F" w:rsidRPr="00494029">
        <w:t xml:space="preserve">The </w:t>
      </w:r>
      <w:r w:rsidR="009F1712" w:rsidRPr="00494029">
        <w:t>Researcher</w:t>
      </w:r>
      <w:r w:rsidR="00F65F50" w:rsidRPr="00494029">
        <w:t>'</w:t>
      </w:r>
      <w:r w:rsidR="009F1712" w:rsidRPr="00494029">
        <w:t>s Involvement /Relationship with the Company</w:t>
      </w:r>
      <w:bookmarkEnd w:id="4"/>
    </w:p>
    <w:p w14:paraId="3DF06967" w14:textId="05BDC153" w:rsidR="00CE1CF7" w:rsidRPr="00494029" w:rsidRDefault="00CD1CA8" w:rsidP="00494029">
      <w:pPr>
        <w:spacing w:after="0"/>
        <w:rPr>
          <w:rFonts w:cs="Arial"/>
        </w:rPr>
      </w:pPr>
      <w:r w:rsidRPr="00494029">
        <w:rPr>
          <w:rFonts w:cs="Arial"/>
        </w:rPr>
        <w:t>The researcher selected Morgan Sindall because they are familiar with the company and its operations in the UK. With its headquarters in London, the researcher has seen the company undertake construction activities in four areas, including affordable housing, urban regeneration, property services and infrastructure. Choosing this company is suitable to point out how changes have occurred in the construction industry and the leadership styles adopted to transform the company in alignment with its long-term goals.</w:t>
      </w:r>
    </w:p>
    <w:p w14:paraId="3DAC617D" w14:textId="4C1C7DB9" w:rsidR="009F1712" w:rsidRPr="00494029" w:rsidRDefault="00CD1CA8" w:rsidP="00071EAC">
      <w:pPr>
        <w:pStyle w:val="Heading1"/>
      </w:pPr>
      <w:bookmarkStart w:id="5" w:name="_Toc154629642"/>
      <w:r w:rsidRPr="00494029">
        <w:t xml:space="preserve">c) An Outline of </w:t>
      </w:r>
      <w:r w:rsidR="009B6465" w:rsidRPr="00494029">
        <w:t>the Company</w:t>
      </w:r>
      <w:r w:rsidR="00F65F50" w:rsidRPr="00494029">
        <w:t>'</w:t>
      </w:r>
      <w:r w:rsidR="009B6465" w:rsidRPr="00494029">
        <w:t>s</w:t>
      </w:r>
      <w:r w:rsidRPr="00494029">
        <w:t xml:space="preserve"> Recent Change Initiative Investigated in This Report</w:t>
      </w:r>
      <w:bookmarkEnd w:id="5"/>
    </w:p>
    <w:p w14:paraId="109EBA73" w14:textId="0DA6004A" w:rsidR="009F1712" w:rsidRPr="00494029" w:rsidRDefault="00CD1CA8" w:rsidP="00494029">
      <w:pPr>
        <w:spacing w:after="0"/>
        <w:rPr>
          <w:rFonts w:cs="Arial"/>
        </w:rPr>
      </w:pPr>
      <w:r w:rsidRPr="00494029">
        <w:rPr>
          <w:rFonts w:cs="Arial"/>
        </w:rPr>
        <w:t xml:space="preserve">Morgan Sindall continues to innovate its practices and products to help communities and </w:t>
      </w:r>
      <w:r w:rsidR="00A45A41" w:rsidRPr="00494029">
        <w:rPr>
          <w:rFonts w:cs="Arial"/>
        </w:rPr>
        <w:t>conserve</w:t>
      </w:r>
      <w:r w:rsidRPr="00494029">
        <w:rPr>
          <w:rFonts w:cs="Arial"/>
        </w:rPr>
        <w:t xml:space="preserve"> the </w:t>
      </w:r>
      <w:r w:rsidR="00A45A41" w:rsidRPr="00494029">
        <w:rPr>
          <w:rFonts w:cs="Arial"/>
        </w:rPr>
        <w:t>surroundings</w:t>
      </w:r>
      <w:r w:rsidRPr="00494029">
        <w:rPr>
          <w:rFonts w:cs="Arial"/>
        </w:rPr>
        <w:t xml:space="preserve">. Therefore, the change </w:t>
      </w:r>
      <w:r w:rsidR="00A45A41" w:rsidRPr="00494029">
        <w:rPr>
          <w:rFonts w:cs="Arial"/>
        </w:rPr>
        <w:t>initiatives</w:t>
      </w:r>
      <w:r w:rsidRPr="00494029">
        <w:rPr>
          <w:rFonts w:cs="Arial"/>
        </w:rPr>
        <w:t xml:space="preserve"> of this company focus on eco-friendly building practices that leverage benefits for the </w:t>
      </w:r>
      <w:r w:rsidR="00A45A41" w:rsidRPr="00494029">
        <w:rPr>
          <w:rFonts w:cs="Arial"/>
        </w:rPr>
        <w:t>surrounding</w:t>
      </w:r>
      <w:r w:rsidRPr="00494029">
        <w:rPr>
          <w:rFonts w:cs="Arial"/>
        </w:rPr>
        <w:t xml:space="preserve"> communities and maximise environmental conservation through </w:t>
      </w:r>
      <w:r w:rsidR="00A45A41" w:rsidRPr="00494029">
        <w:rPr>
          <w:rFonts w:cs="Arial"/>
        </w:rPr>
        <w:t>reduced</w:t>
      </w:r>
      <w:r w:rsidRPr="00494029">
        <w:rPr>
          <w:rFonts w:cs="Arial"/>
        </w:rPr>
        <w:t xml:space="preserve"> carbon footprint from their construction activities</w:t>
      </w:r>
      <w:r w:rsidR="00861AF9" w:rsidRPr="00494029">
        <w:rPr>
          <w:rFonts w:cs="Arial"/>
        </w:rPr>
        <w:t xml:space="preserve"> (Morgan Sindall Group plc, 2022)</w:t>
      </w:r>
      <w:r w:rsidRPr="00494029">
        <w:rPr>
          <w:rFonts w:cs="Arial"/>
        </w:rPr>
        <w:t xml:space="preserve">. </w:t>
      </w:r>
      <w:r w:rsidR="00A45A41" w:rsidRPr="00494029">
        <w:rPr>
          <w:rFonts w:cs="Arial"/>
        </w:rPr>
        <w:t>In the company</w:t>
      </w:r>
      <w:r w:rsidR="00F65F50" w:rsidRPr="00494029">
        <w:rPr>
          <w:rFonts w:cs="Arial"/>
        </w:rPr>
        <w:t>'</w:t>
      </w:r>
      <w:r w:rsidR="00A45A41" w:rsidRPr="00494029">
        <w:rPr>
          <w:rFonts w:cs="Arial"/>
        </w:rPr>
        <w:t xml:space="preserve">s drive for sustainable innovation, it is committed to channelling investment funds to responsible business activities to enable them </w:t>
      </w:r>
      <w:r w:rsidR="00F65F50" w:rsidRPr="00494029">
        <w:rPr>
          <w:rFonts w:cs="Arial"/>
        </w:rPr>
        <w:t xml:space="preserve">to </w:t>
      </w:r>
      <w:r w:rsidR="00A45A41" w:rsidRPr="00494029">
        <w:rPr>
          <w:rFonts w:cs="Arial"/>
        </w:rPr>
        <w:t>address climate change challenges</w:t>
      </w:r>
      <w:r w:rsidR="00861AF9" w:rsidRPr="00494029">
        <w:rPr>
          <w:rFonts w:cs="Arial"/>
        </w:rPr>
        <w:t xml:space="preserve"> (Morgan Sindall Group plc, 2022)</w:t>
      </w:r>
      <w:r w:rsidR="00A45A41" w:rsidRPr="00494029">
        <w:rPr>
          <w:rFonts w:cs="Arial"/>
        </w:rPr>
        <w:t>. In addition, the company i</w:t>
      </w:r>
      <w:r w:rsidR="00F65F50" w:rsidRPr="00494029">
        <w:rPr>
          <w:rFonts w:cs="Arial"/>
        </w:rPr>
        <w:t xml:space="preserve">ntends to </w:t>
      </w:r>
      <w:r w:rsidR="00A45A41" w:rsidRPr="00494029">
        <w:rPr>
          <w:rFonts w:cs="Arial"/>
        </w:rPr>
        <w:t>deliver social value to the surrounding communities</w:t>
      </w:r>
      <w:r w:rsidR="00BC2DA3" w:rsidRPr="00494029">
        <w:rPr>
          <w:rFonts w:cs="Arial"/>
        </w:rPr>
        <w:t xml:space="preserve"> (Morgan Sindall Construction, 2023a)</w:t>
      </w:r>
      <w:r w:rsidR="00A45A41" w:rsidRPr="00494029">
        <w:rPr>
          <w:rFonts w:cs="Arial"/>
        </w:rPr>
        <w:t>. Thus, recent change initiatives in the firm revolve around implementing socially responsible and ecologically conscious technologies to promote society</w:t>
      </w:r>
      <w:r w:rsidR="00F65F50" w:rsidRPr="00494029">
        <w:rPr>
          <w:rFonts w:cs="Arial"/>
        </w:rPr>
        <w:t>'</w:t>
      </w:r>
      <w:r w:rsidR="00A45A41" w:rsidRPr="00494029">
        <w:rPr>
          <w:rFonts w:cs="Arial"/>
        </w:rPr>
        <w:t>s common good and reduce environmental degradation.</w:t>
      </w:r>
    </w:p>
    <w:p w14:paraId="29A76892" w14:textId="48DDD4B0" w:rsidR="00A45816" w:rsidRPr="00494029" w:rsidRDefault="00CD1CA8" w:rsidP="00494029">
      <w:pPr>
        <w:spacing w:after="0"/>
        <w:rPr>
          <w:rFonts w:cs="Arial"/>
        </w:rPr>
      </w:pPr>
      <w:r w:rsidRPr="00494029">
        <w:rPr>
          <w:rFonts w:cs="Arial"/>
        </w:rPr>
        <w:lastRenderedPageBreak/>
        <w:t>As a consequence, the firm ha</w:t>
      </w:r>
      <w:r w:rsidR="00F65F50" w:rsidRPr="00494029">
        <w:rPr>
          <w:rFonts w:cs="Arial"/>
        </w:rPr>
        <w:t>s</w:t>
      </w:r>
      <w:r w:rsidRPr="00494029">
        <w:rPr>
          <w:rFonts w:cs="Arial"/>
        </w:rPr>
        <w:t xml:space="preserve"> excellent initiatives</w:t>
      </w:r>
      <w:r w:rsidR="00F65F50" w:rsidRPr="00494029">
        <w:rPr>
          <w:rFonts w:cs="Arial"/>
        </w:rPr>
        <w:t xml:space="preserve"> intended to lower its carbon footprint and align its</w:t>
      </w:r>
      <w:r w:rsidRPr="00494029">
        <w:rPr>
          <w:rFonts w:cs="Arial"/>
        </w:rPr>
        <w:t xml:space="preserve"> supply chains and customers</w:t>
      </w:r>
      <w:r w:rsidR="00F65F50" w:rsidRPr="00494029">
        <w:rPr>
          <w:rFonts w:cs="Arial"/>
        </w:rPr>
        <w:t>'</w:t>
      </w:r>
      <w:r w:rsidRPr="00494029">
        <w:rPr>
          <w:rFonts w:cs="Arial"/>
        </w:rPr>
        <w:t xml:space="preserve"> practices with the low-carbon agenda. Morgan Sindall (2021) reported that the company</w:t>
      </w:r>
      <w:r w:rsidR="008E1DAE" w:rsidRPr="00494029">
        <w:rPr>
          <w:rFonts w:cs="Arial"/>
        </w:rPr>
        <w:t>'</w:t>
      </w:r>
      <w:r w:rsidRPr="00494029">
        <w:rPr>
          <w:rFonts w:cs="Arial"/>
        </w:rPr>
        <w:t>s decarbonisation agenda entailed using a combination of initiatives to reduce embodied carbon in buildings and use green building approaches to lower their carbon footprint from infrastructural activities. For this reason, Morgan Sindall Group</w:t>
      </w:r>
      <w:r w:rsidR="00F65F50" w:rsidRPr="00494029">
        <w:rPr>
          <w:rFonts w:cs="Arial"/>
        </w:rPr>
        <w:t>'</w:t>
      </w:r>
      <w:r w:rsidRPr="00494029">
        <w:rPr>
          <w:rFonts w:cs="Arial"/>
        </w:rPr>
        <w:t>s employees have created unique, innovative tools like CarboniCa to help them attain their goal of reduc</w:t>
      </w:r>
      <w:r w:rsidR="00F65F50" w:rsidRPr="00494029">
        <w:rPr>
          <w:rFonts w:cs="Arial"/>
        </w:rPr>
        <w:t>ing</w:t>
      </w:r>
      <w:r w:rsidRPr="00494029">
        <w:rPr>
          <w:rFonts w:cs="Arial"/>
        </w:rPr>
        <w:t xml:space="preserve"> carbon emission</w:t>
      </w:r>
      <w:r w:rsidR="00F65F50" w:rsidRPr="00494029">
        <w:rPr>
          <w:rFonts w:cs="Arial"/>
        </w:rPr>
        <w:t>s</w:t>
      </w:r>
      <w:r w:rsidR="00861AF9" w:rsidRPr="00494029">
        <w:rPr>
          <w:rFonts w:cs="Arial"/>
        </w:rPr>
        <w:t xml:space="preserve"> (Morgan Sindall Group plc, 2022)</w:t>
      </w:r>
      <w:r w:rsidRPr="00494029">
        <w:rPr>
          <w:rFonts w:cs="Arial"/>
        </w:rPr>
        <w:t xml:space="preserve">. A report by Morgan Sindall Group plc (2022) indicates that this tool </w:t>
      </w:r>
      <w:r w:rsidR="006922E3" w:rsidRPr="00494029">
        <w:rPr>
          <w:rFonts w:cs="Arial"/>
        </w:rPr>
        <w:t>helps attain</w:t>
      </w:r>
      <w:r w:rsidRPr="00494029">
        <w:rPr>
          <w:rFonts w:cs="Arial"/>
        </w:rPr>
        <w:t xml:space="preserve"> this goal due to its ease of use </w:t>
      </w:r>
      <w:r w:rsidR="009B6465" w:rsidRPr="00494029">
        <w:rPr>
          <w:rFonts w:cs="Arial"/>
        </w:rPr>
        <w:t xml:space="preserve">coupled with the ability to provide them with detailed and robust data that enable them </w:t>
      </w:r>
      <w:r w:rsidR="00F65F50" w:rsidRPr="00494029">
        <w:rPr>
          <w:rFonts w:cs="Arial"/>
        </w:rPr>
        <w:t xml:space="preserve">to </w:t>
      </w:r>
      <w:r w:rsidR="009B6465" w:rsidRPr="00494029">
        <w:rPr>
          <w:rFonts w:cs="Arial"/>
        </w:rPr>
        <w:t>enhance commercial buildings</w:t>
      </w:r>
      <w:r w:rsidR="00F65F50" w:rsidRPr="00494029">
        <w:rPr>
          <w:rFonts w:cs="Arial"/>
        </w:rPr>
        <w:t>'</w:t>
      </w:r>
      <w:r w:rsidR="009B6465" w:rsidRPr="00494029">
        <w:rPr>
          <w:rFonts w:cs="Arial"/>
        </w:rPr>
        <w:t xml:space="preserve"> energy efficiency. The tool also helps the company </w:t>
      </w:r>
      <w:r w:rsidR="00F65F50" w:rsidRPr="00494029">
        <w:rPr>
          <w:rFonts w:cs="Arial"/>
        </w:rPr>
        <w:t>improve the energy efficiency of homes, in addition to a solid</w:t>
      </w:r>
      <w:r w:rsidR="009B6465" w:rsidRPr="00494029">
        <w:rPr>
          <w:rFonts w:cs="Arial"/>
        </w:rPr>
        <w:t xml:space="preserve"> and fact-based path to attaining the net zero agenda.</w:t>
      </w:r>
    </w:p>
    <w:p w14:paraId="6BD9DC9F" w14:textId="4E4D5AA7" w:rsidR="009B6465" w:rsidRPr="00494029" w:rsidRDefault="00CD1CA8" w:rsidP="00494029">
      <w:pPr>
        <w:spacing w:after="0"/>
        <w:rPr>
          <w:rFonts w:cs="Arial"/>
        </w:rPr>
      </w:pPr>
      <w:r w:rsidRPr="00494029">
        <w:rPr>
          <w:rFonts w:cs="Arial"/>
        </w:rPr>
        <w:t>Further initiatives undertaken by Morgan Sindall to drive its sustainable agenda i</w:t>
      </w:r>
      <w:r w:rsidR="00F65F50" w:rsidRPr="00494029">
        <w:rPr>
          <w:rFonts w:cs="Arial"/>
        </w:rPr>
        <w:t>nclude</w:t>
      </w:r>
      <w:r w:rsidRPr="00494029">
        <w:rPr>
          <w:rFonts w:cs="Arial"/>
        </w:rPr>
        <w:t xml:space="preserve"> investing in responsible carbon offsetting projects in the UK. Morgan Sindall Group plc (2022) </w:t>
      </w:r>
      <w:r w:rsidR="00A45816" w:rsidRPr="00494029">
        <w:rPr>
          <w:rFonts w:cs="Arial"/>
        </w:rPr>
        <w:t xml:space="preserve">and Morgan Sindall (2021) </w:t>
      </w:r>
      <w:r w:rsidRPr="00494029">
        <w:rPr>
          <w:rFonts w:cs="Arial"/>
        </w:rPr>
        <w:t>report that this change initiative is integral in carbon sequestration and promote</w:t>
      </w:r>
      <w:r w:rsidR="00F65F50" w:rsidRPr="00494029">
        <w:rPr>
          <w:rFonts w:cs="Arial"/>
        </w:rPr>
        <w:t>s</w:t>
      </w:r>
      <w:r w:rsidRPr="00494029">
        <w:rPr>
          <w:rFonts w:cs="Arial"/>
        </w:rPr>
        <w:t xml:space="preserve"> biodiversity. The path to </w:t>
      </w:r>
      <w:r w:rsidR="00F65F50" w:rsidRPr="00494029">
        <w:rPr>
          <w:rFonts w:cs="Arial"/>
        </w:rPr>
        <w:t>attaining</w:t>
      </w:r>
      <w:r w:rsidRPr="00494029">
        <w:rPr>
          <w:rFonts w:cs="Arial"/>
        </w:rPr>
        <w:t xml:space="preserve"> this change saw the company partner with the UK</w:t>
      </w:r>
      <w:r w:rsidR="00F65F50" w:rsidRPr="00494029">
        <w:rPr>
          <w:rFonts w:cs="Arial"/>
        </w:rPr>
        <w:t>'</w:t>
      </w:r>
      <w:r w:rsidRPr="00494029">
        <w:rPr>
          <w:rFonts w:cs="Arial"/>
        </w:rPr>
        <w:t xml:space="preserve">s Royal Society for the Protection of Birds </w:t>
      </w:r>
      <w:r w:rsidR="006E7230" w:rsidRPr="00494029">
        <w:rPr>
          <w:rFonts w:cs="Arial"/>
        </w:rPr>
        <w:t>in Lakenheath Fen farmland restoration to create a pet-rich and biodiverse wetland</w:t>
      </w:r>
      <w:r w:rsidR="00861AF9" w:rsidRPr="00494029">
        <w:rPr>
          <w:rFonts w:cs="Arial"/>
        </w:rPr>
        <w:t xml:space="preserve"> (Morgan Sindall Group plc, 2022)</w:t>
      </w:r>
      <w:r w:rsidR="006E7230" w:rsidRPr="00494029">
        <w:rPr>
          <w:rFonts w:cs="Arial"/>
        </w:rPr>
        <w:t>. Thus, attaining</w:t>
      </w:r>
      <w:r w:rsidR="00F65F50" w:rsidRPr="00494029">
        <w:rPr>
          <w:rFonts w:cs="Arial"/>
        </w:rPr>
        <w:t xml:space="preserve"> the identified</w:t>
      </w:r>
      <w:r w:rsidR="006E7230" w:rsidRPr="00494029">
        <w:rPr>
          <w:rFonts w:cs="Arial"/>
        </w:rPr>
        <w:t xml:space="preserve"> </w:t>
      </w:r>
      <w:r w:rsidR="00F65F50" w:rsidRPr="00494029">
        <w:rPr>
          <w:rFonts w:cs="Arial"/>
        </w:rPr>
        <w:t>environmental conservation initiatives</w:t>
      </w:r>
      <w:r w:rsidR="006E7230" w:rsidRPr="00494029">
        <w:rPr>
          <w:rFonts w:cs="Arial"/>
        </w:rPr>
        <w:t xml:space="preserve"> and social value creation require</w:t>
      </w:r>
      <w:r w:rsidR="00F65F50" w:rsidRPr="00494029">
        <w:rPr>
          <w:rFonts w:cs="Arial"/>
        </w:rPr>
        <w:t>s</w:t>
      </w:r>
      <w:r w:rsidR="006E7230" w:rsidRPr="00494029">
        <w:rPr>
          <w:rFonts w:cs="Arial"/>
        </w:rPr>
        <w:t xml:space="preserve"> Morgan Sindall</w:t>
      </w:r>
      <w:r w:rsidR="00F65F50" w:rsidRPr="00494029">
        <w:rPr>
          <w:rFonts w:cs="Arial"/>
        </w:rPr>
        <w:t xml:space="preserve"> to partner</w:t>
      </w:r>
      <w:r w:rsidR="006E7230" w:rsidRPr="00494029">
        <w:rPr>
          <w:rFonts w:cs="Arial"/>
        </w:rPr>
        <w:t xml:space="preserve"> with other agencies, including schools and other social and charity organisations</w:t>
      </w:r>
      <w:r w:rsidR="00F65F50" w:rsidRPr="00494029">
        <w:rPr>
          <w:rFonts w:cs="Arial"/>
        </w:rPr>
        <w:t>.</w:t>
      </w:r>
    </w:p>
    <w:p w14:paraId="516115A0" w14:textId="0089EA99" w:rsidR="006E7230" w:rsidRPr="00494029" w:rsidRDefault="00CD1CA8" w:rsidP="00071EAC">
      <w:pPr>
        <w:pStyle w:val="Heading1"/>
      </w:pPr>
      <w:bookmarkStart w:id="6" w:name="_Toc154629643"/>
      <w:r w:rsidRPr="00494029">
        <w:t xml:space="preserve">d) </w:t>
      </w:r>
      <w:r w:rsidR="00D20681" w:rsidRPr="00494029">
        <w:t>An Analysis of the Recent History of the Organisation</w:t>
      </w:r>
      <w:r w:rsidR="00494029">
        <w:t>,</w:t>
      </w:r>
      <w:r w:rsidR="00463DDF" w:rsidRPr="00494029">
        <w:t xml:space="preserve"> </w:t>
      </w:r>
      <w:r w:rsidR="00F65F50" w:rsidRPr="00494029">
        <w:t xml:space="preserve">How Changes in the External Environment Have Impacted </w:t>
      </w:r>
      <w:r w:rsidR="006344A2" w:rsidRPr="00494029">
        <w:t>the</w:t>
      </w:r>
      <w:r w:rsidR="00F65F50" w:rsidRPr="00494029">
        <w:t xml:space="preserve"> Company</w:t>
      </w:r>
      <w:bookmarkEnd w:id="6"/>
    </w:p>
    <w:p w14:paraId="11462E0B" w14:textId="734DB8F4" w:rsidR="00CE1CF7" w:rsidRPr="00494029" w:rsidRDefault="00CD1CA8" w:rsidP="00494029">
      <w:pPr>
        <w:spacing w:after="0"/>
        <w:rPr>
          <w:rFonts w:cs="Arial"/>
        </w:rPr>
      </w:pPr>
      <w:r w:rsidRPr="00494029">
        <w:rPr>
          <w:rFonts w:cs="Arial"/>
        </w:rPr>
        <w:t>Changes</w:t>
      </w:r>
      <w:r w:rsidR="006922E3" w:rsidRPr="00494029">
        <w:rPr>
          <w:rFonts w:cs="Arial"/>
        </w:rPr>
        <w:t xml:space="preserve"> occurring</w:t>
      </w:r>
      <w:r w:rsidRPr="00494029">
        <w:rPr>
          <w:rFonts w:cs="Arial"/>
        </w:rPr>
        <w:t xml:space="preserve"> in the external environment impact firms different</w:t>
      </w:r>
      <w:r w:rsidR="006922E3" w:rsidRPr="00494029">
        <w:rPr>
          <w:rFonts w:cs="Arial"/>
        </w:rPr>
        <w:t>ly</w:t>
      </w:r>
      <w:r w:rsidRPr="00494029">
        <w:rPr>
          <w:rFonts w:cs="Arial"/>
        </w:rPr>
        <w:t>. Various developments</w:t>
      </w:r>
      <w:r w:rsidR="000D5897" w:rsidRPr="00494029">
        <w:rPr>
          <w:rFonts w:cs="Arial"/>
        </w:rPr>
        <w:t>,</w:t>
      </w:r>
      <w:r w:rsidRPr="00494029">
        <w:rPr>
          <w:rFonts w:cs="Arial"/>
        </w:rPr>
        <w:t xml:space="preserve"> such as COVID-19, digital disruption</w:t>
      </w:r>
      <w:r w:rsidR="000D5897" w:rsidRPr="00494029">
        <w:rPr>
          <w:rFonts w:cs="Arial"/>
        </w:rPr>
        <w:t>, and the current economic uncertainty, have caused</w:t>
      </w:r>
      <w:r w:rsidRPr="00494029">
        <w:rPr>
          <w:rFonts w:cs="Arial"/>
        </w:rPr>
        <w:t xml:space="preserve"> evident changes in the external environment that impact Morgan Sindall</w:t>
      </w:r>
      <w:r w:rsidR="00914670" w:rsidRPr="00494029">
        <w:rPr>
          <w:rFonts w:cs="Arial"/>
        </w:rPr>
        <w:t>'</w:t>
      </w:r>
      <w:r w:rsidRPr="00494029">
        <w:rPr>
          <w:rFonts w:cs="Arial"/>
        </w:rPr>
        <w:t>s operations. These changes are analysed below.</w:t>
      </w:r>
    </w:p>
    <w:p w14:paraId="7C5F6B8A" w14:textId="5485F9E4" w:rsidR="00F65F50" w:rsidRPr="00494029" w:rsidRDefault="00CD1CA8" w:rsidP="00071EAC">
      <w:pPr>
        <w:pStyle w:val="Heading2"/>
      </w:pPr>
      <w:bookmarkStart w:id="7" w:name="_Toc154629644"/>
      <w:r w:rsidRPr="00494029">
        <w:t>The COVID</w:t>
      </w:r>
      <w:r w:rsidR="00463DDF" w:rsidRPr="00494029">
        <w:t xml:space="preserve">-19 </w:t>
      </w:r>
      <w:r w:rsidR="00071EAC" w:rsidRPr="00494029">
        <w:t>Pandemic</w:t>
      </w:r>
      <w:bookmarkEnd w:id="7"/>
    </w:p>
    <w:p w14:paraId="05C59C06" w14:textId="72511C29" w:rsidR="00861AF9" w:rsidRPr="00494029" w:rsidRDefault="00CD1CA8" w:rsidP="00494029">
      <w:pPr>
        <w:spacing w:after="0"/>
        <w:rPr>
          <w:rFonts w:cs="Arial"/>
        </w:rPr>
      </w:pPr>
      <w:r w:rsidRPr="00494029">
        <w:rPr>
          <w:rFonts w:cs="Arial"/>
        </w:rPr>
        <w:t>Like all corporate actors in the construction industry, Morgan Sindall was exposed to the impacts of COVID-19. The housing sector, construction industry, property services</w:t>
      </w:r>
      <w:r w:rsidR="000D5897" w:rsidRPr="00494029">
        <w:rPr>
          <w:rFonts w:cs="Arial"/>
        </w:rPr>
        <w:t>,</w:t>
      </w:r>
      <w:r w:rsidRPr="00494029">
        <w:rPr>
          <w:rFonts w:cs="Arial"/>
        </w:rPr>
        <w:t xml:space="preserve"> and infrastructure segments that the company operates in experienced different severity of COVID-19 impacts. The prolonged periods of lockdowns and cessation of movement policies adopted during the peak of COVID-19 affected the company's ability to complete projects per the scheduled deadlines, scope and costs (Morgan Sindall, 2020). Shibani et al. (2020) explained </w:t>
      </w:r>
      <w:r w:rsidRPr="00494029">
        <w:rPr>
          <w:rFonts w:cs="Arial"/>
        </w:rPr>
        <w:lastRenderedPageBreak/>
        <w:t xml:space="preserve">that social distancing guidelines and lockdown measures adopted in the UK at the peak of COVID-19 disrupted different professional groups in the construction industry. Those affected by these guidelines included engineers, construction teams, contractors, project managers and those with sub-contract obligations (Shibani et al., 2020). As a result, extended project completion increased the costs of completing housing and infrastructural projects undertaken by the company between 2019 and 2020 before lockdowns were lifted in the UK. </w:t>
      </w:r>
    </w:p>
    <w:p w14:paraId="08FF49C8" w14:textId="2AAC1EAF" w:rsidR="00861AF9" w:rsidRPr="00494029" w:rsidRDefault="00CD1CA8" w:rsidP="00494029">
      <w:pPr>
        <w:spacing w:after="0"/>
        <w:rPr>
          <w:rFonts w:cs="Arial"/>
        </w:rPr>
      </w:pPr>
      <w:r w:rsidRPr="00494029">
        <w:rPr>
          <w:rFonts w:cs="Arial"/>
        </w:rPr>
        <w:t>In addition, COVID-19 affected the health statuses of some of Morgan Sindall's employees, which had a direct adverse effect on the company. This impact derailed the resumption of workplace roles and</w:t>
      </w:r>
      <w:r w:rsidR="006922E3" w:rsidRPr="00494029">
        <w:rPr>
          <w:rFonts w:cs="Arial"/>
        </w:rPr>
        <w:t xml:space="preserve"> sometimes</w:t>
      </w:r>
      <w:r w:rsidRPr="00494029">
        <w:rPr>
          <w:rFonts w:cs="Arial"/>
        </w:rPr>
        <w:t xml:space="preserve"> deprived them of talented personnel in the case of those who succumbed to related complications (Stride et al., 2023). Still, other employees </w:t>
      </w:r>
      <w:r w:rsidR="006922E3" w:rsidRPr="00494029">
        <w:rPr>
          <w:rFonts w:cs="Arial"/>
        </w:rPr>
        <w:t>joined</w:t>
      </w:r>
      <w:r w:rsidRPr="00494029">
        <w:rPr>
          <w:rFonts w:cs="Arial"/>
        </w:rPr>
        <w:t xml:space="preserve"> other sectors that could allow them to work remotely (Morgan Sindall, 2020). Employee attrition in the construction industry induces capacity challenges as firms lack adequate personnel to execute project assignments and deliver them according to the deadline, scope and budget (Shibani et al., 2020). The company furloughed about 1900 of its 6700 employees during the pandemic, as 31% of its sides suspended operations at the time (Rogers, 2020). Despite the impact of COVID-19 on human resource capacity challenges of construction companies, Morgan Sindall has regained back from the shortfall, and it currently employs about 7000, out of which 37% have worked with it for six years and above, showcasing a fair retention rate of its talent base (Morgan Sindall Group plc, 2022). This number surpasses the company's total number of employees in the pre-pandemic period, even though productivity reportedly stood at 95% of the pre-pandemic levels by June 2020 (Rogers, 2020). Hence, understaffing problems due to labour supply constraints in the construction sector following COVID-19 affected Morgan Sindall's productivity.  </w:t>
      </w:r>
    </w:p>
    <w:p w14:paraId="10D73E20" w14:textId="2DEE3C22" w:rsidR="00F65F50" w:rsidRPr="00494029" w:rsidRDefault="00CD1CA8" w:rsidP="00494029">
      <w:pPr>
        <w:spacing w:after="0"/>
        <w:rPr>
          <w:rFonts w:cs="Arial"/>
        </w:rPr>
      </w:pPr>
      <w:r w:rsidRPr="00494029">
        <w:rPr>
          <w:rFonts w:cs="Arial"/>
        </w:rPr>
        <w:t xml:space="preserve">It is worth mentioning that since Morgan Sindall Group deals in different segments within the construction industry, the impact was not uniform across construction, infrastructure and property service segments. Morgan Sindall (2020) reported that some ongoing projects were delivered on time, while others were delayed due to the social distancing directives the governance embraced. Indeed, research by Shibani et al. (2020) identified that COVID-19 impacts were significantly higher in companies dealing with commercial and residential projects as they complied with social distancing and lockdown regulations to maintain good relationships with their supply chains and enhance their teams' safety. In alignment, Zamani et al. (2021) reported that COVID-19 impacted construction companies through constrained revenues, which influenced financial and operational hurdles. Therefore, construction companies needed financial aid to navigate the pandemic experience, reinforcing the importance of creating </w:t>
      </w:r>
      <w:r w:rsidRPr="00494029">
        <w:rPr>
          <w:rFonts w:cs="Arial"/>
        </w:rPr>
        <w:lastRenderedPageBreak/>
        <w:t>resilience capacities in readiness for uncertainties (Stride et al., 2023). Hence, companies with inadequate resilience frameworks could not navigate the pandemic crisis, as it disrupted their human resource functions, logistics, supply chains</w:t>
      </w:r>
      <w:r w:rsidR="00761145" w:rsidRPr="00494029">
        <w:rPr>
          <w:rFonts w:cs="Arial"/>
        </w:rPr>
        <w:t>,</w:t>
      </w:r>
      <w:r w:rsidRPr="00494029">
        <w:rPr>
          <w:rFonts w:cs="Arial"/>
        </w:rPr>
        <w:t xml:space="preserve"> and cash flows.</w:t>
      </w:r>
    </w:p>
    <w:p w14:paraId="42022599" w14:textId="75D829D1" w:rsidR="00F65F50" w:rsidRPr="00494029" w:rsidRDefault="00CD1CA8" w:rsidP="00071EAC">
      <w:pPr>
        <w:pStyle w:val="Heading2"/>
      </w:pPr>
      <w:bookmarkStart w:id="8" w:name="_Toc154629645"/>
      <w:r w:rsidRPr="00494029">
        <w:t xml:space="preserve">Digital </w:t>
      </w:r>
      <w:r w:rsidR="00071EAC" w:rsidRPr="00494029">
        <w:t>Disruption</w:t>
      </w:r>
      <w:bookmarkEnd w:id="8"/>
    </w:p>
    <w:p w14:paraId="341E7B91" w14:textId="335A0606" w:rsidR="00B2545F" w:rsidRPr="00494029" w:rsidRDefault="00CD1CA8" w:rsidP="00494029">
      <w:pPr>
        <w:spacing w:after="0"/>
        <w:rPr>
          <w:rFonts w:cs="Arial"/>
        </w:rPr>
      </w:pPr>
      <w:r w:rsidRPr="00494029">
        <w:rPr>
          <w:rFonts w:cs="Arial"/>
        </w:rPr>
        <w:t xml:space="preserve">Disruptive technologies in the construction industry have significantly altered how things are done. Erlich (2023) asserts that as more innovative, energy-efficient, and sustainable designs and building practices are embraced in the construction industry, conventional approaches are being challenged, leading to disruptive effects. However, with more innovative designs comes the demand for more qualified personnel (Ernstsen et al., 2018). Therefore, changes in the external environment in terms of new technologies impact Morgan Sindall since it must deploy reactionary responses by adopting the </w:t>
      </w:r>
      <w:r w:rsidR="006922E3" w:rsidRPr="00494029">
        <w:rPr>
          <w:rFonts w:cs="Arial"/>
        </w:rPr>
        <w:t>lat</w:t>
      </w:r>
      <w:r w:rsidRPr="00494029">
        <w:rPr>
          <w:rFonts w:cs="Arial"/>
        </w:rPr>
        <w:t xml:space="preserve">est technology or developing new competencies, which need enormous resources </w:t>
      </w:r>
      <w:r w:rsidR="006A78DE" w:rsidRPr="00494029">
        <w:rPr>
          <w:rFonts w:cs="Arial"/>
        </w:rPr>
        <w:t>for</w:t>
      </w:r>
      <w:r w:rsidRPr="00494029">
        <w:rPr>
          <w:rFonts w:cs="Arial"/>
        </w:rPr>
        <w:t xml:space="preserve"> training and developing human resources and updating the firm with innovations. </w:t>
      </w:r>
    </w:p>
    <w:p w14:paraId="2785C157" w14:textId="77116B5F" w:rsidR="00761145" w:rsidRPr="00494029" w:rsidRDefault="00CD1CA8" w:rsidP="00494029">
      <w:pPr>
        <w:spacing w:after="0"/>
        <w:rPr>
          <w:rFonts w:cs="Arial"/>
        </w:rPr>
      </w:pPr>
      <w:r w:rsidRPr="00494029">
        <w:rPr>
          <w:rFonts w:cs="Arial"/>
        </w:rPr>
        <w:t xml:space="preserve">Therefore, construction companies are not only challenged to move with the pace of technological innovation but also train their current workers to acquire new technical skill sets and create favourable conditions for attracting more qualified personnel (Ernstsen, 2020; Lekan et al., 2022). For instance, </w:t>
      </w:r>
      <w:r w:rsidR="00B2545F" w:rsidRPr="00494029">
        <w:rPr>
          <w:rFonts w:cs="Arial"/>
        </w:rPr>
        <w:t xml:space="preserve">Wolfs et al. (2023) report that </w:t>
      </w:r>
      <w:r w:rsidRPr="00494029">
        <w:rPr>
          <w:rFonts w:cs="Arial"/>
        </w:rPr>
        <w:t xml:space="preserve">digital disruptions are evident in the increased integration of big data, drones, and digital twins into modern building practices. Likewise, Kavis (2016) aligns with the perspective above by adding that other technologies that continue to disrupt the construction industry include machine learning, robotics, and 3D printing. These technologies have advanced capabilities that deliver superior design features and enhance the implementation process of contemporary dwellings. </w:t>
      </w:r>
      <w:r w:rsidR="00F26D65" w:rsidRPr="00494029">
        <w:rPr>
          <w:rFonts w:cs="Arial"/>
        </w:rPr>
        <w:t>In contrast, Erlich (2023) suggests that automation and robotic capabilities have failed to work on job sites, showcasing their poor fit for the construction industry</w:t>
      </w:r>
      <w:r w:rsidR="000D5897" w:rsidRPr="00494029">
        <w:rPr>
          <w:rFonts w:cs="Arial"/>
        </w:rPr>
        <w:t>'</w:t>
      </w:r>
      <w:r w:rsidR="00F26D65" w:rsidRPr="00494029">
        <w:rPr>
          <w:rFonts w:cs="Arial"/>
        </w:rPr>
        <w:t>s dynamic environments that resemble factory floors. Nonetheless, s</w:t>
      </w:r>
      <w:r w:rsidR="00B2545F" w:rsidRPr="00494029">
        <w:rPr>
          <w:rFonts w:cs="Arial"/>
        </w:rPr>
        <w:t>uch d</w:t>
      </w:r>
      <w:r w:rsidRPr="00494029">
        <w:rPr>
          <w:rFonts w:cs="Arial"/>
        </w:rPr>
        <w:t>igital disruption</w:t>
      </w:r>
      <w:r w:rsidR="00F26D65" w:rsidRPr="00494029">
        <w:rPr>
          <w:rFonts w:cs="Arial"/>
        </w:rPr>
        <w:t>s</w:t>
      </w:r>
      <w:r w:rsidRPr="00494029">
        <w:rPr>
          <w:rFonts w:cs="Arial"/>
        </w:rPr>
        <w:t xml:space="preserve"> </w:t>
      </w:r>
      <w:r w:rsidR="00B2545F" w:rsidRPr="00494029">
        <w:rPr>
          <w:rFonts w:cs="Arial"/>
        </w:rPr>
        <w:t>compel</w:t>
      </w:r>
      <w:r w:rsidRPr="00494029">
        <w:rPr>
          <w:rFonts w:cs="Arial"/>
        </w:rPr>
        <w:t xml:space="preserve"> Morgan Sandall</w:t>
      </w:r>
      <w:r w:rsidR="00B2545F" w:rsidRPr="00494029">
        <w:rPr>
          <w:rFonts w:cs="Arial"/>
        </w:rPr>
        <w:t xml:space="preserve"> to </w:t>
      </w:r>
      <w:r w:rsidRPr="00494029">
        <w:rPr>
          <w:rFonts w:cs="Arial"/>
        </w:rPr>
        <w:t>reinvent itself by embracing newer digital capabilities that enable it to deliver sustainable projects and social value to surrounding communities. For example, Morgan Sindall Group created the Goldeni software for use in the property services segment to relay real-time data. This tool has embedded sensors, which are placed in housing units, especially social housing facilities, to give landlords and tenants real-time data about their health outlook, compliance, and energy efficiency (Morgan Sindall Group plc, 2022). Therefore, the creation of this technology has provided landlords and tenants with a better approach to managing their houses. As the pioneer of this technology, Morgan Sindall Group enjoys competitive benefits, illustrating how early adopters of digital technologies use them to their advantage over rivals.</w:t>
      </w:r>
    </w:p>
    <w:p w14:paraId="5156EA0A" w14:textId="3764B8A2" w:rsidR="00761145" w:rsidRPr="00494029" w:rsidRDefault="00CD1CA8" w:rsidP="00494029">
      <w:pPr>
        <w:spacing w:after="0"/>
        <w:rPr>
          <w:rFonts w:cs="Arial"/>
        </w:rPr>
      </w:pPr>
      <w:r w:rsidRPr="00494029">
        <w:rPr>
          <w:rFonts w:cs="Arial"/>
        </w:rPr>
        <w:lastRenderedPageBreak/>
        <w:t xml:space="preserve">Digital disruptions have also impacted how construction companies manage their supply chains. For instance, Morgan Sindall Group plc (2022) indicated that the company has embraced digital technology to use digital platforms as their new methods of engaging with their suppliers, especially for those from far destinations. In concurrence, Yevu et al. (2021) established that the construction industry's supply chain continues to benefit from digital technologies, with recent trends being blockchain smart contracts. </w:t>
      </w:r>
      <w:r w:rsidR="00F26D65" w:rsidRPr="00494029">
        <w:rPr>
          <w:rFonts w:cs="Arial"/>
        </w:rPr>
        <w:t xml:space="preserve">In contrast, Erlich (2023) asserts that </w:t>
      </w:r>
      <w:r w:rsidR="006A78DE" w:rsidRPr="00494029">
        <w:rPr>
          <w:rFonts w:cs="Arial"/>
        </w:rPr>
        <w:t xml:space="preserve">the </w:t>
      </w:r>
      <w:r w:rsidR="00F26D65" w:rsidRPr="00494029">
        <w:rPr>
          <w:rFonts w:cs="Arial"/>
        </w:rPr>
        <w:t xml:space="preserve">only notable disruptive digital technologies are those dealing with information management systems that have made firms gain significantly in the construction industry. </w:t>
      </w:r>
      <w:r w:rsidRPr="00494029">
        <w:rPr>
          <w:rFonts w:cs="Arial"/>
        </w:rPr>
        <w:t>Thus, with digital communication channels, supply chains have been made more responsive, efficient, and effective as information flow is enhanced.</w:t>
      </w:r>
    </w:p>
    <w:p w14:paraId="63DB4A42" w14:textId="1FAC4533" w:rsidR="00F65F50" w:rsidRPr="00494029" w:rsidRDefault="00CD1CA8" w:rsidP="00494029">
      <w:pPr>
        <w:spacing w:after="0"/>
        <w:rPr>
          <w:rFonts w:cs="Arial"/>
        </w:rPr>
      </w:pPr>
      <w:r w:rsidRPr="00494029">
        <w:rPr>
          <w:rFonts w:cs="Arial"/>
        </w:rPr>
        <w:t>Furthermore, digital disruptions have provided companies with numerous technological tools to drive their sustainability agenda. Morgan Sindall Group plc (2022) reported that the company has reacted to digital disruption by embracing sustainable innovations. Hence, digital disruption impacts the company by inducing it to adopt more competitive technical capabilities to align with its long-term orientation and survive competition in the construction industry. Evans-Greenwood et al. (2019) indicate that complex technological disruptions are evident in the contemporary construction industry as digital trends are being employed in building practices and infrastructure development. For instance, Morgan Sindall Group plc (2022) indicated that the firm promotes innovation to climate action through data-based solutions to inform its projects' operational strategy. The company developed the CarboniCa, an innovative tool, to help them assess their projects' potential emissions, including embodied carbon in materials and throughout a building's life cycle (Morgan Sindall Group plc, 2022). Adopting this sustainable innovation allows Morgan Sindall to join other corporate entities championing responsible construction projects and promote solution-finding to the underlying climate change challenges.</w:t>
      </w:r>
    </w:p>
    <w:p w14:paraId="7396D83C" w14:textId="5DB00193" w:rsidR="00463DDF" w:rsidRPr="00494029" w:rsidRDefault="00CD1CA8" w:rsidP="00071EAC">
      <w:pPr>
        <w:pStyle w:val="Heading2"/>
      </w:pPr>
      <w:bookmarkStart w:id="9" w:name="_Toc154629646"/>
      <w:r w:rsidRPr="00494029">
        <w:t xml:space="preserve">Ongoing </w:t>
      </w:r>
      <w:r w:rsidR="00071EAC" w:rsidRPr="00494029">
        <w:t>Economic Uncertainty</w:t>
      </w:r>
      <w:bookmarkEnd w:id="9"/>
    </w:p>
    <w:p w14:paraId="7CF26DE7" w14:textId="1B36BCA6" w:rsidR="00463DDF" w:rsidRPr="00494029" w:rsidRDefault="00CD1CA8" w:rsidP="00494029">
      <w:pPr>
        <w:spacing w:after="0"/>
        <w:rPr>
          <w:rFonts w:cs="Arial"/>
        </w:rPr>
      </w:pPr>
      <w:r w:rsidRPr="00494029">
        <w:rPr>
          <w:rFonts w:cs="Arial"/>
        </w:rPr>
        <w:t xml:space="preserve">Recent dynamics in the economic environment have created uncertainties across industries. </w:t>
      </w:r>
      <w:r w:rsidR="002C0B3D" w:rsidRPr="00494029">
        <w:rPr>
          <w:rFonts w:cs="Arial"/>
        </w:rPr>
        <w:t xml:space="preserve">Pheng and Hou </w:t>
      </w:r>
      <w:r w:rsidRPr="00494029">
        <w:rPr>
          <w:rFonts w:cs="Arial"/>
        </w:rPr>
        <w:t xml:space="preserve">(2021) and Smith et al. (2020) assert that economic uncertainty in the construction industry threatens many firms' success as inflation and interest rates soar, leading to high operating costs. In concurrence with this argument, Sierra (2022) contends that economic uncertainties could lead to labour supply constraints and disrupt supply chains, further compounding the construction industry's impacts. As rising interest rates and inflation characterise the current economic environment, Morgan Sindall Group </w:t>
      </w:r>
      <w:r w:rsidR="006922E3" w:rsidRPr="00494029">
        <w:rPr>
          <w:rFonts w:cs="Arial"/>
        </w:rPr>
        <w:t>must</w:t>
      </w:r>
      <w:r w:rsidRPr="00494029">
        <w:rPr>
          <w:rFonts w:cs="Arial"/>
        </w:rPr>
        <w:t xml:space="preserve"> identify cost-cutting measures to enhance its resilience in the ever-changing business landscape. Indeed, research </w:t>
      </w:r>
      <w:r w:rsidRPr="00494029">
        <w:rPr>
          <w:rFonts w:cs="Arial"/>
        </w:rPr>
        <w:lastRenderedPageBreak/>
        <w:t xml:space="preserve">by Paslawski (2017) and You et al. (2020) suggests that businesses should embrace a flexible approach to sourcing, contractual protection and operational efficiency under risk and uncertainty. Environmental uncertainty stemming from unfavourable changes in economic conditions compels firms to identify agile methods of surviving the crisis. For instance, Morgan Sindall Group plc (2022) reported that the company faced substantial headwinds from inflationary pressures and unpredictable supply chains. As energy prices rise, costs of trade and labour increase, and constraints are put on some building materials, the net impact trickles down to the total build expenses (Morgan Sindall Group plc, 2022). Such developments exert an increasing strain on supply chains' stability. Furthermore, Morgan Sindall Group plc (2022) reported that towards the end of last year and early 2023, the UK experienced labour inflation. Such development leads to high construction costs and slim profits, which threaten the long-term survival of Morgan Sindall. </w:t>
      </w:r>
    </w:p>
    <w:p w14:paraId="27424934" w14:textId="14F4337E" w:rsidR="00CE1CF7" w:rsidRPr="00494029" w:rsidRDefault="00CD1CA8" w:rsidP="00071EAC">
      <w:pPr>
        <w:pStyle w:val="Heading1"/>
      </w:pPr>
      <w:bookmarkStart w:id="10" w:name="_Toc154629647"/>
      <w:r w:rsidRPr="00494029">
        <w:t xml:space="preserve">e) </w:t>
      </w:r>
      <w:r w:rsidR="000D5897" w:rsidRPr="00494029">
        <w:t xml:space="preserve">Issues </w:t>
      </w:r>
      <w:r w:rsidR="00494029">
        <w:t>t</w:t>
      </w:r>
      <w:r w:rsidR="000D5897" w:rsidRPr="00494029">
        <w:t>hat May Be Related to Strategic Change in Organisation</w:t>
      </w:r>
      <w:r w:rsidR="006A78DE" w:rsidRPr="00494029">
        <w:t>,</w:t>
      </w:r>
      <w:r w:rsidR="000D5897" w:rsidRPr="00494029">
        <w:t xml:space="preserve"> Including How the Change Was Managed and What Leadership Style/Styles Was/Were Used</w:t>
      </w:r>
      <w:bookmarkEnd w:id="10"/>
    </w:p>
    <w:p w14:paraId="47AC5CC8" w14:textId="7741151A" w:rsidR="00A96010" w:rsidRPr="00494029" w:rsidRDefault="00CD1CA8" w:rsidP="00494029">
      <w:pPr>
        <w:spacing w:after="0"/>
        <w:rPr>
          <w:rFonts w:cs="Arial"/>
        </w:rPr>
      </w:pPr>
      <w:r w:rsidRPr="00494029">
        <w:rPr>
          <w:rFonts w:cs="Arial"/>
        </w:rPr>
        <w:t xml:space="preserve">Several change models propound theoretical explanations </w:t>
      </w:r>
      <w:r w:rsidR="008E1DAE" w:rsidRPr="00494029">
        <w:rPr>
          <w:rFonts w:cs="Arial"/>
        </w:rPr>
        <w:t>for</w:t>
      </w:r>
      <w:r w:rsidRPr="00494029">
        <w:rPr>
          <w:rFonts w:cs="Arial"/>
        </w:rPr>
        <w:t xml:space="preserve"> </w:t>
      </w:r>
      <w:r w:rsidR="008E1DAE" w:rsidRPr="00494029">
        <w:rPr>
          <w:rFonts w:cs="Arial"/>
        </w:rPr>
        <w:t>managing planned change</w:t>
      </w:r>
      <w:r w:rsidRPr="00494029">
        <w:rPr>
          <w:rFonts w:cs="Arial"/>
        </w:rPr>
        <w:t xml:space="preserve"> effectively.</w:t>
      </w:r>
      <w:r w:rsidR="006D5E6B" w:rsidRPr="00494029">
        <w:rPr>
          <w:rFonts w:cs="Arial"/>
        </w:rPr>
        <w:t xml:space="preserve"> Examples of alternative change management models include Kurt Lewin</w:t>
      </w:r>
      <w:r w:rsidR="008E1DAE" w:rsidRPr="00494029">
        <w:rPr>
          <w:rFonts w:cs="Arial"/>
        </w:rPr>
        <w:t>'</w:t>
      </w:r>
      <w:r w:rsidR="006D5E6B" w:rsidRPr="00494029">
        <w:rPr>
          <w:rFonts w:cs="Arial"/>
        </w:rPr>
        <w:t>s theory, Kotter</w:t>
      </w:r>
      <w:r w:rsidR="008E1DAE" w:rsidRPr="00494029">
        <w:rPr>
          <w:rFonts w:cs="Arial"/>
        </w:rPr>
        <w:t>'</w:t>
      </w:r>
      <w:r w:rsidR="006D5E6B" w:rsidRPr="00494029">
        <w:rPr>
          <w:rFonts w:cs="Arial"/>
        </w:rPr>
        <w:t xml:space="preserve">s </w:t>
      </w:r>
      <w:r w:rsidR="00D31A80" w:rsidRPr="00494029">
        <w:rPr>
          <w:rFonts w:cs="Arial"/>
        </w:rPr>
        <w:t>e</w:t>
      </w:r>
      <w:r w:rsidR="006D5E6B" w:rsidRPr="00494029">
        <w:rPr>
          <w:rFonts w:cs="Arial"/>
        </w:rPr>
        <w:t>ight-</w:t>
      </w:r>
      <w:r w:rsidR="00D31A80" w:rsidRPr="00494029">
        <w:rPr>
          <w:rFonts w:cs="Arial"/>
        </w:rPr>
        <w:t>s</w:t>
      </w:r>
      <w:r w:rsidR="006D5E6B" w:rsidRPr="00494029">
        <w:rPr>
          <w:rFonts w:cs="Arial"/>
        </w:rPr>
        <w:t>tep model for change implementation</w:t>
      </w:r>
      <w:r w:rsidR="008E1DAE" w:rsidRPr="00494029">
        <w:rPr>
          <w:rFonts w:cs="Arial"/>
        </w:rPr>
        <w:t>,</w:t>
      </w:r>
      <w:r w:rsidR="006D5E6B" w:rsidRPr="00494029">
        <w:rPr>
          <w:rFonts w:cs="Arial"/>
        </w:rPr>
        <w:t xml:space="preserve"> and </w:t>
      </w:r>
      <w:bookmarkStart w:id="11" w:name="_Hlk154579085"/>
      <w:r w:rsidR="00D31A80" w:rsidRPr="00494029">
        <w:rPr>
          <w:rFonts w:cs="Arial"/>
        </w:rPr>
        <w:t>the Pettigrew</w:t>
      </w:r>
      <w:r w:rsidR="006D5E6B" w:rsidRPr="00494029">
        <w:rPr>
          <w:rFonts w:cs="Arial"/>
        </w:rPr>
        <w:t xml:space="preserve"> </w:t>
      </w:r>
      <w:r w:rsidR="00F23325" w:rsidRPr="00494029">
        <w:rPr>
          <w:rFonts w:cs="Arial"/>
        </w:rPr>
        <w:t>m</w:t>
      </w:r>
      <w:r w:rsidR="006D5E6B" w:rsidRPr="00494029">
        <w:rPr>
          <w:rFonts w:cs="Arial"/>
        </w:rPr>
        <w:t xml:space="preserve">odel </w:t>
      </w:r>
      <w:bookmarkEnd w:id="11"/>
      <w:r w:rsidR="006D5E6B" w:rsidRPr="00494029">
        <w:rPr>
          <w:rFonts w:cs="Arial"/>
        </w:rPr>
        <w:t>(</w:t>
      </w:r>
      <w:r w:rsidR="00F551A1" w:rsidRPr="00494029">
        <w:rPr>
          <w:rFonts w:cs="Arial"/>
        </w:rPr>
        <w:t>Hamdo, 2021</w:t>
      </w:r>
      <w:r w:rsidR="006D5E6B" w:rsidRPr="00494029">
        <w:rPr>
          <w:rFonts w:cs="Arial"/>
        </w:rPr>
        <w:t>).</w:t>
      </w:r>
      <w:r w:rsidRPr="00494029">
        <w:rPr>
          <w:rFonts w:cs="Arial"/>
        </w:rPr>
        <w:t xml:space="preserve"> This section reviews two such models: Kurt Lewin</w:t>
      </w:r>
      <w:r w:rsidR="008E1DAE" w:rsidRPr="00494029">
        <w:rPr>
          <w:rFonts w:cs="Arial"/>
        </w:rPr>
        <w:t>'</w:t>
      </w:r>
      <w:r w:rsidRPr="00494029">
        <w:rPr>
          <w:rFonts w:cs="Arial"/>
        </w:rPr>
        <w:t>s model of organisation transformation and</w:t>
      </w:r>
      <w:bookmarkStart w:id="12" w:name="_Hlk154526314"/>
      <w:r w:rsidR="00F551A1" w:rsidRPr="00494029">
        <w:rPr>
          <w:rFonts w:cs="Arial"/>
        </w:rPr>
        <w:t xml:space="preserve"> Kotter</w:t>
      </w:r>
      <w:r w:rsidR="008E1DAE" w:rsidRPr="00494029">
        <w:rPr>
          <w:rFonts w:cs="Arial"/>
        </w:rPr>
        <w:t>'</w:t>
      </w:r>
      <w:r w:rsidR="00F551A1" w:rsidRPr="00494029">
        <w:rPr>
          <w:rFonts w:cs="Arial"/>
        </w:rPr>
        <w:t xml:space="preserve">s </w:t>
      </w:r>
      <w:r w:rsidR="00D31A80" w:rsidRPr="00494029">
        <w:rPr>
          <w:rFonts w:cs="Arial"/>
        </w:rPr>
        <w:t>eight</w:t>
      </w:r>
      <w:r w:rsidR="008E1DAE" w:rsidRPr="00494029">
        <w:rPr>
          <w:rFonts w:cs="Arial"/>
        </w:rPr>
        <w:t>-step</w:t>
      </w:r>
      <w:r w:rsidRPr="00494029">
        <w:rPr>
          <w:rFonts w:cs="Arial"/>
        </w:rPr>
        <w:t xml:space="preserve"> Model</w:t>
      </w:r>
      <w:bookmarkEnd w:id="12"/>
      <w:r w:rsidRPr="00494029">
        <w:rPr>
          <w:rFonts w:cs="Arial"/>
        </w:rPr>
        <w:t xml:space="preserve">. </w:t>
      </w:r>
    </w:p>
    <w:p w14:paraId="37F38D79" w14:textId="3141FB01" w:rsidR="00383040" w:rsidRPr="00494029" w:rsidRDefault="00CD1CA8" w:rsidP="00071EAC">
      <w:pPr>
        <w:pStyle w:val="Heading2"/>
      </w:pPr>
      <w:bookmarkStart w:id="13" w:name="_Toc154629648"/>
      <w:r w:rsidRPr="00494029">
        <w:t xml:space="preserve">Kurt Lewin's </w:t>
      </w:r>
      <w:r w:rsidR="00494029" w:rsidRPr="00494029">
        <w:t>Change Model</w:t>
      </w:r>
      <w:bookmarkEnd w:id="13"/>
    </w:p>
    <w:p w14:paraId="15872118" w14:textId="77777777" w:rsidR="00383040" w:rsidRPr="00494029" w:rsidRDefault="00CD1CA8" w:rsidP="00494029">
      <w:pPr>
        <w:spacing w:after="0"/>
        <w:rPr>
          <w:rFonts w:cs="Arial"/>
        </w:rPr>
      </w:pPr>
      <w:r w:rsidRPr="00494029">
        <w:rPr>
          <w:rFonts w:cs="Arial"/>
        </w:rPr>
        <w:t>The theory of change management propounded by Kurt Lewin suggested that people and groups are restrained by obstacles that oppose the driving forces. Bedoya (2018) argues that the essence of such restraint is to keep the status quo by rejecting all the transformations suggested by those pushing for change. In this model, Lewin proposed three vital phases of change implementation that can help align behaviour with the anticipated outcomes (Cummings et al., 2016). In support of the latter assertion, Santos et al. (2023) argue that these stages include unfreezing behaviour, which entails unbundling the set of beliefs and practices previously employed in the organisation, followed by change implementation, whereby the desired actions are implemented. The last phase is refreezing, which entails solidifying the implemented change (Cummings et al., 2016). The analysis of the change management issues and leadership style used in the three stages of Lewin's model is presented below.</w:t>
      </w:r>
    </w:p>
    <w:p w14:paraId="3C4BF330" w14:textId="77777777" w:rsidR="00D31A80" w:rsidRPr="00494029" w:rsidRDefault="00CD1CA8" w:rsidP="00494029">
      <w:pPr>
        <w:spacing w:after="0"/>
        <w:rPr>
          <w:rFonts w:cs="Arial"/>
        </w:rPr>
      </w:pPr>
      <w:r w:rsidRPr="00494029">
        <w:rPr>
          <w:rFonts w:cs="Arial"/>
        </w:rPr>
        <w:t>Several issues might be linked to strategic change in</w:t>
      </w:r>
      <w:r w:rsidR="008E1DAE" w:rsidRPr="00494029">
        <w:rPr>
          <w:rFonts w:cs="Arial"/>
        </w:rPr>
        <w:t xml:space="preserve"> the</w:t>
      </w:r>
      <w:r w:rsidRPr="00494029">
        <w:rPr>
          <w:rFonts w:cs="Arial"/>
        </w:rPr>
        <w:t xml:space="preserve"> Morgan Sindall construction company in the unfreezing stage. These issues include effective management and communication of the change initiative through an effective leadership style. Unfreezing </w:t>
      </w:r>
      <w:r w:rsidRPr="00494029">
        <w:rPr>
          <w:rFonts w:cs="Arial"/>
        </w:rPr>
        <w:lastRenderedPageBreak/>
        <w:t>behaviour entails the perceptual management of stakeholders affected by the impending change and making them ready to embrace it (Cummings et al., 2016). At this juncture, change leaders should identify ways of improving Morgan Sindall's preparedness for change as well as establish the urgency to implement new pathways. During the unfreezing stage, Morgan Sindall's management team concerned with the change initiative must communicate with the affected stakeholders effectively. Santos et al. (2023) assert that using effective communication mechanisms to communicate the proposed change with stakeholders is vital in attaining the buy-in of team members and supporting the people implementing the change. Morgan Sindall's change leaders can use different activities to promote a better approach to implementing new pathways in the organisation</w:t>
      </w:r>
      <w:r w:rsidR="00001CA6" w:rsidRPr="00494029">
        <w:rPr>
          <w:rFonts w:cs="Arial"/>
        </w:rPr>
        <w:t xml:space="preserve"> at the unfreezing stage</w:t>
      </w:r>
      <w:r w:rsidRPr="00494029">
        <w:rPr>
          <w:rFonts w:cs="Arial"/>
        </w:rPr>
        <w:t xml:space="preserve">. </w:t>
      </w:r>
    </w:p>
    <w:p w14:paraId="71B70948" w14:textId="71EA159C" w:rsidR="00001CA6" w:rsidRPr="00494029" w:rsidRDefault="00CD1CA8" w:rsidP="00494029">
      <w:pPr>
        <w:spacing w:after="0"/>
        <w:rPr>
          <w:rFonts w:cs="Arial"/>
        </w:rPr>
      </w:pPr>
      <w:r w:rsidRPr="00494029">
        <w:rPr>
          <w:rFonts w:cs="Arial"/>
        </w:rPr>
        <w:t>First,</w:t>
      </w:r>
      <w:r w:rsidR="00B463BC" w:rsidRPr="00494029">
        <w:rPr>
          <w:rFonts w:cs="Arial"/>
        </w:rPr>
        <w:t xml:space="preserve"> based on Cummings et al. (2016), </w:t>
      </w:r>
      <w:r w:rsidRPr="00494029">
        <w:rPr>
          <w:rFonts w:cs="Arial"/>
        </w:rPr>
        <w:t xml:space="preserve">Morgan Sindall's change leaders can analyse their business processes to comprehend the existing gaps that need innovation to improve efficiency. </w:t>
      </w:r>
      <w:r w:rsidR="00B463BC" w:rsidRPr="00494029">
        <w:rPr>
          <w:rFonts w:cs="Arial"/>
        </w:rPr>
        <w:t>In concurrence, Bedoya (2018) asserts that t</w:t>
      </w:r>
      <w:r w:rsidRPr="00494029">
        <w:rPr>
          <w:rFonts w:cs="Arial"/>
        </w:rPr>
        <w:t xml:space="preserve">he next </w:t>
      </w:r>
      <w:r w:rsidR="00D31A80" w:rsidRPr="00494029">
        <w:rPr>
          <w:rFonts w:cs="Arial"/>
        </w:rPr>
        <w:t>step is to obtain</w:t>
      </w:r>
      <w:r w:rsidRPr="00494029">
        <w:rPr>
          <w:rFonts w:cs="Arial"/>
        </w:rPr>
        <w:t xml:space="preserve"> organisational buy-ins </w:t>
      </w:r>
      <w:r w:rsidR="00D31A80" w:rsidRPr="00494029">
        <w:rPr>
          <w:rFonts w:cs="Arial"/>
        </w:rPr>
        <w:t>from</w:t>
      </w:r>
      <w:r w:rsidRPr="00494029">
        <w:rPr>
          <w:rFonts w:cs="Arial"/>
        </w:rPr>
        <w:t xml:space="preserve"> substantial stakeholders to enhance the possibility of the change idea being supported for implementation. Furthermore, the change leaders should develop a strategic change vision and a strategy for implementing the needed transformative agenda. In addition, as Hussain et al. (2018) suggest, change leaders must communicate compellingly about the need to implement innovative and sustainable building practices in their construction projects. For instance, presenting the case on the rise in green and sustainable consumption practices, the threats posed by climate change</w:t>
      </w:r>
      <w:r w:rsidR="00D31A80" w:rsidRPr="00494029">
        <w:rPr>
          <w:rFonts w:cs="Arial"/>
        </w:rPr>
        <w:t>,</w:t>
      </w:r>
      <w:r w:rsidRPr="00494029">
        <w:rPr>
          <w:rFonts w:cs="Arial"/>
        </w:rPr>
        <w:t xml:space="preserve"> and the need to create social value through their projects would require Morgan Sindall change leaders to embrace a transformative leadership style to stimulate change implementation. </w:t>
      </w:r>
    </w:p>
    <w:p w14:paraId="13CE3E69" w14:textId="554C787C" w:rsidR="00383040" w:rsidRPr="00494029" w:rsidRDefault="00CD1CA8" w:rsidP="00494029">
      <w:pPr>
        <w:spacing w:after="0"/>
        <w:rPr>
          <w:rFonts w:cs="Arial"/>
        </w:rPr>
      </w:pPr>
      <w:r w:rsidRPr="00494029">
        <w:rPr>
          <w:rFonts w:cs="Arial"/>
        </w:rPr>
        <w:t>Through a transformative leadership style, those concerned with implementing innovative and sustainable practices at Morgan Sindall can address staff concerns honestly and transparently, as Hussain et al. (2016) suggest. Leaders must adopt an agile and iterative approach in the change implementation phase because this stage surfaces once the status quo has been distorted (Santos et al., 2023). Likewise, according to Hussain et al. (2016), change leaders need to integrate feedback from staff members to make the path to transition as smooth as possible. Therefore, change leaders must counter and dispel uncertainty by using a combination of measures and actions.</w:t>
      </w:r>
    </w:p>
    <w:p w14:paraId="6A3CFAF0" w14:textId="1F3AFFA5" w:rsidR="00383040" w:rsidRPr="00494029" w:rsidRDefault="00CD1CA8" w:rsidP="00494029">
      <w:pPr>
        <w:spacing w:after="0"/>
        <w:rPr>
          <w:rFonts w:cs="Arial"/>
        </w:rPr>
      </w:pPr>
      <w:r w:rsidRPr="00494029">
        <w:rPr>
          <w:rFonts w:cs="Arial"/>
        </w:rPr>
        <w:t xml:space="preserve">Some of the actions and measures suggested by scholars such as Santos et al. (2023) and Hussain et al. (2018) as effective during the change implementation phase include keeping transparent and ongoing information flow to receive team members' support. This perspective aligns with Agazu et al.'s (2022) view, which suggested that ensuring the continuity of </w:t>
      </w:r>
      <w:r w:rsidRPr="00494029">
        <w:rPr>
          <w:rFonts w:cs="Arial"/>
        </w:rPr>
        <w:lastRenderedPageBreak/>
        <w:t>information flow within change management is crucial in helping change leaders receive support from those involved in its implementation.</w:t>
      </w:r>
      <w:r w:rsidR="00B463BC" w:rsidRPr="00494029">
        <w:rPr>
          <w:rFonts w:cs="Arial"/>
        </w:rPr>
        <w:t xml:space="preserve"> In concurrence with this view, Bedoya (2018) underscores that organisational chang</w:t>
      </w:r>
      <w:r w:rsidRPr="00494029">
        <w:rPr>
          <w:rFonts w:cs="Arial"/>
        </w:rPr>
        <w:t xml:space="preserve">e leaders must also organise workshops and sessions for members to participate in change. Through a transformative leadership style, Morgan Sindall's change leaders can deal with the transformation proactively. Incremental attainment of the project outcomes in implementing sustainable building technologies can help Morgan Sindall's change leaders to motivate their teams for further improvements. </w:t>
      </w:r>
    </w:p>
    <w:p w14:paraId="006D908D" w14:textId="231E330D" w:rsidR="00A96010" w:rsidRPr="00494029" w:rsidRDefault="00CD1CA8" w:rsidP="00494029">
      <w:pPr>
        <w:spacing w:after="0"/>
        <w:rPr>
          <w:rFonts w:cs="Arial"/>
        </w:rPr>
      </w:pPr>
      <w:r w:rsidRPr="00494029">
        <w:rPr>
          <w:rFonts w:cs="Arial"/>
        </w:rPr>
        <w:t>Lastly, under the refreezing phase, change leaders and the involved staff move further from the transition stage towards stabilising and accepting new norms, beliefs</w:t>
      </w:r>
      <w:r w:rsidR="00D31A80" w:rsidRPr="00494029">
        <w:rPr>
          <w:rFonts w:cs="Arial"/>
        </w:rPr>
        <w:t>,</w:t>
      </w:r>
      <w:r w:rsidRPr="00494029">
        <w:rPr>
          <w:rFonts w:cs="Arial"/>
        </w:rPr>
        <w:t xml:space="preserve"> and practices (Mgqibi, 2019). However, contrastive arguments from Moosa et al. (2023), Islam (2023)</w:t>
      </w:r>
      <w:r w:rsidR="00D31A80" w:rsidRPr="00494029">
        <w:rPr>
          <w:rFonts w:cs="Arial"/>
        </w:rPr>
        <w:t>,</w:t>
      </w:r>
      <w:r w:rsidRPr="00494029">
        <w:rPr>
          <w:rFonts w:cs="Arial"/>
        </w:rPr>
        <w:t xml:space="preserve"> and Agazu et al. (2022) reiterate that failing to embed and reinforce the new norm in organisational culture might lead to staff reverting to previous behaviours. In this regard, transformative leaders will use various measures to foster the reinforcement of new behaviour sets in the organisational culture. Some of these measures include identifying and rewarding those who embraced the innovation early alongside change champions. Moreover, Islam (2023) and Agazu et al. (2022) suggest that change leaders must gather feedback from employees regularly to ensure that the new practices become the organisation's culture. Lastly, the company can provide staff training and support programmes tailored to meet their emergent needs.</w:t>
      </w:r>
    </w:p>
    <w:p w14:paraId="7F58F9AE" w14:textId="18674390" w:rsidR="00A96010" w:rsidRPr="00494029" w:rsidRDefault="00CD1CA8" w:rsidP="00071EAC">
      <w:pPr>
        <w:pStyle w:val="Heading2"/>
      </w:pPr>
      <w:bookmarkStart w:id="14" w:name="_Toc154629649"/>
      <w:r w:rsidRPr="00494029">
        <w:t>Kotter's Eight Steps Model</w:t>
      </w:r>
      <w:bookmarkEnd w:id="14"/>
    </w:p>
    <w:p w14:paraId="2C4C395E" w14:textId="0BE6B02E" w:rsidR="00BD30E4" w:rsidRPr="00494029" w:rsidRDefault="00CD1CA8" w:rsidP="00494029">
      <w:pPr>
        <w:spacing w:after="0"/>
        <w:rPr>
          <w:rFonts w:cs="Arial"/>
        </w:rPr>
      </w:pPr>
      <w:r w:rsidRPr="00494029">
        <w:rPr>
          <w:rFonts w:cs="Arial"/>
        </w:rPr>
        <w:t xml:space="preserve">Kotter published a book, </w:t>
      </w:r>
      <w:r w:rsidR="006922E3" w:rsidRPr="00494029">
        <w:rPr>
          <w:rFonts w:cs="Arial"/>
        </w:rPr>
        <w:t>Leading C</w:t>
      </w:r>
      <w:r w:rsidRPr="00494029">
        <w:rPr>
          <w:rFonts w:cs="Arial"/>
        </w:rPr>
        <w:t xml:space="preserve">hange, </w:t>
      </w:r>
      <w:r w:rsidR="006922E3" w:rsidRPr="00494029">
        <w:rPr>
          <w:rFonts w:cs="Arial"/>
        </w:rPr>
        <w:t>describing</w:t>
      </w:r>
      <w:r w:rsidRPr="00494029">
        <w:rPr>
          <w:rFonts w:cs="Arial"/>
        </w:rPr>
        <w:t xml:space="preserve"> eight crucial stages for change implementation (Salman and Broten, 2017). </w:t>
      </w:r>
      <w:bookmarkStart w:id="15" w:name="_Hlk154586077"/>
      <w:r w:rsidRPr="00494029">
        <w:rPr>
          <w:rFonts w:cs="Arial"/>
        </w:rPr>
        <w:t xml:space="preserve">Hamdo (2021) </w:t>
      </w:r>
      <w:bookmarkEnd w:id="15"/>
      <w:r w:rsidRPr="00494029">
        <w:rPr>
          <w:rFonts w:cs="Arial"/>
        </w:rPr>
        <w:t>supports the assertion above by outlining that Kotter</w:t>
      </w:r>
      <w:r w:rsidR="006922E3" w:rsidRPr="00494029">
        <w:rPr>
          <w:rFonts w:cs="Arial"/>
        </w:rPr>
        <w:t>'</w:t>
      </w:r>
      <w:r w:rsidRPr="00494029">
        <w:rPr>
          <w:rFonts w:cs="Arial"/>
        </w:rPr>
        <w:t>s eight steps include establishing urgency, creating a robust guiding coalition, developing a clear change vision, communicating the envisioned organisational future, empowering employees, winning in the short-range, building the base for the transformation and stabilising the change. As a result, during a transformation</w:t>
      </w:r>
      <w:r w:rsidR="006922E3" w:rsidRPr="00494029">
        <w:rPr>
          <w:rFonts w:cs="Arial"/>
        </w:rPr>
        <w:t>'</w:t>
      </w:r>
      <w:r w:rsidRPr="00494029">
        <w:rPr>
          <w:rFonts w:cs="Arial"/>
        </w:rPr>
        <w:t xml:space="preserve">s initial stages, change leaders </w:t>
      </w:r>
      <w:r w:rsidR="006922E3" w:rsidRPr="00494029">
        <w:rPr>
          <w:rFonts w:cs="Arial"/>
        </w:rPr>
        <w:t>must</w:t>
      </w:r>
      <w:r w:rsidRPr="00494029">
        <w:rPr>
          <w:rFonts w:cs="Arial"/>
        </w:rPr>
        <w:t xml:space="preserve"> establish urgency among stakeholders. Salman and Broten (2017) and Hamdo (2021) opine that such urgency should be created by centring on </w:t>
      </w:r>
      <w:r w:rsidR="006922E3" w:rsidRPr="00494029">
        <w:rPr>
          <w:rFonts w:cs="Arial"/>
        </w:rPr>
        <w:t>influentia</w:t>
      </w:r>
      <w:r w:rsidRPr="00494029">
        <w:rPr>
          <w:rFonts w:cs="Arial"/>
        </w:rPr>
        <w:t>l stakeholders, particularly those in top and mid-level management positions. In agreement with this assertion, Hughes (2016) underscored that focusing on influential stakeholders during the earlier stages of initiating change is instrumental in helping change leaders market the proposed ideas among other stakeholder groups, starting with workers. In contrast, Pollack and Pollack (2015) argued that ignoring collective decision-making and embracing linearly sequential steps in change implementation</w:t>
      </w:r>
      <w:r w:rsidR="006922E3" w:rsidRPr="00494029">
        <w:rPr>
          <w:rFonts w:cs="Arial"/>
        </w:rPr>
        <w:t>,</w:t>
      </w:r>
      <w:r w:rsidRPr="00494029">
        <w:rPr>
          <w:rFonts w:cs="Arial"/>
        </w:rPr>
        <w:t xml:space="preserve"> as Kotter</w:t>
      </w:r>
      <w:r w:rsidR="006922E3" w:rsidRPr="00494029">
        <w:rPr>
          <w:rFonts w:cs="Arial"/>
        </w:rPr>
        <w:t>'</w:t>
      </w:r>
      <w:r w:rsidRPr="00494029">
        <w:rPr>
          <w:rFonts w:cs="Arial"/>
        </w:rPr>
        <w:t>s model suggests</w:t>
      </w:r>
      <w:r w:rsidR="006922E3" w:rsidRPr="00494029">
        <w:rPr>
          <w:rFonts w:cs="Arial"/>
        </w:rPr>
        <w:t>,</w:t>
      </w:r>
      <w:r w:rsidRPr="00494029">
        <w:rPr>
          <w:rFonts w:cs="Arial"/>
        </w:rPr>
        <w:t xml:space="preserve"> is problematic as it fails to </w:t>
      </w:r>
      <w:r w:rsidR="006922E3" w:rsidRPr="00494029">
        <w:rPr>
          <w:rFonts w:cs="Arial"/>
        </w:rPr>
        <w:t>fully represent the required action's complexit</w:t>
      </w:r>
      <w:r w:rsidRPr="00494029">
        <w:rPr>
          <w:rFonts w:cs="Arial"/>
        </w:rPr>
        <w:t xml:space="preserve">y. Thus, while influential stakeholders are </w:t>
      </w:r>
      <w:r w:rsidR="006922E3" w:rsidRPr="00494029">
        <w:rPr>
          <w:rFonts w:cs="Arial"/>
        </w:rPr>
        <w:t>essential</w:t>
      </w:r>
      <w:r w:rsidRPr="00494029">
        <w:rPr>
          <w:rFonts w:cs="Arial"/>
        </w:rPr>
        <w:t xml:space="preserve"> in convincing </w:t>
      </w:r>
      <w:r w:rsidRPr="00494029">
        <w:rPr>
          <w:rFonts w:cs="Arial"/>
        </w:rPr>
        <w:lastRenderedPageBreak/>
        <w:t xml:space="preserve">other stakeholder groups to promote change, there should be a collaborative element to make binding decisions about change implementation. </w:t>
      </w:r>
    </w:p>
    <w:p w14:paraId="2951BFE5" w14:textId="4416624F" w:rsidR="00DC5D80" w:rsidRPr="00494029" w:rsidRDefault="00CD1CA8" w:rsidP="00494029">
      <w:pPr>
        <w:spacing w:after="0"/>
        <w:rPr>
          <w:rFonts w:cs="Arial"/>
        </w:rPr>
      </w:pPr>
      <w:r w:rsidRPr="00494029">
        <w:rPr>
          <w:rFonts w:cs="Arial"/>
        </w:rPr>
        <w:t>Based on Kotter</w:t>
      </w:r>
      <w:r w:rsidR="006922E3" w:rsidRPr="00494029">
        <w:rPr>
          <w:rFonts w:cs="Arial"/>
        </w:rPr>
        <w:t>'</w:t>
      </w:r>
      <w:r w:rsidRPr="00494029">
        <w:rPr>
          <w:rFonts w:cs="Arial"/>
        </w:rPr>
        <w:t>s eight</w:t>
      </w:r>
      <w:r w:rsidR="006922E3" w:rsidRPr="00494029">
        <w:rPr>
          <w:rFonts w:cs="Arial"/>
        </w:rPr>
        <w:t>-step</w:t>
      </w:r>
      <w:r w:rsidRPr="00494029">
        <w:rPr>
          <w:rFonts w:cs="Arial"/>
        </w:rPr>
        <w:t xml:space="preserve"> model, a collective leadership style would be appropriate for stimulating the needed change. Fairhurst et al. (2020) describe collective leadership as a management style where joint decision-making mechanisms are embraced to </w:t>
      </w:r>
      <w:r w:rsidR="006922E3" w:rsidRPr="00494029">
        <w:rPr>
          <w:rFonts w:cs="Arial"/>
        </w:rPr>
        <w:t>achieve</w:t>
      </w:r>
      <w:r w:rsidRPr="00494029">
        <w:rPr>
          <w:rFonts w:cs="Arial"/>
        </w:rPr>
        <w:t xml:space="preserve"> shared goals. In alignment with this perspective, Alsaedi</w:t>
      </w:r>
      <w:r w:rsidR="006922E3" w:rsidRPr="00494029">
        <w:rPr>
          <w:rFonts w:cs="Arial"/>
        </w:rPr>
        <w:t>'</w:t>
      </w:r>
      <w:r w:rsidRPr="00494029">
        <w:rPr>
          <w:rFonts w:cs="Arial"/>
        </w:rPr>
        <w:t>s (2022) literature review study revealed that collective leadership is vital for enhancing a collaborative approach to executing change implementation by accentuating power distribution within a firm</w:t>
      </w:r>
      <w:r w:rsidR="006922E3" w:rsidRPr="00494029">
        <w:rPr>
          <w:rFonts w:cs="Arial"/>
        </w:rPr>
        <w:t>'</w:t>
      </w:r>
      <w:r w:rsidRPr="00494029">
        <w:rPr>
          <w:rFonts w:cs="Arial"/>
        </w:rPr>
        <w:t>s many divisions. Pollack and Pollack (2015) emphasise that while Kotter</w:t>
      </w:r>
      <w:r w:rsidR="006922E3" w:rsidRPr="00494029">
        <w:rPr>
          <w:rFonts w:cs="Arial"/>
        </w:rPr>
        <w:t>'</w:t>
      </w:r>
      <w:r w:rsidRPr="00494029">
        <w:rPr>
          <w:rFonts w:cs="Arial"/>
        </w:rPr>
        <w:t xml:space="preserve">s model places primacy on a top-led change model, it is practically necessary to allow engagement across diverse organisational levels to implement transformative ideas. This perspective depicts the change process as linearly sequential (Pollack and Pollack, 2015). Through the collective leadership style, Morgan Sindall will be able to aggregate </w:t>
      </w:r>
      <w:r w:rsidR="006922E3" w:rsidRPr="00494029">
        <w:rPr>
          <w:rFonts w:cs="Arial"/>
        </w:rPr>
        <w:t xml:space="preserve">the </w:t>
      </w:r>
      <w:r w:rsidRPr="00494029">
        <w:rPr>
          <w:rFonts w:cs="Arial"/>
        </w:rPr>
        <w:t>individual talents of their workforce, as well as their professional experience and strengths</w:t>
      </w:r>
      <w:r w:rsidR="006922E3" w:rsidRPr="00494029">
        <w:rPr>
          <w:rFonts w:cs="Arial"/>
        </w:rPr>
        <w:t>,</w:t>
      </w:r>
      <w:r w:rsidRPr="00494029">
        <w:rPr>
          <w:rFonts w:cs="Arial"/>
        </w:rPr>
        <w:t xml:space="preserve"> to foster change implementation, as Alsaedi (2022) suggest. In this regard, Morgan Sindall</w:t>
      </w:r>
      <w:r w:rsidR="006922E3" w:rsidRPr="00494029">
        <w:rPr>
          <w:rFonts w:cs="Arial"/>
        </w:rPr>
        <w:t>'</w:t>
      </w:r>
      <w:r w:rsidRPr="00494029">
        <w:rPr>
          <w:rFonts w:cs="Arial"/>
        </w:rPr>
        <w:t>s many corporate divisions can work collaboratively to implement change to enhance the sustainability scores of their construction and infrastructural projects.</w:t>
      </w:r>
    </w:p>
    <w:p w14:paraId="29F5C1A4" w14:textId="0BFA90E7" w:rsidR="00F366CB" w:rsidRPr="00494029" w:rsidRDefault="00CD1CA8" w:rsidP="00071EAC">
      <w:pPr>
        <w:pStyle w:val="Heading1"/>
      </w:pPr>
      <w:bookmarkStart w:id="16" w:name="_Toc154629650"/>
      <w:r w:rsidRPr="00494029">
        <w:t>f) Impact of Organisational Culture on The Change Management Program</w:t>
      </w:r>
      <w:bookmarkEnd w:id="16"/>
    </w:p>
    <w:p w14:paraId="54128A57" w14:textId="01F6B194" w:rsidR="00F366CB" w:rsidRPr="00494029" w:rsidRDefault="00CD1CA8" w:rsidP="00494029">
      <w:pPr>
        <w:spacing w:after="0"/>
        <w:rPr>
          <w:rFonts w:cs="Arial"/>
        </w:rPr>
      </w:pPr>
      <w:r w:rsidRPr="00494029">
        <w:rPr>
          <w:rFonts w:cs="Arial"/>
        </w:rPr>
        <w:t>Change is expected in any organisation. A</w:t>
      </w:r>
      <w:r w:rsidR="004D72BA" w:rsidRPr="00494029">
        <w:rPr>
          <w:rFonts w:cs="Arial"/>
        </w:rPr>
        <w:t>n a</w:t>
      </w:r>
      <w:r w:rsidRPr="00494029">
        <w:rPr>
          <w:rFonts w:cs="Arial"/>
        </w:rPr>
        <w:t xml:space="preserve">gile and healthily cultured organisation </w:t>
      </w:r>
      <w:r w:rsidR="004D72BA" w:rsidRPr="00494029">
        <w:rPr>
          <w:rFonts w:cs="Arial"/>
        </w:rPr>
        <w:t xml:space="preserve">like Morgan Sindall </w:t>
      </w:r>
      <w:r w:rsidR="00494029" w:rsidRPr="00494029">
        <w:rPr>
          <w:rFonts w:cs="Arial"/>
        </w:rPr>
        <w:t>is</w:t>
      </w:r>
      <w:r w:rsidRPr="00494029">
        <w:rPr>
          <w:rFonts w:cs="Arial"/>
        </w:rPr>
        <w:t xml:space="preserve"> often better positioned to respond to such changes appropriately. For instance, Bagga et al. (2023) assert that some organisations capitalise on change by establishing and maintaining supportive rather than problematic cultures. In agreement with this assertion, Lee (2020) and Dark et al. (2017) indicate that culture determines the success of transformation efforts in an organisation. In that regard, Felipe et al. (2017) contend that transformational efforts become successful when the culture is measurable and defined clearly, in line with strategy, manifested appropriately, and </w:t>
      </w:r>
      <w:r w:rsidR="004D72BA" w:rsidRPr="00494029">
        <w:rPr>
          <w:rFonts w:cs="Arial"/>
        </w:rPr>
        <w:t>entail</w:t>
      </w:r>
      <w:r w:rsidR="006922E3" w:rsidRPr="00494029">
        <w:rPr>
          <w:rFonts w:cs="Arial"/>
        </w:rPr>
        <w:t>s</w:t>
      </w:r>
      <w:r w:rsidRPr="00494029">
        <w:rPr>
          <w:rFonts w:cs="Arial"/>
        </w:rPr>
        <w:t xml:space="preserve"> trust. The culture revolves around many measures in an organisation. Groysberg et al. (2018) suggest that such measures include how work is executed, strategies are implemented, hiring processes, decisions, investments, and motivation. The tone of the culture is set by the organisation's top leadership and decision-makers. A positive culture in an organisation is characterised by many indicators. For instance, high productivity and performance are evident. In addition, such an organisation has high employee retention rates (Felipe et al., 2017). Groysberg et al. (2018) and Lee (2020) align with the latter perspective, suggesting that </w:t>
      </w:r>
      <w:r w:rsidR="006922E3" w:rsidRPr="00494029">
        <w:rPr>
          <w:rFonts w:cs="Arial"/>
        </w:rPr>
        <w:t>effective decision-making patterns define such an organisation</w:t>
      </w:r>
      <w:r w:rsidRPr="00494029">
        <w:rPr>
          <w:rFonts w:cs="Arial"/>
        </w:rPr>
        <w:t xml:space="preserve">. Moreover, there are good relationships and teamwork among employees. Dark et </w:t>
      </w:r>
      <w:r w:rsidRPr="00494029">
        <w:rPr>
          <w:rFonts w:cs="Arial"/>
        </w:rPr>
        <w:lastRenderedPageBreak/>
        <w:t xml:space="preserve">al. (2017) concur with the argument above, outlining that when the organisational culture supports transformation, change is managed with extreme agility and smoothness. </w:t>
      </w:r>
    </w:p>
    <w:p w14:paraId="66521CAC" w14:textId="77777777" w:rsidR="00F366CB" w:rsidRPr="00494029" w:rsidRDefault="00CD1CA8" w:rsidP="00494029">
      <w:pPr>
        <w:spacing w:after="0"/>
        <w:rPr>
          <w:rFonts w:cs="Arial"/>
        </w:rPr>
      </w:pPr>
      <w:r w:rsidRPr="00494029">
        <w:rPr>
          <w:rFonts w:cs="Arial"/>
        </w:rPr>
        <w:t xml:space="preserve">Every organisation is expected to make necessary adjustments to its strategy in the foreseeable future. The success and failure of these changes in strategy is determined by the culture around the organisation. Change may face resistance in an organisation when it is unacceptable (Hickman and Silva, 2018). A culture issue arises when team members are more comfortable with the current systems and measures in the organisation and are hesitant to try new ventures (Bagga et al., 2023). Strategy and culture are the integral units in an organisation that drive change. </w:t>
      </w:r>
    </w:p>
    <w:p w14:paraId="7722CFFE" w14:textId="50EA47BC" w:rsidR="00F366CB" w:rsidRPr="00494029" w:rsidRDefault="00CD1CA8" w:rsidP="00494029">
      <w:pPr>
        <w:spacing w:after="0"/>
        <w:rPr>
          <w:rFonts w:cs="Arial"/>
        </w:rPr>
      </w:pPr>
      <w:r w:rsidRPr="00494029">
        <w:rPr>
          <w:rFonts w:cs="Arial"/>
        </w:rPr>
        <w:t xml:space="preserve">Change management efforts can be made effective by incorporating some measures. First, there is a need to foster open communication in </w:t>
      </w:r>
      <w:r w:rsidR="004D72BA" w:rsidRPr="00494029">
        <w:rPr>
          <w:rFonts w:cs="Arial"/>
        </w:rPr>
        <w:t>Morgan Sindall</w:t>
      </w:r>
      <w:r w:rsidRPr="00494029">
        <w:rPr>
          <w:rFonts w:cs="Arial"/>
        </w:rPr>
        <w:t xml:space="preserve">. This measure can be achieved by ensuring honesty and respect in the organisation. There also needs to be constant check-ups and asking for reviews from employees (Felipe et al., 2017). The communication plan should be evaluated periodically to ensure that it is working. Open communication is vital in an organisation, leading to increased employee motivation, productivity levels, and enhanced diversity and inclusion. In addition, change management efforts require listening to employee feedback (Hickman </w:t>
      </w:r>
      <w:r w:rsidR="00494029">
        <w:rPr>
          <w:rFonts w:cs="Arial"/>
        </w:rPr>
        <w:t>and</w:t>
      </w:r>
      <w:r w:rsidRPr="00494029">
        <w:rPr>
          <w:rFonts w:cs="Arial"/>
        </w:rPr>
        <w:t xml:space="preserve"> Silva, 2018). This aspect is done by responding to the concerns of all employees. Responding to concerns involves identifying issues of concern, communicating effectively, collecting and analysing data, and giving feedback. Listening to employees affects various aspects of the organisation, such as productivity, innovation, adaptation, satisfaction of customers, employee retention, and absenteeism (Bagga et al., 2023). These aspects are determined by the culture vested in the organisation. </w:t>
      </w:r>
    </w:p>
    <w:p w14:paraId="0D92377E" w14:textId="5CC1AB5C" w:rsidR="00F366CB" w:rsidRPr="00494029" w:rsidRDefault="00CD1CA8" w:rsidP="00494029">
      <w:pPr>
        <w:spacing w:after="0"/>
        <w:rPr>
          <w:rFonts w:cs="Arial"/>
        </w:rPr>
      </w:pPr>
      <w:r w:rsidRPr="00494029">
        <w:rPr>
          <w:rFonts w:cs="Arial"/>
        </w:rPr>
        <w:t xml:space="preserve">Moreover, change management efforts require upholding organisational transparency (Hickman and Silva, 2018). Transparency is </w:t>
      </w:r>
      <w:r w:rsidR="006922E3" w:rsidRPr="00494029">
        <w:rPr>
          <w:rFonts w:cs="Arial"/>
        </w:rPr>
        <w:t>crucial</w:t>
      </w:r>
      <w:r w:rsidRPr="00494029">
        <w:rPr>
          <w:rFonts w:cs="Arial"/>
        </w:rPr>
        <w:t xml:space="preserve"> in a</w:t>
      </w:r>
      <w:r w:rsidR="004D72BA" w:rsidRPr="00494029">
        <w:rPr>
          <w:rFonts w:cs="Arial"/>
        </w:rPr>
        <w:t xml:space="preserve"> large and focused</w:t>
      </w:r>
      <w:r w:rsidRPr="00494029">
        <w:rPr>
          <w:rFonts w:cs="Arial"/>
        </w:rPr>
        <w:t xml:space="preserve"> organisation</w:t>
      </w:r>
      <w:r w:rsidR="004D72BA" w:rsidRPr="00494029">
        <w:rPr>
          <w:rFonts w:cs="Arial"/>
        </w:rPr>
        <w:t xml:space="preserve"> like Morgan Sindall</w:t>
      </w:r>
      <w:r w:rsidRPr="00494029">
        <w:rPr>
          <w:rFonts w:cs="Arial"/>
        </w:rPr>
        <w:t xml:space="preserve">. It involves sharing information effectively, communicating appropriately, and being open-minded to feedback. Transparency in an organisation provides an avenue where employees air their ideas and concerns comfortably (Felipe et al., 2017). Transparency can be fostered when managers and team leaders lead by example. Lack of </w:t>
      </w:r>
      <w:r w:rsidR="006922E3" w:rsidRPr="00494029">
        <w:rPr>
          <w:rFonts w:cs="Arial"/>
        </w:rPr>
        <w:t>openness</w:t>
      </w:r>
      <w:r w:rsidRPr="00494029">
        <w:rPr>
          <w:rFonts w:cs="Arial"/>
        </w:rPr>
        <w:t xml:space="preserve"> gives negative feedback, reduced productivity and profitability, and reduced employee motivation (Bagga et al., 2023). Finally, change management efforts require embracing progress. Any progress, however minimal, is worth acknowledging. </w:t>
      </w:r>
      <w:r w:rsidR="006922E3" w:rsidRPr="00494029">
        <w:rPr>
          <w:rFonts w:cs="Arial"/>
        </w:rPr>
        <w:t>Improvement</w:t>
      </w:r>
      <w:r w:rsidRPr="00494029">
        <w:rPr>
          <w:rFonts w:cs="Arial"/>
        </w:rPr>
        <w:t xml:space="preserve"> helps determine if the change in action is effective or hinders the organisation. </w:t>
      </w:r>
    </w:p>
    <w:p w14:paraId="3D6785C2" w14:textId="6F20914A" w:rsidR="00F366CB" w:rsidRPr="00494029" w:rsidRDefault="00CD1CA8" w:rsidP="00494029">
      <w:pPr>
        <w:spacing w:after="0"/>
        <w:rPr>
          <w:rFonts w:cs="Arial"/>
        </w:rPr>
      </w:pPr>
      <w:r w:rsidRPr="00494029">
        <w:rPr>
          <w:rFonts w:cs="Arial"/>
        </w:rPr>
        <w:t xml:space="preserve">Sometimes, culture becomes a barrier to transformations in organisations. This phenomenon could be attributed to misalignment with strategy. An organisation's culture should </w:t>
      </w:r>
      <w:r w:rsidRPr="00494029">
        <w:rPr>
          <w:rFonts w:cs="Arial"/>
        </w:rPr>
        <w:lastRenderedPageBreak/>
        <w:t>align with its strategy and purpose (Felipe et al., 2017). Ensuring such alignment</w:t>
      </w:r>
      <w:r w:rsidR="004D72BA" w:rsidRPr="00494029">
        <w:rPr>
          <w:rFonts w:cs="Arial"/>
        </w:rPr>
        <w:t xml:space="preserve"> at Morgan Sindall</w:t>
      </w:r>
      <w:r w:rsidRPr="00494029">
        <w:rPr>
          <w:rFonts w:cs="Arial"/>
        </w:rPr>
        <w:t xml:space="preserve"> will help reduce </w:t>
      </w:r>
      <w:r w:rsidR="006922E3" w:rsidRPr="00494029">
        <w:rPr>
          <w:rFonts w:cs="Arial"/>
        </w:rPr>
        <w:t xml:space="preserve">the </w:t>
      </w:r>
      <w:r w:rsidRPr="00494029">
        <w:rPr>
          <w:rFonts w:cs="Arial"/>
        </w:rPr>
        <w:t xml:space="preserve">time wasted in reversing strategies. Before employing any strategy in an organisation, it is prudent to study the culture </w:t>
      </w:r>
      <w:r w:rsidR="006922E3" w:rsidRPr="00494029">
        <w:rPr>
          <w:rFonts w:cs="Arial"/>
        </w:rPr>
        <w:t>us</w:t>
      </w:r>
      <w:r w:rsidRPr="00494029">
        <w:rPr>
          <w:rFonts w:cs="Arial"/>
        </w:rPr>
        <w:t xml:space="preserve">ed (Bagga et al., 2023). Another barrier is misalignment with commitments. </w:t>
      </w:r>
      <w:r w:rsidR="004D72BA" w:rsidRPr="00494029">
        <w:rPr>
          <w:rFonts w:cs="Arial"/>
        </w:rPr>
        <w:t>Morgan Sindall should</w:t>
      </w:r>
      <w:r w:rsidRPr="00494029">
        <w:rPr>
          <w:rFonts w:cs="Arial"/>
        </w:rPr>
        <w:t xml:space="preserve"> stick to its purpose and mission throughout its operations. Priority should always be given to </w:t>
      </w:r>
      <w:r w:rsidR="006922E3" w:rsidRPr="00494029">
        <w:rPr>
          <w:rFonts w:cs="Arial"/>
        </w:rPr>
        <w:t>essential</w:t>
      </w:r>
      <w:r w:rsidRPr="00494029">
        <w:rPr>
          <w:rFonts w:cs="Arial"/>
        </w:rPr>
        <w:t xml:space="preserve"> things that generate significant profits. Culture becomes a barrier when there is a gap between an organisation's priorities and purpose. Commitment to an organisation's strategy and </w:t>
      </w:r>
      <w:r w:rsidR="006922E3" w:rsidRPr="00494029">
        <w:rPr>
          <w:rFonts w:cs="Arial"/>
        </w:rPr>
        <w:t>goal</w:t>
      </w:r>
      <w:r w:rsidRPr="00494029">
        <w:rPr>
          <w:rFonts w:cs="Arial"/>
        </w:rPr>
        <w:t xml:space="preserve"> helps build trust across all levels of the organisation (Felipe et al., 2017). Trust plays a vital role in change management and all efforts of transformative approaches in an organisation (Hickman and Silva, 2018). Trust </w:t>
      </w:r>
      <w:r w:rsidR="004D72BA" w:rsidRPr="00494029">
        <w:rPr>
          <w:rFonts w:cs="Arial"/>
        </w:rPr>
        <w:t xml:space="preserve">will </w:t>
      </w:r>
      <w:r w:rsidRPr="00494029">
        <w:rPr>
          <w:rFonts w:cs="Arial"/>
        </w:rPr>
        <w:t>help</w:t>
      </w:r>
      <w:r w:rsidR="004D72BA" w:rsidRPr="00494029">
        <w:rPr>
          <w:rFonts w:cs="Arial"/>
        </w:rPr>
        <w:t xml:space="preserve"> Morgan Sindall</w:t>
      </w:r>
      <w:r w:rsidR="006922E3" w:rsidRPr="00494029">
        <w:rPr>
          <w:rFonts w:cs="Arial"/>
        </w:rPr>
        <w:t>'</w:t>
      </w:r>
      <w:r w:rsidR="004D72BA" w:rsidRPr="00494029">
        <w:rPr>
          <w:rFonts w:cs="Arial"/>
        </w:rPr>
        <w:t>s</w:t>
      </w:r>
      <w:r w:rsidRPr="00494029">
        <w:rPr>
          <w:rFonts w:cs="Arial"/>
        </w:rPr>
        <w:t xml:space="preserve"> </w:t>
      </w:r>
      <w:r w:rsidR="004D72BA" w:rsidRPr="00494029">
        <w:rPr>
          <w:rFonts w:cs="Arial"/>
        </w:rPr>
        <w:t>workers</w:t>
      </w:r>
      <w:r w:rsidRPr="00494029">
        <w:rPr>
          <w:rFonts w:cs="Arial"/>
        </w:rPr>
        <w:t xml:space="preserve"> to develop uniform objects towards</w:t>
      </w:r>
      <w:r w:rsidR="006922E3" w:rsidRPr="00494029">
        <w:rPr>
          <w:rFonts w:cs="Arial"/>
        </w:rPr>
        <w:t xml:space="preserve"> </w:t>
      </w:r>
      <w:r w:rsidRPr="00494029">
        <w:rPr>
          <w:rFonts w:cs="Arial"/>
        </w:rPr>
        <w:t xml:space="preserve">change since it is an essential element of culture. </w:t>
      </w:r>
    </w:p>
    <w:p w14:paraId="47834B07" w14:textId="0B423AAE" w:rsidR="00F366CB" w:rsidRPr="00494029" w:rsidRDefault="00CD1CA8" w:rsidP="00071EAC">
      <w:pPr>
        <w:pStyle w:val="Heading2"/>
      </w:pPr>
      <w:bookmarkStart w:id="17" w:name="_Toc154629651"/>
      <w:r w:rsidRPr="00494029">
        <w:t>Change Management Plan</w:t>
      </w:r>
      <w:bookmarkEnd w:id="17"/>
    </w:p>
    <w:p w14:paraId="327F5EB2" w14:textId="775EA629" w:rsidR="00BD30E4" w:rsidRPr="00494029" w:rsidRDefault="00CD1CA8" w:rsidP="00071EAC">
      <w:pPr>
        <w:pStyle w:val="Heading3"/>
      </w:pPr>
      <w:bookmarkStart w:id="18" w:name="_Toc154629652"/>
      <w:r w:rsidRPr="00494029">
        <w:t>Proposed change</w:t>
      </w:r>
      <w:bookmarkEnd w:id="18"/>
    </w:p>
    <w:p w14:paraId="4B1FADAD" w14:textId="2A2818CF" w:rsidR="00BD30E4" w:rsidRPr="00494029" w:rsidRDefault="00CD1CA8" w:rsidP="00494029">
      <w:pPr>
        <w:spacing w:after="0"/>
        <w:rPr>
          <w:rFonts w:cs="Arial"/>
        </w:rPr>
      </w:pPr>
      <w:r w:rsidRPr="00494029">
        <w:rPr>
          <w:rFonts w:cs="Arial"/>
        </w:rPr>
        <w:t xml:space="preserve">Morgan Sindall should explore new possibilities </w:t>
      </w:r>
      <w:r w:rsidR="006922E3" w:rsidRPr="00494029">
        <w:rPr>
          <w:rFonts w:cs="Arial"/>
        </w:rPr>
        <w:t>for</w:t>
      </w:r>
      <w:r w:rsidRPr="00494029">
        <w:rPr>
          <w:rFonts w:cs="Arial"/>
        </w:rPr>
        <w:t xml:space="preserve"> using sustainable building materials to reduce embodied carbon and align with its climate change initiatives. One such idea the company should focus on is </w:t>
      </w:r>
      <w:r w:rsidR="006922E3" w:rsidRPr="00494029">
        <w:rPr>
          <w:rFonts w:cs="Arial"/>
        </w:rPr>
        <w:t>using</w:t>
      </w:r>
      <w:r w:rsidRPr="00494029">
        <w:rPr>
          <w:rFonts w:cs="Arial"/>
        </w:rPr>
        <w:t xml:space="preserve"> sustainable concrete and fly ash (Linstroth, 2023). These products have been suggested by Hemalatha and Ramaswamy (2017) and Nayak et al. (2022) as capable of promoting the net zero agenda. Sustainable concrete absorbs more carbon tha</w:t>
      </w:r>
      <w:r w:rsidR="006922E3" w:rsidRPr="00494029">
        <w:rPr>
          <w:rFonts w:cs="Arial"/>
        </w:rPr>
        <w:t>n</w:t>
      </w:r>
      <w:r w:rsidRPr="00494029">
        <w:rPr>
          <w:rFonts w:cs="Arial"/>
        </w:rPr>
        <w:t xml:space="preserve"> the volume it emits during production (Nayak et al., 2022). Likewise, fly ash is a sustainable cement that can substitute traditional cement in construction sites (Nayak et al., 2022). in support, Linstroth (2023) argues that this cement typology help</w:t>
      </w:r>
      <w:r w:rsidR="006922E3" w:rsidRPr="00494029">
        <w:rPr>
          <w:rFonts w:cs="Arial"/>
        </w:rPr>
        <w:t>s</w:t>
      </w:r>
      <w:r w:rsidRPr="00494029">
        <w:rPr>
          <w:rFonts w:cs="Arial"/>
        </w:rPr>
        <w:t xml:space="preserve"> reduce the harmful disposals from the built environment to landfills. Therefore, the change management plans are suitable for this proposed idea.</w:t>
      </w:r>
    </w:p>
    <w:p w14:paraId="62C1FE51" w14:textId="5A1A69DA" w:rsidR="00BD30E4" w:rsidRPr="00494029" w:rsidRDefault="00CD1CA8" w:rsidP="00071EAC">
      <w:pPr>
        <w:pStyle w:val="Heading3"/>
      </w:pPr>
      <w:bookmarkStart w:id="19" w:name="_Toc154629653"/>
      <w:r w:rsidRPr="00494029">
        <w:t>Staff training and development plan</w:t>
      </w:r>
      <w:bookmarkEnd w:id="19"/>
    </w:p>
    <w:p w14:paraId="2F7CE267" w14:textId="0ECD62DA" w:rsidR="00BD30E4" w:rsidRPr="00494029" w:rsidRDefault="00CD1CA8" w:rsidP="00494029">
      <w:pPr>
        <w:spacing w:after="0"/>
        <w:rPr>
          <w:rFonts w:cs="Arial"/>
        </w:rPr>
      </w:pPr>
      <w:r w:rsidRPr="00494029">
        <w:rPr>
          <w:rFonts w:cs="Arial"/>
        </w:rPr>
        <w:t>Training</w:t>
      </w:r>
      <w:r w:rsidR="004D72BA" w:rsidRPr="00494029">
        <w:rPr>
          <w:rFonts w:cs="Arial"/>
        </w:rPr>
        <w:t xml:space="preserve"> </w:t>
      </w:r>
      <w:bookmarkStart w:id="20" w:name="_Hlk154646179"/>
      <w:r w:rsidR="004D72BA" w:rsidRPr="00494029">
        <w:rPr>
          <w:rFonts w:cs="Arial"/>
        </w:rPr>
        <w:t>Morgan Sindall</w:t>
      </w:r>
      <w:r w:rsidR="006922E3" w:rsidRPr="00494029">
        <w:rPr>
          <w:rFonts w:cs="Arial"/>
        </w:rPr>
        <w:t>'</w:t>
      </w:r>
      <w:r w:rsidR="004D72BA" w:rsidRPr="00494029">
        <w:rPr>
          <w:rFonts w:cs="Arial"/>
        </w:rPr>
        <w:t>s</w:t>
      </w:r>
      <w:r w:rsidRPr="00494029">
        <w:rPr>
          <w:rFonts w:cs="Arial"/>
        </w:rPr>
        <w:t xml:space="preserve"> </w:t>
      </w:r>
      <w:bookmarkEnd w:id="20"/>
      <w:r w:rsidRPr="00494029">
        <w:rPr>
          <w:rFonts w:cs="Arial"/>
        </w:rPr>
        <w:t xml:space="preserve">employees on sustainable building approaches will be key to </w:t>
      </w:r>
      <w:r w:rsidR="006922E3" w:rsidRPr="00494029">
        <w:rPr>
          <w:rFonts w:cs="Arial"/>
        </w:rPr>
        <w:t>implementing</w:t>
      </w:r>
      <w:r w:rsidRPr="00494029">
        <w:rPr>
          <w:rFonts w:cs="Arial"/>
        </w:rPr>
        <w:t xml:space="preserve"> the proposed idea. Staff training on new pathways helps reduce errors made during programme execution (Lipow, 2019). Thus, </w:t>
      </w:r>
      <w:r w:rsidR="004D72BA" w:rsidRPr="00494029">
        <w:rPr>
          <w:rFonts w:cs="Arial"/>
        </w:rPr>
        <w:t>Morgan Sindall</w:t>
      </w:r>
      <w:r w:rsidR="006922E3" w:rsidRPr="00494029">
        <w:rPr>
          <w:rFonts w:cs="Arial"/>
        </w:rPr>
        <w:t>'</w:t>
      </w:r>
      <w:r w:rsidR="004D72BA" w:rsidRPr="00494029">
        <w:rPr>
          <w:rFonts w:cs="Arial"/>
        </w:rPr>
        <w:t>s</w:t>
      </w:r>
      <w:r w:rsidRPr="00494029">
        <w:rPr>
          <w:rFonts w:cs="Arial"/>
        </w:rPr>
        <w:t xml:space="preserve"> project team </w:t>
      </w:r>
      <w:r w:rsidR="004D72BA" w:rsidRPr="00494029">
        <w:rPr>
          <w:rFonts w:cs="Arial"/>
        </w:rPr>
        <w:t>will</w:t>
      </w:r>
      <w:r w:rsidRPr="00494029">
        <w:rPr>
          <w:rFonts w:cs="Arial"/>
        </w:rPr>
        <w:t xml:space="preserve"> provide a seven-day training programme to staff members before rolling out the change.</w:t>
      </w:r>
      <w:r w:rsidR="004D72BA" w:rsidRPr="00494029">
        <w:rPr>
          <w:rFonts w:cs="Arial"/>
        </w:rPr>
        <w:t xml:space="preserve"> This programme will equip them with hands-on skills to use during the project</w:t>
      </w:r>
      <w:r w:rsidR="006922E3" w:rsidRPr="00494029">
        <w:rPr>
          <w:rFonts w:cs="Arial"/>
        </w:rPr>
        <w:t>'</w:t>
      </w:r>
      <w:r w:rsidR="004D72BA" w:rsidRPr="00494029">
        <w:rPr>
          <w:rFonts w:cs="Arial"/>
        </w:rPr>
        <w:t>s initial stages. Key concepts to be integrated in</w:t>
      </w:r>
      <w:r w:rsidR="006922E3" w:rsidRPr="00494029">
        <w:rPr>
          <w:rFonts w:cs="Arial"/>
        </w:rPr>
        <w:t>to</w:t>
      </w:r>
      <w:r w:rsidR="004D72BA" w:rsidRPr="00494029">
        <w:rPr>
          <w:rFonts w:cs="Arial"/>
        </w:rPr>
        <w:t xml:space="preserve"> the training and development plan include the use of biogenic limestone and fly ash in construction as sustainable alternatives.</w:t>
      </w:r>
      <w:r w:rsidRPr="00494029">
        <w:rPr>
          <w:rFonts w:cs="Arial"/>
        </w:rPr>
        <w:t xml:space="preserve"> After launching the idea, </w:t>
      </w:r>
      <w:r w:rsidR="004D72BA" w:rsidRPr="00494029">
        <w:rPr>
          <w:rFonts w:cs="Arial"/>
        </w:rPr>
        <w:t>Morgan Sindall</w:t>
      </w:r>
      <w:r w:rsidR="006922E3" w:rsidRPr="00494029">
        <w:rPr>
          <w:rFonts w:cs="Arial"/>
        </w:rPr>
        <w:t>'</w:t>
      </w:r>
      <w:r w:rsidR="004D72BA" w:rsidRPr="00494029">
        <w:rPr>
          <w:rFonts w:cs="Arial"/>
        </w:rPr>
        <w:t xml:space="preserve">s </w:t>
      </w:r>
      <w:r w:rsidRPr="00494029">
        <w:rPr>
          <w:rFonts w:cs="Arial"/>
        </w:rPr>
        <w:t xml:space="preserve">employees should be offered opportunities for professional development on sustainable building practices through workshops, induction and boot camps. </w:t>
      </w:r>
    </w:p>
    <w:p w14:paraId="5F4A0730" w14:textId="01466F5E" w:rsidR="00BD30E4" w:rsidRPr="00494029" w:rsidRDefault="00CD1CA8" w:rsidP="00071EAC">
      <w:pPr>
        <w:pStyle w:val="Heading3"/>
      </w:pPr>
      <w:bookmarkStart w:id="21" w:name="_Toc154629654"/>
      <w:r w:rsidRPr="00494029">
        <w:lastRenderedPageBreak/>
        <w:t>Communication plan</w:t>
      </w:r>
      <w:bookmarkEnd w:id="21"/>
    </w:p>
    <w:p w14:paraId="73BD4F57" w14:textId="5F0705E5" w:rsidR="00BD30E4" w:rsidRPr="00494029" w:rsidRDefault="00CD1CA8" w:rsidP="00494029">
      <w:pPr>
        <w:spacing w:after="0"/>
        <w:rPr>
          <w:rFonts w:cs="Arial"/>
        </w:rPr>
      </w:pPr>
      <w:r w:rsidRPr="00494029">
        <w:rPr>
          <w:rFonts w:cs="Arial"/>
        </w:rPr>
        <w:t>Communicating the change idea to stakeholders is important in providing the organisation with the opportunity to receive feedback from those affected by the proposed transformation. Clear communication of change objectives helps remove misunderstanding</w:t>
      </w:r>
      <w:r w:rsidR="006922E3" w:rsidRPr="00494029">
        <w:rPr>
          <w:rFonts w:cs="Arial"/>
        </w:rPr>
        <w:t>s</w:t>
      </w:r>
      <w:r w:rsidRPr="00494029">
        <w:rPr>
          <w:rFonts w:cs="Arial"/>
        </w:rPr>
        <w:t xml:space="preserve"> and increase the chances of project support from diverse stakeholder groups (Hubbart, 2023; Marnada et al., 2022). </w:t>
      </w:r>
      <w:bookmarkStart w:id="22" w:name="_Hlk154645446"/>
      <w:r w:rsidR="004D72BA" w:rsidRPr="00494029">
        <w:rPr>
          <w:rFonts w:cs="Arial"/>
        </w:rPr>
        <w:t>Morgan Sindall</w:t>
      </w:r>
      <w:r w:rsidR="006922E3" w:rsidRPr="00494029">
        <w:rPr>
          <w:rFonts w:cs="Arial"/>
        </w:rPr>
        <w:t>'</w:t>
      </w:r>
      <w:r w:rsidR="004D72BA" w:rsidRPr="00494029">
        <w:rPr>
          <w:rFonts w:cs="Arial"/>
        </w:rPr>
        <w:t xml:space="preserve">s </w:t>
      </w:r>
      <w:bookmarkEnd w:id="22"/>
      <w:r w:rsidRPr="00494029">
        <w:rPr>
          <w:rFonts w:cs="Arial"/>
        </w:rPr>
        <w:t xml:space="preserve">change leaders will communicate the new ideas to employees, suppliers, customers and construction professionals and ask them to give feedback. After that, the thoughts </w:t>
      </w:r>
      <w:r w:rsidR="006922E3" w:rsidRPr="00494029">
        <w:rPr>
          <w:rFonts w:cs="Arial"/>
        </w:rPr>
        <w:t>of diverse stakeholder groups such as house buyers, developers, tenants,</w:t>
      </w:r>
      <w:r w:rsidR="004D72BA" w:rsidRPr="00494029">
        <w:rPr>
          <w:rFonts w:cs="Arial"/>
        </w:rPr>
        <w:t xml:space="preserve"> and site engineers</w:t>
      </w:r>
      <w:r w:rsidRPr="00494029">
        <w:rPr>
          <w:rFonts w:cs="Arial"/>
        </w:rPr>
        <w:t xml:space="preserve"> will be used to improve the project outcome. </w:t>
      </w:r>
      <w:r w:rsidR="004D72BA" w:rsidRPr="00494029">
        <w:rPr>
          <w:rFonts w:cs="Arial"/>
        </w:rPr>
        <w:t>Morgan Sindall</w:t>
      </w:r>
      <w:r w:rsidR="006922E3" w:rsidRPr="00494029">
        <w:rPr>
          <w:rFonts w:cs="Arial"/>
        </w:rPr>
        <w:t>'</w:t>
      </w:r>
      <w:r w:rsidR="004D72BA" w:rsidRPr="00494029">
        <w:rPr>
          <w:rFonts w:cs="Arial"/>
        </w:rPr>
        <w:t>s</w:t>
      </w:r>
      <w:r w:rsidRPr="00494029">
        <w:rPr>
          <w:rFonts w:cs="Arial"/>
        </w:rPr>
        <w:t xml:space="preserve"> change leaders will communicate with their staff daily on the project</w:t>
      </w:r>
      <w:r w:rsidR="006922E3" w:rsidRPr="00494029">
        <w:rPr>
          <w:rFonts w:cs="Arial"/>
        </w:rPr>
        <w:t>'</w:t>
      </w:r>
      <w:r w:rsidRPr="00494029">
        <w:rPr>
          <w:rFonts w:cs="Arial"/>
        </w:rPr>
        <w:t>s milestones and tactical plans to be executed in alignment with Morgan Sindall</w:t>
      </w:r>
      <w:r w:rsidR="006922E3" w:rsidRPr="00494029">
        <w:rPr>
          <w:rFonts w:cs="Arial"/>
        </w:rPr>
        <w:t>'</w:t>
      </w:r>
      <w:r w:rsidRPr="00494029">
        <w:rPr>
          <w:rFonts w:cs="Arial"/>
        </w:rPr>
        <w:t>s vision.</w:t>
      </w:r>
      <w:r w:rsidR="004D72BA" w:rsidRPr="00494029">
        <w:rPr>
          <w:rFonts w:cs="Arial"/>
        </w:rPr>
        <w:t xml:space="preserve"> Frequent communication at 24</w:t>
      </w:r>
      <w:r w:rsidR="006922E3" w:rsidRPr="00494029">
        <w:rPr>
          <w:rFonts w:cs="Arial"/>
        </w:rPr>
        <w:t>-</w:t>
      </w:r>
      <w:r w:rsidR="004D72BA" w:rsidRPr="00494029">
        <w:rPr>
          <w:rFonts w:cs="Arial"/>
        </w:rPr>
        <w:t xml:space="preserve">hour intervals will be employed </w:t>
      </w:r>
      <w:r w:rsidR="006922E3" w:rsidRPr="00494029">
        <w:rPr>
          <w:rFonts w:cs="Arial"/>
        </w:rPr>
        <w:t>while implementing</w:t>
      </w:r>
      <w:r w:rsidR="004D72BA" w:rsidRPr="00494029">
        <w:rPr>
          <w:rFonts w:cs="Arial"/>
        </w:rPr>
        <w:t xml:space="preserve"> Morgan Sindall</w:t>
      </w:r>
      <w:r w:rsidR="006922E3" w:rsidRPr="00494029">
        <w:rPr>
          <w:rFonts w:cs="Arial"/>
        </w:rPr>
        <w:t>'</w:t>
      </w:r>
      <w:r w:rsidR="004D72BA" w:rsidRPr="00494029">
        <w:rPr>
          <w:rFonts w:cs="Arial"/>
        </w:rPr>
        <w:t xml:space="preserve">s proposed change. </w:t>
      </w:r>
    </w:p>
    <w:p w14:paraId="2D0D7F88" w14:textId="2B2779D7" w:rsidR="00BD30E4" w:rsidRPr="00494029" w:rsidRDefault="00CD1CA8" w:rsidP="00071EAC">
      <w:pPr>
        <w:pStyle w:val="Heading3"/>
      </w:pPr>
      <w:bookmarkStart w:id="23" w:name="_Toc154629655"/>
      <w:r w:rsidRPr="00494029">
        <w:t>Evaluation plan</w:t>
      </w:r>
      <w:bookmarkEnd w:id="23"/>
    </w:p>
    <w:p w14:paraId="12C788B5" w14:textId="3FA09188" w:rsidR="00BD30E4" w:rsidRPr="00494029" w:rsidRDefault="00CD1CA8" w:rsidP="00494029">
      <w:pPr>
        <w:spacing w:after="0"/>
        <w:rPr>
          <w:rFonts w:cs="Arial"/>
        </w:rPr>
      </w:pPr>
      <w:r w:rsidRPr="00494029">
        <w:rPr>
          <w:rFonts w:cs="Arial"/>
        </w:rPr>
        <w:t xml:space="preserve">Evaluating project outcomes as an idea is being implemented is vital to ensuring that it aligns with the intended objectives. An evaluation plan helps project teams gauge whether project performance mirrors the intended outcomes and implement corrective actions where necessary (Shaturaev, 2022). </w:t>
      </w:r>
      <w:r w:rsidR="00091FB9" w:rsidRPr="00494029">
        <w:rPr>
          <w:rFonts w:cs="Arial"/>
        </w:rPr>
        <w:t>The evaluation plan for Morgan Sindall</w:t>
      </w:r>
      <w:r w:rsidR="006922E3" w:rsidRPr="00494029">
        <w:rPr>
          <w:rFonts w:cs="Arial"/>
        </w:rPr>
        <w:t>'</w:t>
      </w:r>
      <w:r w:rsidR="00091FB9" w:rsidRPr="00494029">
        <w:rPr>
          <w:rFonts w:cs="Arial"/>
        </w:rPr>
        <w:t xml:space="preserve">s proposed change project would entail using performance management metrics to understand how workers </w:t>
      </w:r>
      <w:r w:rsidR="006922E3" w:rsidRPr="00494029">
        <w:rPr>
          <w:rFonts w:cs="Arial"/>
        </w:rPr>
        <w:t>continually integrate</w:t>
      </w:r>
      <w:r w:rsidR="00091FB9" w:rsidRPr="00494029">
        <w:rPr>
          <w:rFonts w:cs="Arial"/>
        </w:rPr>
        <w:t xml:space="preserve"> such sustainable pathways in their everyday building and construction activities. </w:t>
      </w:r>
      <w:r w:rsidRPr="00494029">
        <w:rPr>
          <w:rFonts w:cs="Arial"/>
        </w:rPr>
        <w:t>The project team</w:t>
      </w:r>
      <w:r w:rsidR="00091FB9" w:rsidRPr="00494029">
        <w:rPr>
          <w:rFonts w:cs="Arial"/>
        </w:rPr>
        <w:t xml:space="preserve"> at Morgan Sindall</w:t>
      </w:r>
      <w:r w:rsidRPr="00494029">
        <w:rPr>
          <w:rFonts w:cs="Arial"/>
        </w:rPr>
        <w:t xml:space="preserve"> will evaluate the project implementation every t</w:t>
      </w:r>
      <w:r w:rsidR="00091FB9" w:rsidRPr="00494029">
        <w:rPr>
          <w:rFonts w:cs="Arial"/>
        </w:rPr>
        <w:t>hree months</w:t>
      </w:r>
      <w:r w:rsidRPr="00494029">
        <w:rPr>
          <w:rFonts w:cs="Arial"/>
        </w:rPr>
        <w:t xml:space="preserve"> to gauge whether the new building approaches are being implemented as initially intended. </w:t>
      </w:r>
      <w:r w:rsidR="00091FB9" w:rsidRPr="00494029">
        <w:rPr>
          <w:rFonts w:cs="Arial"/>
        </w:rPr>
        <w:t>Individual performance, organisational performance and sustainability scores of Morgan Sindall against those of peer firms will be evaluated every three months.</w:t>
      </w:r>
    </w:p>
    <w:p w14:paraId="63A0E95D" w14:textId="70073774" w:rsidR="00494029" w:rsidRDefault="00494029">
      <w:pPr>
        <w:spacing w:line="259" w:lineRule="auto"/>
        <w:ind w:firstLine="0"/>
        <w:rPr>
          <w:rFonts w:cs="Arial"/>
        </w:rPr>
      </w:pPr>
      <w:r>
        <w:rPr>
          <w:rFonts w:cs="Arial"/>
        </w:rPr>
        <w:br w:type="page"/>
      </w:r>
    </w:p>
    <w:p w14:paraId="3708951F" w14:textId="25A5FCBC" w:rsidR="00CE1CF7" w:rsidRPr="00494029" w:rsidRDefault="00CD1CA8" w:rsidP="00071EAC">
      <w:pPr>
        <w:pStyle w:val="Heading1"/>
      </w:pPr>
      <w:bookmarkStart w:id="24" w:name="_Toc154629656"/>
      <w:r w:rsidRPr="00494029">
        <w:lastRenderedPageBreak/>
        <w:t>References</w:t>
      </w:r>
      <w:bookmarkEnd w:id="24"/>
    </w:p>
    <w:p w14:paraId="645BFA1F" w14:textId="77777777" w:rsidR="00494029" w:rsidRPr="00494029" w:rsidRDefault="00494029" w:rsidP="00494029">
      <w:pPr>
        <w:spacing w:after="0"/>
        <w:ind w:left="720" w:hanging="720"/>
        <w:rPr>
          <w:rFonts w:cs="Arial"/>
        </w:rPr>
      </w:pPr>
      <w:bookmarkStart w:id="25" w:name="_Hlk154585137"/>
      <w:r w:rsidRPr="00494029">
        <w:rPr>
          <w:rFonts w:cs="Arial"/>
        </w:rPr>
        <w:t>Alsaedi, F. (2022</w:t>
      </w:r>
      <w:bookmarkEnd w:id="25"/>
      <w:r w:rsidRPr="00494029">
        <w:rPr>
          <w:rFonts w:cs="Arial"/>
        </w:rPr>
        <w:t>). 'The important role of collective leadership in the face of change: literature review',</w:t>
      </w:r>
      <w:r>
        <w:rPr>
          <w:rFonts w:cs="Arial"/>
        </w:rPr>
        <w:t xml:space="preserve"> </w:t>
      </w:r>
      <w:r w:rsidRPr="00494029">
        <w:rPr>
          <w:rFonts w:cs="Arial"/>
          <w:i/>
          <w:iCs/>
        </w:rPr>
        <w:t>Open Journal of Leadership</w:t>
      </w:r>
      <w:r w:rsidRPr="00494029">
        <w:rPr>
          <w:rFonts w:cs="Arial"/>
        </w:rPr>
        <w:t>,</w:t>
      </w:r>
      <w:r>
        <w:rPr>
          <w:rFonts w:cs="Arial"/>
        </w:rPr>
        <w:t xml:space="preserve"> </w:t>
      </w:r>
      <w:r w:rsidRPr="00494029">
        <w:rPr>
          <w:rFonts w:cs="Arial"/>
        </w:rPr>
        <w:t>11(1), pp.1-12.</w:t>
      </w:r>
    </w:p>
    <w:p w14:paraId="379775E4" w14:textId="77777777" w:rsidR="00494029" w:rsidRPr="00494029" w:rsidRDefault="00494029" w:rsidP="00494029">
      <w:pPr>
        <w:spacing w:after="0"/>
        <w:ind w:left="720" w:hanging="720"/>
        <w:rPr>
          <w:rFonts w:cs="Arial"/>
        </w:rPr>
      </w:pPr>
      <w:r w:rsidRPr="00494029">
        <w:rPr>
          <w:rFonts w:cs="Arial"/>
        </w:rPr>
        <w:t>Bagga, S.K., Gera, S. and Haque, S.N. (2023). 'The mediating role of organisational culture: transformational leadership and change management in virtual teams',</w:t>
      </w:r>
      <w:r>
        <w:rPr>
          <w:rFonts w:cs="Arial"/>
        </w:rPr>
        <w:t xml:space="preserve"> </w:t>
      </w:r>
      <w:r w:rsidRPr="00494029">
        <w:rPr>
          <w:rFonts w:cs="Arial"/>
          <w:i/>
          <w:iCs/>
        </w:rPr>
        <w:t>Asia Pacific Management Review</w:t>
      </w:r>
      <w:r w:rsidRPr="00494029">
        <w:rPr>
          <w:rFonts w:cs="Arial"/>
        </w:rPr>
        <w:t>,</w:t>
      </w:r>
      <w:r>
        <w:rPr>
          <w:rFonts w:cs="Arial"/>
        </w:rPr>
        <w:t xml:space="preserve"> </w:t>
      </w:r>
      <w:r w:rsidRPr="00494029">
        <w:rPr>
          <w:rFonts w:cs="Arial"/>
        </w:rPr>
        <w:t>28(2), pp.120-131.</w:t>
      </w:r>
    </w:p>
    <w:p w14:paraId="4892849E" w14:textId="77777777" w:rsidR="00494029" w:rsidRPr="00494029" w:rsidRDefault="00494029" w:rsidP="00494029">
      <w:pPr>
        <w:spacing w:after="0"/>
        <w:ind w:left="720" w:hanging="720"/>
        <w:rPr>
          <w:rFonts w:cs="Arial"/>
        </w:rPr>
      </w:pPr>
      <w:r w:rsidRPr="00494029">
        <w:rPr>
          <w:rFonts w:cs="Arial"/>
        </w:rPr>
        <w:t xml:space="preserve">Erlich, M. (2023). </w:t>
      </w:r>
      <w:r w:rsidRPr="00494029">
        <w:rPr>
          <w:rFonts w:cs="Arial"/>
          <w:i/>
          <w:iCs/>
        </w:rPr>
        <w:t>Can the construction industry be disrupted?</w:t>
      </w:r>
      <w:r w:rsidRPr="00494029">
        <w:rPr>
          <w:rFonts w:cs="Arial"/>
        </w:rPr>
        <w:t xml:space="preserve"> Forbes. Available at: https://hbr.org/2023/07/can-the-construction-industry-be-disrupted (Accessed 26/12/2023)</w:t>
      </w:r>
    </w:p>
    <w:p w14:paraId="37F6849B" w14:textId="77777777" w:rsidR="00494029" w:rsidRPr="00494029" w:rsidRDefault="00494029" w:rsidP="00494029">
      <w:pPr>
        <w:spacing w:after="0"/>
        <w:ind w:left="720" w:hanging="720"/>
        <w:rPr>
          <w:rFonts w:cs="Arial"/>
        </w:rPr>
      </w:pPr>
      <w:bookmarkStart w:id="26" w:name="_Hlk154477611"/>
      <w:r w:rsidRPr="00494029">
        <w:rPr>
          <w:rFonts w:cs="Arial"/>
        </w:rPr>
        <w:t>Ernstsen, S.K. (2020</w:t>
      </w:r>
      <w:bookmarkEnd w:id="26"/>
      <w:r w:rsidRPr="00494029">
        <w:rPr>
          <w:rFonts w:cs="Arial"/>
        </w:rPr>
        <w:t xml:space="preserve">). </w:t>
      </w:r>
      <w:r w:rsidRPr="00494029">
        <w:rPr>
          <w:rFonts w:cs="Arial"/>
          <w:i/>
          <w:iCs/>
        </w:rPr>
        <w:t>Designing for disruption: exploring how digital technologies affect the future of construction</w:t>
      </w:r>
      <w:r w:rsidRPr="00494029">
        <w:rPr>
          <w:rFonts w:cs="Arial"/>
        </w:rPr>
        <w:t>. Available at: https://orbit.dtu.dk/en/publications/designing-for-disruption-exploring-how-digital-technologies-affec (Accessed 26/12/2023)</w:t>
      </w:r>
    </w:p>
    <w:p w14:paraId="0749F4AC" w14:textId="77777777" w:rsidR="00494029" w:rsidRPr="00494029" w:rsidRDefault="00494029" w:rsidP="00494029">
      <w:pPr>
        <w:spacing w:after="0"/>
        <w:ind w:left="720" w:hanging="720"/>
        <w:rPr>
          <w:rFonts w:cs="Arial"/>
        </w:rPr>
      </w:pPr>
      <w:r w:rsidRPr="00494029">
        <w:rPr>
          <w:rFonts w:cs="Arial"/>
        </w:rPr>
        <w:t>Ernstsen, S.K., Maier, A., Larsen, L.R. and Thuesen, C. (2018)</w:t>
      </w:r>
      <w:r w:rsidRPr="00494029">
        <w:rPr>
          <w:rFonts w:cs="Arial"/>
          <w:i/>
          <w:iCs/>
        </w:rPr>
        <w:t>. Is construction ripe for disruption?</w:t>
      </w:r>
      <w:r w:rsidRPr="00494029">
        <w:rPr>
          <w:rFonts w:cs="Arial"/>
        </w:rPr>
        <w:t xml:space="preserve"> Available at: https://strathprints.strath.ac.uk/78554/ (Accessed 26/12/2023)</w:t>
      </w:r>
    </w:p>
    <w:p w14:paraId="3B3C0D1A" w14:textId="77777777" w:rsidR="00494029" w:rsidRPr="00494029" w:rsidRDefault="00494029" w:rsidP="00494029">
      <w:pPr>
        <w:spacing w:after="0"/>
        <w:ind w:left="720" w:hanging="720"/>
        <w:rPr>
          <w:rFonts w:cs="Arial"/>
        </w:rPr>
      </w:pPr>
      <w:bookmarkStart w:id="27" w:name="_Hlk154478436"/>
      <w:r w:rsidRPr="00494029">
        <w:rPr>
          <w:rFonts w:cs="Arial"/>
        </w:rPr>
        <w:t>Evans-Greenwood</w:t>
      </w:r>
      <w:bookmarkEnd w:id="27"/>
      <w:r w:rsidRPr="00494029">
        <w:rPr>
          <w:rFonts w:cs="Arial"/>
        </w:rPr>
        <w:t>, P., Hillard, R. and Williams, P. (2019). 'Digitalising the construction industry: a case study in complex disruption',</w:t>
      </w:r>
      <w:r>
        <w:rPr>
          <w:rFonts w:cs="Arial"/>
        </w:rPr>
        <w:t xml:space="preserve"> </w:t>
      </w:r>
      <w:proofErr w:type="spellStart"/>
      <w:r w:rsidRPr="00494029">
        <w:rPr>
          <w:rFonts w:cs="Arial"/>
          <w:i/>
          <w:iCs/>
        </w:rPr>
        <w:t>Delloitee</w:t>
      </w:r>
      <w:proofErr w:type="spellEnd"/>
      <w:r w:rsidRPr="00494029">
        <w:rPr>
          <w:rFonts w:cs="Arial"/>
          <w:i/>
          <w:iCs/>
        </w:rPr>
        <w:t xml:space="preserve"> Insight</w:t>
      </w:r>
      <w:r w:rsidRPr="00494029">
        <w:rPr>
          <w:rFonts w:cs="Arial"/>
        </w:rPr>
        <w:t>,</w:t>
      </w:r>
      <w:r>
        <w:rPr>
          <w:rFonts w:cs="Arial"/>
        </w:rPr>
        <w:t xml:space="preserve"> </w:t>
      </w:r>
      <w:r w:rsidRPr="00494029">
        <w:rPr>
          <w:rFonts w:cs="Arial"/>
        </w:rPr>
        <w:t>5 (February), pp.1-17. Available at: https://www.researchgate.net/publication/332978483_Digitalizing_the_construction_industry_A_case_study_in_complex_disruption</w:t>
      </w:r>
    </w:p>
    <w:p w14:paraId="09CF7524" w14:textId="77777777" w:rsidR="00494029" w:rsidRPr="00494029" w:rsidRDefault="00494029" w:rsidP="00494029">
      <w:pPr>
        <w:spacing w:after="0"/>
        <w:ind w:left="720" w:hanging="720"/>
        <w:rPr>
          <w:rFonts w:cs="Arial"/>
        </w:rPr>
      </w:pPr>
      <w:r w:rsidRPr="00494029">
        <w:rPr>
          <w:rFonts w:cs="Arial"/>
        </w:rPr>
        <w:t xml:space="preserve">Fairhurst, G.T., Jackson, B., Foldy, E.G. and Ospina, S.M. (2020). 'Studying collective leadership: the road ahead', </w:t>
      </w:r>
      <w:r w:rsidRPr="00494029">
        <w:rPr>
          <w:rFonts w:cs="Arial"/>
          <w:i/>
          <w:iCs/>
        </w:rPr>
        <w:t>Human Relations</w:t>
      </w:r>
      <w:r w:rsidRPr="00494029">
        <w:rPr>
          <w:rFonts w:cs="Arial"/>
        </w:rPr>
        <w:t>, 73(4), pp.598-614.</w:t>
      </w:r>
    </w:p>
    <w:p w14:paraId="76CD9F9F" w14:textId="77777777" w:rsidR="00494029" w:rsidRPr="00494029" w:rsidRDefault="00494029" w:rsidP="00494029">
      <w:pPr>
        <w:spacing w:after="0"/>
        <w:ind w:left="720" w:hanging="720"/>
        <w:rPr>
          <w:rFonts w:cs="Arial"/>
        </w:rPr>
      </w:pPr>
      <w:r w:rsidRPr="00494029">
        <w:rPr>
          <w:rFonts w:cs="Arial"/>
        </w:rPr>
        <w:t>Felipe, C.M., Roldán, J.L. and Leal-Rodríguez, A.L. (2017). 'Impact of organisational culture values on organisational agility',</w:t>
      </w:r>
      <w:r>
        <w:rPr>
          <w:rFonts w:cs="Arial"/>
        </w:rPr>
        <w:t xml:space="preserve"> </w:t>
      </w:r>
      <w:r w:rsidRPr="00494029">
        <w:rPr>
          <w:rFonts w:cs="Arial"/>
          <w:i/>
          <w:iCs/>
        </w:rPr>
        <w:t>Sustainability</w:t>
      </w:r>
      <w:r w:rsidRPr="00494029">
        <w:rPr>
          <w:rFonts w:cs="Arial"/>
        </w:rPr>
        <w:t>,</w:t>
      </w:r>
      <w:r>
        <w:rPr>
          <w:rFonts w:cs="Arial"/>
        </w:rPr>
        <w:t xml:space="preserve"> </w:t>
      </w:r>
      <w:r w:rsidRPr="00494029">
        <w:rPr>
          <w:rFonts w:cs="Arial"/>
        </w:rPr>
        <w:t>9(12), p.2354.</w:t>
      </w:r>
    </w:p>
    <w:p w14:paraId="497183C8" w14:textId="77777777" w:rsidR="00494029" w:rsidRPr="00494029" w:rsidRDefault="00494029" w:rsidP="00494029">
      <w:pPr>
        <w:spacing w:after="0"/>
        <w:ind w:left="720" w:hanging="720"/>
        <w:rPr>
          <w:rFonts w:cs="Arial"/>
        </w:rPr>
      </w:pPr>
      <w:r w:rsidRPr="00494029">
        <w:rPr>
          <w:rFonts w:cs="Arial"/>
        </w:rPr>
        <w:t>Groysberg, B., Lee, J., Price, J. and Cheng, J. (2018). 'The leader's guide to corporate culture',</w:t>
      </w:r>
      <w:r>
        <w:rPr>
          <w:rFonts w:cs="Arial"/>
        </w:rPr>
        <w:t xml:space="preserve"> </w:t>
      </w:r>
      <w:r w:rsidRPr="00494029">
        <w:rPr>
          <w:rFonts w:cs="Arial"/>
          <w:i/>
          <w:iCs/>
        </w:rPr>
        <w:t>Harvard Business Review</w:t>
      </w:r>
      <w:r w:rsidRPr="00494029">
        <w:rPr>
          <w:rFonts w:cs="Arial"/>
        </w:rPr>
        <w:t>,</w:t>
      </w:r>
      <w:r>
        <w:rPr>
          <w:rFonts w:cs="Arial"/>
        </w:rPr>
        <w:t xml:space="preserve"> </w:t>
      </w:r>
      <w:r w:rsidRPr="00494029">
        <w:rPr>
          <w:rFonts w:cs="Arial"/>
        </w:rPr>
        <w:t>96(1), pp.44-52.</w:t>
      </w:r>
    </w:p>
    <w:p w14:paraId="22D97496" w14:textId="77777777" w:rsidR="00494029" w:rsidRPr="00494029" w:rsidRDefault="00494029" w:rsidP="00494029">
      <w:pPr>
        <w:spacing w:after="0"/>
        <w:ind w:left="720" w:hanging="720"/>
        <w:rPr>
          <w:rFonts w:cs="Arial"/>
        </w:rPr>
      </w:pPr>
      <w:r w:rsidRPr="00494029">
        <w:rPr>
          <w:rFonts w:cs="Arial"/>
        </w:rPr>
        <w:t xml:space="preserve">Hamdo, S.S. (2021). </w:t>
      </w:r>
      <w:r w:rsidRPr="00494029">
        <w:rPr>
          <w:rFonts w:cs="Arial"/>
          <w:i/>
          <w:iCs/>
        </w:rPr>
        <w:t>Change management models: a comparative review</w:t>
      </w:r>
      <w:r w:rsidRPr="00494029">
        <w:rPr>
          <w:rFonts w:cs="Arial"/>
        </w:rPr>
        <w:t>.</w:t>
      </w:r>
      <w:r>
        <w:rPr>
          <w:rFonts w:cs="Arial"/>
        </w:rPr>
        <w:t xml:space="preserve"> </w:t>
      </w:r>
      <w:r w:rsidRPr="00494029">
        <w:rPr>
          <w:rFonts w:cs="Arial"/>
        </w:rPr>
        <w:t>(Unpublished PhD thesis. Istanbul: Istanbul Okan University). Available at: https://www.researchgate.net/publication/353390486_Change_Management_Models_A_Comparative_Review (Accessed 27/12/2023)</w:t>
      </w:r>
    </w:p>
    <w:p w14:paraId="0B5A6BAC" w14:textId="77777777" w:rsidR="00494029" w:rsidRPr="00494029" w:rsidRDefault="00494029" w:rsidP="00494029">
      <w:pPr>
        <w:spacing w:after="0"/>
        <w:ind w:left="720" w:hanging="720"/>
        <w:rPr>
          <w:rFonts w:cs="Arial"/>
        </w:rPr>
      </w:pPr>
      <w:bookmarkStart w:id="28" w:name="_Hlk154586869"/>
      <w:r w:rsidRPr="00494029">
        <w:rPr>
          <w:rFonts w:cs="Arial"/>
        </w:rPr>
        <w:t>Hemalatha, T. and Ramaswamy, A. (2017</w:t>
      </w:r>
      <w:bookmarkEnd w:id="28"/>
      <w:r w:rsidRPr="00494029">
        <w:rPr>
          <w:rFonts w:cs="Arial"/>
        </w:rPr>
        <w:t>). 'A review on fly ash characteristics–towards promoting high volume utilisation in developing sustainable concrete',</w:t>
      </w:r>
      <w:r>
        <w:rPr>
          <w:rFonts w:cs="Arial"/>
        </w:rPr>
        <w:t xml:space="preserve"> </w:t>
      </w:r>
      <w:r w:rsidRPr="00494029">
        <w:rPr>
          <w:rFonts w:cs="Arial"/>
          <w:i/>
          <w:iCs/>
        </w:rPr>
        <w:t>Journal of Cleaner Production</w:t>
      </w:r>
      <w:r w:rsidRPr="00494029">
        <w:rPr>
          <w:rFonts w:cs="Arial"/>
        </w:rPr>
        <w:t>,</w:t>
      </w:r>
      <w:r>
        <w:rPr>
          <w:rFonts w:cs="Arial"/>
        </w:rPr>
        <w:t xml:space="preserve"> </w:t>
      </w:r>
      <w:r w:rsidRPr="00494029">
        <w:rPr>
          <w:rFonts w:cs="Arial"/>
        </w:rPr>
        <w:t>147(March), pp.546-559. Available at: https://doi.org/10.1016/j.jclepro.2017.01.114</w:t>
      </w:r>
    </w:p>
    <w:p w14:paraId="26E15C69" w14:textId="77777777" w:rsidR="00494029" w:rsidRPr="00494029" w:rsidRDefault="00494029" w:rsidP="00494029">
      <w:pPr>
        <w:spacing w:after="0"/>
        <w:ind w:left="720" w:hanging="720"/>
        <w:rPr>
          <w:rFonts w:cs="Arial"/>
        </w:rPr>
      </w:pPr>
      <w:r w:rsidRPr="00494029">
        <w:rPr>
          <w:rFonts w:cs="Arial"/>
        </w:rPr>
        <w:t>Hickman, C.R. and Silva, M.A. (2018).</w:t>
      </w:r>
      <w:r>
        <w:rPr>
          <w:rFonts w:cs="Arial"/>
        </w:rPr>
        <w:t xml:space="preserve"> </w:t>
      </w:r>
      <w:r w:rsidRPr="00494029">
        <w:rPr>
          <w:rFonts w:cs="Arial"/>
          <w:i/>
          <w:iCs/>
        </w:rPr>
        <w:t>Creating excellence: managing corporate culture, strategy, and change in the new age</w:t>
      </w:r>
      <w:r w:rsidRPr="00494029">
        <w:rPr>
          <w:rFonts w:cs="Arial"/>
        </w:rPr>
        <w:t>. London: Routledge.</w:t>
      </w:r>
    </w:p>
    <w:p w14:paraId="2EA2E117" w14:textId="77777777" w:rsidR="00494029" w:rsidRPr="00494029" w:rsidRDefault="00494029" w:rsidP="00494029">
      <w:pPr>
        <w:spacing w:after="0"/>
        <w:ind w:left="720" w:hanging="720"/>
        <w:rPr>
          <w:rFonts w:cs="Arial"/>
        </w:rPr>
      </w:pPr>
      <w:bookmarkStart w:id="29" w:name="_Hlk154587909"/>
      <w:r w:rsidRPr="00494029">
        <w:rPr>
          <w:rFonts w:cs="Arial"/>
        </w:rPr>
        <w:lastRenderedPageBreak/>
        <w:t>Hubbart, J.A. (2023</w:t>
      </w:r>
      <w:bookmarkEnd w:id="29"/>
      <w:r w:rsidRPr="00494029">
        <w:rPr>
          <w:rFonts w:cs="Arial"/>
        </w:rPr>
        <w:t>). 'Organisational change: the challenge of change aversion',</w:t>
      </w:r>
      <w:r>
        <w:rPr>
          <w:rFonts w:cs="Arial"/>
        </w:rPr>
        <w:t xml:space="preserve"> </w:t>
      </w:r>
      <w:r w:rsidRPr="00494029">
        <w:rPr>
          <w:rFonts w:cs="Arial"/>
          <w:i/>
          <w:iCs/>
        </w:rPr>
        <w:t>Administrative Sciences</w:t>
      </w:r>
      <w:r w:rsidRPr="00494029">
        <w:rPr>
          <w:rFonts w:cs="Arial"/>
        </w:rPr>
        <w:t>,</w:t>
      </w:r>
      <w:r>
        <w:rPr>
          <w:rFonts w:cs="Arial"/>
        </w:rPr>
        <w:t xml:space="preserve"> </w:t>
      </w:r>
      <w:r w:rsidRPr="00494029">
        <w:rPr>
          <w:rFonts w:cs="Arial"/>
        </w:rPr>
        <w:t>13(7), p.162.</w:t>
      </w:r>
    </w:p>
    <w:p w14:paraId="39A20AFE" w14:textId="77777777" w:rsidR="00494029" w:rsidRPr="00494029" w:rsidRDefault="00494029" w:rsidP="00494029">
      <w:pPr>
        <w:spacing w:after="0"/>
        <w:ind w:left="720" w:hanging="720"/>
        <w:rPr>
          <w:rFonts w:cs="Arial"/>
        </w:rPr>
      </w:pPr>
      <w:bookmarkStart w:id="30" w:name="_Hlk154584240"/>
      <w:r w:rsidRPr="00494029">
        <w:rPr>
          <w:rFonts w:cs="Arial"/>
        </w:rPr>
        <w:t>Hughes, M. (2016</w:t>
      </w:r>
      <w:bookmarkEnd w:id="30"/>
      <w:r w:rsidRPr="00494029">
        <w:rPr>
          <w:rFonts w:cs="Arial"/>
        </w:rPr>
        <w:t>).' Leading changes: why transformation explanations fail',</w:t>
      </w:r>
      <w:r>
        <w:rPr>
          <w:rFonts w:cs="Arial"/>
        </w:rPr>
        <w:t xml:space="preserve"> </w:t>
      </w:r>
      <w:r w:rsidRPr="00494029">
        <w:rPr>
          <w:rFonts w:cs="Arial"/>
          <w:i/>
          <w:iCs/>
        </w:rPr>
        <w:t>Leadership</w:t>
      </w:r>
      <w:r w:rsidRPr="00494029">
        <w:rPr>
          <w:rFonts w:cs="Arial"/>
        </w:rPr>
        <w:t>,</w:t>
      </w:r>
      <w:r>
        <w:rPr>
          <w:rFonts w:cs="Arial"/>
        </w:rPr>
        <w:t xml:space="preserve"> </w:t>
      </w:r>
      <w:r w:rsidRPr="00494029">
        <w:rPr>
          <w:rFonts w:cs="Arial"/>
          <w:b/>
          <w:bCs/>
        </w:rPr>
        <w:t>12</w:t>
      </w:r>
      <w:r w:rsidRPr="00494029">
        <w:rPr>
          <w:rFonts w:cs="Arial"/>
        </w:rPr>
        <w:t>(4), pp.449-469.</w:t>
      </w:r>
    </w:p>
    <w:p w14:paraId="188C91BC" w14:textId="77777777" w:rsidR="00494029" w:rsidRPr="00494029" w:rsidRDefault="00494029" w:rsidP="00494029">
      <w:pPr>
        <w:spacing w:after="0"/>
        <w:ind w:left="720" w:hanging="720"/>
        <w:rPr>
          <w:rFonts w:cs="Arial"/>
        </w:rPr>
      </w:pPr>
      <w:r w:rsidRPr="00494029">
        <w:rPr>
          <w:rFonts w:cs="Arial"/>
        </w:rPr>
        <w:t xml:space="preserve">Kavis, M. (2016). </w:t>
      </w:r>
      <w:r w:rsidRPr="00494029">
        <w:rPr>
          <w:rFonts w:cs="Arial"/>
          <w:i/>
          <w:iCs/>
        </w:rPr>
        <w:t>How technology is disrupting the construction industry</w:t>
      </w:r>
      <w:r w:rsidRPr="00494029">
        <w:rPr>
          <w:rFonts w:cs="Arial"/>
        </w:rPr>
        <w:t>. Forbes. Available at: https://www.forbes.com/sites/mikekavis/2016/07/12/how-technology-is-disrupting-the-construction-industry/?sh=4407436f1749 [Accessed 26/12/2023]</w:t>
      </w:r>
    </w:p>
    <w:p w14:paraId="63BF9C81" w14:textId="77777777" w:rsidR="00494029" w:rsidRPr="00494029" w:rsidRDefault="00494029" w:rsidP="00494029">
      <w:pPr>
        <w:spacing w:after="0"/>
        <w:ind w:left="720" w:hanging="720"/>
        <w:rPr>
          <w:rFonts w:cs="Arial"/>
        </w:rPr>
      </w:pPr>
      <w:bookmarkStart w:id="31" w:name="_Hlk154477628"/>
      <w:r w:rsidRPr="00494029">
        <w:rPr>
          <w:rFonts w:cs="Arial"/>
        </w:rPr>
        <w:t xml:space="preserve">Lekan, </w:t>
      </w:r>
      <w:bookmarkEnd w:id="31"/>
      <w:r w:rsidRPr="00494029">
        <w:rPr>
          <w:rFonts w:cs="Arial"/>
        </w:rPr>
        <w:t>A., Aigbavboa, C., Babatunde, O., Olabosipo, F. and Christiana, A. (2022). 'Disruptive technological innovations in construction field and fourth industrial revolution intervention in the achievement of the sustainable development goal 9',</w:t>
      </w:r>
      <w:r>
        <w:rPr>
          <w:rFonts w:cs="Arial"/>
        </w:rPr>
        <w:t xml:space="preserve"> </w:t>
      </w:r>
      <w:r w:rsidRPr="00494029">
        <w:rPr>
          <w:rFonts w:cs="Arial"/>
          <w:i/>
          <w:iCs/>
        </w:rPr>
        <w:t>International Journal of Construction Management</w:t>
      </w:r>
      <w:r w:rsidRPr="00494029">
        <w:rPr>
          <w:rFonts w:cs="Arial"/>
        </w:rPr>
        <w:t>,</w:t>
      </w:r>
      <w:r>
        <w:rPr>
          <w:rFonts w:cs="Arial"/>
        </w:rPr>
        <w:t xml:space="preserve"> </w:t>
      </w:r>
      <w:r w:rsidRPr="00494029">
        <w:rPr>
          <w:rFonts w:cs="Arial"/>
        </w:rPr>
        <w:t>22(14), pp.2647-2658.</w:t>
      </w:r>
    </w:p>
    <w:p w14:paraId="48E3FE71" w14:textId="77777777" w:rsidR="00494029" w:rsidRPr="00494029" w:rsidRDefault="00494029" w:rsidP="00494029">
      <w:pPr>
        <w:spacing w:after="0"/>
        <w:ind w:left="720" w:hanging="720"/>
        <w:rPr>
          <w:rFonts w:cs="Arial"/>
        </w:rPr>
      </w:pPr>
      <w:r w:rsidRPr="00494029">
        <w:rPr>
          <w:rFonts w:cs="Arial"/>
        </w:rPr>
        <w:t xml:space="preserve">Linstroth, T. (2023). </w:t>
      </w:r>
      <w:r w:rsidRPr="00494029">
        <w:rPr>
          <w:rFonts w:cs="Arial"/>
          <w:i/>
          <w:iCs/>
        </w:rPr>
        <w:t>The latest technology advances in low-carbon construction are promising</w:t>
      </w:r>
      <w:r w:rsidRPr="00494029">
        <w:rPr>
          <w:rFonts w:cs="Arial"/>
        </w:rPr>
        <w:t>. Forbes. Available at https://www.forbes.com/sites/forbesbusinesscouncil/2023/02/17/the-latest-technology-advances-in-low-carbon-construction-are-promising/?sh=6b0c93d73f0e (Accessed 27/12/2023)</w:t>
      </w:r>
    </w:p>
    <w:p w14:paraId="6DA51F5F" w14:textId="77777777" w:rsidR="00494029" w:rsidRPr="00494029" w:rsidRDefault="00494029" w:rsidP="00494029">
      <w:pPr>
        <w:spacing w:after="0"/>
        <w:ind w:left="720" w:hanging="720"/>
        <w:rPr>
          <w:rFonts w:cs="Arial"/>
        </w:rPr>
      </w:pPr>
      <w:r w:rsidRPr="00494029">
        <w:rPr>
          <w:rFonts w:cs="Arial"/>
        </w:rPr>
        <w:t xml:space="preserve">Lipow, A.G. (2019). </w:t>
      </w:r>
      <w:r>
        <w:rPr>
          <w:rFonts w:cs="Arial"/>
        </w:rPr>
        <w:t>‘</w:t>
      </w:r>
      <w:r w:rsidRPr="00494029">
        <w:rPr>
          <w:rFonts w:cs="Arial"/>
        </w:rPr>
        <w:t>Training for change: staff development in a new age</w:t>
      </w:r>
      <w:r>
        <w:rPr>
          <w:rFonts w:cs="Arial"/>
        </w:rPr>
        <w:t>]’, i</w:t>
      </w:r>
      <w:r w:rsidRPr="00494029">
        <w:rPr>
          <w:rFonts w:cs="Arial"/>
        </w:rPr>
        <w:t>n: Webb, G. M. (ed.)</w:t>
      </w:r>
      <w:r>
        <w:rPr>
          <w:rFonts w:cs="Arial"/>
        </w:rPr>
        <w:t xml:space="preserve"> </w:t>
      </w:r>
      <w:r w:rsidRPr="00494029">
        <w:rPr>
          <w:rFonts w:cs="Arial"/>
          <w:i/>
          <w:iCs/>
        </w:rPr>
        <w:t>Human Resources Management in Libraries.</w:t>
      </w:r>
      <w:r>
        <w:rPr>
          <w:rFonts w:cs="Arial"/>
        </w:rPr>
        <w:t xml:space="preserve"> </w:t>
      </w:r>
      <w:r w:rsidRPr="00494029">
        <w:rPr>
          <w:rFonts w:cs="Arial"/>
        </w:rPr>
        <w:t>London: Routledge, pp. 87-98</w:t>
      </w:r>
    </w:p>
    <w:p w14:paraId="72B1760C" w14:textId="77777777" w:rsidR="00494029" w:rsidRPr="00494029" w:rsidRDefault="00494029" w:rsidP="00494029">
      <w:pPr>
        <w:spacing w:after="0"/>
        <w:ind w:left="720" w:hanging="720"/>
        <w:rPr>
          <w:rFonts w:cs="Arial"/>
        </w:rPr>
      </w:pPr>
      <w:r w:rsidRPr="00494029">
        <w:rPr>
          <w:rFonts w:cs="Arial"/>
        </w:rPr>
        <w:t>Marnada, P., Raharjo, T., Hardian, B. and Prasetyo, A. (2022). 'Agile project management challenge in handling scope and change: a systematic literature review',</w:t>
      </w:r>
      <w:r>
        <w:rPr>
          <w:rFonts w:cs="Arial"/>
        </w:rPr>
        <w:t xml:space="preserve"> </w:t>
      </w:r>
      <w:r w:rsidRPr="00494029">
        <w:rPr>
          <w:rFonts w:cs="Arial"/>
          <w:i/>
          <w:iCs/>
        </w:rPr>
        <w:t>Procedia Computer Science</w:t>
      </w:r>
      <w:r w:rsidRPr="00494029">
        <w:rPr>
          <w:rFonts w:cs="Arial"/>
        </w:rPr>
        <w:t>,</w:t>
      </w:r>
      <w:r>
        <w:rPr>
          <w:rFonts w:cs="Arial"/>
        </w:rPr>
        <w:t xml:space="preserve"> </w:t>
      </w:r>
      <w:r w:rsidRPr="00494029">
        <w:rPr>
          <w:rFonts w:cs="Arial"/>
        </w:rPr>
        <w:t xml:space="preserve">197, pp.290-300. Available at: </w:t>
      </w:r>
      <w:hyperlink r:id="rId8" w:tgtFrame="_blank" w:tooltip="Persistent link using digital object identifier" w:history="1">
        <w:r w:rsidRPr="00494029">
          <w:rPr>
            <w:rStyle w:val="anchor-text"/>
            <w:rFonts w:cs="Arial"/>
            <w:color w:val="1F1F1F"/>
          </w:rPr>
          <w:t>https://doi.org/10.1016/j.procs.2021.12.143</w:t>
        </w:r>
      </w:hyperlink>
    </w:p>
    <w:p w14:paraId="1D0A91FD" w14:textId="77777777" w:rsidR="00494029" w:rsidRPr="00494029" w:rsidRDefault="00494029" w:rsidP="00494029">
      <w:pPr>
        <w:spacing w:after="0"/>
        <w:ind w:left="720" w:hanging="720"/>
        <w:rPr>
          <w:rFonts w:cs="Arial"/>
        </w:rPr>
      </w:pPr>
      <w:bookmarkStart w:id="32" w:name="_Hlk154282888"/>
      <w:r w:rsidRPr="00494029">
        <w:rPr>
          <w:rFonts w:cs="Arial"/>
        </w:rPr>
        <w:t>Morgan Sindall Construction. (2023</w:t>
      </w:r>
      <w:bookmarkEnd w:id="32"/>
      <w:r w:rsidRPr="00494029">
        <w:rPr>
          <w:rFonts w:cs="Arial"/>
        </w:rPr>
        <w:t xml:space="preserve">a). </w:t>
      </w:r>
      <w:r w:rsidRPr="00494029">
        <w:rPr>
          <w:rFonts w:cs="Arial"/>
          <w:i/>
          <w:iCs/>
        </w:rPr>
        <w:t>Our work</w:t>
      </w:r>
      <w:r w:rsidRPr="00494029">
        <w:rPr>
          <w:rFonts w:cs="Arial"/>
        </w:rPr>
        <w:t>. Available at: https://www.morgansindallconstruction.com/our-work/ (Accessed 24/12/2023)</w:t>
      </w:r>
    </w:p>
    <w:p w14:paraId="398F527B" w14:textId="77777777" w:rsidR="00494029" w:rsidRPr="00494029" w:rsidRDefault="00494029" w:rsidP="00494029">
      <w:pPr>
        <w:spacing w:after="0"/>
        <w:ind w:left="720" w:hanging="720"/>
        <w:rPr>
          <w:rFonts w:cs="Arial"/>
        </w:rPr>
      </w:pPr>
      <w:r w:rsidRPr="00494029">
        <w:rPr>
          <w:rFonts w:cs="Arial"/>
        </w:rPr>
        <w:t xml:space="preserve">Morgan Sindall Group plc. (2022). </w:t>
      </w:r>
      <w:r w:rsidRPr="00494029">
        <w:rPr>
          <w:rFonts w:cs="Arial"/>
          <w:i/>
          <w:iCs/>
        </w:rPr>
        <w:t>Annual report.</w:t>
      </w:r>
      <w:r w:rsidRPr="00494029">
        <w:rPr>
          <w:rFonts w:cs="Arial"/>
        </w:rPr>
        <w:t xml:space="preserve"> Available at https://d3s3eeezfmyz8l.cloudfront.net/pdfs/Morgan_Sindall_AR22_interactive.pdf (Accessed 24/12/2023)</w:t>
      </w:r>
    </w:p>
    <w:p w14:paraId="4A5BFBAB" w14:textId="77777777" w:rsidR="00494029" w:rsidRPr="00494029" w:rsidRDefault="00494029" w:rsidP="00494029">
      <w:pPr>
        <w:spacing w:after="0"/>
        <w:ind w:left="720" w:hanging="720"/>
        <w:rPr>
          <w:rFonts w:cs="Arial"/>
        </w:rPr>
      </w:pPr>
      <w:r w:rsidRPr="00494029">
        <w:rPr>
          <w:rFonts w:cs="Arial"/>
        </w:rPr>
        <w:t xml:space="preserve">Morgan Sindall. (2020). </w:t>
      </w:r>
      <w:r w:rsidRPr="00494029">
        <w:rPr>
          <w:rFonts w:cs="Arial"/>
          <w:i/>
          <w:iCs/>
        </w:rPr>
        <w:t>Stronger together: collaborating for success during Covid-19</w:t>
      </w:r>
      <w:r>
        <w:rPr>
          <w:rFonts w:cs="Arial"/>
        </w:rPr>
        <w:t xml:space="preserve">. </w:t>
      </w:r>
      <w:r w:rsidRPr="00494029">
        <w:rPr>
          <w:rFonts w:cs="Arial"/>
        </w:rPr>
        <w:t>Available at: https://www.morgansindallconstruction.com/news/stronger-together-collaborating-for-success-during-covid-19/ (Accessed 26/12/2023)</w:t>
      </w:r>
    </w:p>
    <w:p w14:paraId="45D2B7CC" w14:textId="77777777" w:rsidR="00494029" w:rsidRPr="00494029" w:rsidRDefault="00494029" w:rsidP="00494029">
      <w:pPr>
        <w:spacing w:after="0"/>
        <w:ind w:left="720" w:hanging="720"/>
        <w:rPr>
          <w:rFonts w:cs="Arial"/>
        </w:rPr>
      </w:pPr>
      <w:r w:rsidRPr="00494029">
        <w:rPr>
          <w:rFonts w:cs="Arial"/>
        </w:rPr>
        <w:t xml:space="preserve">Morgan Sindall. (2021). </w:t>
      </w:r>
      <w:r w:rsidRPr="00494029">
        <w:rPr>
          <w:rFonts w:cs="Arial"/>
          <w:i/>
          <w:iCs/>
        </w:rPr>
        <w:t>Morgan Sindall Construction sets out bold carbon reduction strategy</w:t>
      </w:r>
      <w:r>
        <w:rPr>
          <w:rFonts w:cs="Arial"/>
        </w:rPr>
        <w:t xml:space="preserve">. </w:t>
      </w:r>
      <w:r w:rsidRPr="00494029">
        <w:rPr>
          <w:rFonts w:cs="Arial"/>
        </w:rPr>
        <w:t>Available at https://www.morgansindallconstruction.com/news/morgan-sindall-construction-sets-out-bold-carbon-reduction-strategy/ (Accessed 27/12/2023)</w:t>
      </w:r>
    </w:p>
    <w:p w14:paraId="3FE1DD6F" w14:textId="77777777" w:rsidR="00494029" w:rsidRPr="00494029" w:rsidRDefault="00494029" w:rsidP="00494029">
      <w:pPr>
        <w:spacing w:after="0"/>
        <w:ind w:left="720" w:hanging="720"/>
        <w:rPr>
          <w:rFonts w:cs="Arial"/>
        </w:rPr>
      </w:pPr>
      <w:r w:rsidRPr="00494029">
        <w:rPr>
          <w:rFonts w:cs="Arial"/>
        </w:rPr>
        <w:t>Nayak, D.K., Abhilash, P.P., Singh, R., Kumar, R. and Kumar, V. (2022). 'Fly ash for sustainable construction: a review of fly ash concrete and its beneficial use case studies',</w:t>
      </w:r>
      <w:r>
        <w:rPr>
          <w:rFonts w:cs="Arial"/>
        </w:rPr>
        <w:t xml:space="preserve"> </w:t>
      </w:r>
      <w:r w:rsidRPr="00494029">
        <w:rPr>
          <w:rFonts w:cs="Arial"/>
          <w:i/>
          <w:iCs/>
        </w:rPr>
        <w:t xml:space="preserve">Cleaner </w:t>
      </w:r>
      <w:r w:rsidRPr="00494029">
        <w:rPr>
          <w:rFonts w:cs="Arial"/>
          <w:i/>
          <w:iCs/>
        </w:rPr>
        <w:lastRenderedPageBreak/>
        <w:t>Materials</w:t>
      </w:r>
      <w:r w:rsidRPr="00494029">
        <w:rPr>
          <w:rFonts w:cs="Arial"/>
        </w:rPr>
        <w:t>, 6(December), p.100143. Available at: https://doi.org/10.1016/j.clema.2022.100143</w:t>
      </w:r>
    </w:p>
    <w:p w14:paraId="56F8BA5F" w14:textId="77777777" w:rsidR="00494029" w:rsidRPr="00494029" w:rsidRDefault="00494029" w:rsidP="00494029">
      <w:pPr>
        <w:spacing w:after="0"/>
        <w:ind w:left="720" w:hanging="720"/>
        <w:rPr>
          <w:rFonts w:cs="Arial"/>
        </w:rPr>
      </w:pPr>
      <w:r w:rsidRPr="00494029">
        <w:rPr>
          <w:rFonts w:cs="Arial"/>
        </w:rPr>
        <w:t>Paslawski, J. (2017). 'Flexible approach for construction process management under risk and uncertainty',</w:t>
      </w:r>
      <w:r>
        <w:rPr>
          <w:rFonts w:cs="Arial"/>
        </w:rPr>
        <w:t xml:space="preserve"> </w:t>
      </w:r>
      <w:r w:rsidRPr="00494029">
        <w:rPr>
          <w:rFonts w:cs="Arial"/>
          <w:i/>
          <w:iCs/>
        </w:rPr>
        <w:t>Procedia Engineering</w:t>
      </w:r>
      <w:r w:rsidRPr="00494029">
        <w:rPr>
          <w:rFonts w:cs="Arial"/>
        </w:rPr>
        <w:t>,</w:t>
      </w:r>
      <w:r>
        <w:rPr>
          <w:rFonts w:cs="Arial"/>
        </w:rPr>
        <w:t xml:space="preserve"> </w:t>
      </w:r>
      <w:r w:rsidRPr="00494029">
        <w:rPr>
          <w:rFonts w:cs="Arial"/>
        </w:rPr>
        <w:t xml:space="preserve">208, pp.114-124. Available at </w:t>
      </w:r>
      <w:hyperlink r:id="rId9" w:tgtFrame="_blank" w:tooltip="Persistent link using digital object identifier" w:history="1">
        <w:r w:rsidRPr="00494029">
          <w:rPr>
            <w:rStyle w:val="anchor-text"/>
            <w:rFonts w:cs="Arial"/>
            <w:color w:val="1F1F1F"/>
          </w:rPr>
          <w:t>https://doi.org/10.1016/j.proeng.2017.11.028</w:t>
        </w:r>
      </w:hyperlink>
    </w:p>
    <w:p w14:paraId="1F12C08E" w14:textId="77777777" w:rsidR="00494029" w:rsidRPr="00494029" w:rsidRDefault="00494029" w:rsidP="00494029">
      <w:pPr>
        <w:spacing w:after="0"/>
        <w:ind w:left="720" w:hanging="720"/>
        <w:rPr>
          <w:rFonts w:cs="Arial"/>
        </w:rPr>
      </w:pPr>
      <w:bookmarkStart w:id="33" w:name="_Hlk154643768"/>
      <w:r w:rsidRPr="00494029">
        <w:rPr>
          <w:rFonts w:cs="Arial"/>
        </w:rPr>
        <w:t>Pheng, L.S. and Hou</w:t>
      </w:r>
      <w:bookmarkEnd w:id="33"/>
      <w:r w:rsidRPr="00494029">
        <w:rPr>
          <w:rFonts w:cs="Arial"/>
        </w:rPr>
        <w:t>, L.S. (2019). 'The economy and the construction industry', in: Pheng, L.S. and Hou, L.S. (eds.)</w:t>
      </w:r>
      <w:r>
        <w:rPr>
          <w:rFonts w:cs="Arial"/>
        </w:rPr>
        <w:t xml:space="preserve"> </w:t>
      </w:r>
      <w:r w:rsidRPr="00494029">
        <w:rPr>
          <w:rFonts w:cs="Arial"/>
          <w:i/>
          <w:iCs/>
        </w:rPr>
        <w:t>Construction Quality and the Economy: A Study at the Firm Level</w:t>
      </w:r>
      <w:r w:rsidRPr="00494029">
        <w:rPr>
          <w:rFonts w:cs="Arial"/>
        </w:rPr>
        <w:t>, Springer, Singapore, pp.21-54. Available at: https://doi.org/10.1007/978-981-13-5847-0_2 pp.21-54.</w:t>
      </w:r>
    </w:p>
    <w:p w14:paraId="2D71CC99" w14:textId="77777777" w:rsidR="00494029" w:rsidRPr="00494029" w:rsidRDefault="00494029" w:rsidP="00494029">
      <w:pPr>
        <w:spacing w:after="0"/>
        <w:ind w:left="720" w:hanging="720"/>
        <w:rPr>
          <w:rFonts w:cs="Arial"/>
        </w:rPr>
      </w:pPr>
      <w:bookmarkStart w:id="34" w:name="_Hlk154585227"/>
      <w:r w:rsidRPr="00494029">
        <w:rPr>
          <w:rFonts w:cs="Arial"/>
        </w:rPr>
        <w:t>Pollack, J. and Pollack, R. (2015</w:t>
      </w:r>
      <w:bookmarkEnd w:id="34"/>
      <w:r w:rsidRPr="00494029">
        <w:rPr>
          <w:rFonts w:cs="Arial"/>
        </w:rPr>
        <w:t>). 'Using Kotter's eight stage process to manage an organisational change program: presentation and practice',</w:t>
      </w:r>
      <w:r>
        <w:rPr>
          <w:rFonts w:cs="Arial"/>
        </w:rPr>
        <w:t xml:space="preserve"> </w:t>
      </w:r>
      <w:r w:rsidRPr="00494029">
        <w:rPr>
          <w:rFonts w:cs="Arial"/>
          <w:i/>
          <w:iCs/>
        </w:rPr>
        <w:t>Systemic Practice and Action Research</w:t>
      </w:r>
      <w:r w:rsidRPr="00494029">
        <w:rPr>
          <w:rFonts w:cs="Arial"/>
        </w:rPr>
        <w:t>,</w:t>
      </w:r>
      <w:r>
        <w:rPr>
          <w:rFonts w:cs="Arial"/>
        </w:rPr>
        <w:t xml:space="preserve"> </w:t>
      </w:r>
      <w:r w:rsidRPr="00494029">
        <w:rPr>
          <w:rFonts w:cs="Arial"/>
        </w:rPr>
        <w:t>28 (March), pp.51-66. Available at: https://doi.org/10.1007/s11213-014-9317-0</w:t>
      </w:r>
    </w:p>
    <w:p w14:paraId="01C2C83A" w14:textId="77777777" w:rsidR="00494029" w:rsidRPr="00494029" w:rsidRDefault="00494029" w:rsidP="00494029">
      <w:pPr>
        <w:spacing w:after="0"/>
        <w:ind w:left="720" w:hanging="720"/>
        <w:rPr>
          <w:rFonts w:cs="Arial"/>
        </w:rPr>
      </w:pPr>
      <w:r w:rsidRPr="00494029">
        <w:rPr>
          <w:rFonts w:cs="Arial"/>
        </w:rPr>
        <w:t>Rogers, D. (2020)</w:t>
      </w:r>
      <w:r w:rsidRPr="00494029">
        <w:rPr>
          <w:rFonts w:cs="Arial"/>
          <w:i/>
          <w:iCs/>
        </w:rPr>
        <w:t>. Turnover and profit plummet at Morgan Sindall's housing business</w:t>
      </w:r>
      <w:r w:rsidRPr="00494029">
        <w:rPr>
          <w:rFonts w:cs="Arial"/>
        </w:rPr>
        <w:t>. Housing Today. Available at: https://www.housingtoday.co.uk/news/turnover-and-profit-plummet-at-morgan-sindalls-housing-business/5107377.article (Accessed 26/12/2023)</w:t>
      </w:r>
    </w:p>
    <w:p w14:paraId="288806DA" w14:textId="77777777" w:rsidR="00494029" w:rsidRPr="00494029" w:rsidRDefault="00494029" w:rsidP="00494029">
      <w:pPr>
        <w:spacing w:after="0"/>
        <w:ind w:left="720" w:hanging="720"/>
        <w:rPr>
          <w:rFonts w:cs="Arial"/>
        </w:rPr>
      </w:pPr>
      <w:r w:rsidRPr="00494029">
        <w:rPr>
          <w:rFonts w:cs="Arial"/>
        </w:rPr>
        <w:t>Salman, Y. and Broten, N. (2017).</w:t>
      </w:r>
      <w:r>
        <w:rPr>
          <w:rFonts w:cs="Arial"/>
        </w:rPr>
        <w:t xml:space="preserve"> </w:t>
      </w:r>
      <w:r w:rsidRPr="00494029">
        <w:rPr>
          <w:rFonts w:cs="Arial"/>
          <w:i/>
          <w:iCs/>
        </w:rPr>
        <w:t>An analysis of John P. Kotter's leading change</w:t>
      </w:r>
      <w:r w:rsidRPr="00494029">
        <w:rPr>
          <w:rFonts w:cs="Arial"/>
        </w:rPr>
        <w:t>. London: Macat Library.</w:t>
      </w:r>
    </w:p>
    <w:p w14:paraId="057BB25E" w14:textId="77777777" w:rsidR="00494029" w:rsidRPr="00494029" w:rsidRDefault="00494029" w:rsidP="00494029">
      <w:pPr>
        <w:spacing w:after="0"/>
        <w:ind w:left="720" w:hanging="720"/>
        <w:rPr>
          <w:rFonts w:cs="Arial"/>
        </w:rPr>
      </w:pPr>
      <w:bookmarkStart w:id="35" w:name="_Hlk154588196"/>
      <w:proofErr w:type="spellStart"/>
      <w:r w:rsidRPr="00494029">
        <w:rPr>
          <w:rFonts w:cs="Arial"/>
        </w:rPr>
        <w:t>Shaturaev</w:t>
      </w:r>
      <w:proofErr w:type="spellEnd"/>
      <w:r w:rsidRPr="00494029">
        <w:rPr>
          <w:rFonts w:cs="Arial"/>
        </w:rPr>
        <w:t>, J. (2022</w:t>
      </w:r>
      <w:bookmarkEnd w:id="35"/>
      <w:r w:rsidRPr="00494029">
        <w:rPr>
          <w:rFonts w:cs="Arial"/>
        </w:rPr>
        <w:t>). 'Efficiency of investment project evaluation in the development of innovative industrial activities',</w:t>
      </w:r>
      <w:r>
        <w:rPr>
          <w:rFonts w:cs="Arial"/>
        </w:rPr>
        <w:t xml:space="preserve"> </w:t>
      </w:r>
      <w:r w:rsidRPr="00494029">
        <w:rPr>
          <w:rFonts w:cs="Arial"/>
          <w:i/>
          <w:iCs/>
        </w:rPr>
        <w:t>ASEAN Journal of Science and Engineering</w:t>
      </w:r>
      <w:r w:rsidRPr="00494029">
        <w:rPr>
          <w:rFonts w:cs="Arial"/>
        </w:rPr>
        <w:t>,</w:t>
      </w:r>
      <w:r>
        <w:rPr>
          <w:rFonts w:cs="Arial"/>
        </w:rPr>
        <w:t xml:space="preserve"> </w:t>
      </w:r>
      <w:r w:rsidRPr="00494029">
        <w:rPr>
          <w:rFonts w:cs="Arial"/>
        </w:rPr>
        <w:t>3(2), pp.147-162.</w:t>
      </w:r>
    </w:p>
    <w:p w14:paraId="75766A1B" w14:textId="77777777" w:rsidR="00494029" w:rsidRPr="00494029" w:rsidRDefault="00494029" w:rsidP="00494029">
      <w:pPr>
        <w:spacing w:after="0"/>
        <w:ind w:left="720" w:hanging="720"/>
        <w:rPr>
          <w:rFonts w:cs="Arial"/>
        </w:rPr>
      </w:pPr>
      <w:r w:rsidRPr="00494029">
        <w:rPr>
          <w:rFonts w:cs="Arial"/>
        </w:rPr>
        <w:t>Shibani, A., Hassan, D.H. and Shakir, N.S. (2020). 'The effects of pandemic on construction industry in the UK',</w:t>
      </w:r>
      <w:r>
        <w:rPr>
          <w:rFonts w:cs="Arial"/>
        </w:rPr>
        <w:t xml:space="preserve"> </w:t>
      </w:r>
      <w:r w:rsidRPr="00494029">
        <w:rPr>
          <w:rFonts w:cs="Arial"/>
          <w:i/>
          <w:iCs/>
        </w:rPr>
        <w:t>Mediterranean Journal of Social Sciences</w:t>
      </w:r>
      <w:r w:rsidRPr="00494029">
        <w:rPr>
          <w:rFonts w:cs="Arial"/>
        </w:rPr>
        <w:t>,</w:t>
      </w:r>
      <w:r>
        <w:rPr>
          <w:rFonts w:cs="Arial"/>
        </w:rPr>
        <w:t xml:space="preserve"> </w:t>
      </w:r>
      <w:r w:rsidRPr="00494029">
        <w:rPr>
          <w:rFonts w:cs="Arial"/>
        </w:rPr>
        <w:t>11(6), pp. 48-60</w:t>
      </w:r>
    </w:p>
    <w:p w14:paraId="5AD18338" w14:textId="77777777" w:rsidR="00494029" w:rsidRPr="00494029" w:rsidRDefault="00494029" w:rsidP="00494029">
      <w:pPr>
        <w:spacing w:after="0"/>
        <w:ind w:left="720" w:hanging="720"/>
        <w:rPr>
          <w:rFonts w:cs="Arial"/>
        </w:rPr>
      </w:pPr>
      <w:bookmarkStart w:id="36" w:name="_Hlk154483432"/>
      <w:r w:rsidRPr="00494029">
        <w:rPr>
          <w:rFonts w:cs="Arial"/>
        </w:rPr>
        <w:t>Sierra, F. (2022</w:t>
      </w:r>
      <w:bookmarkEnd w:id="36"/>
      <w:r w:rsidRPr="00494029">
        <w:rPr>
          <w:rFonts w:cs="Arial"/>
        </w:rPr>
        <w:t>). 'COVID-19: main challenges during construction stage',</w:t>
      </w:r>
      <w:r>
        <w:rPr>
          <w:rFonts w:cs="Arial"/>
        </w:rPr>
        <w:t xml:space="preserve"> </w:t>
      </w:r>
      <w:r w:rsidRPr="00494029">
        <w:rPr>
          <w:rFonts w:cs="Arial"/>
          <w:i/>
          <w:iCs/>
        </w:rPr>
        <w:t>Engineering, Construction and Architectural Management</w:t>
      </w:r>
      <w:r w:rsidRPr="00494029">
        <w:rPr>
          <w:rFonts w:cs="Arial"/>
        </w:rPr>
        <w:t>,</w:t>
      </w:r>
      <w:r>
        <w:rPr>
          <w:rFonts w:cs="Arial"/>
        </w:rPr>
        <w:t xml:space="preserve"> </w:t>
      </w:r>
      <w:r w:rsidRPr="00494029">
        <w:rPr>
          <w:rFonts w:cs="Arial"/>
        </w:rPr>
        <w:t>29(4), pp.1817-1834.</w:t>
      </w:r>
    </w:p>
    <w:p w14:paraId="32A3ED76" w14:textId="77777777" w:rsidR="00494029" w:rsidRPr="00494029" w:rsidRDefault="00494029" w:rsidP="00494029">
      <w:pPr>
        <w:spacing w:after="0"/>
        <w:ind w:left="720" w:hanging="720"/>
        <w:rPr>
          <w:rFonts w:cs="Arial"/>
        </w:rPr>
      </w:pPr>
      <w:r w:rsidRPr="00494029">
        <w:rPr>
          <w:rFonts w:cs="Arial"/>
        </w:rPr>
        <w:t>Smith, D., Ahmed, V. and Saboor, S. (2020). 'Brexit: assessing the Impact on the UK construction industry &amp; mitigating identified risks', in:</w:t>
      </w:r>
      <w:r>
        <w:rPr>
          <w:rFonts w:cs="Arial"/>
        </w:rPr>
        <w:t xml:space="preserve"> </w:t>
      </w:r>
      <w:r w:rsidRPr="00494029">
        <w:rPr>
          <w:rFonts w:cs="Arial"/>
          <w:i/>
          <w:iCs/>
        </w:rPr>
        <w:t>Proceedings of the International Conference on Industrial Engineering &amp; Operations Management</w:t>
      </w:r>
      <w:r>
        <w:rPr>
          <w:rFonts w:cs="Arial"/>
        </w:rPr>
        <w:t xml:space="preserve">, </w:t>
      </w:r>
      <w:r w:rsidRPr="00494029">
        <w:rPr>
          <w:rFonts w:cs="Arial"/>
        </w:rPr>
        <w:t>pp. 515-523.</w:t>
      </w:r>
    </w:p>
    <w:p w14:paraId="55D993D8" w14:textId="77777777" w:rsidR="00494029" w:rsidRPr="00494029" w:rsidRDefault="00494029" w:rsidP="00494029">
      <w:pPr>
        <w:spacing w:after="0"/>
        <w:ind w:left="720" w:hanging="720"/>
        <w:rPr>
          <w:rFonts w:cs="Arial"/>
        </w:rPr>
      </w:pPr>
      <w:r w:rsidRPr="00494029">
        <w:rPr>
          <w:rFonts w:cs="Arial"/>
        </w:rPr>
        <w:t>Stride, M., Renukappa, S., Suresh, S. and Egbu, C. (2023). 'The effects of COVID-19 pandemic on the UK construction industry and the process of future-proofing business',</w:t>
      </w:r>
      <w:r>
        <w:rPr>
          <w:rFonts w:cs="Arial"/>
        </w:rPr>
        <w:t xml:space="preserve"> </w:t>
      </w:r>
      <w:r w:rsidRPr="00494029">
        <w:rPr>
          <w:rFonts w:cs="Arial"/>
          <w:i/>
          <w:iCs/>
        </w:rPr>
        <w:t>Construction Innovation</w:t>
      </w:r>
      <w:r w:rsidRPr="00494029">
        <w:rPr>
          <w:rFonts w:cs="Arial"/>
        </w:rPr>
        <w:t>,</w:t>
      </w:r>
      <w:r>
        <w:rPr>
          <w:rFonts w:cs="Arial"/>
        </w:rPr>
        <w:t xml:space="preserve"> </w:t>
      </w:r>
      <w:r w:rsidRPr="00494029">
        <w:rPr>
          <w:rFonts w:cs="Arial"/>
        </w:rPr>
        <w:t>23(1), pp.105-128.</w:t>
      </w:r>
    </w:p>
    <w:p w14:paraId="1709A65B" w14:textId="77777777" w:rsidR="00494029" w:rsidRPr="00494029" w:rsidRDefault="00494029" w:rsidP="00494029">
      <w:pPr>
        <w:spacing w:after="0"/>
        <w:ind w:left="720" w:hanging="720"/>
        <w:rPr>
          <w:rFonts w:cs="Arial"/>
        </w:rPr>
      </w:pPr>
      <w:bookmarkStart w:id="37" w:name="_Hlk154478956"/>
      <w:r w:rsidRPr="00494029">
        <w:rPr>
          <w:rFonts w:cs="Arial"/>
        </w:rPr>
        <w:t>Wolfs</w:t>
      </w:r>
      <w:bookmarkEnd w:id="37"/>
      <w:r w:rsidRPr="00494029">
        <w:rPr>
          <w:rFonts w:cs="Arial"/>
        </w:rPr>
        <w:t xml:space="preserve">, M., Nawar, M., Daher, M. and Ashour, M. (2023). </w:t>
      </w:r>
      <w:r w:rsidRPr="00494029">
        <w:rPr>
          <w:rFonts w:cs="Arial"/>
          <w:i/>
          <w:iCs/>
        </w:rPr>
        <w:t>Construction technology: the big 3 disruptive tech in the industry</w:t>
      </w:r>
      <w:r w:rsidRPr="00494029">
        <w:rPr>
          <w:rFonts w:cs="Arial"/>
        </w:rPr>
        <w:t>. Construction Week. Available at: https://www.constructionweekonline.com/tech/construction-technology-the-big-3-disruptive-tech-in-the-industry (Accessed 26/12/2023)</w:t>
      </w:r>
    </w:p>
    <w:p w14:paraId="683F9F36" w14:textId="77777777" w:rsidR="00494029" w:rsidRPr="00494029" w:rsidRDefault="00494029" w:rsidP="00494029">
      <w:pPr>
        <w:spacing w:after="0"/>
        <w:ind w:left="720" w:hanging="720"/>
        <w:rPr>
          <w:rFonts w:cs="Arial"/>
        </w:rPr>
      </w:pPr>
      <w:bookmarkStart w:id="38" w:name="_Hlk154480850"/>
      <w:r w:rsidRPr="00494029">
        <w:rPr>
          <w:rFonts w:cs="Arial"/>
        </w:rPr>
        <w:lastRenderedPageBreak/>
        <w:t xml:space="preserve">Yevu, </w:t>
      </w:r>
      <w:bookmarkEnd w:id="38"/>
      <w:r w:rsidRPr="00494029">
        <w:rPr>
          <w:rFonts w:cs="Arial"/>
        </w:rPr>
        <w:t>S.K., Ann, T.W. and Darko, A. (2021). 'Digitalisation of construction supply chain and procurement in the built environment: emerging technologies and opportunities for sustainable processes',</w:t>
      </w:r>
      <w:r>
        <w:rPr>
          <w:rFonts w:cs="Arial"/>
        </w:rPr>
        <w:t xml:space="preserve"> </w:t>
      </w:r>
      <w:r w:rsidRPr="00494029">
        <w:rPr>
          <w:rFonts w:cs="Arial"/>
          <w:i/>
          <w:iCs/>
        </w:rPr>
        <w:t>Journal of Cleaner Production</w:t>
      </w:r>
      <w:r w:rsidRPr="00494029">
        <w:rPr>
          <w:rFonts w:cs="Arial"/>
        </w:rPr>
        <w:t>,</w:t>
      </w:r>
      <w:r>
        <w:rPr>
          <w:rFonts w:cs="Arial"/>
        </w:rPr>
        <w:t xml:space="preserve"> </w:t>
      </w:r>
      <w:r w:rsidRPr="00494029">
        <w:rPr>
          <w:rFonts w:cs="Arial"/>
        </w:rPr>
        <w:t>322, p.129093.</w:t>
      </w:r>
    </w:p>
    <w:p w14:paraId="6BCBD69F" w14:textId="77777777" w:rsidR="00494029" w:rsidRPr="00494029" w:rsidRDefault="00494029" w:rsidP="00494029">
      <w:pPr>
        <w:spacing w:after="0"/>
        <w:ind w:left="720" w:hanging="720"/>
        <w:rPr>
          <w:rFonts w:cs="Arial"/>
        </w:rPr>
      </w:pPr>
      <w:r w:rsidRPr="00494029">
        <w:rPr>
          <w:rFonts w:cs="Arial"/>
        </w:rPr>
        <w:t>You, W., Chen, Y., Gao, Y. and You, J. (2020). 'Understanding the relationship between environmental uncertainty and transaction costs in construction projects: moderating roles of prior cooperation experience and intragroup transactions',</w:t>
      </w:r>
      <w:r>
        <w:rPr>
          <w:rFonts w:cs="Arial"/>
        </w:rPr>
        <w:t xml:space="preserve"> </w:t>
      </w:r>
      <w:r w:rsidRPr="00494029">
        <w:rPr>
          <w:rFonts w:cs="Arial"/>
          <w:i/>
          <w:iCs/>
        </w:rPr>
        <w:t>Journal of Management in Engineering</w:t>
      </w:r>
      <w:r w:rsidRPr="00494029">
        <w:rPr>
          <w:rFonts w:cs="Arial"/>
        </w:rPr>
        <w:t>,</w:t>
      </w:r>
      <w:r>
        <w:rPr>
          <w:rFonts w:cs="Arial"/>
        </w:rPr>
        <w:t xml:space="preserve"> </w:t>
      </w:r>
      <w:r w:rsidRPr="00494029">
        <w:rPr>
          <w:rFonts w:cs="Arial"/>
        </w:rPr>
        <w:t>36(6), p.04020087.</w:t>
      </w:r>
    </w:p>
    <w:p w14:paraId="05F58335" w14:textId="77777777" w:rsidR="00494029" w:rsidRPr="00494029" w:rsidRDefault="00494029" w:rsidP="00494029">
      <w:pPr>
        <w:spacing w:after="0"/>
        <w:ind w:left="720" w:hanging="720"/>
        <w:rPr>
          <w:rFonts w:cs="Arial"/>
        </w:rPr>
      </w:pPr>
      <w:r w:rsidRPr="00494029">
        <w:rPr>
          <w:rFonts w:cs="Arial"/>
        </w:rPr>
        <w:t>Zamani, S.H., Rahman, R.A., Fauzi, M.A. and Yusof, L.M. (2021, February). 'Effect of COVID-19 on building construction projects: impact and response mechanisms', in:</w:t>
      </w:r>
      <w:r>
        <w:rPr>
          <w:rFonts w:cs="Arial"/>
        </w:rPr>
        <w:t xml:space="preserve"> </w:t>
      </w:r>
      <w:r w:rsidRPr="00494029">
        <w:rPr>
          <w:rFonts w:cs="Arial"/>
          <w:i/>
          <w:iCs/>
        </w:rPr>
        <w:t>IOP Conference Series: Earth and Environmental Science</w:t>
      </w:r>
      <w:r w:rsidRPr="00494029">
        <w:rPr>
          <w:rFonts w:cs="Arial"/>
        </w:rPr>
        <w:t>. IOP Publishing</w:t>
      </w:r>
      <w:r>
        <w:rPr>
          <w:rFonts w:cs="Arial"/>
        </w:rPr>
        <w:t xml:space="preserve">, </w:t>
      </w:r>
      <w:r w:rsidRPr="00494029">
        <w:rPr>
          <w:rFonts w:cs="Arial"/>
        </w:rPr>
        <w:t>p. 012049.</w:t>
      </w:r>
    </w:p>
    <w:p w14:paraId="2A5C6701" w14:textId="77777777" w:rsidR="00CE1CF7" w:rsidRPr="00494029" w:rsidRDefault="00CE1CF7" w:rsidP="00494029">
      <w:pPr>
        <w:spacing w:after="0"/>
        <w:rPr>
          <w:rFonts w:cs="Arial"/>
        </w:rPr>
      </w:pPr>
    </w:p>
    <w:sectPr w:rsidR="00CE1CF7" w:rsidRPr="00494029">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EE3F2" w14:textId="77777777" w:rsidR="00836A0B" w:rsidRDefault="00836A0B">
      <w:pPr>
        <w:spacing w:after="0" w:line="240" w:lineRule="auto"/>
      </w:pPr>
      <w:r>
        <w:separator/>
      </w:r>
    </w:p>
  </w:endnote>
  <w:endnote w:type="continuationSeparator" w:id="0">
    <w:p w14:paraId="7C964177" w14:textId="77777777" w:rsidR="00836A0B" w:rsidRDefault="00836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27D43" w14:textId="77777777" w:rsidR="00836A0B" w:rsidRDefault="00836A0B">
      <w:pPr>
        <w:spacing w:after="0" w:line="240" w:lineRule="auto"/>
      </w:pPr>
      <w:r>
        <w:separator/>
      </w:r>
    </w:p>
  </w:footnote>
  <w:footnote w:type="continuationSeparator" w:id="0">
    <w:p w14:paraId="74421301" w14:textId="77777777" w:rsidR="00836A0B" w:rsidRDefault="00836A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0828468"/>
      <w:docPartObj>
        <w:docPartGallery w:val="Page Numbers (Top of Page)"/>
        <w:docPartUnique/>
      </w:docPartObj>
    </w:sdtPr>
    <w:sdtContent>
      <w:p w14:paraId="2D282CC9" w14:textId="0A99B656" w:rsidR="00912769" w:rsidRDefault="00CD1CA8" w:rsidP="00494029">
        <w:pPr>
          <w:pStyle w:val="Header"/>
          <w:ind w:firstLine="3600"/>
          <w:jc w:val="right"/>
        </w:pPr>
        <w:r w:rsidRPr="00912769">
          <w:t>Leading</w:t>
        </w:r>
        <w:r>
          <w:t xml:space="preserve"> a</w:t>
        </w:r>
        <w:r w:rsidRPr="00912769">
          <w:t>nd</w:t>
        </w:r>
        <w:r>
          <w:t xml:space="preserve"> </w:t>
        </w:r>
        <w:r w:rsidRPr="00912769">
          <w:t>Imple</w:t>
        </w:r>
        <w:r>
          <w:t>m</w:t>
        </w:r>
        <w:r w:rsidRPr="00912769">
          <w:t>enting</w:t>
        </w:r>
        <w:r>
          <w:t xml:space="preserve"> </w:t>
        </w:r>
        <w:r w:rsidRPr="00912769">
          <w:t>Workplace</w:t>
        </w:r>
        <w:r>
          <w:t xml:space="preserve"> </w:t>
        </w:r>
        <w:r w:rsidRPr="00912769">
          <w:t>Change</w:t>
        </w:r>
        <w:r w:rsidR="00494029">
          <w:t xml:space="preserve"> </w:t>
        </w:r>
        <w:r>
          <w:fldChar w:fldCharType="begin"/>
        </w:r>
        <w:r>
          <w:instrText>PAGE   \* MERGEFORMAT</w:instrText>
        </w:r>
        <w:r>
          <w:fldChar w:fldCharType="separate"/>
        </w:r>
        <w: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E124D1"/>
    <w:multiLevelType w:val="hybridMultilevel"/>
    <w:tmpl w:val="5394BBFA"/>
    <w:lvl w:ilvl="0" w:tplc="94EA3BE0">
      <w:start w:val="1"/>
      <w:numFmt w:val="bullet"/>
      <w:lvlText w:val="•"/>
      <w:lvlJc w:val="left"/>
      <w:pPr>
        <w:tabs>
          <w:tab w:val="num" w:pos="720"/>
        </w:tabs>
        <w:ind w:left="720" w:hanging="360"/>
      </w:pPr>
      <w:rPr>
        <w:rFonts w:ascii="Arial" w:hAnsi="Arial" w:hint="default"/>
      </w:rPr>
    </w:lvl>
    <w:lvl w:ilvl="1" w:tplc="5EECF674" w:tentative="1">
      <w:start w:val="1"/>
      <w:numFmt w:val="bullet"/>
      <w:lvlText w:val="•"/>
      <w:lvlJc w:val="left"/>
      <w:pPr>
        <w:tabs>
          <w:tab w:val="num" w:pos="1440"/>
        </w:tabs>
        <w:ind w:left="1440" w:hanging="360"/>
      </w:pPr>
      <w:rPr>
        <w:rFonts w:ascii="Arial" w:hAnsi="Arial" w:hint="default"/>
      </w:rPr>
    </w:lvl>
    <w:lvl w:ilvl="2" w:tplc="4E3014C0" w:tentative="1">
      <w:start w:val="1"/>
      <w:numFmt w:val="bullet"/>
      <w:lvlText w:val="•"/>
      <w:lvlJc w:val="left"/>
      <w:pPr>
        <w:tabs>
          <w:tab w:val="num" w:pos="2160"/>
        </w:tabs>
        <w:ind w:left="2160" w:hanging="360"/>
      </w:pPr>
      <w:rPr>
        <w:rFonts w:ascii="Arial" w:hAnsi="Arial" w:hint="default"/>
      </w:rPr>
    </w:lvl>
    <w:lvl w:ilvl="3" w:tplc="52D2BD76" w:tentative="1">
      <w:start w:val="1"/>
      <w:numFmt w:val="bullet"/>
      <w:lvlText w:val="•"/>
      <w:lvlJc w:val="left"/>
      <w:pPr>
        <w:tabs>
          <w:tab w:val="num" w:pos="2880"/>
        </w:tabs>
        <w:ind w:left="2880" w:hanging="360"/>
      </w:pPr>
      <w:rPr>
        <w:rFonts w:ascii="Arial" w:hAnsi="Arial" w:hint="default"/>
      </w:rPr>
    </w:lvl>
    <w:lvl w:ilvl="4" w:tplc="D82EEC78" w:tentative="1">
      <w:start w:val="1"/>
      <w:numFmt w:val="bullet"/>
      <w:lvlText w:val="•"/>
      <w:lvlJc w:val="left"/>
      <w:pPr>
        <w:tabs>
          <w:tab w:val="num" w:pos="3600"/>
        </w:tabs>
        <w:ind w:left="3600" w:hanging="360"/>
      </w:pPr>
      <w:rPr>
        <w:rFonts w:ascii="Arial" w:hAnsi="Arial" w:hint="default"/>
      </w:rPr>
    </w:lvl>
    <w:lvl w:ilvl="5" w:tplc="734A40E8" w:tentative="1">
      <w:start w:val="1"/>
      <w:numFmt w:val="bullet"/>
      <w:lvlText w:val="•"/>
      <w:lvlJc w:val="left"/>
      <w:pPr>
        <w:tabs>
          <w:tab w:val="num" w:pos="4320"/>
        </w:tabs>
        <w:ind w:left="4320" w:hanging="360"/>
      </w:pPr>
      <w:rPr>
        <w:rFonts w:ascii="Arial" w:hAnsi="Arial" w:hint="default"/>
      </w:rPr>
    </w:lvl>
    <w:lvl w:ilvl="6" w:tplc="8D7072F6" w:tentative="1">
      <w:start w:val="1"/>
      <w:numFmt w:val="bullet"/>
      <w:lvlText w:val="•"/>
      <w:lvlJc w:val="left"/>
      <w:pPr>
        <w:tabs>
          <w:tab w:val="num" w:pos="5040"/>
        </w:tabs>
        <w:ind w:left="5040" w:hanging="360"/>
      </w:pPr>
      <w:rPr>
        <w:rFonts w:ascii="Arial" w:hAnsi="Arial" w:hint="default"/>
      </w:rPr>
    </w:lvl>
    <w:lvl w:ilvl="7" w:tplc="E5105A5E" w:tentative="1">
      <w:start w:val="1"/>
      <w:numFmt w:val="bullet"/>
      <w:lvlText w:val="•"/>
      <w:lvlJc w:val="left"/>
      <w:pPr>
        <w:tabs>
          <w:tab w:val="num" w:pos="5760"/>
        </w:tabs>
        <w:ind w:left="5760" w:hanging="360"/>
      </w:pPr>
      <w:rPr>
        <w:rFonts w:ascii="Arial" w:hAnsi="Arial" w:hint="default"/>
      </w:rPr>
    </w:lvl>
    <w:lvl w:ilvl="8" w:tplc="2CE2455C" w:tentative="1">
      <w:start w:val="1"/>
      <w:numFmt w:val="bullet"/>
      <w:lvlText w:val="•"/>
      <w:lvlJc w:val="left"/>
      <w:pPr>
        <w:tabs>
          <w:tab w:val="num" w:pos="6480"/>
        </w:tabs>
        <w:ind w:left="6480" w:hanging="360"/>
      </w:pPr>
      <w:rPr>
        <w:rFonts w:ascii="Arial" w:hAnsi="Arial" w:hint="default"/>
      </w:rPr>
    </w:lvl>
  </w:abstractNum>
  <w:num w:numId="1" w16cid:durableId="1442919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TAwNra0NLI0NDQzsjRV0lEKTi0uzszPAykwrwUAh2nt0ywAAAA="/>
  </w:docVars>
  <w:rsids>
    <w:rsidRoot w:val="00314D66"/>
    <w:rsid w:val="00001CA6"/>
    <w:rsid w:val="00071EAC"/>
    <w:rsid w:val="00091FB9"/>
    <w:rsid w:val="000D5897"/>
    <w:rsid w:val="00100B00"/>
    <w:rsid w:val="00107640"/>
    <w:rsid w:val="00213A5D"/>
    <w:rsid w:val="00226895"/>
    <w:rsid w:val="002C0B3D"/>
    <w:rsid w:val="00314D66"/>
    <w:rsid w:val="00365C6C"/>
    <w:rsid w:val="00374223"/>
    <w:rsid w:val="00383040"/>
    <w:rsid w:val="003957C2"/>
    <w:rsid w:val="003D22F8"/>
    <w:rsid w:val="003D6224"/>
    <w:rsid w:val="00431E38"/>
    <w:rsid w:val="0043730A"/>
    <w:rsid w:val="00463DDF"/>
    <w:rsid w:val="004825D0"/>
    <w:rsid w:val="00494029"/>
    <w:rsid w:val="004C0943"/>
    <w:rsid w:val="004D72BA"/>
    <w:rsid w:val="00532FCE"/>
    <w:rsid w:val="005A28EC"/>
    <w:rsid w:val="005A639A"/>
    <w:rsid w:val="005B4A56"/>
    <w:rsid w:val="0061178C"/>
    <w:rsid w:val="006344A2"/>
    <w:rsid w:val="006922E3"/>
    <w:rsid w:val="006A78DE"/>
    <w:rsid w:val="006D5E6B"/>
    <w:rsid w:val="006E7230"/>
    <w:rsid w:val="00761145"/>
    <w:rsid w:val="00810DAB"/>
    <w:rsid w:val="00836A0B"/>
    <w:rsid w:val="00861AF9"/>
    <w:rsid w:val="00872B68"/>
    <w:rsid w:val="008805ED"/>
    <w:rsid w:val="008C336C"/>
    <w:rsid w:val="008E1DAE"/>
    <w:rsid w:val="00912769"/>
    <w:rsid w:val="00914670"/>
    <w:rsid w:val="00973D73"/>
    <w:rsid w:val="009B6465"/>
    <w:rsid w:val="009E41DF"/>
    <w:rsid w:val="009F1712"/>
    <w:rsid w:val="00A45816"/>
    <w:rsid w:val="00A45A41"/>
    <w:rsid w:val="00A829FE"/>
    <w:rsid w:val="00A96010"/>
    <w:rsid w:val="00AA6F84"/>
    <w:rsid w:val="00AE3A8A"/>
    <w:rsid w:val="00AF1C55"/>
    <w:rsid w:val="00B00C58"/>
    <w:rsid w:val="00B14DC4"/>
    <w:rsid w:val="00B2545F"/>
    <w:rsid w:val="00B463BC"/>
    <w:rsid w:val="00B67C76"/>
    <w:rsid w:val="00B96281"/>
    <w:rsid w:val="00BB5487"/>
    <w:rsid w:val="00BC2DA3"/>
    <w:rsid w:val="00BD30E4"/>
    <w:rsid w:val="00C37611"/>
    <w:rsid w:val="00C81533"/>
    <w:rsid w:val="00CD1CA8"/>
    <w:rsid w:val="00CD5DB0"/>
    <w:rsid w:val="00CD6D3F"/>
    <w:rsid w:val="00CE1CF7"/>
    <w:rsid w:val="00CE2172"/>
    <w:rsid w:val="00D1080F"/>
    <w:rsid w:val="00D20681"/>
    <w:rsid w:val="00D23A00"/>
    <w:rsid w:val="00D24217"/>
    <w:rsid w:val="00D31A80"/>
    <w:rsid w:val="00D7319B"/>
    <w:rsid w:val="00DC1A1C"/>
    <w:rsid w:val="00DC5D80"/>
    <w:rsid w:val="00EE768E"/>
    <w:rsid w:val="00F21B40"/>
    <w:rsid w:val="00F23325"/>
    <w:rsid w:val="00F26D65"/>
    <w:rsid w:val="00F366CB"/>
    <w:rsid w:val="00F551A1"/>
    <w:rsid w:val="00F65F50"/>
    <w:rsid w:val="00FD0793"/>
    <w:rsid w:val="00FE1C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29713"/>
  <w15:chartTrackingRefBased/>
  <w15:docId w15:val="{EC567BCC-51D9-4A9E-BCCF-FA6E49C61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010"/>
    <w:pPr>
      <w:spacing w:line="360" w:lineRule="auto"/>
      <w:ind w:firstLine="720"/>
    </w:pPr>
    <w:rPr>
      <w:rFonts w:ascii="Arial" w:hAnsi="Arial"/>
      <w:lang w:val="en-GB"/>
    </w:rPr>
  </w:style>
  <w:style w:type="paragraph" w:styleId="Heading1">
    <w:name w:val="heading 1"/>
    <w:basedOn w:val="Normal"/>
    <w:next w:val="Normal"/>
    <w:link w:val="Heading1Char"/>
    <w:uiPriority w:val="9"/>
    <w:qFormat/>
    <w:rsid w:val="00071EAC"/>
    <w:pPr>
      <w:keepNext/>
      <w:keepLines/>
      <w:spacing w:after="0"/>
      <w:ind w:firstLine="0"/>
      <w:jc w:val="center"/>
      <w:outlineLvl w:val="0"/>
    </w:pPr>
    <w:rPr>
      <w:rFonts w:eastAsiaTheme="majorEastAsia" w:cs="Arial"/>
      <w:color w:val="000000" w:themeColor="text1"/>
    </w:rPr>
  </w:style>
  <w:style w:type="paragraph" w:styleId="Heading2">
    <w:name w:val="heading 2"/>
    <w:basedOn w:val="Heading1"/>
    <w:next w:val="Normal"/>
    <w:link w:val="Heading2Char"/>
    <w:uiPriority w:val="9"/>
    <w:unhideWhenUsed/>
    <w:qFormat/>
    <w:rsid w:val="00494029"/>
    <w:pPr>
      <w:jc w:val="left"/>
      <w:outlineLvl w:val="1"/>
    </w:pPr>
    <w:rPr>
      <w:i/>
      <w:iCs/>
    </w:rPr>
  </w:style>
  <w:style w:type="paragraph" w:styleId="Heading3">
    <w:name w:val="heading 3"/>
    <w:basedOn w:val="Heading2"/>
    <w:next w:val="Normal"/>
    <w:link w:val="Heading3Char"/>
    <w:uiPriority w:val="9"/>
    <w:unhideWhenUsed/>
    <w:qFormat/>
    <w:rsid w:val="00494029"/>
    <w:pPr>
      <w:ind w:firstLine="720"/>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1EAC"/>
    <w:rPr>
      <w:rFonts w:ascii="Arial" w:eastAsiaTheme="majorEastAsia" w:hAnsi="Arial" w:cs="Arial"/>
      <w:color w:val="000000" w:themeColor="text1"/>
      <w:lang w:val="en-GB"/>
    </w:rPr>
  </w:style>
  <w:style w:type="paragraph" w:styleId="Header">
    <w:name w:val="header"/>
    <w:basedOn w:val="Normal"/>
    <w:link w:val="HeaderChar"/>
    <w:uiPriority w:val="99"/>
    <w:unhideWhenUsed/>
    <w:rsid w:val="009127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2769"/>
    <w:rPr>
      <w:rFonts w:ascii="Arial" w:hAnsi="Arial"/>
      <w:lang w:val="en-GB"/>
    </w:rPr>
  </w:style>
  <w:style w:type="paragraph" w:styleId="Footer">
    <w:name w:val="footer"/>
    <w:basedOn w:val="Normal"/>
    <w:link w:val="FooterChar"/>
    <w:uiPriority w:val="99"/>
    <w:unhideWhenUsed/>
    <w:rsid w:val="009127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2769"/>
    <w:rPr>
      <w:rFonts w:ascii="Arial" w:hAnsi="Arial"/>
      <w:lang w:val="en-GB"/>
    </w:rPr>
  </w:style>
  <w:style w:type="character" w:customStyle="1" w:styleId="Heading2Char">
    <w:name w:val="Heading 2 Char"/>
    <w:basedOn w:val="DefaultParagraphFont"/>
    <w:link w:val="Heading2"/>
    <w:uiPriority w:val="9"/>
    <w:rsid w:val="00494029"/>
    <w:rPr>
      <w:rFonts w:ascii="Arial" w:eastAsiaTheme="majorEastAsia" w:hAnsi="Arial" w:cs="Arial"/>
      <w:i/>
      <w:iCs/>
      <w:color w:val="000000" w:themeColor="text1"/>
      <w:lang w:val="en-GB"/>
    </w:rPr>
  </w:style>
  <w:style w:type="character" w:customStyle="1" w:styleId="Heading3Char">
    <w:name w:val="Heading 3 Char"/>
    <w:basedOn w:val="DefaultParagraphFont"/>
    <w:link w:val="Heading3"/>
    <w:uiPriority w:val="9"/>
    <w:rsid w:val="00494029"/>
    <w:rPr>
      <w:rFonts w:ascii="Arial" w:eastAsiaTheme="majorEastAsia" w:hAnsi="Arial" w:cs="Arial"/>
      <w:i/>
      <w:iCs/>
      <w:color w:val="000000" w:themeColor="text1"/>
      <w:lang w:val="en-GB"/>
    </w:rPr>
  </w:style>
  <w:style w:type="character" w:styleId="Hyperlink">
    <w:name w:val="Hyperlink"/>
    <w:basedOn w:val="DefaultParagraphFont"/>
    <w:uiPriority w:val="99"/>
    <w:unhideWhenUsed/>
    <w:rsid w:val="00A45816"/>
    <w:rPr>
      <w:color w:val="0563C1" w:themeColor="hyperlink"/>
      <w:u w:val="single"/>
    </w:rPr>
  </w:style>
  <w:style w:type="character" w:styleId="UnresolvedMention">
    <w:name w:val="Unresolved Mention"/>
    <w:basedOn w:val="DefaultParagraphFont"/>
    <w:uiPriority w:val="99"/>
    <w:semiHidden/>
    <w:unhideWhenUsed/>
    <w:rsid w:val="00A45816"/>
    <w:rPr>
      <w:color w:val="605E5C"/>
      <w:shd w:val="clear" w:color="auto" w:fill="E1DFDD"/>
    </w:rPr>
  </w:style>
  <w:style w:type="paragraph" w:styleId="TOCHeading">
    <w:name w:val="TOC Heading"/>
    <w:basedOn w:val="Heading1"/>
    <w:next w:val="Normal"/>
    <w:uiPriority w:val="39"/>
    <w:unhideWhenUsed/>
    <w:qFormat/>
    <w:rsid w:val="00BD30E4"/>
    <w:pPr>
      <w:spacing w:line="259" w:lineRule="auto"/>
      <w:jc w:val="left"/>
      <w:outlineLvl w:val="9"/>
    </w:pPr>
    <w:rPr>
      <w:rFonts w:asciiTheme="majorHAnsi" w:hAnsiTheme="majorHAnsi"/>
      <w:color w:val="2F5496" w:themeColor="accent1" w:themeShade="BF"/>
      <w:kern w:val="0"/>
      <w:sz w:val="32"/>
      <w:lang w:eastAsia="en-GB"/>
      <w14:ligatures w14:val="none"/>
    </w:rPr>
  </w:style>
  <w:style w:type="paragraph" w:styleId="TOC1">
    <w:name w:val="toc 1"/>
    <w:basedOn w:val="Normal"/>
    <w:next w:val="Normal"/>
    <w:autoRedefine/>
    <w:uiPriority w:val="39"/>
    <w:unhideWhenUsed/>
    <w:rsid w:val="00BD30E4"/>
    <w:pPr>
      <w:spacing w:after="100"/>
    </w:pPr>
  </w:style>
  <w:style w:type="paragraph" w:styleId="TOC2">
    <w:name w:val="toc 2"/>
    <w:basedOn w:val="Normal"/>
    <w:next w:val="Normal"/>
    <w:autoRedefine/>
    <w:uiPriority w:val="39"/>
    <w:unhideWhenUsed/>
    <w:rsid w:val="00BD30E4"/>
    <w:pPr>
      <w:spacing w:after="100"/>
      <w:ind w:left="220"/>
    </w:pPr>
  </w:style>
  <w:style w:type="paragraph" w:styleId="TOC3">
    <w:name w:val="toc 3"/>
    <w:basedOn w:val="Normal"/>
    <w:next w:val="Normal"/>
    <w:autoRedefine/>
    <w:uiPriority w:val="39"/>
    <w:unhideWhenUsed/>
    <w:rsid w:val="00BD30E4"/>
    <w:pPr>
      <w:spacing w:after="100"/>
      <w:ind w:left="440"/>
    </w:pPr>
  </w:style>
  <w:style w:type="character" w:customStyle="1" w:styleId="anchor-text">
    <w:name w:val="anchor-text"/>
    <w:basedOn w:val="DefaultParagraphFont"/>
    <w:rsid w:val="00B962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procs.2021.12.14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016/j.proeng.2017.11.0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A503BC-E2A7-416D-9DA3-54ED08984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1325</TotalTime>
  <Pages>19</Pages>
  <Words>6833</Words>
  <Characters>38954</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Asen Gegov</cp:lastModifiedBy>
  <cp:revision>2</cp:revision>
  <dcterms:created xsi:type="dcterms:W3CDTF">2023-12-26T03:13:00Z</dcterms:created>
  <dcterms:modified xsi:type="dcterms:W3CDTF">2023-12-28T19:46:00Z</dcterms:modified>
</cp:coreProperties>
</file>