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5C515" w14:textId="77777777" w:rsidR="005069EC" w:rsidRDefault="003D5096" w:rsidP="005069EC">
      <w:pPr>
        <w:jc w:val="center"/>
        <w:rPr>
          <w:b/>
          <w:sz w:val="28"/>
          <w:szCs w:val="28"/>
          <w:u w:val="single"/>
        </w:rPr>
      </w:pPr>
      <w:r>
        <w:rPr>
          <w:b/>
          <w:sz w:val="28"/>
          <w:szCs w:val="28"/>
          <w:u w:val="single"/>
        </w:rPr>
        <w:t>Field</w:t>
      </w:r>
      <w:r w:rsidR="005069EC">
        <w:rPr>
          <w:b/>
          <w:sz w:val="28"/>
          <w:szCs w:val="28"/>
          <w:u w:val="single"/>
        </w:rPr>
        <w:t xml:space="preserve"> Report – Skanda Vale</w:t>
      </w:r>
    </w:p>
    <w:p w14:paraId="3B365C9E" w14:textId="7821E1FF" w:rsidR="005069EC" w:rsidRDefault="005069EC" w:rsidP="005069EC">
      <w:pPr>
        <w:rPr>
          <w:sz w:val="24"/>
          <w:szCs w:val="24"/>
        </w:rPr>
      </w:pPr>
      <w:r>
        <w:rPr>
          <w:sz w:val="24"/>
          <w:szCs w:val="24"/>
        </w:rPr>
        <w:t xml:space="preserve">My findings from Skanda Vale have offered many different points to their way of living that we as anthropologists can further examine and hope to focus on. My </w:t>
      </w:r>
      <w:r w:rsidR="00581E0D">
        <w:rPr>
          <w:sz w:val="24"/>
          <w:szCs w:val="24"/>
        </w:rPr>
        <w:t>three</w:t>
      </w:r>
      <w:r>
        <w:rPr>
          <w:sz w:val="24"/>
          <w:szCs w:val="24"/>
        </w:rPr>
        <w:t xml:space="preserve"> main focuses were,</w:t>
      </w:r>
      <w:bookmarkStart w:id="0" w:name="_GoBack"/>
      <w:bookmarkEnd w:id="0"/>
      <w:r>
        <w:rPr>
          <w:sz w:val="24"/>
          <w:szCs w:val="24"/>
        </w:rPr>
        <w:t xml:space="preserve"> food and how they obtain their food as well as what their diet may or may not consist of</w:t>
      </w:r>
      <w:r w:rsidR="00581E0D">
        <w:rPr>
          <w:sz w:val="24"/>
          <w:szCs w:val="24"/>
        </w:rPr>
        <w:t xml:space="preserve">. </w:t>
      </w:r>
      <w:r w:rsidR="002119EC">
        <w:rPr>
          <w:sz w:val="24"/>
          <w:szCs w:val="24"/>
        </w:rPr>
        <w:t>Secondly,</w:t>
      </w:r>
      <w:r w:rsidR="00581E0D">
        <w:rPr>
          <w:sz w:val="24"/>
          <w:szCs w:val="24"/>
        </w:rPr>
        <w:t xml:space="preserve"> I wanted to understand what it meant to be an Anthropologist, to conduct fieldwork as such. Where does the field end? Where does being an Anthropologist begin? I wanted to truly understand these thoughts through my experiences </w:t>
      </w:r>
      <w:r w:rsidR="002119EC">
        <w:rPr>
          <w:sz w:val="24"/>
          <w:szCs w:val="24"/>
        </w:rPr>
        <w:t>at Skanda Vale.</w:t>
      </w:r>
      <w:r>
        <w:rPr>
          <w:sz w:val="24"/>
          <w:szCs w:val="24"/>
        </w:rPr>
        <w:t xml:space="preserve"> </w:t>
      </w:r>
      <w:r w:rsidR="002119EC">
        <w:rPr>
          <w:sz w:val="24"/>
          <w:szCs w:val="24"/>
        </w:rPr>
        <w:t>Finally, I wanted to grasp an understanding onto their materialistic usage within their worship towards their pronounced faiths and gods</w:t>
      </w:r>
      <w:r>
        <w:rPr>
          <w:sz w:val="24"/>
          <w:szCs w:val="24"/>
        </w:rPr>
        <w:t xml:space="preserve">. The first focus </w:t>
      </w:r>
      <w:r w:rsidR="002119EC">
        <w:rPr>
          <w:sz w:val="24"/>
          <w:szCs w:val="24"/>
        </w:rPr>
        <w:t>would provide</w:t>
      </w:r>
      <w:r>
        <w:rPr>
          <w:sz w:val="24"/>
          <w:szCs w:val="24"/>
        </w:rPr>
        <w:t xml:space="preserve"> an understanding of their dietary needs and methods of obtaining </w:t>
      </w:r>
      <w:r w:rsidR="002119EC">
        <w:rPr>
          <w:sz w:val="24"/>
          <w:szCs w:val="24"/>
        </w:rPr>
        <w:t>the foods that they eat</w:t>
      </w:r>
      <w:r w:rsidR="00D80E8B">
        <w:rPr>
          <w:sz w:val="24"/>
          <w:szCs w:val="24"/>
        </w:rPr>
        <w:t xml:space="preserve"> though this I would be</w:t>
      </w:r>
      <w:r>
        <w:rPr>
          <w:sz w:val="24"/>
          <w:szCs w:val="24"/>
        </w:rPr>
        <w:t xml:space="preserve"> focusing mostly on the residents of Skanda Vale themselves, whereas my second focus, being the differences of a pilgrim and an anthropologist provides us light into what makes us so different and where the field truly ends</w:t>
      </w:r>
      <w:r w:rsidR="00D80E8B">
        <w:rPr>
          <w:sz w:val="24"/>
          <w:szCs w:val="24"/>
        </w:rPr>
        <w:t xml:space="preserve"> and finally I would conclude this using my final focus in understanding they’re between faith and person</w:t>
      </w:r>
      <w:r>
        <w:rPr>
          <w:sz w:val="24"/>
          <w:szCs w:val="24"/>
        </w:rPr>
        <w:t>. These points together will provide the insight into not only the people of Skanda Vale but</w:t>
      </w:r>
      <w:r w:rsidR="00D80E8B">
        <w:rPr>
          <w:sz w:val="24"/>
          <w:szCs w:val="24"/>
        </w:rPr>
        <w:t xml:space="preserve"> also</w:t>
      </w:r>
      <w:r>
        <w:rPr>
          <w:sz w:val="24"/>
          <w:szCs w:val="24"/>
        </w:rPr>
        <w:t xml:space="preserve"> into </w:t>
      </w:r>
      <w:proofErr w:type="gramStart"/>
      <w:r>
        <w:rPr>
          <w:sz w:val="24"/>
          <w:szCs w:val="24"/>
        </w:rPr>
        <w:t>ourselves</w:t>
      </w:r>
      <w:proofErr w:type="gramEnd"/>
      <w:r>
        <w:rPr>
          <w:sz w:val="24"/>
          <w:szCs w:val="24"/>
        </w:rPr>
        <w:t xml:space="preserve"> as Anthropologists too</w:t>
      </w:r>
      <w:r w:rsidR="00D80E8B">
        <w:rPr>
          <w:sz w:val="24"/>
          <w:szCs w:val="24"/>
        </w:rPr>
        <w:t xml:space="preserve"> in understanding where being an Anthropologist both begins and ends.</w:t>
      </w:r>
    </w:p>
    <w:p w14:paraId="2F8BF6C3" w14:textId="77777777" w:rsidR="00250703" w:rsidRDefault="005069EC" w:rsidP="005069EC">
      <w:pPr>
        <w:rPr>
          <w:sz w:val="24"/>
          <w:szCs w:val="24"/>
        </w:rPr>
      </w:pPr>
      <w:r>
        <w:rPr>
          <w:sz w:val="24"/>
          <w:szCs w:val="24"/>
        </w:rPr>
        <w:t>To begin with let us examine their dietary decisions and ways of obtaining their food. Through my method of participant observation, I was able to glean that their diet consists of vegetarian based meals that are served during periodic times</w:t>
      </w:r>
      <w:r w:rsidR="007B18B8">
        <w:rPr>
          <w:sz w:val="24"/>
          <w:szCs w:val="24"/>
        </w:rPr>
        <w:t xml:space="preserve"> after the Puja’s at 13:30pm and 18:00pm (Skanda Vale</w:t>
      </w:r>
      <w:r w:rsidR="007B18B8" w:rsidRPr="007B18B8">
        <w:rPr>
          <w:i/>
          <w:sz w:val="24"/>
          <w:szCs w:val="24"/>
        </w:rPr>
        <w:t>, Puja times</w:t>
      </w:r>
      <w:r w:rsidR="007B18B8">
        <w:rPr>
          <w:sz w:val="24"/>
          <w:szCs w:val="24"/>
        </w:rPr>
        <w:t>). First of all, let us examine what it is they eat, their diet usually consists of vegetables, which I found by interviewing one of the monks, Brother Andy, that they are all homegrown in their gardens within Skanda Vale. This shows us that they obtain their food through methods of horticulture, by caring for plants and growing them within their gardens they are then able to harvest whatever foods grow in order to provide for their home of Skanda Vale.</w:t>
      </w:r>
      <w:r w:rsidR="00CA1B45">
        <w:rPr>
          <w:sz w:val="24"/>
          <w:szCs w:val="24"/>
        </w:rPr>
        <w:t xml:space="preserve"> I found that this technique was similar to the Yanomami located in Brazil and Venezuela, ‘the bulk of Yanomami food (more than 80 percent) is grown in their village gardens’ (2012:271). This in contrast shows us how people from various parts of the world can have similar strategies for obtaining food, which in itself shows us that to the very core all humans have a similar instinctual pattern when it comes to obtain sustenance based around our main environment and what works best within those conditions which just so happens to be horticulture in the cases of both the people of Skanda Vale and the Yanomami.</w:t>
      </w:r>
    </w:p>
    <w:p w14:paraId="27866238" w14:textId="77777777" w:rsidR="005069EC" w:rsidRDefault="005F34EF" w:rsidP="005069EC">
      <w:pPr>
        <w:rPr>
          <w:sz w:val="24"/>
          <w:szCs w:val="24"/>
        </w:rPr>
      </w:pPr>
      <w:r>
        <w:rPr>
          <w:sz w:val="24"/>
          <w:szCs w:val="24"/>
        </w:rPr>
        <w:t>But</w:t>
      </w:r>
      <w:r w:rsidR="00250703">
        <w:rPr>
          <w:sz w:val="24"/>
          <w:szCs w:val="24"/>
        </w:rPr>
        <w:t xml:space="preserve"> as we know</w:t>
      </w:r>
      <w:r>
        <w:rPr>
          <w:sz w:val="24"/>
          <w:szCs w:val="24"/>
        </w:rPr>
        <w:t xml:space="preserve"> this does not pose an answer as to why they have chosen to consist of a vegetarian diet within their community as my observations allowed me to see that they were easily able to raise some animals on their land, some being chickens and other various birds as well ass cows too, so why would they restrict their diet when they have access to even more food around them? Well this is due to their belief of purification as brother Andy had explained to me during my short informal interview with him. He explained that they believe animals to be just as important/equal to themselves if not more so important than them at times, therefore to eat an animal would be a great sin in the eyes of god since that involved killing the animal and taking its life. Rather than doing so they live alongside the animals and feed them and look after them just as the animals provide care to them </w:t>
      </w:r>
      <w:r>
        <w:rPr>
          <w:sz w:val="24"/>
          <w:szCs w:val="24"/>
        </w:rPr>
        <w:lastRenderedPageBreak/>
        <w:t>through eggs and milk, the produce that the animals can provide for them.</w:t>
      </w:r>
      <w:r w:rsidR="00250703">
        <w:rPr>
          <w:sz w:val="24"/>
          <w:szCs w:val="24"/>
        </w:rPr>
        <w:t xml:space="preserve"> I found their devotion to the animals to be similar to the Nuer’s devotion to their cattle, ‘Nuer devotion to the herdsman’s art is inspired by a range of interests far wider than simple need for food, and why cattle are a dominant value in their lives.’. Through Pritchard’s research over the Nuer I was able to find similar patterns to their behaviour alongside the people of Skanda Vale, showing us that the devotion to animals isn’t just limited to one geographical location but is rather expansive upon </w:t>
      </w:r>
      <w:r w:rsidR="00233862">
        <w:rPr>
          <w:sz w:val="24"/>
          <w:szCs w:val="24"/>
        </w:rPr>
        <w:t>diverse cultures</w:t>
      </w:r>
      <w:r w:rsidR="00250703">
        <w:rPr>
          <w:sz w:val="24"/>
          <w:szCs w:val="24"/>
        </w:rPr>
        <w:t xml:space="preserve"> across the globe itself.</w:t>
      </w:r>
      <w:r w:rsidR="00CE0DEE">
        <w:rPr>
          <w:sz w:val="24"/>
          <w:szCs w:val="24"/>
        </w:rPr>
        <w:t xml:space="preserve"> This is an important impact on our research because too often do we find ourselves trying to overthink the </w:t>
      </w:r>
      <w:r w:rsidR="00233862">
        <w:rPr>
          <w:sz w:val="24"/>
          <w:szCs w:val="24"/>
        </w:rPr>
        <w:t>complexities of groups of people thinking their must be some pinpointed abstract reason to explain the way they live their lives whereas in fact in some cases these people, whom may or may not differ greatly from ourselves, are not at all thinking of some expansive picture but rather just living their lives the way they want to because that’s how they feel is best for them.</w:t>
      </w:r>
    </w:p>
    <w:p w14:paraId="6972CDD7" w14:textId="77777777" w:rsidR="00F1706F" w:rsidRDefault="00F1706F" w:rsidP="005069EC">
      <w:pPr>
        <w:rPr>
          <w:sz w:val="24"/>
          <w:szCs w:val="24"/>
        </w:rPr>
      </w:pPr>
      <w:r>
        <w:rPr>
          <w:sz w:val="24"/>
          <w:szCs w:val="24"/>
        </w:rPr>
        <w:t>Another important aspect of my research that I chose to delve into whilst exploring and taking in the life and experiences at Skanda Vale was on the fieldwork itself. An important question that truly needs exploring, especially since this was the first time I was to conduct fieldwork as an Anthropologist, was where exactly is the field and where does it end? Amit tries to explain fieldwork as ‘When I am ‘there’ and doing nothing else.’ (1999:5). He goes on to explain that the field is</w:t>
      </w:r>
      <w:r w:rsidR="003C3E41">
        <w:rPr>
          <w:sz w:val="24"/>
          <w:szCs w:val="24"/>
        </w:rPr>
        <w:t xml:space="preserve"> too often explained as a comprehensive immersive experience which does not take into the consideration that whilst an Anthropologist is out on the field their family may or may not join them on the field. It does not take into consideration the many other things an Anthropologist might have to do whilst on the field which would not entirely be included within their fieldwork itself. Through my own research of my time at Skanda Vale I had found that the field itself has no limits, it is not bound by anything physical in nature it is a constant existing thing to all of us. Even though we approached Skanda Vale as Anthropologists, even though Anthropologists may approach places involving their fieldwork as such it does not take away the fact that for that moment whilst we’re there, that for the moments whilst we’re interacting with these people, this field we have become a part of it. We have become the pilgrim, the people’s family, a part of their society by integrating ourselves into it through our participant observation we are no longer just bystanders watching them go about their lives we ourselves, although Anthropologists have become a part of their way of life even if it’s just for a moment. Because by becoming a pilgrim within Skanda Vale, I myself would argue that during the stay there my group were playing the roles of both an Anthropologist, collecting data, understanding this society, the people and the surrounding environment and also became pilgrims too.</w:t>
      </w:r>
      <w:r w:rsidR="00B75EBA">
        <w:rPr>
          <w:sz w:val="24"/>
          <w:szCs w:val="24"/>
        </w:rPr>
        <w:t xml:space="preserve"> We showed respect at the temples and prayed during puja’s and followed the many rules laid out by the people of Skanda Vale. The same could effectively be applied to other anthropological fieldwork such as </w:t>
      </w:r>
      <w:proofErr w:type="spellStart"/>
      <w:r w:rsidR="00B75EBA">
        <w:rPr>
          <w:sz w:val="24"/>
          <w:szCs w:val="24"/>
        </w:rPr>
        <w:t>Agland’s</w:t>
      </w:r>
      <w:proofErr w:type="spellEnd"/>
      <w:r w:rsidR="00B75EBA">
        <w:rPr>
          <w:sz w:val="24"/>
          <w:szCs w:val="24"/>
        </w:rPr>
        <w:t xml:space="preserve"> experiences during the filming of his documentary on the </w:t>
      </w:r>
      <w:r w:rsidR="00B75EBA" w:rsidRPr="00A016F4">
        <w:rPr>
          <w:i/>
          <w:sz w:val="24"/>
          <w:szCs w:val="24"/>
        </w:rPr>
        <w:t>Baka</w:t>
      </w:r>
      <w:r w:rsidR="00A016F4" w:rsidRPr="00A016F4">
        <w:rPr>
          <w:i/>
          <w:sz w:val="24"/>
          <w:szCs w:val="24"/>
        </w:rPr>
        <w:t>: The People of The Rainforest</w:t>
      </w:r>
      <w:r w:rsidR="00B75EBA">
        <w:rPr>
          <w:sz w:val="24"/>
          <w:szCs w:val="24"/>
        </w:rPr>
        <w:t xml:space="preserve"> (1987)</w:t>
      </w:r>
      <w:r w:rsidR="00A016F4">
        <w:rPr>
          <w:sz w:val="24"/>
          <w:szCs w:val="24"/>
        </w:rPr>
        <w:t xml:space="preserve"> and also </w:t>
      </w:r>
      <w:r w:rsidR="00A016F4" w:rsidRPr="00A016F4">
        <w:rPr>
          <w:i/>
          <w:sz w:val="24"/>
          <w:szCs w:val="24"/>
        </w:rPr>
        <w:t>Baka: A Cry from The Rainforest</w:t>
      </w:r>
      <w:r w:rsidR="00A016F4">
        <w:rPr>
          <w:sz w:val="24"/>
          <w:szCs w:val="24"/>
        </w:rPr>
        <w:t xml:space="preserve"> (2012)</w:t>
      </w:r>
      <w:r w:rsidR="00B75EBA">
        <w:rPr>
          <w:sz w:val="24"/>
          <w:szCs w:val="24"/>
        </w:rPr>
        <w:t xml:space="preserve"> in which he went to film an ethnic group immersed and living within the rainforest and he himself lived alongside them as he was filming them.</w:t>
      </w:r>
      <w:r w:rsidR="00A016F4">
        <w:rPr>
          <w:sz w:val="24"/>
          <w:szCs w:val="24"/>
        </w:rPr>
        <w:t xml:space="preserve"> This documentary itself further expands on the belief that the field itself never truly ends or starts and that are not just limited as being Anthropologists rather we become a part of the fieldwork itself. We become members of </w:t>
      </w:r>
      <w:r w:rsidR="00A016F4">
        <w:rPr>
          <w:sz w:val="24"/>
          <w:szCs w:val="24"/>
        </w:rPr>
        <w:lastRenderedPageBreak/>
        <w:t>these various groups of people or as my group did we became pilgrims visiting Skanda Vale. This is not to say that this is a bad and unethical impact on Anthropology and the various places and/or people we visit rather it’s an important aspect that we must acknowledge because whilst participant observation does help us further explore and understand our own research it is also important for us to note that we must still be aware of how much we interact and influence the environments that we immerse ourselves in.</w:t>
      </w:r>
    </w:p>
    <w:p w14:paraId="744FA697" w14:textId="6F0C16E9" w:rsidR="00A016F4" w:rsidRDefault="00A016F4" w:rsidP="005069EC">
      <w:pPr>
        <w:rPr>
          <w:sz w:val="24"/>
          <w:szCs w:val="24"/>
        </w:rPr>
      </w:pPr>
      <w:r>
        <w:rPr>
          <w:sz w:val="24"/>
          <w:szCs w:val="24"/>
        </w:rPr>
        <w:t>Another part of my research at Skanda Vale was focused on the religious aspects that they practice or more exactly th</w:t>
      </w:r>
      <w:r w:rsidR="00CE7D6D">
        <w:rPr>
          <w:sz w:val="24"/>
          <w:szCs w:val="24"/>
        </w:rPr>
        <w:t>eir interactions with the aspects of religion they focus on. One particular key point I felt was interesting involved their representation of respect towards the many faiths they worship within their multi-faith community. One particular notable aspect are the many statues and objects of worship used to represent and also used as a form of offering to these many gods.</w:t>
      </w:r>
      <w:r w:rsidR="00285B3B">
        <w:rPr>
          <w:sz w:val="24"/>
          <w:szCs w:val="24"/>
        </w:rPr>
        <w:t xml:space="preserve"> My own experiences at Skanda Vale of participant observation whilst joining in with the </w:t>
      </w:r>
      <w:r w:rsidR="00597766">
        <w:rPr>
          <w:sz w:val="24"/>
          <w:szCs w:val="24"/>
        </w:rPr>
        <w:t>prayers within the sanctum of the Puja’s gave me the opportunity to witness the more practical side of their religious faith through their offerings to these gods they held faith within.</w:t>
      </w:r>
      <w:r w:rsidR="005307BF">
        <w:rPr>
          <w:sz w:val="24"/>
          <w:szCs w:val="24"/>
        </w:rPr>
        <w:t xml:space="preserve"> </w:t>
      </w:r>
      <w:r w:rsidR="0080427C">
        <w:rPr>
          <w:sz w:val="24"/>
          <w:szCs w:val="24"/>
        </w:rPr>
        <w:t xml:space="preserve">My first interpretation of the way they showed their faithfulness towards their gods, with the helpful explanation from Brother Andy, </w:t>
      </w:r>
      <w:r w:rsidR="00C830AD">
        <w:rPr>
          <w:sz w:val="24"/>
          <w:szCs w:val="24"/>
        </w:rPr>
        <w:t>was that they used various paintings and statues as a means to show how important and powerful their gods/holy figures were to them. I found this instance to be quite dissimilar to Eriera</w:t>
      </w:r>
      <w:r w:rsidR="000F6108">
        <w:rPr>
          <w:sz w:val="24"/>
          <w:szCs w:val="24"/>
        </w:rPr>
        <w:t xml:space="preserve">’s findings about the Kogi, in that rather than using objects that have a lot of materialistic worth to represent </w:t>
      </w:r>
      <w:r w:rsidR="00D83E44">
        <w:rPr>
          <w:sz w:val="24"/>
          <w:szCs w:val="24"/>
        </w:rPr>
        <w:t>their goddess The Great Mother Aluna, they rather bury gold and valuable objects such as this into the earth as they believe gold to be the earth’s blood.</w:t>
      </w:r>
    </w:p>
    <w:p w14:paraId="3DD7D01F" w14:textId="2012B91E" w:rsidR="0077367C" w:rsidRDefault="00D80E8B" w:rsidP="005069EC">
      <w:pPr>
        <w:rPr>
          <w:sz w:val="24"/>
          <w:szCs w:val="24"/>
        </w:rPr>
      </w:pPr>
      <w:r>
        <w:rPr>
          <w:sz w:val="24"/>
          <w:szCs w:val="24"/>
        </w:rPr>
        <w:t>Overall,</w:t>
      </w:r>
      <w:r w:rsidR="00376B42">
        <w:rPr>
          <w:sz w:val="24"/>
          <w:szCs w:val="24"/>
        </w:rPr>
        <w:t xml:space="preserve"> I </w:t>
      </w:r>
      <w:r w:rsidR="00567111">
        <w:rPr>
          <w:sz w:val="24"/>
          <w:szCs w:val="24"/>
        </w:rPr>
        <w:t>have found that</w:t>
      </w:r>
      <w:r w:rsidR="00C70939">
        <w:rPr>
          <w:sz w:val="24"/>
          <w:szCs w:val="24"/>
        </w:rPr>
        <w:t xml:space="preserve"> the field itself isn’t something that has a physical manifestation rather it’s more personal and mental if anything. I found myself aligning with Amit’s own theory of the field the more I read his work, in that it’s something personal something that differs to every individual and to every situation and that trying to divide yourself from your fieldwork itself is impossible because eventually you yourself will become a part of that fieldwork.</w:t>
      </w:r>
      <w:r w:rsidR="000F62F0">
        <w:rPr>
          <w:sz w:val="24"/>
          <w:szCs w:val="24"/>
        </w:rPr>
        <w:t xml:space="preserve"> </w:t>
      </w:r>
      <w:r w:rsidR="00C0234B">
        <w:rPr>
          <w:sz w:val="24"/>
          <w:szCs w:val="24"/>
        </w:rPr>
        <w:t>Finally,</w:t>
      </w:r>
      <w:r w:rsidR="000F62F0">
        <w:rPr>
          <w:sz w:val="24"/>
          <w:szCs w:val="24"/>
        </w:rPr>
        <w:t xml:space="preserve"> I had found that</w:t>
      </w:r>
      <w:r w:rsidR="00567111">
        <w:rPr>
          <w:sz w:val="24"/>
          <w:szCs w:val="24"/>
        </w:rPr>
        <w:t xml:space="preserve"> their</w:t>
      </w:r>
      <w:r w:rsidR="000F62F0">
        <w:rPr>
          <w:sz w:val="24"/>
          <w:szCs w:val="24"/>
        </w:rPr>
        <w:t xml:space="preserve"> interpretation of their</w:t>
      </w:r>
      <w:r w:rsidR="00567111">
        <w:rPr>
          <w:sz w:val="24"/>
          <w:szCs w:val="24"/>
        </w:rPr>
        <w:t xml:space="preserve"> food is</w:t>
      </w:r>
      <w:r w:rsidR="00D12A30">
        <w:rPr>
          <w:sz w:val="24"/>
          <w:szCs w:val="24"/>
        </w:rPr>
        <w:t xml:space="preserve"> something</w:t>
      </w:r>
      <w:r w:rsidR="000F62F0">
        <w:rPr>
          <w:sz w:val="24"/>
          <w:szCs w:val="24"/>
        </w:rPr>
        <w:t xml:space="preserve"> that is</w:t>
      </w:r>
      <w:r w:rsidR="00D12A30">
        <w:rPr>
          <w:sz w:val="24"/>
          <w:szCs w:val="24"/>
        </w:rPr>
        <w:t xml:space="preserve"> </w:t>
      </w:r>
      <w:r w:rsidR="000F62F0">
        <w:rPr>
          <w:sz w:val="24"/>
          <w:szCs w:val="24"/>
        </w:rPr>
        <w:t>of true</w:t>
      </w:r>
      <w:r w:rsidR="00D12A30">
        <w:rPr>
          <w:sz w:val="24"/>
          <w:szCs w:val="24"/>
        </w:rPr>
        <w:t xml:space="preserve"> importan</w:t>
      </w:r>
      <w:r w:rsidR="000F62F0">
        <w:rPr>
          <w:sz w:val="24"/>
          <w:szCs w:val="24"/>
        </w:rPr>
        <w:t>ce</w:t>
      </w:r>
      <w:r w:rsidR="00D12A30">
        <w:rPr>
          <w:sz w:val="24"/>
          <w:szCs w:val="24"/>
        </w:rPr>
        <w:t xml:space="preserve"> to them an aspect that they must show worship for to their faith which ties back into their religious aspect of how they relate to showing their faith to the many gods they pray too. This helps us understand their way of life and what they deem as precious and an invaluable aspect to them, for food isn’t</w:t>
      </w:r>
      <w:r w:rsidR="006E2099">
        <w:rPr>
          <w:sz w:val="24"/>
          <w:szCs w:val="24"/>
        </w:rPr>
        <w:t xml:space="preserve"> just a simple commodity rather it’s something one should be grateful for in all aspects of life and would as such also help further explain as to why they restrict their diet. One way of showing not only their faith but their gratitude towards</w:t>
      </w:r>
      <w:r w:rsidR="00F70BC1">
        <w:rPr>
          <w:sz w:val="24"/>
          <w:szCs w:val="24"/>
        </w:rPr>
        <w:t xml:space="preserve"> food and their religions themselves is by consisting of a strict vegetarian based diet as not to harm any other living animal and being grateful for all life placed upon this earth.</w:t>
      </w:r>
    </w:p>
    <w:p w14:paraId="2EB6E7DE" w14:textId="77777777" w:rsidR="005069EC" w:rsidRDefault="005069EC" w:rsidP="005069EC">
      <w:pPr>
        <w:jc w:val="center"/>
        <w:rPr>
          <w:sz w:val="24"/>
          <w:szCs w:val="24"/>
          <w:u w:val="single"/>
        </w:rPr>
      </w:pPr>
      <w:r>
        <w:rPr>
          <w:sz w:val="24"/>
          <w:szCs w:val="24"/>
          <w:u w:val="single"/>
        </w:rPr>
        <w:t>References</w:t>
      </w:r>
    </w:p>
    <w:p w14:paraId="39E9F09D" w14:textId="77777777" w:rsidR="00DE39F1" w:rsidRDefault="00DE39F1" w:rsidP="005069EC">
      <w:pPr>
        <w:rPr>
          <w:sz w:val="24"/>
          <w:szCs w:val="24"/>
        </w:rPr>
      </w:pPr>
      <w:r>
        <w:rPr>
          <w:sz w:val="24"/>
          <w:szCs w:val="24"/>
        </w:rPr>
        <w:t xml:space="preserve">Amit, V. </w:t>
      </w:r>
      <w:r w:rsidRPr="00F1706F">
        <w:rPr>
          <w:i/>
          <w:sz w:val="24"/>
          <w:szCs w:val="24"/>
        </w:rPr>
        <w:t>Constructing the Field:</w:t>
      </w:r>
      <w:r w:rsidR="00F1706F" w:rsidRPr="00F1706F">
        <w:rPr>
          <w:i/>
          <w:sz w:val="24"/>
          <w:szCs w:val="24"/>
        </w:rPr>
        <w:t xml:space="preserve"> Ethnographic Fieldwork in a Contemporary World</w:t>
      </w:r>
      <w:r w:rsidR="00F1706F">
        <w:rPr>
          <w:sz w:val="24"/>
          <w:szCs w:val="24"/>
        </w:rPr>
        <w:t>, Routledge, Oxford, 1999, pp4 – 5.</w:t>
      </w:r>
    </w:p>
    <w:p w14:paraId="5EC07D04" w14:textId="77777777" w:rsidR="00B75EBA" w:rsidRDefault="00B75EBA" w:rsidP="005069EC">
      <w:pPr>
        <w:rPr>
          <w:sz w:val="24"/>
          <w:szCs w:val="24"/>
        </w:rPr>
      </w:pPr>
      <w:proofErr w:type="spellStart"/>
      <w:r>
        <w:rPr>
          <w:sz w:val="24"/>
          <w:szCs w:val="24"/>
        </w:rPr>
        <w:t>Agland</w:t>
      </w:r>
      <w:proofErr w:type="spellEnd"/>
      <w:r>
        <w:rPr>
          <w:sz w:val="24"/>
          <w:szCs w:val="24"/>
        </w:rPr>
        <w:t xml:space="preserve">, P. Baka: The People of The Rainforest, </w:t>
      </w:r>
      <w:proofErr w:type="spellStart"/>
      <w:r>
        <w:rPr>
          <w:sz w:val="24"/>
          <w:szCs w:val="24"/>
        </w:rPr>
        <w:t>Dja</w:t>
      </w:r>
      <w:proofErr w:type="spellEnd"/>
      <w:r>
        <w:rPr>
          <w:sz w:val="24"/>
          <w:szCs w:val="24"/>
        </w:rPr>
        <w:t xml:space="preserve"> River Films, Film/Documentary, United Kingdom, June 2004.</w:t>
      </w:r>
    </w:p>
    <w:p w14:paraId="1988F552" w14:textId="3C8A7A4B" w:rsidR="00A016F4" w:rsidRDefault="00A016F4" w:rsidP="005069EC">
      <w:pPr>
        <w:rPr>
          <w:sz w:val="24"/>
          <w:szCs w:val="24"/>
        </w:rPr>
      </w:pPr>
      <w:proofErr w:type="spellStart"/>
      <w:r>
        <w:rPr>
          <w:sz w:val="24"/>
          <w:szCs w:val="24"/>
        </w:rPr>
        <w:lastRenderedPageBreak/>
        <w:t>Agland</w:t>
      </w:r>
      <w:proofErr w:type="spellEnd"/>
      <w:r>
        <w:rPr>
          <w:sz w:val="24"/>
          <w:szCs w:val="24"/>
        </w:rPr>
        <w:t xml:space="preserve">, P. Baka: A Cry from The Rainforest, </w:t>
      </w:r>
      <w:proofErr w:type="spellStart"/>
      <w:r>
        <w:rPr>
          <w:sz w:val="24"/>
          <w:szCs w:val="24"/>
        </w:rPr>
        <w:t>Dja</w:t>
      </w:r>
      <w:proofErr w:type="spellEnd"/>
      <w:r>
        <w:rPr>
          <w:sz w:val="24"/>
          <w:szCs w:val="24"/>
        </w:rPr>
        <w:t xml:space="preserve"> River Films, Film/Documentary, United Kingdom, 17</w:t>
      </w:r>
      <w:r w:rsidRPr="00A016F4">
        <w:rPr>
          <w:sz w:val="24"/>
          <w:szCs w:val="24"/>
          <w:vertAlign w:val="superscript"/>
        </w:rPr>
        <w:t>th</w:t>
      </w:r>
      <w:r>
        <w:rPr>
          <w:sz w:val="24"/>
          <w:szCs w:val="24"/>
        </w:rPr>
        <w:t xml:space="preserve"> February 2012.</w:t>
      </w:r>
    </w:p>
    <w:p w14:paraId="2782651E" w14:textId="7F38A15C" w:rsidR="000F53DE" w:rsidRDefault="000F53DE" w:rsidP="005069EC">
      <w:pPr>
        <w:rPr>
          <w:sz w:val="24"/>
          <w:szCs w:val="24"/>
        </w:rPr>
      </w:pPr>
      <w:proofErr w:type="spellStart"/>
      <w:r>
        <w:rPr>
          <w:sz w:val="24"/>
          <w:szCs w:val="24"/>
        </w:rPr>
        <w:t>Eriera</w:t>
      </w:r>
      <w:proofErr w:type="spellEnd"/>
      <w:r>
        <w:rPr>
          <w:sz w:val="24"/>
          <w:szCs w:val="24"/>
        </w:rPr>
        <w:t xml:space="preserve">, A. </w:t>
      </w:r>
      <w:r w:rsidRPr="00376B42">
        <w:rPr>
          <w:i/>
          <w:sz w:val="24"/>
          <w:szCs w:val="24"/>
        </w:rPr>
        <w:t>The Heart of The World</w:t>
      </w:r>
      <w:r w:rsidR="00C137EE">
        <w:rPr>
          <w:sz w:val="24"/>
          <w:szCs w:val="24"/>
        </w:rPr>
        <w:t xml:space="preserve">, </w:t>
      </w:r>
      <w:r w:rsidR="00CB78A2">
        <w:rPr>
          <w:sz w:val="24"/>
          <w:szCs w:val="24"/>
        </w:rPr>
        <w:t>Jonathan Cape, Oxford, 1992</w:t>
      </w:r>
      <w:r w:rsidR="00376B42">
        <w:rPr>
          <w:sz w:val="24"/>
          <w:szCs w:val="24"/>
        </w:rPr>
        <w:t>.</w:t>
      </w:r>
    </w:p>
    <w:p w14:paraId="36380FB9" w14:textId="77777777" w:rsidR="00250703" w:rsidRDefault="00250703" w:rsidP="005069EC">
      <w:pPr>
        <w:rPr>
          <w:sz w:val="24"/>
          <w:szCs w:val="24"/>
        </w:rPr>
      </w:pPr>
      <w:r>
        <w:rPr>
          <w:sz w:val="24"/>
          <w:szCs w:val="24"/>
        </w:rPr>
        <w:t xml:space="preserve">Pritchard, Evans E.E. </w:t>
      </w:r>
      <w:r w:rsidRPr="00250703">
        <w:rPr>
          <w:i/>
          <w:sz w:val="24"/>
          <w:szCs w:val="24"/>
        </w:rPr>
        <w:t>The Nuer</w:t>
      </w:r>
      <w:r>
        <w:rPr>
          <w:sz w:val="24"/>
          <w:szCs w:val="24"/>
        </w:rPr>
        <w:t>, Oxford University Press, New York and Oxford, 1969, pp17 – 19.</w:t>
      </w:r>
    </w:p>
    <w:p w14:paraId="1FC00A3F" w14:textId="77777777" w:rsidR="00CA1B45" w:rsidRDefault="00CA1B45" w:rsidP="005069EC">
      <w:pPr>
        <w:rPr>
          <w:sz w:val="24"/>
          <w:szCs w:val="24"/>
        </w:rPr>
      </w:pPr>
      <w:r>
        <w:rPr>
          <w:sz w:val="24"/>
          <w:szCs w:val="24"/>
        </w:rPr>
        <w:t>Peters-Golden, H. Culture Sketches: Case Studies in Anthropology, McGraw Hill, Michigan United States of America, 2012, pp270 – 271.</w:t>
      </w:r>
    </w:p>
    <w:p w14:paraId="2555C4CA" w14:textId="09547B75" w:rsidR="005069EC" w:rsidRDefault="005069EC" w:rsidP="005069EC">
      <w:pPr>
        <w:rPr>
          <w:sz w:val="24"/>
          <w:szCs w:val="24"/>
        </w:rPr>
      </w:pPr>
      <w:r>
        <w:rPr>
          <w:sz w:val="24"/>
          <w:szCs w:val="24"/>
        </w:rPr>
        <w:t xml:space="preserve">Skanda Vale, </w:t>
      </w:r>
      <w:r w:rsidRPr="007B18B8">
        <w:rPr>
          <w:i/>
          <w:sz w:val="24"/>
          <w:szCs w:val="24"/>
        </w:rPr>
        <w:t>Puja times</w:t>
      </w:r>
      <w:r>
        <w:rPr>
          <w:sz w:val="24"/>
          <w:szCs w:val="24"/>
        </w:rPr>
        <w:t xml:space="preserve">, [Online], </w:t>
      </w:r>
      <w:hyperlink r:id="rId4" w:history="1">
        <w:r w:rsidRPr="004312B7">
          <w:rPr>
            <w:rStyle w:val="Hyperlink"/>
            <w:sz w:val="24"/>
            <w:szCs w:val="24"/>
          </w:rPr>
          <w:t>https://www.skandavale.org/puja-times/</w:t>
        </w:r>
      </w:hyperlink>
      <w:r>
        <w:rPr>
          <w:sz w:val="24"/>
          <w:szCs w:val="24"/>
        </w:rPr>
        <w:t>, (Accessed April 27</w:t>
      </w:r>
      <w:r w:rsidRPr="005069EC">
        <w:rPr>
          <w:sz w:val="24"/>
          <w:szCs w:val="24"/>
          <w:vertAlign w:val="superscript"/>
        </w:rPr>
        <w:t>th</w:t>
      </w:r>
      <w:r w:rsidR="007B18B8">
        <w:rPr>
          <w:sz w:val="24"/>
          <w:szCs w:val="24"/>
        </w:rPr>
        <w:t>, 2018</w:t>
      </w:r>
      <w:r>
        <w:rPr>
          <w:sz w:val="24"/>
          <w:szCs w:val="24"/>
        </w:rPr>
        <w:t>, 14:17)</w:t>
      </w:r>
    </w:p>
    <w:p w14:paraId="0910FCE4" w14:textId="372E31FC" w:rsidR="00C0234B" w:rsidRDefault="00C0234B" w:rsidP="00C0234B">
      <w:pPr>
        <w:jc w:val="center"/>
        <w:rPr>
          <w:sz w:val="24"/>
          <w:szCs w:val="24"/>
          <w:u w:val="single"/>
        </w:rPr>
      </w:pPr>
      <w:r>
        <w:rPr>
          <w:sz w:val="24"/>
          <w:szCs w:val="24"/>
          <w:u w:val="single"/>
        </w:rPr>
        <w:t>Bibliography</w:t>
      </w:r>
    </w:p>
    <w:p w14:paraId="7DB3AF88" w14:textId="5101E465" w:rsidR="00E10E07" w:rsidRDefault="00E10E07" w:rsidP="00C0234B">
      <w:pPr>
        <w:rPr>
          <w:sz w:val="24"/>
          <w:szCs w:val="24"/>
        </w:rPr>
      </w:pPr>
      <w:r>
        <w:rPr>
          <w:sz w:val="24"/>
          <w:szCs w:val="24"/>
        </w:rPr>
        <w:t xml:space="preserve">Bell, C. </w:t>
      </w:r>
      <w:r w:rsidRPr="00EE30AC">
        <w:rPr>
          <w:i/>
          <w:sz w:val="24"/>
          <w:szCs w:val="24"/>
        </w:rPr>
        <w:t>Ritual Perspectives and Dimensions</w:t>
      </w:r>
      <w:r>
        <w:rPr>
          <w:sz w:val="24"/>
          <w:szCs w:val="24"/>
        </w:rPr>
        <w:t xml:space="preserve">, Oxford University Press, Oxford, </w:t>
      </w:r>
      <w:r w:rsidR="00244882">
        <w:rPr>
          <w:sz w:val="24"/>
          <w:szCs w:val="24"/>
        </w:rPr>
        <w:t>1997.</w:t>
      </w:r>
    </w:p>
    <w:p w14:paraId="50A3E55C" w14:textId="4DCD449F" w:rsidR="00244882" w:rsidRDefault="00244882" w:rsidP="00C0234B">
      <w:pPr>
        <w:rPr>
          <w:sz w:val="24"/>
          <w:szCs w:val="24"/>
        </w:rPr>
      </w:pPr>
      <w:r>
        <w:rPr>
          <w:sz w:val="24"/>
          <w:szCs w:val="24"/>
        </w:rPr>
        <w:t xml:space="preserve">Bowie, F. </w:t>
      </w:r>
      <w:r w:rsidRPr="00EE30AC">
        <w:rPr>
          <w:i/>
          <w:sz w:val="24"/>
          <w:szCs w:val="24"/>
        </w:rPr>
        <w:t xml:space="preserve">The Anthropology of Religion </w:t>
      </w:r>
      <w:r w:rsidR="00C16726" w:rsidRPr="00EE30AC">
        <w:rPr>
          <w:i/>
          <w:sz w:val="24"/>
          <w:szCs w:val="24"/>
        </w:rPr>
        <w:t>an</w:t>
      </w:r>
      <w:r w:rsidRPr="00EE30AC">
        <w:rPr>
          <w:i/>
          <w:sz w:val="24"/>
          <w:szCs w:val="24"/>
        </w:rPr>
        <w:t xml:space="preserve"> Introduction</w:t>
      </w:r>
      <w:r>
        <w:rPr>
          <w:sz w:val="24"/>
          <w:szCs w:val="24"/>
        </w:rPr>
        <w:t xml:space="preserve">, </w:t>
      </w:r>
      <w:r w:rsidR="00C16726">
        <w:rPr>
          <w:sz w:val="24"/>
          <w:szCs w:val="24"/>
        </w:rPr>
        <w:t>Blackwell, Oxford, 2006.</w:t>
      </w:r>
    </w:p>
    <w:p w14:paraId="4C1AE10D" w14:textId="56CE5AB5" w:rsidR="00DE5D21" w:rsidRDefault="00DE5D21" w:rsidP="00C0234B">
      <w:pPr>
        <w:rPr>
          <w:sz w:val="24"/>
          <w:szCs w:val="24"/>
        </w:rPr>
      </w:pPr>
      <w:r>
        <w:rPr>
          <w:sz w:val="24"/>
          <w:szCs w:val="24"/>
        </w:rPr>
        <w:t>Counihan, C and Esterik, P.V.</w:t>
      </w:r>
      <w:r w:rsidR="00CD31F7">
        <w:rPr>
          <w:sz w:val="24"/>
          <w:szCs w:val="24"/>
        </w:rPr>
        <w:t xml:space="preserve"> </w:t>
      </w:r>
      <w:r w:rsidR="00CD31F7" w:rsidRPr="00EE30AC">
        <w:rPr>
          <w:i/>
          <w:sz w:val="24"/>
          <w:szCs w:val="24"/>
        </w:rPr>
        <w:t>Food and Culture A Reader</w:t>
      </w:r>
      <w:r w:rsidR="00CD31F7">
        <w:rPr>
          <w:sz w:val="24"/>
          <w:szCs w:val="24"/>
        </w:rPr>
        <w:t>, Routledge, London and New York, 1997.</w:t>
      </w:r>
    </w:p>
    <w:p w14:paraId="457AAE84" w14:textId="5E2DDAA0" w:rsidR="00C16726" w:rsidRDefault="00C16726" w:rsidP="00C0234B">
      <w:pPr>
        <w:rPr>
          <w:sz w:val="24"/>
          <w:szCs w:val="24"/>
        </w:rPr>
      </w:pPr>
      <w:r>
        <w:rPr>
          <w:sz w:val="24"/>
          <w:szCs w:val="24"/>
        </w:rPr>
        <w:t>Evans</w:t>
      </w:r>
      <w:r w:rsidR="00F750E9">
        <w:rPr>
          <w:sz w:val="24"/>
          <w:szCs w:val="24"/>
        </w:rPr>
        <w:t xml:space="preserve">-Pritchard, E.E. </w:t>
      </w:r>
      <w:r w:rsidR="00F750E9" w:rsidRPr="00EE30AC">
        <w:rPr>
          <w:i/>
          <w:sz w:val="24"/>
          <w:szCs w:val="24"/>
        </w:rPr>
        <w:t>Nuer Religion</w:t>
      </w:r>
      <w:r w:rsidR="00F750E9">
        <w:rPr>
          <w:sz w:val="24"/>
          <w:szCs w:val="24"/>
        </w:rPr>
        <w:t xml:space="preserve">, Oxford University Press, Oxford, </w:t>
      </w:r>
      <w:r w:rsidR="00EE30AC">
        <w:rPr>
          <w:sz w:val="24"/>
          <w:szCs w:val="24"/>
        </w:rPr>
        <w:t>1956.</w:t>
      </w:r>
    </w:p>
    <w:p w14:paraId="7A9EDAF8" w14:textId="2E37D03A" w:rsidR="003239C4" w:rsidRDefault="003239C4" w:rsidP="00C0234B">
      <w:pPr>
        <w:rPr>
          <w:sz w:val="24"/>
          <w:szCs w:val="24"/>
        </w:rPr>
      </w:pPr>
      <w:r>
        <w:rPr>
          <w:sz w:val="24"/>
          <w:szCs w:val="24"/>
        </w:rPr>
        <w:t xml:space="preserve">Latham, K, Thompson, S and Klein, J. </w:t>
      </w:r>
      <w:r w:rsidRPr="00EE30AC">
        <w:rPr>
          <w:i/>
          <w:sz w:val="24"/>
          <w:szCs w:val="24"/>
        </w:rPr>
        <w:t xml:space="preserve">Consuming China: Approaches </w:t>
      </w:r>
      <w:r w:rsidR="00E10E07" w:rsidRPr="00EE30AC">
        <w:rPr>
          <w:i/>
          <w:sz w:val="24"/>
          <w:szCs w:val="24"/>
        </w:rPr>
        <w:t>to</w:t>
      </w:r>
      <w:r w:rsidRPr="00EE30AC">
        <w:rPr>
          <w:i/>
          <w:sz w:val="24"/>
          <w:szCs w:val="24"/>
        </w:rPr>
        <w:t xml:space="preserve"> Cultural Change in Contemporary China</w:t>
      </w:r>
      <w:r>
        <w:rPr>
          <w:sz w:val="24"/>
          <w:szCs w:val="24"/>
        </w:rPr>
        <w:t xml:space="preserve">, </w:t>
      </w:r>
      <w:r w:rsidR="00292A17">
        <w:rPr>
          <w:sz w:val="24"/>
          <w:szCs w:val="24"/>
        </w:rPr>
        <w:t>Routledge, London and New York, 2006.</w:t>
      </w:r>
    </w:p>
    <w:p w14:paraId="1E177E35" w14:textId="7257E70C" w:rsidR="00CD31F7" w:rsidRDefault="002B568B" w:rsidP="00C0234B">
      <w:pPr>
        <w:rPr>
          <w:sz w:val="24"/>
          <w:szCs w:val="24"/>
        </w:rPr>
      </w:pPr>
      <w:r w:rsidRPr="002B568B">
        <w:rPr>
          <w:sz w:val="24"/>
          <w:szCs w:val="24"/>
        </w:rPr>
        <w:t xml:space="preserve">Pottier, J. </w:t>
      </w:r>
      <w:r w:rsidRPr="00EE30AC">
        <w:rPr>
          <w:i/>
          <w:sz w:val="24"/>
          <w:szCs w:val="24"/>
        </w:rPr>
        <w:t>Anthropology of Food: The Social Dynamics of Food Security</w:t>
      </w:r>
      <w:r w:rsidRPr="002B568B">
        <w:rPr>
          <w:sz w:val="24"/>
          <w:szCs w:val="24"/>
        </w:rPr>
        <w:t>, Polity Press, Oxford and Cambridge, 1999.</w:t>
      </w:r>
    </w:p>
    <w:p w14:paraId="6EBF67C7" w14:textId="1E45762D" w:rsidR="008B239C" w:rsidRPr="00C0234B" w:rsidRDefault="002B568B" w:rsidP="00C0234B">
      <w:pPr>
        <w:rPr>
          <w:sz w:val="24"/>
          <w:szCs w:val="24"/>
        </w:rPr>
      </w:pPr>
      <w:r>
        <w:rPr>
          <w:sz w:val="24"/>
          <w:szCs w:val="24"/>
        </w:rPr>
        <w:t xml:space="preserve">Turnbull, C. </w:t>
      </w:r>
      <w:r w:rsidRPr="00EE30AC">
        <w:rPr>
          <w:i/>
          <w:sz w:val="24"/>
          <w:szCs w:val="24"/>
        </w:rPr>
        <w:t>The Forest Peopl</w:t>
      </w:r>
      <w:r w:rsidR="00BD34D5" w:rsidRPr="00EE30AC">
        <w:rPr>
          <w:i/>
          <w:sz w:val="24"/>
          <w:szCs w:val="24"/>
        </w:rPr>
        <w:t>e</w:t>
      </w:r>
      <w:r w:rsidR="00BD34D5">
        <w:rPr>
          <w:sz w:val="24"/>
          <w:szCs w:val="24"/>
        </w:rPr>
        <w:t xml:space="preserve">, </w:t>
      </w:r>
      <w:proofErr w:type="spellStart"/>
      <w:r w:rsidR="00BD34D5">
        <w:rPr>
          <w:sz w:val="24"/>
          <w:szCs w:val="24"/>
        </w:rPr>
        <w:t>Mackays</w:t>
      </w:r>
      <w:proofErr w:type="spellEnd"/>
      <w:r w:rsidR="00BD34D5">
        <w:rPr>
          <w:sz w:val="24"/>
          <w:szCs w:val="24"/>
        </w:rPr>
        <w:t xml:space="preserve">, London, </w:t>
      </w:r>
      <w:r w:rsidR="008B239C">
        <w:rPr>
          <w:sz w:val="24"/>
          <w:szCs w:val="24"/>
        </w:rPr>
        <w:t>1993.</w:t>
      </w:r>
    </w:p>
    <w:sectPr w:rsidR="008B239C" w:rsidRPr="00C02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B30"/>
    <w:rsid w:val="00033BB3"/>
    <w:rsid w:val="000B335C"/>
    <w:rsid w:val="000C3491"/>
    <w:rsid w:val="000F53DE"/>
    <w:rsid w:val="000F6108"/>
    <w:rsid w:val="000F62F0"/>
    <w:rsid w:val="001A6B30"/>
    <w:rsid w:val="001E6DE6"/>
    <w:rsid w:val="001F7180"/>
    <w:rsid w:val="002119EC"/>
    <w:rsid w:val="00233862"/>
    <w:rsid w:val="00244882"/>
    <w:rsid w:val="00250703"/>
    <w:rsid w:val="00285B3B"/>
    <w:rsid w:val="00292A17"/>
    <w:rsid w:val="002B568B"/>
    <w:rsid w:val="003239C4"/>
    <w:rsid w:val="00376B42"/>
    <w:rsid w:val="003C3E41"/>
    <w:rsid w:val="003D5096"/>
    <w:rsid w:val="00457953"/>
    <w:rsid w:val="005069EC"/>
    <w:rsid w:val="005307BF"/>
    <w:rsid w:val="00567111"/>
    <w:rsid w:val="00581E0D"/>
    <w:rsid w:val="00597766"/>
    <w:rsid w:val="005F34EF"/>
    <w:rsid w:val="006A7458"/>
    <w:rsid w:val="006E2099"/>
    <w:rsid w:val="0077367C"/>
    <w:rsid w:val="007B18B8"/>
    <w:rsid w:val="0080427C"/>
    <w:rsid w:val="0084541A"/>
    <w:rsid w:val="008B239C"/>
    <w:rsid w:val="00A016F4"/>
    <w:rsid w:val="00A930CF"/>
    <w:rsid w:val="00AF718A"/>
    <w:rsid w:val="00B75EBA"/>
    <w:rsid w:val="00BD34D5"/>
    <w:rsid w:val="00C0234B"/>
    <w:rsid w:val="00C137EE"/>
    <w:rsid w:val="00C16726"/>
    <w:rsid w:val="00C70939"/>
    <w:rsid w:val="00C830AD"/>
    <w:rsid w:val="00CA1B45"/>
    <w:rsid w:val="00CB78A2"/>
    <w:rsid w:val="00CD31F7"/>
    <w:rsid w:val="00CE0DEE"/>
    <w:rsid w:val="00CE7D6D"/>
    <w:rsid w:val="00D12A30"/>
    <w:rsid w:val="00D80E8B"/>
    <w:rsid w:val="00D83E44"/>
    <w:rsid w:val="00D97D3B"/>
    <w:rsid w:val="00DE39F1"/>
    <w:rsid w:val="00DE5D21"/>
    <w:rsid w:val="00E10E07"/>
    <w:rsid w:val="00EC1F20"/>
    <w:rsid w:val="00EE30AC"/>
    <w:rsid w:val="00F1706F"/>
    <w:rsid w:val="00F70BC1"/>
    <w:rsid w:val="00F75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4E69F"/>
  <w15:chartTrackingRefBased/>
  <w15:docId w15:val="{E4A03D01-8A01-49EB-85E8-00A938236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9EC"/>
    <w:rPr>
      <w:color w:val="0563C1" w:themeColor="hyperlink"/>
      <w:u w:val="single"/>
    </w:rPr>
  </w:style>
  <w:style w:type="character" w:styleId="UnresolvedMention">
    <w:name w:val="Unresolved Mention"/>
    <w:basedOn w:val="DefaultParagraphFont"/>
    <w:uiPriority w:val="99"/>
    <w:semiHidden/>
    <w:unhideWhenUsed/>
    <w:rsid w:val="005069E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kandavale.org/puja-ti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1807</Words>
  <Characters>10305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Morgan</dc:creator>
  <cp:keywords/>
  <dc:description/>
  <cp:lastModifiedBy>Sam Morgan (1701755)</cp:lastModifiedBy>
  <cp:revision>2</cp:revision>
  <dcterms:created xsi:type="dcterms:W3CDTF">2018-04-30T22:09:00Z</dcterms:created>
  <dcterms:modified xsi:type="dcterms:W3CDTF">2018-04-30T22:09:00Z</dcterms:modified>
</cp:coreProperties>
</file>