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C59411" w14:textId="32ABD659" w:rsidR="00BF0A86" w:rsidRDefault="009E3ED0" w:rsidP="009E3ED0">
      <w:pPr>
        <w:jc w:val="center"/>
        <w:rPr>
          <w:rFonts w:ascii="Arial" w:hAnsi="Arial" w:cs="Arial"/>
          <w:b/>
          <w:bCs/>
          <w:sz w:val="32"/>
          <w:szCs w:val="32"/>
          <w:u w:val="single"/>
        </w:rPr>
      </w:pPr>
      <w:r w:rsidRPr="009E3ED0">
        <w:rPr>
          <w:rFonts w:ascii="Arial" w:hAnsi="Arial" w:cs="Arial"/>
          <w:b/>
          <w:bCs/>
          <w:sz w:val="32"/>
          <w:szCs w:val="32"/>
          <w:u w:val="single"/>
        </w:rPr>
        <w:t>Reform of Non-Fatal offences against the person</w:t>
      </w:r>
      <w:r>
        <w:rPr>
          <w:rFonts w:ascii="Arial" w:hAnsi="Arial" w:cs="Arial"/>
          <w:b/>
          <w:bCs/>
          <w:sz w:val="32"/>
          <w:szCs w:val="32"/>
          <w:u w:val="single"/>
        </w:rPr>
        <w:t xml:space="preserve"> </w:t>
      </w:r>
    </w:p>
    <w:p w14:paraId="054AD4B3" w14:textId="779FBD84" w:rsidR="009E3ED0" w:rsidRDefault="009E3ED0" w:rsidP="009E3ED0">
      <w:pPr>
        <w:jc w:val="center"/>
        <w:rPr>
          <w:rFonts w:ascii="Arial" w:hAnsi="Arial" w:cs="Arial"/>
          <w:b/>
          <w:bCs/>
          <w:sz w:val="32"/>
          <w:szCs w:val="32"/>
          <w:u w:val="single"/>
        </w:rPr>
      </w:pPr>
    </w:p>
    <w:p w14:paraId="46366B29" w14:textId="30B9E7A0" w:rsidR="009E3ED0" w:rsidRDefault="009E3ED0" w:rsidP="009E3ED0">
      <w:pPr>
        <w:jc w:val="center"/>
        <w:rPr>
          <w:rFonts w:ascii="Arial" w:hAnsi="Arial" w:cs="Arial"/>
          <w:b/>
          <w:bCs/>
          <w:sz w:val="32"/>
          <w:szCs w:val="32"/>
          <w:u w:val="single"/>
        </w:rPr>
      </w:pPr>
    </w:p>
    <w:p w14:paraId="66F7B5E5" w14:textId="480A0B0D" w:rsidR="009E3ED0" w:rsidRDefault="009E3ED0" w:rsidP="009E3ED0">
      <w:pPr>
        <w:jc w:val="center"/>
        <w:rPr>
          <w:rFonts w:ascii="Arial" w:hAnsi="Arial" w:cs="Arial"/>
          <w:b/>
          <w:bCs/>
          <w:sz w:val="32"/>
          <w:szCs w:val="32"/>
          <w:u w:val="single"/>
        </w:rPr>
      </w:pPr>
    </w:p>
    <w:p w14:paraId="4456CB0A" w14:textId="50B805E4" w:rsidR="009E3ED0" w:rsidRDefault="009E3ED0" w:rsidP="009E3ED0">
      <w:pPr>
        <w:jc w:val="center"/>
        <w:rPr>
          <w:rFonts w:ascii="Arial" w:hAnsi="Arial" w:cs="Arial"/>
          <w:b/>
          <w:bCs/>
          <w:sz w:val="32"/>
          <w:szCs w:val="32"/>
          <w:u w:val="single"/>
        </w:rPr>
      </w:pPr>
    </w:p>
    <w:p w14:paraId="3EC6CBB4" w14:textId="6B8183FE" w:rsidR="009E3ED0" w:rsidRDefault="009E3ED0" w:rsidP="009E3ED0">
      <w:pPr>
        <w:jc w:val="center"/>
        <w:rPr>
          <w:rFonts w:ascii="Arial" w:hAnsi="Arial" w:cs="Arial"/>
          <w:b/>
          <w:bCs/>
          <w:sz w:val="32"/>
          <w:szCs w:val="32"/>
          <w:u w:val="single"/>
        </w:rPr>
      </w:pPr>
    </w:p>
    <w:p w14:paraId="62B18BAD" w14:textId="504854F9" w:rsidR="009E3ED0" w:rsidRDefault="009E3ED0" w:rsidP="009E3ED0">
      <w:pPr>
        <w:jc w:val="center"/>
        <w:rPr>
          <w:rFonts w:ascii="Arial" w:hAnsi="Arial" w:cs="Arial"/>
          <w:b/>
          <w:bCs/>
          <w:sz w:val="32"/>
          <w:szCs w:val="32"/>
          <w:u w:val="single"/>
        </w:rPr>
      </w:pPr>
    </w:p>
    <w:p w14:paraId="01F0A83B" w14:textId="087295C3" w:rsidR="009E3ED0" w:rsidRDefault="009E3ED0" w:rsidP="009E3ED0">
      <w:pPr>
        <w:jc w:val="center"/>
        <w:rPr>
          <w:rFonts w:ascii="Arial" w:hAnsi="Arial" w:cs="Arial"/>
          <w:b/>
          <w:bCs/>
          <w:sz w:val="32"/>
          <w:szCs w:val="32"/>
          <w:u w:val="single"/>
        </w:rPr>
      </w:pPr>
    </w:p>
    <w:p w14:paraId="2EE80168" w14:textId="158AB9A8" w:rsidR="009E3ED0" w:rsidRDefault="009E3ED0" w:rsidP="009E3ED0">
      <w:pPr>
        <w:jc w:val="center"/>
        <w:rPr>
          <w:rFonts w:ascii="Arial" w:hAnsi="Arial" w:cs="Arial"/>
          <w:b/>
          <w:bCs/>
          <w:sz w:val="32"/>
          <w:szCs w:val="32"/>
          <w:u w:val="single"/>
        </w:rPr>
      </w:pPr>
    </w:p>
    <w:p w14:paraId="0601262F" w14:textId="7522811F" w:rsidR="009E3ED0" w:rsidRDefault="009E3ED0" w:rsidP="009E3ED0">
      <w:pPr>
        <w:jc w:val="center"/>
        <w:rPr>
          <w:rFonts w:ascii="Arial" w:hAnsi="Arial" w:cs="Arial"/>
          <w:b/>
          <w:bCs/>
          <w:sz w:val="32"/>
          <w:szCs w:val="32"/>
          <w:u w:val="single"/>
        </w:rPr>
      </w:pPr>
    </w:p>
    <w:p w14:paraId="47C0729E" w14:textId="3CF9EC4B" w:rsidR="009E3ED0" w:rsidRDefault="009E3ED0" w:rsidP="009E3ED0">
      <w:pPr>
        <w:jc w:val="center"/>
        <w:rPr>
          <w:rFonts w:ascii="Arial" w:hAnsi="Arial" w:cs="Arial"/>
          <w:b/>
          <w:bCs/>
          <w:sz w:val="32"/>
          <w:szCs w:val="32"/>
          <w:u w:val="single"/>
        </w:rPr>
      </w:pPr>
    </w:p>
    <w:p w14:paraId="5AEACB5E" w14:textId="7C88B1FB" w:rsidR="009E3ED0" w:rsidRDefault="009E3ED0" w:rsidP="009E3ED0">
      <w:pPr>
        <w:jc w:val="center"/>
        <w:rPr>
          <w:rFonts w:ascii="Arial" w:hAnsi="Arial" w:cs="Arial"/>
          <w:b/>
          <w:bCs/>
          <w:sz w:val="32"/>
          <w:szCs w:val="32"/>
          <w:u w:val="single"/>
        </w:rPr>
      </w:pPr>
    </w:p>
    <w:p w14:paraId="2320EC69" w14:textId="411A464C" w:rsidR="009E3ED0" w:rsidRDefault="009E3ED0" w:rsidP="009E3ED0">
      <w:pPr>
        <w:jc w:val="center"/>
        <w:rPr>
          <w:rFonts w:ascii="Arial" w:hAnsi="Arial" w:cs="Arial"/>
          <w:b/>
          <w:bCs/>
          <w:sz w:val="32"/>
          <w:szCs w:val="32"/>
          <w:u w:val="single"/>
        </w:rPr>
      </w:pPr>
    </w:p>
    <w:p w14:paraId="28079665" w14:textId="462170CA" w:rsidR="009E3ED0" w:rsidRDefault="009E3ED0" w:rsidP="009E3ED0">
      <w:pPr>
        <w:jc w:val="center"/>
        <w:rPr>
          <w:rFonts w:ascii="Arial" w:hAnsi="Arial" w:cs="Arial"/>
          <w:b/>
          <w:bCs/>
          <w:sz w:val="32"/>
          <w:szCs w:val="32"/>
          <w:u w:val="single"/>
        </w:rPr>
      </w:pPr>
    </w:p>
    <w:p w14:paraId="0BF0D5E5" w14:textId="314A63DF" w:rsidR="009E3ED0" w:rsidRDefault="009E3ED0" w:rsidP="009E3ED0">
      <w:pPr>
        <w:jc w:val="center"/>
        <w:rPr>
          <w:rFonts w:ascii="Arial" w:hAnsi="Arial" w:cs="Arial"/>
          <w:b/>
          <w:bCs/>
          <w:sz w:val="32"/>
          <w:szCs w:val="32"/>
          <w:u w:val="single"/>
        </w:rPr>
      </w:pPr>
    </w:p>
    <w:p w14:paraId="0DE625E6" w14:textId="5148B1C2" w:rsidR="009E3ED0" w:rsidRDefault="009E3ED0" w:rsidP="009E3ED0">
      <w:pPr>
        <w:jc w:val="center"/>
        <w:rPr>
          <w:rFonts w:ascii="Arial" w:hAnsi="Arial" w:cs="Arial"/>
          <w:b/>
          <w:bCs/>
          <w:sz w:val="32"/>
          <w:szCs w:val="32"/>
          <w:u w:val="single"/>
        </w:rPr>
      </w:pPr>
    </w:p>
    <w:p w14:paraId="6CD84B12" w14:textId="40C4EB73" w:rsidR="009E3ED0" w:rsidRDefault="009E3ED0" w:rsidP="009E3ED0">
      <w:pPr>
        <w:jc w:val="center"/>
        <w:rPr>
          <w:rFonts w:ascii="Arial" w:hAnsi="Arial" w:cs="Arial"/>
          <w:b/>
          <w:bCs/>
          <w:sz w:val="32"/>
          <w:szCs w:val="32"/>
          <w:u w:val="single"/>
        </w:rPr>
      </w:pPr>
    </w:p>
    <w:p w14:paraId="5D8962A2" w14:textId="7A99C21B" w:rsidR="009E3ED0" w:rsidRDefault="009E3ED0" w:rsidP="009E3ED0">
      <w:pPr>
        <w:jc w:val="center"/>
        <w:rPr>
          <w:rFonts w:ascii="Arial" w:hAnsi="Arial" w:cs="Arial"/>
          <w:b/>
          <w:bCs/>
          <w:sz w:val="32"/>
          <w:szCs w:val="32"/>
          <w:u w:val="single"/>
        </w:rPr>
      </w:pPr>
    </w:p>
    <w:p w14:paraId="77B87D2B" w14:textId="7BA6C218" w:rsidR="009E3ED0" w:rsidRDefault="009E3ED0" w:rsidP="009E3ED0">
      <w:pPr>
        <w:jc w:val="center"/>
        <w:rPr>
          <w:rFonts w:ascii="Arial" w:hAnsi="Arial" w:cs="Arial"/>
          <w:b/>
          <w:bCs/>
          <w:sz w:val="32"/>
          <w:szCs w:val="32"/>
          <w:u w:val="single"/>
        </w:rPr>
      </w:pPr>
    </w:p>
    <w:p w14:paraId="47710D14" w14:textId="570F8391" w:rsidR="009E3ED0" w:rsidRDefault="009E3ED0" w:rsidP="009E3ED0">
      <w:pPr>
        <w:jc w:val="center"/>
        <w:rPr>
          <w:rFonts w:ascii="Arial" w:hAnsi="Arial" w:cs="Arial"/>
          <w:b/>
          <w:bCs/>
          <w:sz w:val="32"/>
          <w:szCs w:val="32"/>
          <w:u w:val="single"/>
        </w:rPr>
      </w:pPr>
    </w:p>
    <w:p w14:paraId="09374093" w14:textId="27B4F449" w:rsidR="009E3ED0" w:rsidRDefault="009E3ED0" w:rsidP="009E3ED0">
      <w:pPr>
        <w:jc w:val="center"/>
        <w:rPr>
          <w:rFonts w:ascii="Arial" w:hAnsi="Arial" w:cs="Arial"/>
          <w:b/>
          <w:bCs/>
          <w:sz w:val="32"/>
          <w:szCs w:val="32"/>
          <w:u w:val="single"/>
        </w:rPr>
      </w:pPr>
    </w:p>
    <w:p w14:paraId="640C66CA" w14:textId="4AD03E28" w:rsidR="009E3ED0" w:rsidRDefault="009E3ED0" w:rsidP="009E3ED0">
      <w:pPr>
        <w:jc w:val="center"/>
        <w:rPr>
          <w:rFonts w:ascii="Arial" w:hAnsi="Arial" w:cs="Arial"/>
          <w:b/>
          <w:bCs/>
          <w:sz w:val="32"/>
          <w:szCs w:val="32"/>
          <w:u w:val="single"/>
        </w:rPr>
      </w:pPr>
    </w:p>
    <w:p w14:paraId="31ED5827" w14:textId="795B9EEA" w:rsidR="009E3ED0" w:rsidRDefault="009E3ED0" w:rsidP="009E3ED0">
      <w:pPr>
        <w:jc w:val="center"/>
        <w:rPr>
          <w:rFonts w:ascii="Arial" w:hAnsi="Arial" w:cs="Arial"/>
          <w:b/>
          <w:bCs/>
          <w:sz w:val="32"/>
          <w:szCs w:val="32"/>
          <w:u w:val="single"/>
        </w:rPr>
      </w:pPr>
    </w:p>
    <w:p w14:paraId="0A4130F4" w14:textId="6AB0BCE3" w:rsidR="009E3ED0" w:rsidRDefault="009E3ED0" w:rsidP="009E3ED0">
      <w:pPr>
        <w:rPr>
          <w:rFonts w:ascii="Arial" w:hAnsi="Arial" w:cs="Arial"/>
          <w:b/>
          <w:bCs/>
          <w:sz w:val="32"/>
          <w:szCs w:val="32"/>
          <w:u w:val="single"/>
        </w:rPr>
      </w:pPr>
      <w:r>
        <w:rPr>
          <w:rFonts w:ascii="Arial" w:hAnsi="Arial" w:cs="Arial"/>
          <w:b/>
          <w:bCs/>
          <w:sz w:val="32"/>
          <w:szCs w:val="32"/>
          <w:u w:val="single"/>
        </w:rPr>
        <w:t>Hollie Elizabeth Evans</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u w:val="single"/>
        </w:rPr>
        <w:t>2000126</w:t>
      </w:r>
    </w:p>
    <w:p w14:paraId="0E771A3C" w14:textId="5A1CBB3A" w:rsidR="009320F2" w:rsidRDefault="00090DAA" w:rsidP="009E3ED0">
      <w:pPr>
        <w:rPr>
          <w:rFonts w:ascii="Arial" w:hAnsi="Arial" w:cs="Arial"/>
          <w:sz w:val="24"/>
          <w:szCs w:val="24"/>
        </w:rPr>
      </w:pPr>
      <w:r>
        <w:rPr>
          <w:rFonts w:ascii="Arial" w:hAnsi="Arial" w:cs="Arial"/>
          <w:sz w:val="24"/>
          <w:szCs w:val="24"/>
        </w:rPr>
        <w:lastRenderedPageBreak/>
        <w:t xml:space="preserve">Non-fatal offences against a person </w:t>
      </w:r>
      <w:r w:rsidR="00025036">
        <w:rPr>
          <w:rFonts w:ascii="Arial" w:hAnsi="Arial" w:cs="Arial"/>
          <w:sz w:val="24"/>
          <w:szCs w:val="24"/>
        </w:rPr>
        <w:t>are</w:t>
      </w:r>
      <w:r>
        <w:rPr>
          <w:rFonts w:ascii="Arial" w:hAnsi="Arial" w:cs="Arial"/>
          <w:sz w:val="24"/>
          <w:szCs w:val="24"/>
        </w:rPr>
        <w:t xml:space="preserve"> governed by the Offences against the person act 1861. The Act was passed in 1861 and is still a major piece of legislation used in governing </w:t>
      </w:r>
      <w:r w:rsidR="00025036">
        <w:rPr>
          <w:rFonts w:ascii="Arial" w:hAnsi="Arial" w:cs="Arial"/>
          <w:sz w:val="24"/>
          <w:szCs w:val="24"/>
        </w:rPr>
        <w:t xml:space="preserve">crimes against a person </w:t>
      </w:r>
      <w:sdt>
        <w:sdtPr>
          <w:rPr>
            <w:rFonts w:ascii="Arial" w:hAnsi="Arial" w:cs="Arial"/>
            <w:sz w:val="24"/>
            <w:szCs w:val="24"/>
          </w:rPr>
          <w:id w:val="1626429613"/>
          <w:citation/>
        </w:sdtPr>
        <w:sdtEndPr/>
        <w:sdtContent>
          <w:r w:rsidR="00025036">
            <w:rPr>
              <w:rFonts w:ascii="Arial" w:hAnsi="Arial" w:cs="Arial"/>
              <w:sz w:val="24"/>
              <w:szCs w:val="24"/>
            </w:rPr>
            <w:fldChar w:fldCharType="begin"/>
          </w:r>
          <w:r w:rsidR="00025036">
            <w:rPr>
              <w:rFonts w:ascii="Arial" w:hAnsi="Arial" w:cs="Arial"/>
              <w:sz w:val="24"/>
              <w:szCs w:val="24"/>
            </w:rPr>
            <w:instrText xml:space="preserve"> CITATION Leg21 \l 2057 </w:instrText>
          </w:r>
          <w:r w:rsidR="00025036">
            <w:rPr>
              <w:rFonts w:ascii="Arial" w:hAnsi="Arial" w:cs="Arial"/>
              <w:sz w:val="24"/>
              <w:szCs w:val="24"/>
            </w:rPr>
            <w:fldChar w:fldCharType="separate"/>
          </w:r>
          <w:r w:rsidR="00025036" w:rsidRPr="00025036">
            <w:rPr>
              <w:rFonts w:ascii="Arial" w:hAnsi="Arial" w:cs="Arial"/>
              <w:noProof/>
              <w:sz w:val="24"/>
              <w:szCs w:val="24"/>
            </w:rPr>
            <w:t>(Legislation.gov.uk, 2021)</w:t>
          </w:r>
          <w:r w:rsidR="00025036">
            <w:rPr>
              <w:rFonts w:ascii="Arial" w:hAnsi="Arial" w:cs="Arial"/>
              <w:sz w:val="24"/>
              <w:szCs w:val="24"/>
            </w:rPr>
            <w:fldChar w:fldCharType="end"/>
          </w:r>
        </w:sdtContent>
      </w:sdt>
      <w:r w:rsidR="00025036">
        <w:rPr>
          <w:rFonts w:ascii="Arial" w:hAnsi="Arial" w:cs="Arial"/>
          <w:sz w:val="24"/>
          <w:szCs w:val="24"/>
        </w:rPr>
        <w:t>. Although the act has been amended multiple times</w:t>
      </w:r>
      <w:r w:rsidR="00C17CF3">
        <w:rPr>
          <w:rFonts w:ascii="Arial" w:hAnsi="Arial" w:cs="Arial"/>
          <w:sz w:val="24"/>
          <w:szCs w:val="24"/>
        </w:rPr>
        <w:t>,</w:t>
      </w:r>
      <w:r w:rsidR="00025036">
        <w:rPr>
          <w:rFonts w:ascii="Arial" w:hAnsi="Arial" w:cs="Arial"/>
          <w:sz w:val="24"/>
          <w:szCs w:val="24"/>
        </w:rPr>
        <w:t xml:space="preserve"> majority of the original legislation is still used in criminal law today. </w:t>
      </w:r>
      <w:r w:rsidR="009320F2">
        <w:rPr>
          <w:rFonts w:ascii="Arial" w:hAnsi="Arial" w:cs="Arial"/>
          <w:sz w:val="24"/>
          <w:szCs w:val="24"/>
        </w:rPr>
        <w:t>Under the offences against the person act 1861 non-fatal offences are covered. The offences focused in the non-fatal category are defined by the degree of harm suffered by the victim</w:t>
      </w:r>
      <w:r w:rsidR="00C17CF3">
        <w:rPr>
          <w:rFonts w:ascii="Arial" w:hAnsi="Arial" w:cs="Arial"/>
          <w:sz w:val="24"/>
          <w:szCs w:val="24"/>
        </w:rPr>
        <w:t>.</w:t>
      </w:r>
      <w:r w:rsidR="009320F2">
        <w:rPr>
          <w:rFonts w:ascii="Arial" w:hAnsi="Arial" w:cs="Arial"/>
          <w:sz w:val="24"/>
          <w:szCs w:val="24"/>
        </w:rPr>
        <w:t xml:space="preserve"> the offences can be listed as an “Imperfect ladder; with the most serious at the top and least serious on the bottom” </w:t>
      </w:r>
      <w:sdt>
        <w:sdtPr>
          <w:rPr>
            <w:rFonts w:ascii="Arial" w:hAnsi="Arial" w:cs="Arial"/>
            <w:sz w:val="24"/>
            <w:szCs w:val="24"/>
          </w:rPr>
          <w:id w:val="1750306162"/>
          <w:citation/>
        </w:sdtPr>
        <w:sdtEndPr/>
        <w:sdtContent>
          <w:r w:rsidR="009320F2">
            <w:rPr>
              <w:rFonts w:ascii="Arial" w:hAnsi="Arial" w:cs="Arial"/>
              <w:sz w:val="24"/>
              <w:szCs w:val="24"/>
            </w:rPr>
            <w:fldChar w:fldCharType="begin"/>
          </w:r>
          <w:r w:rsidR="009320F2">
            <w:rPr>
              <w:rFonts w:ascii="Arial" w:hAnsi="Arial" w:cs="Arial"/>
              <w:sz w:val="24"/>
              <w:szCs w:val="24"/>
            </w:rPr>
            <w:instrText xml:space="preserve"> CITATION Chi17 \l 2057 </w:instrText>
          </w:r>
          <w:r w:rsidR="009320F2">
            <w:rPr>
              <w:rFonts w:ascii="Arial" w:hAnsi="Arial" w:cs="Arial"/>
              <w:sz w:val="24"/>
              <w:szCs w:val="24"/>
            </w:rPr>
            <w:fldChar w:fldCharType="separate"/>
          </w:r>
          <w:r w:rsidR="009320F2" w:rsidRPr="009320F2">
            <w:rPr>
              <w:rFonts w:ascii="Arial" w:hAnsi="Arial" w:cs="Arial"/>
              <w:noProof/>
              <w:sz w:val="24"/>
              <w:szCs w:val="24"/>
            </w:rPr>
            <w:t>(Child, 2017)</w:t>
          </w:r>
          <w:r w:rsidR="009320F2">
            <w:rPr>
              <w:rFonts w:ascii="Arial" w:hAnsi="Arial" w:cs="Arial"/>
              <w:sz w:val="24"/>
              <w:szCs w:val="24"/>
            </w:rPr>
            <w:fldChar w:fldCharType="end"/>
          </w:r>
        </w:sdtContent>
      </w:sdt>
      <w:r w:rsidR="009320F2">
        <w:rPr>
          <w:rFonts w:ascii="Arial" w:hAnsi="Arial" w:cs="Arial"/>
          <w:sz w:val="24"/>
          <w:szCs w:val="24"/>
        </w:rPr>
        <w:t xml:space="preserve">. The non-fatal crimes against the person as </w:t>
      </w:r>
      <w:r w:rsidR="009F2C8F">
        <w:rPr>
          <w:rFonts w:ascii="Arial" w:hAnsi="Arial" w:cs="Arial"/>
          <w:sz w:val="24"/>
          <w:szCs w:val="24"/>
        </w:rPr>
        <w:t>consisted</w:t>
      </w:r>
      <w:r w:rsidR="009320F2">
        <w:rPr>
          <w:rFonts w:ascii="Arial" w:hAnsi="Arial" w:cs="Arial"/>
          <w:sz w:val="24"/>
          <w:szCs w:val="24"/>
        </w:rPr>
        <w:t xml:space="preserve"> by the Offences against the person act (1861) consist </w:t>
      </w:r>
      <w:proofErr w:type="gramStart"/>
      <w:r w:rsidR="009320F2">
        <w:rPr>
          <w:rFonts w:ascii="Arial" w:hAnsi="Arial" w:cs="Arial"/>
          <w:sz w:val="24"/>
          <w:szCs w:val="24"/>
        </w:rPr>
        <w:t>of ;</w:t>
      </w:r>
      <w:proofErr w:type="gramEnd"/>
      <w:r w:rsidR="009320F2">
        <w:rPr>
          <w:rFonts w:ascii="Arial" w:hAnsi="Arial" w:cs="Arial"/>
          <w:sz w:val="24"/>
          <w:szCs w:val="24"/>
        </w:rPr>
        <w:t xml:space="preserve"> “Wounding with intent to cause </w:t>
      </w:r>
      <w:r w:rsidR="009F2C8F">
        <w:rPr>
          <w:rFonts w:ascii="Arial" w:hAnsi="Arial" w:cs="Arial"/>
          <w:sz w:val="24"/>
          <w:szCs w:val="24"/>
        </w:rPr>
        <w:t>grievous</w:t>
      </w:r>
      <w:r w:rsidR="009320F2">
        <w:rPr>
          <w:rFonts w:ascii="Arial" w:hAnsi="Arial" w:cs="Arial"/>
          <w:sz w:val="24"/>
          <w:szCs w:val="24"/>
        </w:rPr>
        <w:t xml:space="preserve"> bodily harm (GBH), or causing GBH with intent”, “Maliciously wounding or inflicting GBH”, “Assault occasioning actual bodily harm (ABH)”, </w:t>
      </w:r>
      <w:r w:rsidR="00682D48">
        <w:rPr>
          <w:rFonts w:ascii="Arial" w:hAnsi="Arial" w:cs="Arial"/>
          <w:sz w:val="24"/>
          <w:szCs w:val="24"/>
        </w:rPr>
        <w:t xml:space="preserve">and finally “Assault and battery” </w:t>
      </w:r>
      <w:sdt>
        <w:sdtPr>
          <w:rPr>
            <w:rFonts w:ascii="Arial" w:hAnsi="Arial" w:cs="Arial"/>
            <w:sz w:val="24"/>
            <w:szCs w:val="24"/>
          </w:rPr>
          <w:id w:val="1701507705"/>
          <w:citation/>
        </w:sdtPr>
        <w:sdtEndPr/>
        <w:sdtContent>
          <w:r w:rsidR="00682D48">
            <w:rPr>
              <w:rFonts w:ascii="Arial" w:hAnsi="Arial" w:cs="Arial"/>
              <w:sz w:val="24"/>
              <w:szCs w:val="24"/>
            </w:rPr>
            <w:fldChar w:fldCharType="begin"/>
          </w:r>
          <w:r w:rsidR="00682D48">
            <w:rPr>
              <w:rFonts w:ascii="Arial" w:hAnsi="Arial" w:cs="Arial"/>
              <w:sz w:val="24"/>
              <w:szCs w:val="24"/>
            </w:rPr>
            <w:instrText xml:space="preserve"> CITATION Chi17 \l 2057 </w:instrText>
          </w:r>
          <w:r w:rsidR="00682D48">
            <w:rPr>
              <w:rFonts w:ascii="Arial" w:hAnsi="Arial" w:cs="Arial"/>
              <w:sz w:val="24"/>
              <w:szCs w:val="24"/>
            </w:rPr>
            <w:fldChar w:fldCharType="separate"/>
          </w:r>
          <w:r w:rsidR="00682D48" w:rsidRPr="00682D48">
            <w:rPr>
              <w:rFonts w:ascii="Arial" w:hAnsi="Arial" w:cs="Arial"/>
              <w:noProof/>
              <w:sz w:val="24"/>
              <w:szCs w:val="24"/>
            </w:rPr>
            <w:t>(Child, 2017)</w:t>
          </w:r>
          <w:r w:rsidR="00682D48">
            <w:rPr>
              <w:rFonts w:ascii="Arial" w:hAnsi="Arial" w:cs="Arial"/>
              <w:sz w:val="24"/>
              <w:szCs w:val="24"/>
            </w:rPr>
            <w:fldChar w:fldCharType="end"/>
          </w:r>
        </w:sdtContent>
      </w:sdt>
      <w:r w:rsidR="00682D48">
        <w:rPr>
          <w:rFonts w:ascii="Arial" w:hAnsi="Arial" w:cs="Arial"/>
          <w:sz w:val="24"/>
          <w:szCs w:val="24"/>
        </w:rPr>
        <w:t xml:space="preserve">. </w:t>
      </w:r>
      <w:r w:rsidR="00FF03C4">
        <w:rPr>
          <w:rFonts w:ascii="Arial" w:hAnsi="Arial" w:cs="Arial"/>
          <w:sz w:val="24"/>
          <w:szCs w:val="24"/>
        </w:rPr>
        <w:t xml:space="preserve">However, assault and battery are common law offences and are covered </w:t>
      </w:r>
      <w:r w:rsidR="009F2C8F">
        <w:rPr>
          <w:rFonts w:ascii="Arial" w:hAnsi="Arial" w:cs="Arial"/>
          <w:sz w:val="24"/>
          <w:szCs w:val="24"/>
        </w:rPr>
        <w:t xml:space="preserve">under section 39 of the Criminal Justice act 1988, whereas the other non-fatal crimes against the persons constitute as statute law, and as previously stated, are covered under the </w:t>
      </w:r>
      <w:r w:rsidR="00761901">
        <w:rPr>
          <w:rFonts w:ascii="Arial" w:hAnsi="Arial" w:cs="Arial"/>
          <w:sz w:val="24"/>
          <w:szCs w:val="24"/>
        </w:rPr>
        <w:t>Offences</w:t>
      </w:r>
      <w:r w:rsidR="009F2C8F">
        <w:rPr>
          <w:rFonts w:ascii="Arial" w:hAnsi="Arial" w:cs="Arial"/>
          <w:sz w:val="24"/>
          <w:szCs w:val="24"/>
        </w:rPr>
        <w:t xml:space="preserve"> Against the Person act 1861</w:t>
      </w:r>
      <w:r w:rsidR="00AD6A2A">
        <w:rPr>
          <w:rFonts w:ascii="Arial" w:hAnsi="Arial" w:cs="Arial"/>
          <w:sz w:val="24"/>
          <w:szCs w:val="24"/>
        </w:rPr>
        <w:t xml:space="preserve"> </w:t>
      </w:r>
      <w:sdt>
        <w:sdtPr>
          <w:rPr>
            <w:rFonts w:ascii="Arial" w:hAnsi="Arial" w:cs="Arial"/>
            <w:sz w:val="24"/>
            <w:szCs w:val="24"/>
          </w:rPr>
          <w:id w:val="426007297"/>
          <w:citation/>
        </w:sdtPr>
        <w:sdtEndPr/>
        <w:sdtContent>
          <w:r w:rsidR="00AD6A2A">
            <w:rPr>
              <w:rFonts w:ascii="Arial" w:hAnsi="Arial" w:cs="Arial"/>
              <w:sz w:val="24"/>
              <w:szCs w:val="24"/>
            </w:rPr>
            <w:fldChar w:fldCharType="begin"/>
          </w:r>
          <w:r w:rsidR="00AD6A2A">
            <w:rPr>
              <w:rFonts w:ascii="Arial" w:hAnsi="Arial" w:cs="Arial"/>
              <w:sz w:val="24"/>
              <w:szCs w:val="24"/>
            </w:rPr>
            <w:instrText xml:space="preserve"> CITATION Law15 \l 2057 </w:instrText>
          </w:r>
          <w:r w:rsidR="00AD6A2A">
            <w:rPr>
              <w:rFonts w:ascii="Arial" w:hAnsi="Arial" w:cs="Arial"/>
              <w:sz w:val="24"/>
              <w:szCs w:val="24"/>
            </w:rPr>
            <w:fldChar w:fldCharType="separate"/>
          </w:r>
          <w:r w:rsidR="00AD6A2A" w:rsidRPr="00AD6A2A">
            <w:rPr>
              <w:rFonts w:ascii="Arial" w:hAnsi="Arial" w:cs="Arial"/>
              <w:noProof/>
              <w:sz w:val="24"/>
              <w:szCs w:val="24"/>
            </w:rPr>
            <w:t>( Law Commission No. 361, 2015)</w:t>
          </w:r>
          <w:r w:rsidR="00AD6A2A">
            <w:rPr>
              <w:rFonts w:ascii="Arial" w:hAnsi="Arial" w:cs="Arial"/>
              <w:sz w:val="24"/>
              <w:szCs w:val="24"/>
            </w:rPr>
            <w:fldChar w:fldCharType="end"/>
          </w:r>
        </w:sdtContent>
      </w:sdt>
      <w:r w:rsidR="00AD6A2A">
        <w:rPr>
          <w:rFonts w:ascii="Arial" w:hAnsi="Arial" w:cs="Arial"/>
          <w:sz w:val="24"/>
          <w:szCs w:val="24"/>
        </w:rPr>
        <w:t>.</w:t>
      </w:r>
    </w:p>
    <w:p w14:paraId="5DAFCEF8" w14:textId="703F9E87" w:rsidR="00AD6A2A" w:rsidRDefault="00AD6A2A" w:rsidP="009E3ED0">
      <w:pPr>
        <w:rPr>
          <w:rStyle w:val="legchangedelimiter"/>
          <w:rFonts w:ascii="Arial" w:hAnsi="Arial" w:cs="Arial"/>
          <w:color w:val="000000"/>
          <w:sz w:val="24"/>
          <w:szCs w:val="24"/>
        </w:rPr>
      </w:pPr>
      <w:r>
        <w:rPr>
          <w:rFonts w:ascii="Arial" w:hAnsi="Arial" w:cs="Arial"/>
          <w:sz w:val="24"/>
          <w:szCs w:val="24"/>
        </w:rPr>
        <w:t>Furthermore, even though the Offences against the persons act is still a major piece of legislation used to govern criminal justice, it faces many criticisms and opposition</w:t>
      </w:r>
      <w:r w:rsidR="00761901">
        <w:rPr>
          <w:rFonts w:ascii="Arial" w:hAnsi="Arial" w:cs="Arial"/>
          <w:sz w:val="24"/>
          <w:szCs w:val="24"/>
        </w:rPr>
        <w:t>s</w:t>
      </w:r>
      <w:r>
        <w:rPr>
          <w:rFonts w:ascii="Arial" w:hAnsi="Arial" w:cs="Arial"/>
          <w:sz w:val="24"/>
          <w:szCs w:val="24"/>
        </w:rPr>
        <w:t xml:space="preserve">. Many believe that the statute is outdated and no longer successfully covers the challenges faced in prosecuting defendants today. A strong supporting opinion for the </w:t>
      </w:r>
      <w:r w:rsidR="00761901">
        <w:rPr>
          <w:rFonts w:ascii="Arial" w:hAnsi="Arial" w:cs="Arial"/>
          <w:sz w:val="24"/>
          <w:szCs w:val="24"/>
        </w:rPr>
        <w:t>argument that the Offence against the person act 1861 in relation to non-fatal offences against the person</w:t>
      </w:r>
      <w:r w:rsidR="00C17CF3">
        <w:rPr>
          <w:rFonts w:ascii="Arial" w:hAnsi="Arial" w:cs="Arial"/>
          <w:sz w:val="24"/>
          <w:szCs w:val="24"/>
        </w:rPr>
        <w:t>,</w:t>
      </w:r>
      <w:r w:rsidR="00761901">
        <w:rPr>
          <w:rFonts w:ascii="Arial" w:hAnsi="Arial" w:cs="Arial"/>
          <w:sz w:val="24"/>
          <w:szCs w:val="24"/>
        </w:rPr>
        <w:t xml:space="preserve"> is no longer fit for purpose and is in need of reform</w:t>
      </w:r>
      <w:r w:rsidR="00C17CF3">
        <w:rPr>
          <w:rFonts w:ascii="Arial" w:hAnsi="Arial" w:cs="Arial"/>
          <w:sz w:val="24"/>
          <w:szCs w:val="24"/>
        </w:rPr>
        <w:t>.</w:t>
      </w:r>
      <w:r w:rsidR="00761901">
        <w:rPr>
          <w:rFonts w:ascii="Arial" w:hAnsi="Arial" w:cs="Arial"/>
          <w:sz w:val="24"/>
          <w:szCs w:val="24"/>
        </w:rPr>
        <w:t xml:space="preserve"> </w:t>
      </w:r>
      <w:r w:rsidR="00C17CF3">
        <w:rPr>
          <w:rFonts w:ascii="Arial" w:hAnsi="Arial" w:cs="Arial"/>
          <w:sz w:val="24"/>
          <w:szCs w:val="24"/>
        </w:rPr>
        <w:t>M</w:t>
      </w:r>
      <w:r w:rsidR="00761901">
        <w:rPr>
          <w:rFonts w:ascii="Arial" w:hAnsi="Arial" w:cs="Arial"/>
          <w:sz w:val="24"/>
          <w:szCs w:val="24"/>
        </w:rPr>
        <w:t xml:space="preserve">any of the offences under the ‘Assault and Battery’ category of non-fatal offences are covered under the offences against the person act 1861. However, the offences of assault and battery are not defined in statute and are placed under common law, within the Criminal justice act 1988. </w:t>
      </w:r>
      <w:r w:rsidR="00881800">
        <w:rPr>
          <w:rFonts w:ascii="Arial" w:hAnsi="Arial" w:cs="Arial"/>
          <w:sz w:val="24"/>
          <w:szCs w:val="24"/>
        </w:rPr>
        <w:t xml:space="preserve">This has allowed confusion to arise on whether the offences should be defined as common law offences or statutory offences </w:t>
      </w:r>
      <w:sdt>
        <w:sdtPr>
          <w:rPr>
            <w:rFonts w:ascii="Arial" w:hAnsi="Arial" w:cs="Arial"/>
            <w:sz w:val="24"/>
            <w:szCs w:val="24"/>
          </w:rPr>
          <w:id w:val="-1392649997"/>
          <w:citation/>
        </w:sdtPr>
        <w:sdtEndPr/>
        <w:sdtContent>
          <w:r w:rsidR="00881800">
            <w:rPr>
              <w:rFonts w:ascii="Arial" w:hAnsi="Arial" w:cs="Arial"/>
              <w:sz w:val="24"/>
              <w:szCs w:val="24"/>
            </w:rPr>
            <w:fldChar w:fldCharType="begin"/>
          </w:r>
          <w:r w:rsidR="00881800">
            <w:rPr>
              <w:rFonts w:ascii="Arial" w:hAnsi="Arial" w:cs="Arial"/>
              <w:sz w:val="24"/>
              <w:szCs w:val="24"/>
            </w:rPr>
            <w:instrText xml:space="preserve"> CITATION Chi17 \l 2057 </w:instrText>
          </w:r>
          <w:r w:rsidR="00881800">
            <w:rPr>
              <w:rFonts w:ascii="Arial" w:hAnsi="Arial" w:cs="Arial"/>
              <w:sz w:val="24"/>
              <w:szCs w:val="24"/>
            </w:rPr>
            <w:fldChar w:fldCharType="separate"/>
          </w:r>
          <w:r w:rsidR="00881800" w:rsidRPr="00881800">
            <w:rPr>
              <w:rFonts w:ascii="Arial" w:hAnsi="Arial" w:cs="Arial"/>
              <w:noProof/>
              <w:sz w:val="24"/>
              <w:szCs w:val="24"/>
            </w:rPr>
            <w:t>(Child, 2017)</w:t>
          </w:r>
          <w:r w:rsidR="00881800">
            <w:rPr>
              <w:rFonts w:ascii="Arial" w:hAnsi="Arial" w:cs="Arial"/>
              <w:sz w:val="24"/>
              <w:szCs w:val="24"/>
            </w:rPr>
            <w:fldChar w:fldCharType="end"/>
          </w:r>
        </w:sdtContent>
      </w:sdt>
      <w:r w:rsidR="00881800">
        <w:rPr>
          <w:rFonts w:ascii="Arial" w:hAnsi="Arial" w:cs="Arial"/>
          <w:sz w:val="24"/>
          <w:szCs w:val="24"/>
        </w:rPr>
        <w:t>. Many people use this as an argument that the offences against the person act 1861 is no longer fit for purpose as it no longer covers all offences against the person</w:t>
      </w:r>
      <w:r w:rsidR="00C17CF3">
        <w:rPr>
          <w:rFonts w:ascii="Arial" w:hAnsi="Arial" w:cs="Arial"/>
          <w:sz w:val="24"/>
          <w:szCs w:val="24"/>
        </w:rPr>
        <w:t>,</w:t>
      </w:r>
      <w:r w:rsidR="00881800">
        <w:rPr>
          <w:rFonts w:ascii="Arial" w:hAnsi="Arial" w:cs="Arial"/>
          <w:sz w:val="24"/>
          <w:szCs w:val="24"/>
        </w:rPr>
        <w:t xml:space="preserve"> and new legislation has had to be made in order for these offences to be covered and justice to be fulfilled. </w:t>
      </w:r>
      <w:r w:rsidR="008732A6">
        <w:rPr>
          <w:rFonts w:ascii="Arial" w:hAnsi="Arial" w:cs="Arial"/>
          <w:sz w:val="24"/>
          <w:szCs w:val="24"/>
        </w:rPr>
        <w:t xml:space="preserve">More support of this argument is that ‘Common assault’ is found under section 39 of the criminal justice act 1988. </w:t>
      </w:r>
      <w:r w:rsidR="00A608F7">
        <w:rPr>
          <w:rFonts w:ascii="Arial" w:hAnsi="Arial" w:cs="Arial"/>
          <w:sz w:val="24"/>
          <w:szCs w:val="24"/>
        </w:rPr>
        <w:t>The act states that “</w:t>
      </w:r>
      <w:r w:rsidR="00A608F7" w:rsidRPr="00A608F7">
        <w:rPr>
          <w:rFonts w:ascii="Arial" w:hAnsi="Arial" w:cs="Arial"/>
          <w:color w:val="000000"/>
          <w:sz w:val="24"/>
          <w:szCs w:val="24"/>
          <w:shd w:val="clear" w:color="auto" w:fill="FFFFFF"/>
        </w:rPr>
        <w:t>Common assault and battery shall be summary offences and a person guilty of either of them shall be liable to a fine not exceeding level 5 on the standard scale, to imprisonment for a term not exceeding six months, or to both</w:t>
      </w:r>
      <w:r w:rsidR="00A608F7">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388266164"/>
          <w:citation/>
        </w:sdtPr>
        <w:sdtEndPr/>
        <w:sdtContent>
          <w:r w:rsidR="001D1E1A">
            <w:rPr>
              <w:rFonts w:ascii="Arial" w:hAnsi="Arial" w:cs="Arial"/>
              <w:color w:val="000000"/>
              <w:sz w:val="24"/>
              <w:szCs w:val="24"/>
              <w:shd w:val="clear" w:color="auto" w:fill="FFFFFF"/>
            </w:rPr>
            <w:fldChar w:fldCharType="begin"/>
          </w:r>
          <w:r w:rsidR="001D1E1A">
            <w:rPr>
              <w:rFonts w:ascii="Arial" w:hAnsi="Arial" w:cs="Arial"/>
              <w:color w:val="000000"/>
              <w:sz w:val="24"/>
              <w:szCs w:val="24"/>
              <w:shd w:val="clear" w:color="auto" w:fill="FFFFFF"/>
            </w:rPr>
            <w:instrText xml:space="preserve"> CITATION Leg211 \l 2057 </w:instrText>
          </w:r>
          <w:r w:rsidR="001D1E1A">
            <w:rPr>
              <w:rFonts w:ascii="Arial" w:hAnsi="Arial" w:cs="Arial"/>
              <w:color w:val="000000"/>
              <w:sz w:val="24"/>
              <w:szCs w:val="24"/>
              <w:shd w:val="clear" w:color="auto" w:fill="FFFFFF"/>
            </w:rPr>
            <w:fldChar w:fldCharType="separate"/>
          </w:r>
          <w:r w:rsidR="001D1E1A" w:rsidRPr="001D1E1A">
            <w:rPr>
              <w:rFonts w:ascii="Arial" w:hAnsi="Arial" w:cs="Arial"/>
              <w:noProof/>
              <w:color w:val="000000"/>
              <w:sz w:val="24"/>
              <w:szCs w:val="24"/>
              <w:shd w:val="clear" w:color="auto" w:fill="FFFFFF"/>
            </w:rPr>
            <w:t>(Legislation.Gov, 2021)</w:t>
          </w:r>
          <w:r w:rsidR="001D1E1A">
            <w:rPr>
              <w:rFonts w:ascii="Arial" w:hAnsi="Arial" w:cs="Arial"/>
              <w:color w:val="000000"/>
              <w:sz w:val="24"/>
              <w:szCs w:val="24"/>
              <w:shd w:val="clear" w:color="auto" w:fill="FFFFFF"/>
            </w:rPr>
            <w:fldChar w:fldCharType="end"/>
          </w:r>
        </w:sdtContent>
      </w:sdt>
      <w:r w:rsidR="001D1E1A">
        <w:rPr>
          <w:rFonts w:ascii="Arial" w:hAnsi="Arial" w:cs="Arial"/>
          <w:color w:val="000000"/>
          <w:sz w:val="24"/>
          <w:szCs w:val="24"/>
          <w:shd w:val="clear" w:color="auto" w:fill="FFFFFF"/>
        </w:rPr>
        <w:t>.</w:t>
      </w:r>
      <w:r w:rsidR="00C17CF3">
        <w:rPr>
          <w:rFonts w:ascii="Arial" w:hAnsi="Arial" w:cs="Arial"/>
          <w:color w:val="000000"/>
          <w:sz w:val="24"/>
          <w:szCs w:val="24"/>
          <w:shd w:val="clear" w:color="auto" w:fill="FFFFFF"/>
        </w:rPr>
        <w:t xml:space="preserve"> </w:t>
      </w:r>
      <w:r w:rsidR="002B3D9B">
        <w:rPr>
          <w:rFonts w:ascii="Arial" w:hAnsi="Arial" w:cs="Arial"/>
          <w:color w:val="000000"/>
          <w:sz w:val="24"/>
          <w:szCs w:val="24"/>
          <w:shd w:val="clear" w:color="auto" w:fill="FFFFFF"/>
        </w:rPr>
        <w:t xml:space="preserve">However, assault defined under the Offences against the person act 1861 is found under section 47 </w:t>
      </w:r>
      <w:r w:rsidR="002800FD">
        <w:rPr>
          <w:rFonts w:ascii="Arial" w:hAnsi="Arial" w:cs="Arial"/>
          <w:color w:val="000000"/>
          <w:sz w:val="24"/>
          <w:szCs w:val="24"/>
          <w:shd w:val="clear" w:color="auto" w:fill="FFFFFF"/>
        </w:rPr>
        <w:t>“Assault</w:t>
      </w:r>
      <w:r w:rsidR="002B3D9B">
        <w:rPr>
          <w:rFonts w:ascii="Arial" w:hAnsi="Arial" w:cs="Arial"/>
          <w:color w:val="000000"/>
          <w:sz w:val="24"/>
          <w:szCs w:val="24"/>
          <w:shd w:val="clear" w:color="auto" w:fill="FFFFFF"/>
        </w:rPr>
        <w:t xml:space="preserve"> occasioning bodily harm”. The legislation states that “</w:t>
      </w:r>
      <w:r w:rsidR="002B3D9B" w:rsidRPr="002B3D9B">
        <w:rPr>
          <w:rFonts w:ascii="Arial" w:hAnsi="Arial" w:cs="Arial"/>
          <w:color w:val="000000"/>
          <w:sz w:val="24"/>
          <w:szCs w:val="24"/>
          <w:shd w:val="clear" w:color="auto" w:fill="FFFFFF"/>
        </w:rPr>
        <w:t>whosoever shall be convicted upon an indictment for a common assault shall be liable, at the discretion of the court, to be imprisoned for any term not exceeding </w:t>
      </w:r>
      <w:r w:rsidR="002B3D9B" w:rsidRPr="002B3D9B">
        <w:rPr>
          <w:rStyle w:val="legchangedelimiter"/>
          <w:rFonts w:ascii="Arial" w:hAnsi="Arial" w:cs="Arial"/>
          <w:color w:val="000000"/>
          <w:sz w:val="24"/>
          <w:szCs w:val="24"/>
        </w:rPr>
        <w:t>[</w:t>
      </w:r>
      <w:r w:rsidR="002B3D9B" w:rsidRPr="002B3D9B">
        <w:rPr>
          <w:rStyle w:val="legaddition"/>
          <w:rFonts w:ascii="Arial" w:hAnsi="Arial" w:cs="Arial"/>
          <w:color w:val="000000"/>
          <w:sz w:val="24"/>
          <w:szCs w:val="24"/>
        </w:rPr>
        <w:t>two years</w:t>
      </w:r>
      <w:r w:rsidR="002B3D9B" w:rsidRPr="002B3D9B">
        <w:rPr>
          <w:rStyle w:val="legchangedelimiter"/>
          <w:rFonts w:ascii="Arial" w:hAnsi="Arial" w:cs="Arial"/>
          <w:color w:val="000000"/>
          <w:sz w:val="24"/>
          <w:szCs w:val="24"/>
        </w:rPr>
        <w:t>]</w:t>
      </w:r>
      <w:r w:rsidR="002B3D9B">
        <w:rPr>
          <w:rStyle w:val="legchangedelimiter"/>
          <w:rFonts w:ascii="Arial" w:hAnsi="Arial" w:cs="Arial"/>
          <w:color w:val="000000"/>
          <w:sz w:val="24"/>
          <w:szCs w:val="24"/>
        </w:rPr>
        <w:t xml:space="preserve">” </w:t>
      </w:r>
      <w:sdt>
        <w:sdtPr>
          <w:rPr>
            <w:rStyle w:val="legchangedelimiter"/>
            <w:rFonts w:ascii="Arial" w:hAnsi="Arial" w:cs="Arial"/>
            <w:color w:val="000000"/>
            <w:sz w:val="24"/>
            <w:szCs w:val="24"/>
          </w:rPr>
          <w:id w:val="1104530401"/>
          <w:citation/>
        </w:sdtPr>
        <w:sdtEndPr>
          <w:rPr>
            <w:rStyle w:val="legchangedelimiter"/>
          </w:rPr>
        </w:sdtEndPr>
        <w:sdtContent>
          <w:r w:rsidR="002B3D9B">
            <w:rPr>
              <w:rStyle w:val="legchangedelimiter"/>
              <w:rFonts w:ascii="Arial" w:hAnsi="Arial" w:cs="Arial"/>
              <w:color w:val="000000"/>
              <w:sz w:val="24"/>
              <w:szCs w:val="24"/>
            </w:rPr>
            <w:fldChar w:fldCharType="begin"/>
          </w:r>
          <w:r w:rsidR="002B3D9B">
            <w:rPr>
              <w:rStyle w:val="legchangedelimiter"/>
              <w:rFonts w:ascii="Arial" w:hAnsi="Arial" w:cs="Arial"/>
              <w:color w:val="000000"/>
              <w:sz w:val="24"/>
              <w:szCs w:val="24"/>
            </w:rPr>
            <w:instrText xml:space="preserve"> CITATION Leg212 \l 2057 </w:instrText>
          </w:r>
          <w:r w:rsidR="002B3D9B">
            <w:rPr>
              <w:rStyle w:val="legchangedelimiter"/>
              <w:rFonts w:ascii="Arial" w:hAnsi="Arial" w:cs="Arial"/>
              <w:color w:val="000000"/>
              <w:sz w:val="24"/>
              <w:szCs w:val="24"/>
            </w:rPr>
            <w:fldChar w:fldCharType="separate"/>
          </w:r>
          <w:r w:rsidR="002B3D9B" w:rsidRPr="002B3D9B">
            <w:rPr>
              <w:rFonts w:ascii="Arial" w:hAnsi="Arial" w:cs="Arial"/>
              <w:noProof/>
              <w:color w:val="000000"/>
              <w:sz w:val="24"/>
              <w:szCs w:val="24"/>
            </w:rPr>
            <w:t>(Legislation.gov , 2021)</w:t>
          </w:r>
          <w:r w:rsidR="002B3D9B">
            <w:rPr>
              <w:rStyle w:val="legchangedelimiter"/>
              <w:rFonts w:ascii="Arial" w:hAnsi="Arial" w:cs="Arial"/>
              <w:color w:val="000000"/>
              <w:sz w:val="24"/>
              <w:szCs w:val="24"/>
            </w:rPr>
            <w:fldChar w:fldCharType="end"/>
          </w:r>
        </w:sdtContent>
      </w:sdt>
      <w:r w:rsidR="002B3D9B">
        <w:rPr>
          <w:rStyle w:val="legchangedelimiter"/>
          <w:rFonts w:ascii="Arial" w:hAnsi="Arial" w:cs="Arial"/>
          <w:color w:val="000000"/>
          <w:sz w:val="24"/>
          <w:szCs w:val="24"/>
        </w:rPr>
        <w:t xml:space="preserve">. </w:t>
      </w:r>
      <w:r w:rsidR="002800FD">
        <w:rPr>
          <w:rStyle w:val="legchangedelimiter"/>
          <w:rFonts w:ascii="Arial" w:hAnsi="Arial" w:cs="Arial"/>
          <w:color w:val="000000"/>
          <w:sz w:val="24"/>
          <w:szCs w:val="24"/>
        </w:rPr>
        <w:t xml:space="preserve">This is a supporting argument for the opinion that the offences against the person act in regards to non-fatal offences </w:t>
      </w:r>
      <w:proofErr w:type="gramStart"/>
      <w:r w:rsidR="002800FD">
        <w:rPr>
          <w:rStyle w:val="legchangedelimiter"/>
          <w:rFonts w:ascii="Arial" w:hAnsi="Arial" w:cs="Arial"/>
          <w:color w:val="000000"/>
          <w:sz w:val="24"/>
          <w:szCs w:val="24"/>
        </w:rPr>
        <w:t>is</w:t>
      </w:r>
      <w:proofErr w:type="gramEnd"/>
      <w:r w:rsidR="002800FD">
        <w:rPr>
          <w:rStyle w:val="legchangedelimiter"/>
          <w:rFonts w:ascii="Arial" w:hAnsi="Arial" w:cs="Arial"/>
          <w:color w:val="000000"/>
          <w:sz w:val="24"/>
          <w:szCs w:val="24"/>
        </w:rPr>
        <w:t xml:space="preserve"> no longer fit for purpose as punishment for common assault defined in the criminal justice act 1988 and the offences against the person act 1861 are contradictory. One act </w:t>
      </w:r>
      <w:proofErr w:type="gramStart"/>
      <w:r w:rsidR="00C07BE3">
        <w:rPr>
          <w:rStyle w:val="legchangedelimiter"/>
          <w:rFonts w:ascii="Arial" w:hAnsi="Arial" w:cs="Arial"/>
          <w:color w:val="000000"/>
          <w:sz w:val="24"/>
          <w:szCs w:val="24"/>
        </w:rPr>
        <w:t>stat</w:t>
      </w:r>
      <w:r w:rsidR="002F4897">
        <w:rPr>
          <w:rStyle w:val="legchangedelimiter"/>
          <w:rFonts w:ascii="Arial" w:hAnsi="Arial" w:cs="Arial"/>
          <w:color w:val="000000"/>
          <w:sz w:val="24"/>
          <w:szCs w:val="24"/>
        </w:rPr>
        <w:t>es</w:t>
      </w:r>
      <w:proofErr w:type="gramEnd"/>
      <w:r w:rsidR="002800FD">
        <w:rPr>
          <w:rStyle w:val="legchangedelimiter"/>
          <w:rFonts w:ascii="Arial" w:hAnsi="Arial" w:cs="Arial"/>
          <w:color w:val="000000"/>
          <w:sz w:val="24"/>
          <w:szCs w:val="24"/>
        </w:rPr>
        <w:t xml:space="preserve"> that the maximum sentence shall not exceed six months where as one states it shall not exceed two years. This provides evidence for </w:t>
      </w:r>
      <w:r w:rsidR="002800FD">
        <w:rPr>
          <w:rStyle w:val="legchangedelimiter"/>
          <w:rFonts w:ascii="Arial" w:hAnsi="Arial" w:cs="Arial"/>
          <w:color w:val="000000"/>
          <w:sz w:val="24"/>
          <w:szCs w:val="24"/>
        </w:rPr>
        <w:lastRenderedPageBreak/>
        <w:t xml:space="preserve">the argument that the offences against the person act 1861 is in need of reform has more modern legislation has a different outline of offences and punishment for those offences. </w:t>
      </w:r>
    </w:p>
    <w:p w14:paraId="53B1A165" w14:textId="5EB8997A" w:rsidR="002F4897" w:rsidRDefault="002F4897" w:rsidP="009E3ED0">
      <w:pPr>
        <w:rPr>
          <w:rFonts w:ascii="Arial" w:hAnsi="Arial" w:cs="Arial"/>
          <w:sz w:val="24"/>
          <w:szCs w:val="24"/>
        </w:rPr>
      </w:pPr>
      <w:r>
        <w:rPr>
          <w:rStyle w:val="legchangedelimiter"/>
          <w:rFonts w:ascii="Arial" w:hAnsi="Arial" w:cs="Arial"/>
          <w:color w:val="000000"/>
          <w:sz w:val="24"/>
          <w:szCs w:val="24"/>
        </w:rPr>
        <w:t>Moreover, in 2015 the Law commission published a report on the “Reform of offences against the person”. It was presented to parliament under section 3(2) of the Law commissions act</w:t>
      </w:r>
      <w:r w:rsidR="00BF0244">
        <w:rPr>
          <w:rStyle w:val="legchangedelimiter"/>
          <w:rFonts w:ascii="Arial" w:hAnsi="Arial" w:cs="Arial"/>
          <w:color w:val="000000"/>
          <w:sz w:val="24"/>
          <w:szCs w:val="24"/>
        </w:rPr>
        <w:t xml:space="preserve">. The aim of the report is to </w:t>
      </w:r>
      <w:r w:rsidR="00DF3EB2">
        <w:rPr>
          <w:rStyle w:val="legchangedelimiter"/>
          <w:rFonts w:ascii="Arial" w:hAnsi="Arial" w:cs="Arial"/>
          <w:color w:val="000000"/>
          <w:sz w:val="24"/>
          <w:szCs w:val="24"/>
        </w:rPr>
        <w:t xml:space="preserve">redraft the law on offences against the person along with updating the legislation in order to better adapt it to modern day society. It also aims to improve the language use, to make it more understandable for a </w:t>
      </w:r>
      <w:r w:rsidR="00237523">
        <w:rPr>
          <w:rStyle w:val="legchangedelimiter"/>
          <w:rFonts w:ascii="Arial" w:hAnsi="Arial" w:cs="Arial"/>
          <w:color w:val="000000"/>
          <w:sz w:val="24"/>
          <w:szCs w:val="24"/>
        </w:rPr>
        <w:t>modern-day</w:t>
      </w:r>
      <w:r w:rsidR="00DF3EB2">
        <w:rPr>
          <w:rStyle w:val="legchangedelimiter"/>
          <w:rFonts w:ascii="Arial" w:hAnsi="Arial" w:cs="Arial"/>
          <w:color w:val="000000"/>
          <w:sz w:val="24"/>
          <w:szCs w:val="24"/>
        </w:rPr>
        <w:t xml:space="preserve"> citizen to understand and interpret</w:t>
      </w:r>
      <w:r w:rsidR="00396662">
        <w:rPr>
          <w:rStyle w:val="legchangedelimiter"/>
          <w:rFonts w:ascii="Arial" w:hAnsi="Arial" w:cs="Arial"/>
          <w:color w:val="000000"/>
          <w:sz w:val="24"/>
          <w:szCs w:val="24"/>
        </w:rPr>
        <w:t xml:space="preserve"> </w:t>
      </w:r>
      <w:sdt>
        <w:sdtPr>
          <w:rPr>
            <w:rStyle w:val="legchangedelimiter"/>
            <w:rFonts w:ascii="Arial" w:hAnsi="Arial" w:cs="Arial"/>
            <w:color w:val="000000"/>
            <w:sz w:val="24"/>
            <w:szCs w:val="24"/>
          </w:rPr>
          <w:id w:val="-1683422716"/>
          <w:citation/>
        </w:sdtPr>
        <w:sdtEndPr>
          <w:rPr>
            <w:rStyle w:val="legchangedelimiter"/>
          </w:rPr>
        </w:sdtEndPr>
        <w:sdtContent>
          <w:r w:rsidR="00396662">
            <w:rPr>
              <w:rStyle w:val="legchangedelimiter"/>
              <w:rFonts w:ascii="Arial" w:hAnsi="Arial" w:cs="Arial"/>
              <w:color w:val="000000"/>
              <w:sz w:val="24"/>
              <w:szCs w:val="24"/>
            </w:rPr>
            <w:fldChar w:fldCharType="begin"/>
          </w:r>
          <w:r w:rsidR="00396662">
            <w:rPr>
              <w:rStyle w:val="legchangedelimiter"/>
              <w:rFonts w:ascii="Arial" w:hAnsi="Arial" w:cs="Arial"/>
              <w:color w:val="000000"/>
              <w:sz w:val="24"/>
              <w:szCs w:val="24"/>
            </w:rPr>
            <w:instrText xml:space="preserve"> CITATION The15 \l 2057 </w:instrText>
          </w:r>
          <w:r w:rsidR="00396662">
            <w:rPr>
              <w:rStyle w:val="legchangedelimiter"/>
              <w:rFonts w:ascii="Arial" w:hAnsi="Arial" w:cs="Arial"/>
              <w:color w:val="000000"/>
              <w:sz w:val="24"/>
              <w:szCs w:val="24"/>
            </w:rPr>
            <w:fldChar w:fldCharType="separate"/>
          </w:r>
          <w:r w:rsidR="00396662" w:rsidRPr="00396662">
            <w:rPr>
              <w:rFonts w:ascii="Arial" w:hAnsi="Arial" w:cs="Arial"/>
              <w:noProof/>
              <w:color w:val="000000"/>
              <w:sz w:val="24"/>
              <w:szCs w:val="24"/>
            </w:rPr>
            <w:t>(The Law Comission , 2015)</w:t>
          </w:r>
          <w:r w:rsidR="00396662">
            <w:rPr>
              <w:rStyle w:val="legchangedelimiter"/>
              <w:rFonts w:ascii="Arial" w:hAnsi="Arial" w:cs="Arial"/>
              <w:color w:val="000000"/>
              <w:sz w:val="24"/>
              <w:szCs w:val="24"/>
            </w:rPr>
            <w:fldChar w:fldCharType="end"/>
          </w:r>
        </w:sdtContent>
      </w:sdt>
      <w:r w:rsidR="00396662">
        <w:rPr>
          <w:rStyle w:val="legchangedelimiter"/>
          <w:rFonts w:ascii="Arial" w:hAnsi="Arial" w:cs="Arial"/>
          <w:color w:val="000000"/>
          <w:sz w:val="24"/>
          <w:szCs w:val="24"/>
        </w:rPr>
        <w:t xml:space="preserve">. The report explains that in common law assault and battery are separate offences, although they are often delt with as a single offence, as previously stated. The Law Commission report recommends that a reformed statute </w:t>
      </w:r>
      <w:r w:rsidR="00237523">
        <w:rPr>
          <w:rStyle w:val="legchangedelimiter"/>
          <w:rFonts w:ascii="Arial" w:hAnsi="Arial" w:cs="Arial"/>
          <w:color w:val="000000"/>
          <w:sz w:val="24"/>
          <w:szCs w:val="24"/>
        </w:rPr>
        <w:t xml:space="preserve">on non-fatal offences against the person should provide for two offences; </w:t>
      </w:r>
      <w:r w:rsidR="00DF700C">
        <w:rPr>
          <w:rStyle w:val="legchangedelimiter"/>
          <w:rFonts w:ascii="Arial" w:hAnsi="Arial" w:cs="Arial"/>
          <w:color w:val="000000"/>
          <w:sz w:val="24"/>
          <w:szCs w:val="24"/>
        </w:rPr>
        <w:t>“</w:t>
      </w:r>
      <w:r w:rsidR="00DF700C" w:rsidRPr="00DF700C">
        <w:rPr>
          <w:rFonts w:ascii="Arial" w:hAnsi="Arial" w:cs="Arial"/>
          <w:sz w:val="24"/>
          <w:szCs w:val="24"/>
        </w:rPr>
        <w:t xml:space="preserve">physical assault, where a person intentionally or recklessly applies force to or causes an impact on the body of another, without the consent of that other” and “ threatened assault, where a person intentionally or recklessly causes another to think that any such force or impact is or may be imminent, and that other does not consent to the conduct in question.” </w:t>
      </w:r>
      <w:sdt>
        <w:sdtPr>
          <w:rPr>
            <w:rFonts w:ascii="Arial" w:hAnsi="Arial" w:cs="Arial"/>
            <w:sz w:val="24"/>
            <w:szCs w:val="24"/>
          </w:rPr>
          <w:id w:val="2085790552"/>
          <w:citation/>
        </w:sdtPr>
        <w:sdtEndPr/>
        <w:sdtContent>
          <w:r w:rsidR="00DF700C">
            <w:rPr>
              <w:rFonts w:ascii="Arial" w:hAnsi="Arial" w:cs="Arial"/>
              <w:sz w:val="24"/>
              <w:szCs w:val="24"/>
            </w:rPr>
            <w:fldChar w:fldCharType="begin"/>
          </w:r>
          <w:r w:rsidR="00DF700C">
            <w:rPr>
              <w:rFonts w:ascii="Arial" w:hAnsi="Arial" w:cs="Arial"/>
              <w:sz w:val="24"/>
              <w:szCs w:val="24"/>
            </w:rPr>
            <w:instrText xml:space="preserve"> CITATION The15 \l 2057 </w:instrText>
          </w:r>
          <w:r w:rsidR="00DF700C">
            <w:rPr>
              <w:rFonts w:ascii="Arial" w:hAnsi="Arial" w:cs="Arial"/>
              <w:sz w:val="24"/>
              <w:szCs w:val="24"/>
            </w:rPr>
            <w:fldChar w:fldCharType="separate"/>
          </w:r>
          <w:r w:rsidR="00DF700C" w:rsidRPr="00DF700C">
            <w:rPr>
              <w:rFonts w:ascii="Arial" w:hAnsi="Arial" w:cs="Arial"/>
              <w:noProof/>
              <w:sz w:val="24"/>
              <w:szCs w:val="24"/>
            </w:rPr>
            <w:t>(The Law Comission , 2015)</w:t>
          </w:r>
          <w:r w:rsidR="00DF700C">
            <w:rPr>
              <w:rFonts w:ascii="Arial" w:hAnsi="Arial" w:cs="Arial"/>
              <w:sz w:val="24"/>
              <w:szCs w:val="24"/>
            </w:rPr>
            <w:fldChar w:fldCharType="end"/>
          </w:r>
        </w:sdtContent>
      </w:sdt>
      <w:r w:rsidR="00DF700C">
        <w:rPr>
          <w:rFonts w:ascii="Arial" w:hAnsi="Arial" w:cs="Arial"/>
          <w:sz w:val="24"/>
          <w:szCs w:val="24"/>
        </w:rPr>
        <w:t>. This would create one definition of assault and battery in legislation, making it easier to understand and would allow fairer and clearer sentences for defendants. This amendment can be used as an argument that the Offences against the person act 1861 is in need of reform and is no longer fit for modern day use.</w:t>
      </w:r>
      <w:r w:rsidR="005377C4">
        <w:rPr>
          <w:rFonts w:ascii="Arial" w:hAnsi="Arial" w:cs="Arial"/>
          <w:sz w:val="24"/>
          <w:szCs w:val="24"/>
        </w:rPr>
        <w:t xml:space="preserve"> Two cases which can be used as </w:t>
      </w:r>
      <w:r w:rsidR="00AD1F31">
        <w:rPr>
          <w:rFonts w:ascii="Arial" w:hAnsi="Arial" w:cs="Arial"/>
          <w:sz w:val="24"/>
          <w:szCs w:val="24"/>
        </w:rPr>
        <w:t>support for the argument that the Offences against the persons act 1861 is in need of reform In regards to non-fatal offences are</w:t>
      </w:r>
      <w:r w:rsidR="00DF700C">
        <w:rPr>
          <w:rFonts w:ascii="Arial" w:hAnsi="Arial" w:cs="Arial"/>
          <w:sz w:val="24"/>
          <w:szCs w:val="24"/>
        </w:rPr>
        <w:t xml:space="preserve"> </w:t>
      </w:r>
      <w:proofErr w:type="spellStart"/>
      <w:r w:rsidR="00AD1F31">
        <w:rPr>
          <w:rFonts w:ascii="Arial" w:hAnsi="Arial" w:cs="Arial"/>
          <w:sz w:val="24"/>
          <w:szCs w:val="24"/>
        </w:rPr>
        <w:t>Logdon</w:t>
      </w:r>
      <w:proofErr w:type="spellEnd"/>
      <w:r w:rsidR="00AD1F31">
        <w:rPr>
          <w:rFonts w:ascii="Arial" w:hAnsi="Arial" w:cs="Arial"/>
          <w:sz w:val="24"/>
          <w:szCs w:val="24"/>
        </w:rPr>
        <w:t xml:space="preserve"> V DDP (1975) and R V Thomas (1985). In the case of </w:t>
      </w:r>
      <w:proofErr w:type="spellStart"/>
      <w:r w:rsidR="00AD1F31">
        <w:rPr>
          <w:rFonts w:ascii="Arial" w:hAnsi="Arial" w:cs="Arial"/>
          <w:sz w:val="24"/>
          <w:szCs w:val="24"/>
        </w:rPr>
        <w:t>Longdon</w:t>
      </w:r>
      <w:proofErr w:type="spellEnd"/>
      <w:r w:rsidR="00AD1F31">
        <w:rPr>
          <w:rFonts w:ascii="Arial" w:hAnsi="Arial" w:cs="Arial"/>
          <w:sz w:val="24"/>
          <w:szCs w:val="24"/>
        </w:rPr>
        <w:t xml:space="preserve"> V DDP the defendant pointed an imitation gun at the victim in jest. The defendant then stated that the gun was not real. Although, it was found that an assault had been committed as the defendant has caused the victim immediate fear and acted recklessly and violently towards the victim. However, in the case of R V Thomas (1985) the defendant, a school caretaker, assaulted a 12-year-old girl after taking hold of the hem of her skirt. Although the defendant was found not guilty, it was stated that it was possible for there to be an </w:t>
      </w:r>
      <w:proofErr w:type="spellStart"/>
      <w:r w:rsidR="00AD1F31">
        <w:rPr>
          <w:rFonts w:ascii="Arial" w:hAnsi="Arial" w:cs="Arial"/>
          <w:sz w:val="24"/>
          <w:szCs w:val="24"/>
        </w:rPr>
        <w:t>affault</w:t>
      </w:r>
      <w:proofErr w:type="spellEnd"/>
      <w:r w:rsidR="00AD1F31">
        <w:rPr>
          <w:rFonts w:ascii="Arial" w:hAnsi="Arial" w:cs="Arial"/>
          <w:sz w:val="24"/>
          <w:szCs w:val="24"/>
        </w:rPr>
        <w:t xml:space="preserve"> from touching someone even if they do not feel it. </w:t>
      </w:r>
      <w:r w:rsidR="00BC5E61">
        <w:rPr>
          <w:rFonts w:ascii="Arial" w:hAnsi="Arial" w:cs="Arial"/>
          <w:sz w:val="24"/>
          <w:szCs w:val="24"/>
        </w:rPr>
        <w:t xml:space="preserve">These cases show how the contradiction between legislations can cause different outcomes in cases as there is not one </w:t>
      </w:r>
      <w:r w:rsidR="005107ED">
        <w:rPr>
          <w:rFonts w:ascii="Arial" w:hAnsi="Arial" w:cs="Arial"/>
          <w:sz w:val="24"/>
          <w:szCs w:val="24"/>
        </w:rPr>
        <w:t>definition</w:t>
      </w:r>
      <w:r w:rsidR="00BC5E61">
        <w:rPr>
          <w:rFonts w:ascii="Arial" w:hAnsi="Arial" w:cs="Arial"/>
          <w:sz w:val="24"/>
          <w:szCs w:val="24"/>
        </w:rPr>
        <w:t xml:space="preserve"> of common assault and batter</w:t>
      </w:r>
      <w:r w:rsidR="005107ED">
        <w:rPr>
          <w:rFonts w:ascii="Arial" w:hAnsi="Arial" w:cs="Arial"/>
          <w:sz w:val="24"/>
          <w:szCs w:val="24"/>
        </w:rPr>
        <w:t>y. T</w:t>
      </w:r>
      <w:r w:rsidR="00BC5E61">
        <w:rPr>
          <w:rFonts w:ascii="Arial" w:hAnsi="Arial" w:cs="Arial"/>
          <w:sz w:val="24"/>
          <w:szCs w:val="24"/>
        </w:rPr>
        <w:t xml:space="preserve">hese cases support the </w:t>
      </w:r>
      <w:r w:rsidR="005107ED">
        <w:rPr>
          <w:rFonts w:ascii="Arial" w:hAnsi="Arial" w:cs="Arial"/>
          <w:sz w:val="24"/>
          <w:szCs w:val="24"/>
        </w:rPr>
        <w:t xml:space="preserve">reformation of the offences against the person act 1861, as suggested by the Law Commission as they show how one person can be convicted of assault when there has been no physical touch. </w:t>
      </w:r>
      <w:r w:rsidR="00E144C3">
        <w:rPr>
          <w:rFonts w:ascii="Arial" w:hAnsi="Arial" w:cs="Arial"/>
          <w:sz w:val="24"/>
          <w:szCs w:val="24"/>
        </w:rPr>
        <w:t>However,</w:t>
      </w:r>
      <w:r w:rsidR="005107ED">
        <w:rPr>
          <w:rFonts w:ascii="Arial" w:hAnsi="Arial" w:cs="Arial"/>
          <w:sz w:val="24"/>
          <w:szCs w:val="24"/>
        </w:rPr>
        <w:t xml:space="preserve"> when there has been physical touch it is neither assault or battery as the was no occasioning of actual bodily harm which would make the offences convictable of Common assault under the branch of “Assault occasioning bodily harm” within the Offences Against the person act 1861. </w:t>
      </w:r>
      <w:r w:rsidR="000A0DFD">
        <w:rPr>
          <w:rFonts w:ascii="Arial" w:hAnsi="Arial" w:cs="Arial"/>
          <w:sz w:val="24"/>
          <w:szCs w:val="24"/>
        </w:rPr>
        <w:t xml:space="preserve">Where as in the case of R V Thomas the defendant was not convictable of assault under </w:t>
      </w:r>
      <w:r w:rsidR="00E144C3">
        <w:rPr>
          <w:rFonts w:ascii="Arial" w:hAnsi="Arial" w:cs="Arial"/>
          <w:sz w:val="24"/>
          <w:szCs w:val="24"/>
        </w:rPr>
        <w:t xml:space="preserve">the Criminal Justice Act 1988 as there was no immediate fear inflicted onto the victim. Moreover, in the case of R V </w:t>
      </w:r>
      <w:proofErr w:type="gramStart"/>
      <w:r w:rsidR="00E144C3">
        <w:rPr>
          <w:rFonts w:ascii="Arial" w:hAnsi="Arial" w:cs="Arial"/>
          <w:sz w:val="24"/>
          <w:szCs w:val="24"/>
        </w:rPr>
        <w:t>Thomas  the</w:t>
      </w:r>
      <w:proofErr w:type="gramEnd"/>
      <w:r w:rsidR="00E144C3">
        <w:rPr>
          <w:rFonts w:ascii="Arial" w:hAnsi="Arial" w:cs="Arial"/>
          <w:sz w:val="24"/>
          <w:szCs w:val="24"/>
        </w:rPr>
        <w:t xml:space="preserve"> </w:t>
      </w:r>
      <w:r w:rsidR="00A511EA">
        <w:rPr>
          <w:rFonts w:ascii="Arial" w:hAnsi="Arial" w:cs="Arial"/>
          <w:sz w:val="24"/>
          <w:szCs w:val="24"/>
        </w:rPr>
        <w:t>defendant</w:t>
      </w:r>
      <w:r w:rsidR="00E144C3">
        <w:rPr>
          <w:rFonts w:ascii="Arial" w:hAnsi="Arial" w:cs="Arial"/>
          <w:sz w:val="24"/>
          <w:szCs w:val="24"/>
        </w:rPr>
        <w:t xml:space="preserve"> was also not convictable of Battery as they did not intentionally or recklessly inflict personal violence upon the victim </w:t>
      </w:r>
      <w:sdt>
        <w:sdtPr>
          <w:rPr>
            <w:rFonts w:ascii="Arial" w:hAnsi="Arial" w:cs="Arial"/>
            <w:sz w:val="24"/>
            <w:szCs w:val="24"/>
          </w:rPr>
          <w:id w:val="1720239762"/>
          <w:citation/>
        </w:sdtPr>
        <w:sdtEndPr/>
        <w:sdtContent>
          <w:r w:rsidR="00E144C3">
            <w:rPr>
              <w:rFonts w:ascii="Arial" w:hAnsi="Arial" w:cs="Arial"/>
              <w:sz w:val="24"/>
              <w:szCs w:val="24"/>
            </w:rPr>
            <w:fldChar w:fldCharType="begin"/>
          </w:r>
          <w:r w:rsidR="00E144C3">
            <w:rPr>
              <w:rFonts w:ascii="Arial" w:hAnsi="Arial" w:cs="Arial"/>
              <w:sz w:val="24"/>
              <w:szCs w:val="24"/>
            </w:rPr>
            <w:instrText xml:space="preserve"> CITATION Chi17 \l 2057 </w:instrText>
          </w:r>
          <w:r w:rsidR="00E144C3">
            <w:rPr>
              <w:rFonts w:ascii="Arial" w:hAnsi="Arial" w:cs="Arial"/>
              <w:sz w:val="24"/>
              <w:szCs w:val="24"/>
            </w:rPr>
            <w:fldChar w:fldCharType="separate"/>
          </w:r>
          <w:r w:rsidR="00E144C3" w:rsidRPr="00E144C3">
            <w:rPr>
              <w:rFonts w:ascii="Arial" w:hAnsi="Arial" w:cs="Arial"/>
              <w:noProof/>
              <w:sz w:val="24"/>
              <w:szCs w:val="24"/>
            </w:rPr>
            <w:t>(Child, 2017)</w:t>
          </w:r>
          <w:r w:rsidR="00E144C3">
            <w:rPr>
              <w:rFonts w:ascii="Arial" w:hAnsi="Arial" w:cs="Arial"/>
              <w:sz w:val="24"/>
              <w:szCs w:val="24"/>
            </w:rPr>
            <w:fldChar w:fldCharType="end"/>
          </w:r>
        </w:sdtContent>
      </w:sdt>
      <w:r w:rsidR="00E144C3">
        <w:rPr>
          <w:rFonts w:ascii="Arial" w:hAnsi="Arial" w:cs="Arial"/>
          <w:sz w:val="24"/>
          <w:szCs w:val="24"/>
        </w:rPr>
        <w:t xml:space="preserve">. These cases show how the offences against the person act 1861 is no longer fit for use today as with the current reformations and new legislation which has been </w:t>
      </w:r>
      <w:r w:rsidR="00E144C3">
        <w:rPr>
          <w:rFonts w:ascii="Arial" w:hAnsi="Arial" w:cs="Arial"/>
          <w:sz w:val="24"/>
          <w:szCs w:val="24"/>
        </w:rPr>
        <w:lastRenderedPageBreak/>
        <w:t xml:space="preserve">brought into palace it allows a broad </w:t>
      </w:r>
      <w:r w:rsidR="0048317A">
        <w:rPr>
          <w:rFonts w:ascii="Arial" w:hAnsi="Arial" w:cs="Arial"/>
          <w:sz w:val="24"/>
          <w:szCs w:val="24"/>
        </w:rPr>
        <w:t xml:space="preserve">definition of defences which can create unfair and dissimilar outcomes within offences which are convictable. </w:t>
      </w:r>
    </w:p>
    <w:p w14:paraId="51FD0A9E" w14:textId="1824F503" w:rsidR="00637BDA" w:rsidRDefault="00637BDA" w:rsidP="009E3ED0">
      <w:pPr>
        <w:rPr>
          <w:rFonts w:ascii="Arial" w:hAnsi="Arial" w:cs="Arial"/>
          <w:sz w:val="24"/>
          <w:szCs w:val="24"/>
        </w:rPr>
      </w:pPr>
      <w:r>
        <w:rPr>
          <w:rFonts w:ascii="Arial" w:hAnsi="Arial" w:cs="Arial"/>
          <w:sz w:val="24"/>
          <w:szCs w:val="24"/>
        </w:rPr>
        <w:t>In addition, a supporting argument that the offences against the person act 1861 is in need of reform is that there is no clear hierarchy between the non-fatal offences. The report by the Law Commiss</w:t>
      </w:r>
      <w:r w:rsidR="00020C68">
        <w:rPr>
          <w:rFonts w:ascii="Arial" w:hAnsi="Arial" w:cs="Arial"/>
          <w:sz w:val="24"/>
          <w:szCs w:val="24"/>
        </w:rPr>
        <w:t xml:space="preserve">ion outlined </w:t>
      </w:r>
      <w:r>
        <w:rPr>
          <w:rFonts w:ascii="Arial" w:hAnsi="Arial" w:cs="Arial"/>
          <w:sz w:val="24"/>
          <w:szCs w:val="24"/>
        </w:rPr>
        <w:t xml:space="preserve">that the offence </w:t>
      </w:r>
      <w:r w:rsidR="00020C68">
        <w:rPr>
          <w:rFonts w:ascii="Arial" w:hAnsi="Arial" w:cs="Arial"/>
          <w:sz w:val="24"/>
          <w:szCs w:val="24"/>
        </w:rPr>
        <w:t xml:space="preserve">malicious </w:t>
      </w:r>
      <w:r>
        <w:rPr>
          <w:rFonts w:ascii="Arial" w:hAnsi="Arial" w:cs="Arial"/>
          <w:sz w:val="24"/>
          <w:szCs w:val="24"/>
        </w:rPr>
        <w:t xml:space="preserve">wounding or grievous bodily </w:t>
      </w:r>
      <w:r w:rsidR="00E005BA">
        <w:rPr>
          <w:rFonts w:ascii="Arial" w:hAnsi="Arial" w:cs="Arial"/>
          <w:sz w:val="24"/>
          <w:szCs w:val="24"/>
        </w:rPr>
        <w:t>harm,</w:t>
      </w:r>
      <w:r>
        <w:rPr>
          <w:rFonts w:ascii="Arial" w:hAnsi="Arial" w:cs="Arial"/>
          <w:sz w:val="24"/>
          <w:szCs w:val="24"/>
        </w:rPr>
        <w:t xml:space="preserve"> found under section </w:t>
      </w:r>
      <w:r w:rsidR="00020C68">
        <w:rPr>
          <w:rFonts w:ascii="Arial" w:hAnsi="Arial" w:cs="Arial"/>
          <w:sz w:val="24"/>
          <w:szCs w:val="24"/>
        </w:rPr>
        <w:t>20 of the 1861 act</w:t>
      </w:r>
      <w:r w:rsidR="00E005BA">
        <w:rPr>
          <w:rFonts w:ascii="Arial" w:hAnsi="Arial" w:cs="Arial"/>
          <w:sz w:val="24"/>
          <w:szCs w:val="24"/>
        </w:rPr>
        <w:t xml:space="preserve">, is the middle offence under the non-fatal offences. Assault occasioning actual bodily harm, found under section 47 is the least serious act </w:t>
      </w:r>
      <w:r w:rsidR="00E86FEC">
        <w:rPr>
          <w:rFonts w:ascii="Arial" w:hAnsi="Arial" w:cs="Arial"/>
          <w:sz w:val="24"/>
          <w:szCs w:val="24"/>
        </w:rPr>
        <w:t xml:space="preserve">found within the Offences against the person act 1861 relating to non-fatal offences </w:t>
      </w:r>
      <w:sdt>
        <w:sdtPr>
          <w:rPr>
            <w:rFonts w:ascii="Arial" w:hAnsi="Arial" w:cs="Arial"/>
            <w:sz w:val="24"/>
            <w:szCs w:val="24"/>
          </w:rPr>
          <w:id w:val="201071424"/>
          <w:citation/>
        </w:sdtPr>
        <w:sdtEndPr/>
        <w:sdtContent>
          <w:r w:rsidR="00E86FEC">
            <w:rPr>
              <w:rFonts w:ascii="Arial" w:hAnsi="Arial" w:cs="Arial"/>
              <w:sz w:val="24"/>
              <w:szCs w:val="24"/>
            </w:rPr>
            <w:fldChar w:fldCharType="begin"/>
          </w:r>
          <w:r w:rsidR="00E86FEC">
            <w:rPr>
              <w:rFonts w:ascii="Arial" w:hAnsi="Arial" w:cs="Arial"/>
              <w:sz w:val="24"/>
              <w:szCs w:val="24"/>
            </w:rPr>
            <w:instrText xml:space="preserve"> CITATION Joh94 \l 2057 </w:instrText>
          </w:r>
          <w:r w:rsidR="00E86FEC">
            <w:rPr>
              <w:rFonts w:ascii="Arial" w:hAnsi="Arial" w:cs="Arial"/>
              <w:sz w:val="24"/>
              <w:szCs w:val="24"/>
            </w:rPr>
            <w:fldChar w:fldCharType="separate"/>
          </w:r>
          <w:r w:rsidR="00E86FEC" w:rsidRPr="00E86FEC">
            <w:rPr>
              <w:rFonts w:ascii="Arial" w:hAnsi="Arial" w:cs="Arial"/>
              <w:noProof/>
              <w:sz w:val="24"/>
              <w:szCs w:val="24"/>
            </w:rPr>
            <w:t>(John Gardner , 1994)</w:t>
          </w:r>
          <w:r w:rsidR="00E86FEC">
            <w:rPr>
              <w:rFonts w:ascii="Arial" w:hAnsi="Arial" w:cs="Arial"/>
              <w:sz w:val="24"/>
              <w:szCs w:val="24"/>
            </w:rPr>
            <w:fldChar w:fldCharType="end"/>
          </w:r>
        </w:sdtContent>
      </w:sdt>
      <w:r w:rsidR="00E86FEC">
        <w:rPr>
          <w:rFonts w:ascii="Arial" w:hAnsi="Arial" w:cs="Arial"/>
          <w:sz w:val="24"/>
          <w:szCs w:val="24"/>
        </w:rPr>
        <w:t xml:space="preserve">. </w:t>
      </w:r>
      <w:r w:rsidR="00BF238F">
        <w:rPr>
          <w:rFonts w:ascii="Arial" w:hAnsi="Arial" w:cs="Arial"/>
          <w:sz w:val="24"/>
          <w:szCs w:val="24"/>
        </w:rPr>
        <w:t xml:space="preserve">Although these offences are considered of different ranking and </w:t>
      </w:r>
      <w:r w:rsidR="00DC55ED">
        <w:rPr>
          <w:rFonts w:ascii="Arial" w:hAnsi="Arial" w:cs="Arial"/>
          <w:sz w:val="24"/>
          <w:szCs w:val="24"/>
        </w:rPr>
        <w:t>seriousness,</w:t>
      </w:r>
      <w:r w:rsidR="00BF238F">
        <w:rPr>
          <w:rFonts w:ascii="Arial" w:hAnsi="Arial" w:cs="Arial"/>
          <w:sz w:val="24"/>
          <w:szCs w:val="24"/>
        </w:rPr>
        <w:t xml:space="preserve"> they both have the same maximum sentence of 5 years. HHJ </w:t>
      </w:r>
      <w:proofErr w:type="spellStart"/>
      <w:r w:rsidR="00203AFE">
        <w:rPr>
          <w:rFonts w:ascii="Arial" w:hAnsi="Arial" w:cs="Arial"/>
          <w:sz w:val="24"/>
          <w:szCs w:val="24"/>
        </w:rPr>
        <w:t>G</w:t>
      </w:r>
      <w:r w:rsidR="00BF238F">
        <w:rPr>
          <w:rFonts w:ascii="Arial" w:hAnsi="Arial" w:cs="Arial"/>
          <w:sz w:val="24"/>
          <w:szCs w:val="24"/>
        </w:rPr>
        <w:t>oymer</w:t>
      </w:r>
      <w:proofErr w:type="spellEnd"/>
      <w:r w:rsidR="00BF238F">
        <w:rPr>
          <w:rFonts w:ascii="Arial" w:hAnsi="Arial" w:cs="Arial"/>
          <w:sz w:val="24"/>
          <w:szCs w:val="24"/>
        </w:rPr>
        <w:t xml:space="preserve"> for the council of HM circuit Judges stated that due to the unclear </w:t>
      </w:r>
      <w:r w:rsidR="00203AFE">
        <w:rPr>
          <w:rFonts w:ascii="Arial" w:hAnsi="Arial" w:cs="Arial"/>
          <w:sz w:val="24"/>
          <w:szCs w:val="24"/>
        </w:rPr>
        <w:t>hierarchy</w:t>
      </w:r>
      <w:r w:rsidR="00BF238F">
        <w:rPr>
          <w:rFonts w:ascii="Arial" w:hAnsi="Arial" w:cs="Arial"/>
          <w:sz w:val="24"/>
          <w:szCs w:val="24"/>
        </w:rPr>
        <w:t xml:space="preserve"> of the offences “Judges and </w:t>
      </w:r>
      <w:r w:rsidR="00203AFE">
        <w:rPr>
          <w:rFonts w:ascii="Arial" w:hAnsi="Arial" w:cs="Arial"/>
          <w:sz w:val="24"/>
          <w:szCs w:val="24"/>
        </w:rPr>
        <w:t xml:space="preserve">Juries have frequently to grapple with the problems of the current law contained in a statue that is now 154 years old” </w:t>
      </w:r>
      <w:sdt>
        <w:sdtPr>
          <w:rPr>
            <w:rFonts w:ascii="Arial" w:hAnsi="Arial" w:cs="Arial"/>
            <w:sz w:val="24"/>
            <w:szCs w:val="24"/>
          </w:rPr>
          <w:id w:val="-2006976302"/>
          <w:citation/>
        </w:sdtPr>
        <w:sdtEndPr/>
        <w:sdtContent>
          <w:r w:rsidR="00203AFE">
            <w:rPr>
              <w:rFonts w:ascii="Arial" w:hAnsi="Arial" w:cs="Arial"/>
              <w:sz w:val="24"/>
              <w:szCs w:val="24"/>
            </w:rPr>
            <w:fldChar w:fldCharType="begin"/>
          </w:r>
          <w:r w:rsidR="00203AFE">
            <w:rPr>
              <w:rFonts w:ascii="Arial" w:hAnsi="Arial" w:cs="Arial"/>
              <w:sz w:val="24"/>
              <w:szCs w:val="24"/>
            </w:rPr>
            <w:instrText xml:space="preserve"> CITATION Ale17 \l 2057 </w:instrText>
          </w:r>
          <w:r w:rsidR="00203AFE">
            <w:rPr>
              <w:rFonts w:ascii="Arial" w:hAnsi="Arial" w:cs="Arial"/>
              <w:sz w:val="24"/>
              <w:szCs w:val="24"/>
            </w:rPr>
            <w:fldChar w:fldCharType="separate"/>
          </w:r>
          <w:r w:rsidR="00203AFE" w:rsidRPr="00203AFE">
            <w:rPr>
              <w:rFonts w:ascii="Arial" w:hAnsi="Arial" w:cs="Arial"/>
              <w:noProof/>
              <w:sz w:val="24"/>
              <w:szCs w:val="24"/>
            </w:rPr>
            <w:t>(Eugenicos, 2017)</w:t>
          </w:r>
          <w:r w:rsidR="00203AFE">
            <w:rPr>
              <w:rFonts w:ascii="Arial" w:hAnsi="Arial" w:cs="Arial"/>
              <w:sz w:val="24"/>
              <w:szCs w:val="24"/>
            </w:rPr>
            <w:fldChar w:fldCharType="end"/>
          </w:r>
        </w:sdtContent>
      </w:sdt>
      <w:r w:rsidR="00203AFE">
        <w:rPr>
          <w:rFonts w:ascii="Arial" w:hAnsi="Arial" w:cs="Arial"/>
          <w:sz w:val="24"/>
          <w:szCs w:val="24"/>
        </w:rPr>
        <w:t xml:space="preserve">. This shows how the argument that the Offences against the person act 1861 is in need of reform and is no longer applicable today can be upheld as it </w:t>
      </w:r>
      <w:r w:rsidR="00DC55ED">
        <w:rPr>
          <w:rFonts w:ascii="Arial" w:hAnsi="Arial" w:cs="Arial"/>
          <w:sz w:val="24"/>
          <w:szCs w:val="24"/>
        </w:rPr>
        <w:t xml:space="preserve">faces valid criticism from numerous established agencies within the criminal justice system. </w:t>
      </w:r>
      <w:r w:rsidR="005C7C21">
        <w:rPr>
          <w:rFonts w:ascii="Arial" w:hAnsi="Arial" w:cs="Arial"/>
          <w:sz w:val="24"/>
          <w:szCs w:val="24"/>
        </w:rPr>
        <w:t xml:space="preserve">Evidence of how the lack of hierarchy can affect criminal proceedings is shown in the case of R V Ireland (1998). Ireland made a number of telephone calls to his victims and remained silent. </w:t>
      </w:r>
      <w:r w:rsidR="00F90E83">
        <w:rPr>
          <w:rFonts w:ascii="Arial" w:hAnsi="Arial" w:cs="Arial"/>
          <w:sz w:val="24"/>
          <w:szCs w:val="24"/>
        </w:rPr>
        <w:t xml:space="preserve">As a result, the victims suffered psychological harm. Ireland was found guilty under section 47 of the offences against the person </w:t>
      </w:r>
      <w:r w:rsidR="005D4BA4">
        <w:rPr>
          <w:rFonts w:ascii="Arial" w:hAnsi="Arial" w:cs="Arial"/>
          <w:sz w:val="24"/>
          <w:szCs w:val="24"/>
        </w:rPr>
        <w:t>act as</w:t>
      </w:r>
      <w:r w:rsidR="00F90E83">
        <w:rPr>
          <w:rFonts w:ascii="Arial" w:hAnsi="Arial" w:cs="Arial"/>
          <w:sz w:val="24"/>
          <w:szCs w:val="24"/>
        </w:rPr>
        <w:t xml:space="preserve"> a recognisable psychiatric illness constituted bodily </w:t>
      </w:r>
      <w:r w:rsidR="005D4BA4">
        <w:rPr>
          <w:rFonts w:ascii="Arial" w:hAnsi="Arial" w:cs="Arial"/>
          <w:sz w:val="24"/>
          <w:szCs w:val="24"/>
        </w:rPr>
        <w:t>harm under</w:t>
      </w:r>
      <w:r w:rsidR="007C6DF5">
        <w:rPr>
          <w:rFonts w:ascii="Arial" w:hAnsi="Arial" w:cs="Arial"/>
          <w:sz w:val="24"/>
          <w:szCs w:val="24"/>
        </w:rPr>
        <w:t xml:space="preserve"> the meaning of the act. </w:t>
      </w:r>
      <w:r w:rsidR="005D4BA4">
        <w:rPr>
          <w:rFonts w:ascii="Arial" w:hAnsi="Arial" w:cs="Arial"/>
          <w:sz w:val="24"/>
          <w:szCs w:val="24"/>
        </w:rPr>
        <w:t>However, th</w:t>
      </w:r>
      <w:r w:rsidR="00641681">
        <w:rPr>
          <w:rFonts w:ascii="Arial" w:hAnsi="Arial" w:cs="Arial"/>
          <w:sz w:val="24"/>
          <w:szCs w:val="24"/>
        </w:rPr>
        <w:t xml:space="preserve">is was established through judicial interpretation and there are no clear statutory boundaries and definitions under the Offences against the person act </w:t>
      </w:r>
      <w:sdt>
        <w:sdtPr>
          <w:rPr>
            <w:rFonts w:ascii="Arial" w:hAnsi="Arial" w:cs="Arial"/>
            <w:sz w:val="24"/>
            <w:szCs w:val="24"/>
          </w:rPr>
          <w:id w:val="-755984014"/>
          <w:citation/>
        </w:sdtPr>
        <w:sdtEndPr/>
        <w:sdtContent>
          <w:r w:rsidR="00641681">
            <w:rPr>
              <w:rFonts w:ascii="Arial" w:hAnsi="Arial" w:cs="Arial"/>
              <w:sz w:val="24"/>
              <w:szCs w:val="24"/>
            </w:rPr>
            <w:fldChar w:fldCharType="begin"/>
          </w:r>
          <w:r w:rsidR="00641681">
            <w:rPr>
              <w:rFonts w:ascii="Arial" w:hAnsi="Arial" w:cs="Arial"/>
              <w:sz w:val="24"/>
              <w:szCs w:val="24"/>
            </w:rPr>
            <w:instrText xml:space="preserve"> CITATION Ale17 \l 2057 </w:instrText>
          </w:r>
          <w:r w:rsidR="00641681">
            <w:rPr>
              <w:rFonts w:ascii="Arial" w:hAnsi="Arial" w:cs="Arial"/>
              <w:sz w:val="24"/>
              <w:szCs w:val="24"/>
            </w:rPr>
            <w:fldChar w:fldCharType="separate"/>
          </w:r>
          <w:r w:rsidR="00641681" w:rsidRPr="00641681">
            <w:rPr>
              <w:rFonts w:ascii="Arial" w:hAnsi="Arial" w:cs="Arial"/>
              <w:noProof/>
              <w:sz w:val="24"/>
              <w:szCs w:val="24"/>
            </w:rPr>
            <w:t>(Eugenicos, 2017)</w:t>
          </w:r>
          <w:r w:rsidR="00641681">
            <w:rPr>
              <w:rFonts w:ascii="Arial" w:hAnsi="Arial" w:cs="Arial"/>
              <w:sz w:val="24"/>
              <w:szCs w:val="24"/>
            </w:rPr>
            <w:fldChar w:fldCharType="end"/>
          </w:r>
        </w:sdtContent>
      </w:sdt>
      <w:r w:rsidR="00641681">
        <w:rPr>
          <w:rFonts w:ascii="Arial" w:hAnsi="Arial" w:cs="Arial"/>
          <w:sz w:val="24"/>
          <w:szCs w:val="24"/>
        </w:rPr>
        <w:t xml:space="preserve">. </w:t>
      </w:r>
      <w:r w:rsidR="0007570C">
        <w:rPr>
          <w:rFonts w:ascii="Arial" w:hAnsi="Arial" w:cs="Arial"/>
          <w:sz w:val="24"/>
          <w:szCs w:val="24"/>
        </w:rPr>
        <w:t>The Law commission recommends that the hierarchy of should be modernised and the “</w:t>
      </w:r>
      <w:r w:rsidR="0007570C" w:rsidRPr="0007570C">
        <w:rPr>
          <w:rFonts w:ascii="Arial" w:hAnsi="Arial" w:cs="Arial"/>
          <w:sz w:val="24"/>
          <w:szCs w:val="24"/>
        </w:rPr>
        <w:t>distinguishing between serious or severe injuries and injury in general.</w:t>
      </w:r>
      <w:r w:rsidR="0007570C">
        <w:rPr>
          <w:rFonts w:ascii="Arial" w:hAnsi="Arial" w:cs="Arial"/>
          <w:sz w:val="24"/>
          <w:szCs w:val="24"/>
        </w:rPr>
        <w:t xml:space="preserve">” should be clearly outlined in order to give a clear understanding and definition of non-fatal crimes against the </w:t>
      </w:r>
      <w:r w:rsidR="00296782">
        <w:rPr>
          <w:rFonts w:ascii="Arial" w:hAnsi="Arial" w:cs="Arial"/>
          <w:sz w:val="24"/>
          <w:szCs w:val="24"/>
        </w:rPr>
        <w:t xml:space="preserve">person </w:t>
      </w:r>
      <w:sdt>
        <w:sdtPr>
          <w:rPr>
            <w:rFonts w:ascii="Arial" w:hAnsi="Arial" w:cs="Arial"/>
            <w:sz w:val="24"/>
            <w:szCs w:val="24"/>
          </w:rPr>
          <w:id w:val="366794953"/>
          <w:citation/>
        </w:sdtPr>
        <w:sdtEndPr/>
        <w:sdtContent>
          <w:r w:rsidR="00296782">
            <w:rPr>
              <w:rFonts w:ascii="Arial" w:hAnsi="Arial" w:cs="Arial"/>
              <w:sz w:val="24"/>
              <w:szCs w:val="24"/>
            </w:rPr>
            <w:fldChar w:fldCharType="begin"/>
          </w:r>
          <w:r w:rsidR="00296782">
            <w:rPr>
              <w:rFonts w:ascii="Arial" w:hAnsi="Arial" w:cs="Arial"/>
              <w:sz w:val="24"/>
              <w:szCs w:val="24"/>
            </w:rPr>
            <w:instrText xml:space="preserve"> CITATION Law15 \l 2057 </w:instrText>
          </w:r>
          <w:r w:rsidR="00296782">
            <w:rPr>
              <w:rFonts w:ascii="Arial" w:hAnsi="Arial" w:cs="Arial"/>
              <w:sz w:val="24"/>
              <w:szCs w:val="24"/>
            </w:rPr>
            <w:fldChar w:fldCharType="separate"/>
          </w:r>
          <w:r w:rsidR="00296782" w:rsidRPr="00296782">
            <w:rPr>
              <w:rFonts w:ascii="Arial" w:hAnsi="Arial" w:cs="Arial"/>
              <w:noProof/>
              <w:sz w:val="24"/>
              <w:szCs w:val="24"/>
            </w:rPr>
            <w:t>( Law Commission No. 361, 2015)</w:t>
          </w:r>
          <w:r w:rsidR="00296782">
            <w:rPr>
              <w:rFonts w:ascii="Arial" w:hAnsi="Arial" w:cs="Arial"/>
              <w:sz w:val="24"/>
              <w:szCs w:val="24"/>
            </w:rPr>
            <w:fldChar w:fldCharType="end"/>
          </w:r>
        </w:sdtContent>
      </w:sdt>
      <w:r w:rsidR="00296782">
        <w:rPr>
          <w:rFonts w:ascii="Arial" w:hAnsi="Arial" w:cs="Arial"/>
          <w:sz w:val="24"/>
          <w:szCs w:val="24"/>
        </w:rPr>
        <w:t>.</w:t>
      </w:r>
      <w:r w:rsidR="0007570C">
        <w:rPr>
          <w:rFonts w:ascii="Arial" w:hAnsi="Arial" w:cs="Arial"/>
          <w:sz w:val="24"/>
          <w:szCs w:val="24"/>
        </w:rPr>
        <w:t xml:space="preserve"> </w:t>
      </w:r>
    </w:p>
    <w:p w14:paraId="3FE26CB6" w14:textId="5081D70E" w:rsidR="00296782" w:rsidRDefault="00296782" w:rsidP="009E3ED0">
      <w:pPr>
        <w:rPr>
          <w:rFonts w:ascii="Arial" w:hAnsi="Arial" w:cs="Arial"/>
          <w:sz w:val="24"/>
          <w:szCs w:val="24"/>
        </w:rPr>
      </w:pPr>
      <w:r>
        <w:rPr>
          <w:rFonts w:ascii="Arial" w:hAnsi="Arial" w:cs="Arial"/>
          <w:sz w:val="24"/>
          <w:szCs w:val="24"/>
        </w:rPr>
        <w:t xml:space="preserve">To conclude, </w:t>
      </w:r>
      <w:r w:rsidR="00F50D36">
        <w:rPr>
          <w:rFonts w:ascii="Arial" w:hAnsi="Arial" w:cs="Arial"/>
          <w:sz w:val="24"/>
          <w:szCs w:val="24"/>
        </w:rPr>
        <w:t xml:space="preserve">there is strong arguments and evidence for the opinion that the Offences against the person Act 1861 is no longer for use and is in need of reform. The report conducted by the Law Commission provides clear explanation and </w:t>
      </w:r>
      <w:r w:rsidR="00411869">
        <w:rPr>
          <w:rFonts w:ascii="Arial" w:hAnsi="Arial" w:cs="Arial"/>
          <w:sz w:val="24"/>
          <w:szCs w:val="24"/>
        </w:rPr>
        <w:t>a defined outline for a more up to date and modern legislation. The Law Commission recommends that “</w:t>
      </w:r>
      <w:r w:rsidR="00411869" w:rsidRPr="00411869">
        <w:rPr>
          <w:rFonts w:ascii="Arial" w:hAnsi="Arial" w:cs="Arial"/>
          <w:sz w:val="24"/>
          <w:szCs w:val="24"/>
        </w:rPr>
        <w:t>the 1861 Act and associated offences should be replaced by a comprehensive modern statute on offences against the person.</w:t>
      </w:r>
      <w:r w:rsidR="00411869">
        <w:rPr>
          <w:rFonts w:ascii="Arial" w:hAnsi="Arial" w:cs="Arial"/>
          <w:sz w:val="24"/>
          <w:szCs w:val="24"/>
        </w:rPr>
        <w:t xml:space="preserve">” </w:t>
      </w:r>
      <w:sdt>
        <w:sdtPr>
          <w:rPr>
            <w:rFonts w:ascii="Arial" w:hAnsi="Arial" w:cs="Arial"/>
            <w:sz w:val="24"/>
            <w:szCs w:val="24"/>
          </w:rPr>
          <w:id w:val="789170853"/>
          <w:citation/>
        </w:sdtPr>
        <w:sdtEndPr/>
        <w:sdtContent>
          <w:r w:rsidR="0021229F">
            <w:rPr>
              <w:rFonts w:ascii="Arial" w:hAnsi="Arial" w:cs="Arial"/>
              <w:sz w:val="24"/>
              <w:szCs w:val="24"/>
            </w:rPr>
            <w:fldChar w:fldCharType="begin"/>
          </w:r>
          <w:r w:rsidR="0021229F">
            <w:rPr>
              <w:rFonts w:ascii="Arial" w:hAnsi="Arial" w:cs="Arial"/>
              <w:sz w:val="24"/>
              <w:szCs w:val="24"/>
            </w:rPr>
            <w:instrText xml:space="preserve"> CITATION Law15 \l 2057 </w:instrText>
          </w:r>
          <w:r w:rsidR="0021229F">
            <w:rPr>
              <w:rFonts w:ascii="Arial" w:hAnsi="Arial" w:cs="Arial"/>
              <w:sz w:val="24"/>
              <w:szCs w:val="24"/>
            </w:rPr>
            <w:fldChar w:fldCharType="separate"/>
          </w:r>
          <w:r w:rsidR="0021229F" w:rsidRPr="0021229F">
            <w:rPr>
              <w:rFonts w:ascii="Arial" w:hAnsi="Arial" w:cs="Arial"/>
              <w:noProof/>
              <w:sz w:val="24"/>
              <w:szCs w:val="24"/>
            </w:rPr>
            <w:t>( Law Commission No. 361, 2015)</w:t>
          </w:r>
          <w:r w:rsidR="0021229F">
            <w:rPr>
              <w:rFonts w:ascii="Arial" w:hAnsi="Arial" w:cs="Arial"/>
              <w:sz w:val="24"/>
              <w:szCs w:val="24"/>
            </w:rPr>
            <w:fldChar w:fldCharType="end"/>
          </w:r>
        </w:sdtContent>
      </w:sdt>
      <w:r w:rsidR="00411869">
        <w:rPr>
          <w:rFonts w:ascii="Arial" w:hAnsi="Arial" w:cs="Arial"/>
          <w:sz w:val="24"/>
          <w:szCs w:val="24"/>
        </w:rPr>
        <w:t xml:space="preserve">This would create a comprehensive understanding of offences and would stop unfair and conflicting sentences </w:t>
      </w:r>
      <w:r w:rsidR="0021229F">
        <w:rPr>
          <w:rFonts w:ascii="Arial" w:hAnsi="Arial" w:cs="Arial"/>
          <w:sz w:val="24"/>
          <w:szCs w:val="24"/>
        </w:rPr>
        <w:t>for non-fatal crimes against a person as it would allow juries and judges to have a clear outline of sentencing guidelines. Even though the reform of Non-fatal crimes against the person is Widley supported there is some opposition. The Bar Council and Criminal Bar Association</w:t>
      </w:r>
      <w:r w:rsidR="00B8273B">
        <w:rPr>
          <w:rFonts w:ascii="Arial" w:hAnsi="Arial" w:cs="Arial"/>
          <w:sz w:val="24"/>
          <w:szCs w:val="24"/>
        </w:rPr>
        <w:t xml:space="preserve"> argues that the defects in the Offences against the person act 1861 is merely theoretical and legal meaning has been previously established through case law</w:t>
      </w:r>
      <w:r w:rsidR="00CC498F">
        <w:rPr>
          <w:rFonts w:ascii="Arial" w:hAnsi="Arial" w:cs="Arial"/>
          <w:sz w:val="24"/>
          <w:szCs w:val="24"/>
        </w:rPr>
        <w:t xml:space="preserve"> </w:t>
      </w:r>
      <w:sdt>
        <w:sdtPr>
          <w:rPr>
            <w:rFonts w:ascii="Arial" w:hAnsi="Arial" w:cs="Arial"/>
            <w:sz w:val="24"/>
            <w:szCs w:val="24"/>
          </w:rPr>
          <w:id w:val="1242598537"/>
          <w:citation/>
        </w:sdtPr>
        <w:sdtEndPr/>
        <w:sdtContent>
          <w:r w:rsidR="00CC498F">
            <w:rPr>
              <w:rFonts w:ascii="Arial" w:hAnsi="Arial" w:cs="Arial"/>
              <w:sz w:val="24"/>
              <w:szCs w:val="24"/>
            </w:rPr>
            <w:fldChar w:fldCharType="begin"/>
          </w:r>
          <w:r w:rsidR="00CC498F">
            <w:rPr>
              <w:rFonts w:ascii="Arial" w:hAnsi="Arial" w:cs="Arial"/>
              <w:sz w:val="24"/>
              <w:szCs w:val="24"/>
            </w:rPr>
            <w:instrText xml:space="preserve"> CITATION Ale17 \l 2057 </w:instrText>
          </w:r>
          <w:r w:rsidR="00CC498F">
            <w:rPr>
              <w:rFonts w:ascii="Arial" w:hAnsi="Arial" w:cs="Arial"/>
              <w:sz w:val="24"/>
              <w:szCs w:val="24"/>
            </w:rPr>
            <w:fldChar w:fldCharType="separate"/>
          </w:r>
          <w:r w:rsidR="00CC498F" w:rsidRPr="00CC498F">
            <w:rPr>
              <w:rFonts w:ascii="Arial" w:hAnsi="Arial" w:cs="Arial"/>
              <w:noProof/>
              <w:sz w:val="24"/>
              <w:szCs w:val="24"/>
            </w:rPr>
            <w:t>(Eugenicos, 2017)</w:t>
          </w:r>
          <w:r w:rsidR="00CC498F">
            <w:rPr>
              <w:rFonts w:ascii="Arial" w:hAnsi="Arial" w:cs="Arial"/>
              <w:sz w:val="24"/>
              <w:szCs w:val="24"/>
            </w:rPr>
            <w:fldChar w:fldCharType="end"/>
          </w:r>
        </w:sdtContent>
      </w:sdt>
      <w:r w:rsidR="00CC498F">
        <w:rPr>
          <w:rFonts w:ascii="Arial" w:hAnsi="Arial" w:cs="Arial"/>
          <w:sz w:val="24"/>
          <w:szCs w:val="24"/>
        </w:rPr>
        <w:t xml:space="preserve">. The final decision that the Offences against the person Act 1861 is no longer for purpose and is in need of reforming ultimately lies in the hands of the government. </w:t>
      </w:r>
    </w:p>
    <w:p w14:paraId="17C4696C" w14:textId="650D01DD" w:rsidR="00A511EA" w:rsidRDefault="00A511EA" w:rsidP="009E3ED0">
      <w:pPr>
        <w:rPr>
          <w:rFonts w:ascii="Arial" w:hAnsi="Arial" w:cs="Arial"/>
          <w:sz w:val="24"/>
          <w:szCs w:val="24"/>
        </w:rPr>
      </w:pPr>
    </w:p>
    <w:sdt>
      <w:sdtPr>
        <w:id w:val="484133209"/>
        <w:docPartObj>
          <w:docPartGallery w:val="Bibliographies"/>
          <w:docPartUnique/>
        </w:docPartObj>
      </w:sdtPr>
      <w:sdtEndPr>
        <w:rPr>
          <w:rFonts w:ascii="Arial" w:eastAsiaTheme="minorHAnsi" w:hAnsi="Arial" w:cs="Arial"/>
          <w:color w:val="auto"/>
          <w:sz w:val="24"/>
          <w:szCs w:val="24"/>
          <w:lang w:val="en-GB"/>
        </w:rPr>
      </w:sdtEndPr>
      <w:sdtContent>
        <w:p w14:paraId="18D232E6" w14:textId="25C4EABB" w:rsidR="00A511EA" w:rsidRPr="00A511EA" w:rsidRDefault="00A511EA">
          <w:pPr>
            <w:pStyle w:val="Heading1"/>
            <w:rPr>
              <w:rFonts w:ascii="Arial" w:hAnsi="Arial" w:cs="Arial"/>
              <w:sz w:val="24"/>
              <w:szCs w:val="24"/>
            </w:rPr>
          </w:pPr>
          <w:r w:rsidRPr="00A511EA">
            <w:rPr>
              <w:rFonts w:ascii="Arial" w:hAnsi="Arial" w:cs="Arial"/>
              <w:sz w:val="24"/>
              <w:szCs w:val="24"/>
            </w:rPr>
            <w:t>References</w:t>
          </w:r>
        </w:p>
        <w:sdt>
          <w:sdtPr>
            <w:rPr>
              <w:rFonts w:ascii="Arial" w:hAnsi="Arial" w:cs="Arial"/>
              <w:sz w:val="24"/>
              <w:szCs w:val="24"/>
            </w:rPr>
            <w:id w:val="-573587230"/>
            <w:bibliography/>
          </w:sdtPr>
          <w:sdtContent>
            <w:p w14:paraId="53094F02" w14:textId="77777777" w:rsidR="00A511EA" w:rsidRPr="00A511EA" w:rsidRDefault="00A511EA" w:rsidP="00A511EA">
              <w:pPr>
                <w:pStyle w:val="Bibliography"/>
                <w:ind w:left="720" w:hanging="720"/>
                <w:rPr>
                  <w:rFonts w:ascii="Arial" w:hAnsi="Arial" w:cs="Arial"/>
                  <w:noProof/>
                  <w:sz w:val="24"/>
                  <w:szCs w:val="24"/>
                  <w:lang w:val="en-US"/>
                </w:rPr>
              </w:pPr>
              <w:r w:rsidRPr="00A511EA">
                <w:rPr>
                  <w:rFonts w:ascii="Arial" w:hAnsi="Arial" w:cs="Arial"/>
                  <w:sz w:val="24"/>
                  <w:szCs w:val="24"/>
                </w:rPr>
                <w:fldChar w:fldCharType="begin"/>
              </w:r>
              <w:r w:rsidRPr="00A511EA">
                <w:rPr>
                  <w:rFonts w:ascii="Arial" w:hAnsi="Arial" w:cs="Arial"/>
                  <w:sz w:val="24"/>
                  <w:szCs w:val="24"/>
                </w:rPr>
                <w:instrText xml:space="preserve"> BIBLIOGRAPHY </w:instrText>
              </w:r>
              <w:r w:rsidRPr="00A511EA">
                <w:rPr>
                  <w:rFonts w:ascii="Arial" w:hAnsi="Arial" w:cs="Arial"/>
                  <w:sz w:val="24"/>
                  <w:szCs w:val="24"/>
                </w:rPr>
                <w:fldChar w:fldCharType="separate"/>
              </w:r>
              <w:r w:rsidRPr="00A511EA">
                <w:rPr>
                  <w:rFonts w:ascii="Arial" w:hAnsi="Arial" w:cs="Arial"/>
                  <w:noProof/>
                  <w:sz w:val="24"/>
                  <w:szCs w:val="24"/>
                  <w:lang w:val="en-US"/>
                </w:rPr>
                <w:t xml:space="preserve">Law Commission No. 361. (2015). </w:t>
              </w:r>
              <w:r w:rsidRPr="00A511EA">
                <w:rPr>
                  <w:rFonts w:ascii="Arial" w:hAnsi="Arial" w:cs="Arial"/>
                  <w:i/>
                  <w:iCs/>
                  <w:noProof/>
                  <w:sz w:val="24"/>
                  <w:szCs w:val="24"/>
                  <w:lang w:val="en-US"/>
                </w:rPr>
                <w:t>Overview of Reform of Offences Against the Person .</w:t>
              </w:r>
              <w:r w:rsidRPr="00A511EA">
                <w:rPr>
                  <w:rFonts w:ascii="Arial" w:hAnsi="Arial" w:cs="Arial"/>
                  <w:noProof/>
                  <w:sz w:val="24"/>
                  <w:szCs w:val="24"/>
                  <w:lang w:val="en-US"/>
                </w:rPr>
                <w:t xml:space="preserve"> Law Comission .</w:t>
              </w:r>
            </w:p>
            <w:p w14:paraId="2728CEDA" w14:textId="77777777" w:rsidR="00A511EA" w:rsidRPr="00A511EA" w:rsidRDefault="00A511EA" w:rsidP="00A511EA">
              <w:pPr>
                <w:pStyle w:val="Bibliography"/>
                <w:ind w:left="720" w:hanging="720"/>
                <w:rPr>
                  <w:rFonts w:ascii="Arial" w:hAnsi="Arial" w:cs="Arial"/>
                  <w:noProof/>
                  <w:sz w:val="24"/>
                  <w:szCs w:val="24"/>
                  <w:lang w:val="en-US"/>
                </w:rPr>
              </w:pPr>
              <w:r w:rsidRPr="00A511EA">
                <w:rPr>
                  <w:rFonts w:ascii="Arial" w:hAnsi="Arial" w:cs="Arial"/>
                  <w:noProof/>
                  <w:sz w:val="24"/>
                  <w:szCs w:val="24"/>
                  <w:lang w:val="en-US"/>
                </w:rPr>
                <w:t xml:space="preserve">Child, J. (2017). </w:t>
              </w:r>
              <w:r w:rsidRPr="00A511EA">
                <w:rPr>
                  <w:rFonts w:ascii="Arial" w:hAnsi="Arial" w:cs="Arial"/>
                  <w:i/>
                  <w:iCs/>
                  <w:noProof/>
                  <w:sz w:val="24"/>
                  <w:szCs w:val="24"/>
                  <w:lang w:val="en-US"/>
                </w:rPr>
                <w:t>SMITH, HOGAN, &amp; ORMEROD'S ESSENTIALS OF CRIMINAL LAW.</w:t>
              </w:r>
              <w:r w:rsidRPr="00A511EA">
                <w:rPr>
                  <w:rFonts w:ascii="Arial" w:hAnsi="Arial" w:cs="Arial"/>
                  <w:noProof/>
                  <w:sz w:val="24"/>
                  <w:szCs w:val="24"/>
                  <w:lang w:val="en-US"/>
                </w:rPr>
                <w:t xml:space="preserve"> Oxford: Oxford Univeristy Press .</w:t>
              </w:r>
            </w:p>
            <w:p w14:paraId="639453D7" w14:textId="77777777" w:rsidR="00A511EA" w:rsidRPr="00A511EA" w:rsidRDefault="00A511EA" w:rsidP="00A511EA">
              <w:pPr>
                <w:pStyle w:val="Bibliography"/>
                <w:ind w:left="720" w:hanging="720"/>
                <w:rPr>
                  <w:rFonts w:ascii="Arial" w:hAnsi="Arial" w:cs="Arial"/>
                  <w:noProof/>
                  <w:sz w:val="24"/>
                  <w:szCs w:val="24"/>
                  <w:lang w:val="en-US"/>
                </w:rPr>
              </w:pPr>
              <w:r w:rsidRPr="00A511EA">
                <w:rPr>
                  <w:rFonts w:ascii="Arial" w:hAnsi="Arial" w:cs="Arial"/>
                  <w:noProof/>
                  <w:sz w:val="24"/>
                  <w:szCs w:val="24"/>
                  <w:lang w:val="en-US"/>
                </w:rPr>
                <w:t xml:space="preserve">Eugenicos, A.-M. (2017). Should We Reform the Offences Against the Person Act 1861? . </w:t>
              </w:r>
              <w:r w:rsidRPr="00A511EA">
                <w:rPr>
                  <w:rFonts w:ascii="Arial" w:hAnsi="Arial" w:cs="Arial"/>
                  <w:i/>
                  <w:iCs/>
                  <w:noProof/>
                  <w:sz w:val="24"/>
                  <w:szCs w:val="24"/>
                  <w:lang w:val="en-US"/>
                </w:rPr>
                <w:t>Journal of criminal law</w:t>
              </w:r>
              <w:r w:rsidRPr="00A511EA">
                <w:rPr>
                  <w:rFonts w:ascii="Arial" w:hAnsi="Arial" w:cs="Arial"/>
                  <w:noProof/>
                  <w:sz w:val="24"/>
                  <w:szCs w:val="24"/>
                  <w:lang w:val="en-US"/>
                </w:rPr>
                <w:t>, 26 - 32.</w:t>
              </w:r>
            </w:p>
            <w:p w14:paraId="4C61465B" w14:textId="77777777" w:rsidR="00A511EA" w:rsidRPr="00A511EA" w:rsidRDefault="00A511EA" w:rsidP="00A511EA">
              <w:pPr>
                <w:pStyle w:val="Bibliography"/>
                <w:ind w:left="720" w:hanging="720"/>
                <w:rPr>
                  <w:rFonts w:ascii="Arial" w:hAnsi="Arial" w:cs="Arial"/>
                  <w:noProof/>
                  <w:sz w:val="24"/>
                  <w:szCs w:val="24"/>
                  <w:lang w:val="en-US"/>
                </w:rPr>
              </w:pPr>
              <w:r w:rsidRPr="00A511EA">
                <w:rPr>
                  <w:rFonts w:ascii="Arial" w:hAnsi="Arial" w:cs="Arial"/>
                  <w:noProof/>
                  <w:sz w:val="24"/>
                  <w:szCs w:val="24"/>
                  <w:lang w:val="en-US"/>
                </w:rPr>
                <w:t xml:space="preserve">John Gardner . (1994). </w:t>
              </w:r>
              <w:r w:rsidRPr="00A511EA">
                <w:rPr>
                  <w:rFonts w:ascii="Arial" w:hAnsi="Arial" w:cs="Arial"/>
                  <w:i/>
                  <w:iCs/>
                  <w:noProof/>
                  <w:sz w:val="24"/>
                  <w:szCs w:val="24"/>
                  <w:lang w:val="en-US"/>
                </w:rPr>
                <w:t>Rationality and the rule of law in offences against the person .</w:t>
              </w:r>
              <w:r w:rsidRPr="00A511EA">
                <w:rPr>
                  <w:rFonts w:ascii="Arial" w:hAnsi="Arial" w:cs="Arial"/>
                  <w:noProof/>
                  <w:sz w:val="24"/>
                  <w:szCs w:val="24"/>
                  <w:lang w:val="en-US"/>
                </w:rPr>
                <w:t xml:space="preserve"> Cambridge L.J .</w:t>
              </w:r>
            </w:p>
            <w:p w14:paraId="4AD4F670" w14:textId="77777777" w:rsidR="00A511EA" w:rsidRPr="00A511EA" w:rsidRDefault="00A511EA" w:rsidP="00A511EA">
              <w:pPr>
                <w:pStyle w:val="Bibliography"/>
                <w:ind w:left="720" w:hanging="720"/>
                <w:rPr>
                  <w:rFonts w:ascii="Arial" w:hAnsi="Arial" w:cs="Arial"/>
                  <w:noProof/>
                  <w:sz w:val="24"/>
                  <w:szCs w:val="24"/>
                  <w:lang w:val="en-US"/>
                </w:rPr>
              </w:pPr>
              <w:r w:rsidRPr="00A511EA">
                <w:rPr>
                  <w:rFonts w:ascii="Arial" w:hAnsi="Arial" w:cs="Arial"/>
                  <w:noProof/>
                  <w:sz w:val="24"/>
                  <w:szCs w:val="24"/>
                  <w:lang w:val="en-US"/>
                </w:rPr>
                <w:t xml:space="preserve">Legislation.gov . (2021, February 27). </w:t>
              </w:r>
              <w:r w:rsidRPr="00A511EA">
                <w:rPr>
                  <w:rFonts w:ascii="Arial" w:hAnsi="Arial" w:cs="Arial"/>
                  <w:i/>
                  <w:iCs/>
                  <w:noProof/>
                  <w:sz w:val="24"/>
                  <w:szCs w:val="24"/>
                  <w:lang w:val="en-US"/>
                </w:rPr>
                <w:t xml:space="preserve">Offences against the person act 1861 section 47 </w:t>
              </w:r>
              <w:r w:rsidRPr="00A511EA">
                <w:rPr>
                  <w:rFonts w:ascii="Arial" w:hAnsi="Arial" w:cs="Arial"/>
                  <w:noProof/>
                  <w:sz w:val="24"/>
                  <w:szCs w:val="24"/>
                  <w:lang w:val="en-US"/>
                </w:rPr>
                <w:t>. Retrieved from Offences against the person act 1861: https://www.legislation.gov.uk/ukpga/Vict/24-25/100/crossheading/assaults</w:t>
              </w:r>
            </w:p>
            <w:p w14:paraId="66FEF74F" w14:textId="77777777" w:rsidR="00A511EA" w:rsidRPr="00A511EA" w:rsidRDefault="00A511EA" w:rsidP="00A511EA">
              <w:pPr>
                <w:pStyle w:val="Bibliography"/>
                <w:ind w:left="720" w:hanging="720"/>
                <w:rPr>
                  <w:rFonts w:ascii="Arial" w:hAnsi="Arial" w:cs="Arial"/>
                  <w:noProof/>
                  <w:sz w:val="24"/>
                  <w:szCs w:val="24"/>
                  <w:lang w:val="en-US"/>
                </w:rPr>
              </w:pPr>
              <w:r w:rsidRPr="00A511EA">
                <w:rPr>
                  <w:rFonts w:ascii="Arial" w:hAnsi="Arial" w:cs="Arial"/>
                  <w:noProof/>
                  <w:sz w:val="24"/>
                  <w:szCs w:val="24"/>
                  <w:lang w:val="en-US"/>
                </w:rPr>
                <w:t xml:space="preserve">Legislation.Gov. (2021, Februray 27). </w:t>
              </w:r>
              <w:r w:rsidRPr="00A511EA">
                <w:rPr>
                  <w:rFonts w:ascii="Arial" w:hAnsi="Arial" w:cs="Arial"/>
                  <w:i/>
                  <w:iCs/>
                  <w:noProof/>
                  <w:sz w:val="24"/>
                  <w:szCs w:val="24"/>
                  <w:lang w:val="en-US"/>
                </w:rPr>
                <w:t>Criminal Justice Act 1988 section 39</w:t>
              </w:r>
              <w:r w:rsidRPr="00A511EA">
                <w:rPr>
                  <w:rFonts w:ascii="Arial" w:hAnsi="Arial" w:cs="Arial"/>
                  <w:noProof/>
                  <w:sz w:val="24"/>
                  <w:szCs w:val="24"/>
                  <w:lang w:val="en-US"/>
                </w:rPr>
                <w:t>. Retrieved from Criminal Justice ACt 1988: https://www.legislation.gov.uk/ukpga/1988/33/section/39</w:t>
              </w:r>
            </w:p>
            <w:p w14:paraId="5E627C9F" w14:textId="77777777" w:rsidR="00A511EA" w:rsidRPr="00A511EA" w:rsidRDefault="00A511EA" w:rsidP="00A511EA">
              <w:pPr>
                <w:pStyle w:val="Bibliography"/>
                <w:ind w:left="720" w:hanging="720"/>
                <w:rPr>
                  <w:rFonts w:ascii="Arial" w:hAnsi="Arial" w:cs="Arial"/>
                  <w:noProof/>
                  <w:sz w:val="24"/>
                  <w:szCs w:val="24"/>
                  <w:lang w:val="en-US"/>
                </w:rPr>
              </w:pPr>
              <w:r w:rsidRPr="00A511EA">
                <w:rPr>
                  <w:rFonts w:ascii="Arial" w:hAnsi="Arial" w:cs="Arial"/>
                  <w:noProof/>
                  <w:sz w:val="24"/>
                  <w:szCs w:val="24"/>
                  <w:lang w:val="en-US"/>
                </w:rPr>
                <w:t xml:space="preserve">Legislation.gov.uk. (2021, February 25). </w:t>
              </w:r>
              <w:r w:rsidRPr="00A511EA">
                <w:rPr>
                  <w:rFonts w:ascii="Arial" w:hAnsi="Arial" w:cs="Arial"/>
                  <w:i/>
                  <w:iCs/>
                  <w:noProof/>
                  <w:sz w:val="24"/>
                  <w:szCs w:val="24"/>
                  <w:lang w:val="en-US"/>
                </w:rPr>
                <w:t>Offences against the person act 1861</w:t>
              </w:r>
              <w:r w:rsidRPr="00A511EA">
                <w:rPr>
                  <w:rFonts w:ascii="Arial" w:hAnsi="Arial" w:cs="Arial"/>
                  <w:noProof/>
                  <w:sz w:val="24"/>
                  <w:szCs w:val="24"/>
                  <w:lang w:val="en-US"/>
                </w:rPr>
                <w:t>. Retrieved from Legislation.gov: https://www.legislation.gov.uk/ukpga/Vict/24-25/100/contents</w:t>
              </w:r>
            </w:p>
            <w:p w14:paraId="0353C153" w14:textId="77777777" w:rsidR="00A511EA" w:rsidRPr="00A511EA" w:rsidRDefault="00A511EA" w:rsidP="00A511EA">
              <w:pPr>
                <w:pStyle w:val="Bibliography"/>
                <w:ind w:left="720" w:hanging="720"/>
                <w:rPr>
                  <w:rFonts w:ascii="Arial" w:hAnsi="Arial" w:cs="Arial"/>
                  <w:noProof/>
                  <w:sz w:val="24"/>
                  <w:szCs w:val="24"/>
                  <w:lang w:val="en-US"/>
                </w:rPr>
              </w:pPr>
              <w:r w:rsidRPr="00A511EA">
                <w:rPr>
                  <w:rFonts w:ascii="Arial" w:hAnsi="Arial" w:cs="Arial"/>
                  <w:noProof/>
                  <w:sz w:val="24"/>
                  <w:szCs w:val="24"/>
                  <w:lang w:val="en-US"/>
                </w:rPr>
                <w:t xml:space="preserve">The Law Comission . (2015). </w:t>
              </w:r>
              <w:r w:rsidRPr="00A511EA">
                <w:rPr>
                  <w:rFonts w:ascii="Arial" w:hAnsi="Arial" w:cs="Arial"/>
                  <w:i/>
                  <w:iCs/>
                  <w:noProof/>
                  <w:sz w:val="24"/>
                  <w:szCs w:val="24"/>
                  <w:lang w:val="en-US"/>
                </w:rPr>
                <w:t>Reform Of Offences Against the Person .</w:t>
              </w:r>
              <w:r w:rsidRPr="00A511EA">
                <w:rPr>
                  <w:rFonts w:ascii="Arial" w:hAnsi="Arial" w:cs="Arial"/>
                  <w:noProof/>
                  <w:sz w:val="24"/>
                  <w:szCs w:val="24"/>
                  <w:lang w:val="en-US"/>
                </w:rPr>
                <w:t xml:space="preserve"> London : Crown .</w:t>
              </w:r>
            </w:p>
            <w:p w14:paraId="5B3DB721" w14:textId="58F500CB" w:rsidR="00A511EA" w:rsidRPr="00A511EA" w:rsidRDefault="00A511EA" w:rsidP="00A511EA">
              <w:pPr>
                <w:rPr>
                  <w:rFonts w:ascii="Arial" w:hAnsi="Arial" w:cs="Arial"/>
                  <w:noProof/>
                  <w:sz w:val="24"/>
                  <w:szCs w:val="24"/>
                </w:rPr>
              </w:pPr>
              <w:r w:rsidRPr="00A511EA">
                <w:rPr>
                  <w:rFonts w:ascii="Arial" w:hAnsi="Arial" w:cs="Arial"/>
                  <w:b/>
                  <w:bCs/>
                  <w:noProof/>
                  <w:sz w:val="24"/>
                  <w:szCs w:val="24"/>
                </w:rPr>
                <w:fldChar w:fldCharType="end"/>
              </w:r>
              <w:r w:rsidRPr="00A511EA">
                <w:rPr>
                  <w:rFonts w:ascii="Arial" w:hAnsi="Arial" w:cs="Arial"/>
                  <w:noProof/>
                  <w:sz w:val="24"/>
                  <w:szCs w:val="24"/>
                </w:rPr>
                <w:t>R V Thomas (1985)</w:t>
              </w:r>
            </w:p>
            <w:p w14:paraId="4A2C5C4A" w14:textId="1E6FB987" w:rsidR="00A511EA" w:rsidRPr="00A511EA" w:rsidRDefault="00A511EA" w:rsidP="00A511EA">
              <w:pPr>
                <w:rPr>
                  <w:rFonts w:ascii="Arial" w:hAnsi="Arial" w:cs="Arial"/>
                  <w:b/>
                  <w:bCs/>
                  <w:noProof/>
                  <w:sz w:val="24"/>
                  <w:szCs w:val="24"/>
                </w:rPr>
              </w:pPr>
              <w:proofErr w:type="spellStart"/>
              <w:r w:rsidRPr="00A511EA">
                <w:rPr>
                  <w:rFonts w:ascii="Arial" w:hAnsi="Arial" w:cs="Arial"/>
                  <w:sz w:val="24"/>
                  <w:szCs w:val="24"/>
                </w:rPr>
                <w:t>Logdon</w:t>
              </w:r>
              <w:proofErr w:type="spellEnd"/>
              <w:r w:rsidRPr="00A511EA">
                <w:rPr>
                  <w:rFonts w:ascii="Arial" w:hAnsi="Arial" w:cs="Arial"/>
                  <w:sz w:val="24"/>
                  <w:szCs w:val="24"/>
                </w:rPr>
                <w:t xml:space="preserve"> V DDP (1975)</w:t>
              </w:r>
            </w:p>
            <w:p w14:paraId="52F7649D" w14:textId="357CAF2C" w:rsidR="00A511EA" w:rsidRPr="00A511EA" w:rsidRDefault="00A511EA" w:rsidP="00A511EA">
              <w:pPr>
                <w:rPr>
                  <w:rFonts w:ascii="Arial" w:hAnsi="Arial" w:cs="Arial"/>
                  <w:sz w:val="24"/>
                  <w:szCs w:val="24"/>
                </w:rPr>
              </w:pPr>
              <w:r w:rsidRPr="00A511EA">
                <w:rPr>
                  <w:rFonts w:ascii="Arial" w:hAnsi="Arial" w:cs="Arial"/>
                  <w:sz w:val="24"/>
                  <w:szCs w:val="24"/>
                </w:rPr>
                <w:t>R V Ireland (1998)</w:t>
              </w:r>
            </w:p>
          </w:sdtContent>
        </w:sdt>
      </w:sdtContent>
    </w:sdt>
    <w:p w14:paraId="3F0D6CE0" w14:textId="77777777" w:rsidR="00A511EA" w:rsidRPr="0007570C" w:rsidRDefault="00A511EA" w:rsidP="009E3ED0">
      <w:pPr>
        <w:rPr>
          <w:rFonts w:ascii="Arial" w:hAnsi="Arial" w:cs="Arial"/>
          <w:sz w:val="44"/>
          <w:szCs w:val="44"/>
        </w:rPr>
      </w:pPr>
    </w:p>
    <w:sectPr w:rsidR="00A511EA" w:rsidRPr="000757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ED0"/>
    <w:rsid w:val="00020C68"/>
    <w:rsid w:val="00025036"/>
    <w:rsid w:val="0007570C"/>
    <w:rsid w:val="00090DAA"/>
    <w:rsid w:val="000A0DFD"/>
    <w:rsid w:val="001253C3"/>
    <w:rsid w:val="001D1E1A"/>
    <w:rsid w:val="00203AFE"/>
    <w:rsid w:val="0021229F"/>
    <w:rsid w:val="00237523"/>
    <w:rsid w:val="002800FD"/>
    <w:rsid w:val="00296782"/>
    <w:rsid w:val="002B3D9B"/>
    <w:rsid w:val="002F4897"/>
    <w:rsid w:val="00396662"/>
    <w:rsid w:val="00411869"/>
    <w:rsid w:val="0048317A"/>
    <w:rsid w:val="0050112C"/>
    <w:rsid w:val="005107ED"/>
    <w:rsid w:val="005377C4"/>
    <w:rsid w:val="005C7C21"/>
    <w:rsid w:val="005D4BA4"/>
    <w:rsid w:val="00637BDA"/>
    <w:rsid w:val="00641681"/>
    <w:rsid w:val="00682D48"/>
    <w:rsid w:val="00733883"/>
    <w:rsid w:val="00750409"/>
    <w:rsid w:val="00761901"/>
    <w:rsid w:val="007C6DF5"/>
    <w:rsid w:val="008159DD"/>
    <w:rsid w:val="008732A6"/>
    <w:rsid w:val="00881800"/>
    <w:rsid w:val="009161B0"/>
    <w:rsid w:val="009320F2"/>
    <w:rsid w:val="009E3ED0"/>
    <w:rsid w:val="009F2C8F"/>
    <w:rsid w:val="00A511EA"/>
    <w:rsid w:val="00A608F7"/>
    <w:rsid w:val="00AD1F31"/>
    <w:rsid w:val="00AD6A2A"/>
    <w:rsid w:val="00B8273B"/>
    <w:rsid w:val="00BA07D1"/>
    <w:rsid w:val="00BC04FF"/>
    <w:rsid w:val="00BC5E61"/>
    <w:rsid w:val="00BF0244"/>
    <w:rsid w:val="00BF0A86"/>
    <w:rsid w:val="00BF238F"/>
    <w:rsid w:val="00C07BE3"/>
    <w:rsid w:val="00C17CF3"/>
    <w:rsid w:val="00CC498F"/>
    <w:rsid w:val="00DC55ED"/>
    <w:rsid w:val="00DF3EB2"/>
    <w:rsid w:val="00DF700C"/>
    <w:rsid w:val="00E005BA"/>
    <w:rsid w:val="00E144C3"/>
    <w:rsid w:val="00E86FEC"/>
    <w:rsid w:val="00F50D36"/>
    <w:rsid w:val="00F90E83"/>
    <w:rsid w:val="00FF0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B50E0"/>
  <w15:chartTrackingRefBased/>
  <w15:docId w15:val="{6FE54FB8-2BBC-4CA1-9ED5-22178070E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1E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egchangedelimiter">
    <w:name w:val="legchangedelimiter"/>
    <w:basedOn w:val="DefaultParagraphFont"/>
    <w:rsid w:val="002B3D9B"/>
  </w:style>
  <w:style w:type="character" w:styleId="Hyperlink">
    <w:name w:val="Hyperlink"/>
    <w:basedOn w:val="DefaultParagraphFont"/>
    <w:uiPriority w:val="99"/>
    <w:semiHidden/>
    <w:unhideWhenUsed/>
    <w:rsid w:val="002B3D9B"/>
    <w:rPr>
      <w:color w:val="0000FF"/>
      <w:u w:val="single"/>
    </w:rPr>
  </w:style>
  <w:style w:type="character" w:customStyle="1" w:styleId="legaddition">
    <w:name w:val="legaddition"/>
    <w:basedOn w:val="DefaultParagraphFont"/>
    <w:rsid w:val="002B3D9B"/>
  </w:style>
  <w:style w:type="character" w:customStyle="1" w:styleId="Heading1Char">
    <w:name w:val="Heading 1 Char"/>
    <w:basedOn w:val="DefaultParagraphFont"/>
    <w:link w:val="Heading1"/>
    <w:uiPriority w:val="9"/>
    <w:rsid w:val="00A511E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511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476755">
      <w:bodyDiv w:val="1"/>
      <w:marLeft w:val="0"/>
      <w:marRight w:val="0"/>
      <w:marTop w:val="0"/>
      <w:marBottom w:val="0"/>
      <w:divBdr>
        <w:top w:val="none" w:sz="0" w:space="0" w:color="auto"/>
        <w:left w:val="none" w:sz="0" w:space="0" w:color="auto"/>
        <w:bottom w:val="none" w:sz="0" w:space="0" w:color="auto"/>
        <w:right w:val="none" w:sz="0" w:space="0" w:color="auto"/>
      </w:divBdr>
    </w:div>
    <w:div w:id="272637681">
      <w:bodyDiv w:val="1"/>
      <w:marLeft w:val="0"/>
      <w:marRight w:val="0"/>
      <w:marTop w:val="0"/>
      <w:marBottom w:val="0"/>
      <w:divBdr>
        <w:top w:val="none" w:sz="0" w:space="0" w:color="auto"/>
        <w:left w:val="none" w:sz="0" w:space="0" w:color="auto"/>
        <w:bottom w:val="none" w:sz="0" w:space="0" w:color="auto"/>
        <w:right w:val="none" w:sz="0" w:space="0" w:color="auto"/>
      </w:divBdr>
    </w:div>
    <w:div w:id="448353978">
      <w:bodyDiv w:val="1"/>
      <w:marLeft w:val="0"/>
      <w:marRight w:val="0"/>
      <w:marTop w:val="0"/>
      <w:marBottom w:val="0"/>
      <w:divBdr>
        <w:top w:val="none" w:sz="0" w:space="0" w:color="auto"/>
        <w:left w:val="none" w:sz="0" w:space="0" w:color="auto"/>
        <w:bottom w:val="none" w:sz="0" w:space="0" w:color="auto"/>
        <w:right w:val="none" w:sz="0" w:space="0" w:color="auto"/>
      </w:divBdr>
    </w:div>
    <w:div w:id="518200270">
      <w:bodyDiv w:val="1"/>
      <w:marLeft w:val="0"/>
      <w:marRight w:val="0"/>
      <w:marTop w:val="0"/>
      <w:marBottom w:val="0"/>
      <w:divBdr>
        <w:top w:val="none" w:sz="0" w:space="0" w:color="auto"/>
        <w:left w:val="none" w:sz="0" w:space="0" w:color="auto"/>
        <w:bottom w:val="none" w:sz="0" w:space="0" w:color="auto"/>
        <w:right w:val="none" w:sz="0" w:space="0" w:color="auto"/>
      </w:divBdr>
    </w:div>
    <w:div w:id="628826293">
      <w:bodyDiv w:val="1"/>
      <w:marLeft w:val="0"/>
      <w:marRight w:val="0"/>
      <w:marTop w:val="0"/>
      <w:marBottom w:val="0"/>
      <w:divBdr>
        <w:top w:val="none" w:sz="0" w:space="0" w:color="auto"/>
        <w:left w:val="none" w:sz="0" w:space="0" w:color="auto"/>
        <w:bottom w:val="none" w:sz="0" w:space="0" w:color="auto"/>
        <w:right w:val="none" w:sz="0" w:space="0" w:color="auto"/>
      </w:divBdr>
    </w:div>
    <w:div w:id="975914650">
      <w:bodyDiv w:val="1"/>
      <w:marLeft w:val="0"/>
      <w:marRight w:val="0"/>
      <w:marTop w:val="0"/>
      <w:marBottom w:val="0"/>
      <w:divBdr>
        <w:top w:val="none" w:sz="0" w:space="0" w:color="auto"/>
        <w:left w:val="none" w:sz="0" w:space="0" w:color="auto"/>
        <w:bottom w:val="none" w:sz="0" w:space="0" w:color="auto"/>
        <w:right w:val="none" w:sz="0" w:space="0" w:color="auto"/>
      </w:divBdr>
    </w:div>
    <w:div w:id="1145660667">
      <w:bodyDiv w:val="1"/>
      <w:marLeft w:val="0"/>
      <w:marRight w:val="0"/>
      <w:marTop w:val="0"/>
      <w:marBottom w:val="0"/>
      <w:divBdr>
        <w:top w:val="none" w:sz="0" w:space="0" w:color="auto"/>
        <w:left w:val="none" w:sz="0" w:space="0" w:color="auto"/>
        <w:bottom w:val="none" w:sz="0" w:space="0" w:color="auto"/>
        <w:right w:val="none" w:sz="0" w:space="0" w:color="auto"/>
      </w:divBdr>
    </w:div>
    <w:div w:id="1174421904">
      <w:bodyDiv w:val="1"/>
      <w:marLeft w:val="0"/>
      <w:marRight w:val="0"/>
      <w:marTop w:val="0"/>
      <w:marBottom w:val="0"/>
      <w:divBdr>
        <w:top w:val="none" w:sz="0" w:space="0" w:color="auto"/>
        <w:left w:val="none" w:sz="0" w:space="0" w:color="auto"/>
        <w:bottom w:val="none" w:sz="0" w:space="0" w:color="auto"/>
        <w:right w:val="none" w:sz="0" w:space="0" w:color="auto"/>
      </w:divBdr>
    </w:div>
    <w:div w:id="1281765666">
      <w:bodyDiv w:val="1"/>
      <w:marLeft w:val="0"/>
      <w:marRight w:val="0"/>
      <w:marTop w:val="0"/>
      <w:marBottom w:val="0"/>
      <w:divBdr>
        <w:top w:val="none" w:sz="0" w:space="0" w:color="auto"/>
        <w:left w:val="none" w:sz="0" w:space="0" w:color="auto"/>
        <w:bottom w:val="none" w:sz="0" w:space="0" w:color="auto"/>
        <w:right w:val="none" w:sz="0" w:space="0" w:color="auto"/>
      </w:divBdr>
    </w:div>
    <w:div w:id="1418600334">
      <w:bodyDiv w:val="1"/>
      <w:marLeft w:val="0"/>
      <w:marRight w:val="0"/>
      <w:marTop w:val="0"/>
      <w:marBottom w:val="0"/>
      <w:divBdr>
        <w:top w:val="none" w:sz="0" w:space="0" w:color="auto"/>
        <w:left w:val="none" w:sz="0" w:space="0" w:color="auto"/>
        <w:bottom w:val="none" w:sz="0" w:space="0" w:color="auto"/>
        <w:right w:val="none" w:sz="0" w:space="0" w:color="auto"/>
      </w:divBdr>
    </w:div>
    <w:div w:id="1501778626">
      <w:bodyDiv w:val="1"/>
      <w:marLeft w:val="0"/>
      <w:marRight w:val="0"/>
      <w:marTop w:val="0"/>
      <w:marBottom w:val="0"/>
      <w:divBdr>
        <w:top w:val="none" w:sz="0" w:space="0" w:color="auto"/>
        <w:left w:val="none" w:sz="0" w:space="0" w:color="auto"/>
        <w:bottom w:val="none" w:sz="0" w:space="0" w:color="auto"/>
        <w:right w:val="none" w:sz="0" w:space="0" w:color="auto"/>
      </w:divBdr>
    </w:div>
    <w:div w:id="1568373464">
      <w:bodyDiv w:val="1"/>
      <w:marLeft w:val="0"/>
      <w:marRight w:val="0"/>
      <w:marTop w:val="0"/>
      <w:marBottom w:val="0"/>
      <w:divBdr>
        <w:top w:val="none" w:sz="0" w:space="0" w:color="auto"/>
        <w:left w:val="none" w:sz="0" w:space="0" w:color="auto"/>
        <w:bottom w:val="none" w:sz="0" w:space="0" w:color="auto"/>
        <w:right w:val="none" w:sz="0" w:space="0" w:color="auto"/>
      </w:divBdr>
    </w:div>
    <w:div w:id="1648777780">
      <w:bodyDiv w:val="1"/>
      <w:marLeft w:val="0"/>
      <w:marRight w:val="0"/>
      <w:marTop w:val="0"/>
      <w:marBottom w:val="0"/>
      <w:divBdr>
        <w:top w:val="none" w:sz="0" w:space="0" w:color="auto"/>
        <w:left w:val="none" w:sz="0" w:space="0" w:color="auto"/>
        <w:bottom w:val="none" w:sz="0" w:space="0" w:color="auto"/>
        <w:right w:val="none" w:sz="0" w:space="0" w:color="auto"/>
      </w:divBdr>
    </w:div>
    <w:div w:id="1947074931">
      <w:bodyDiv w:val="1"/>
      <w:marLeft w:val="0"/>
      <w:marRight w:val="0"/>
      <w:marTop w:val="0"/>
      <w:marBottom w:val="0"/>
      <w:divBdr>
        <w:top w:val="none" w:sz="0" w:space="0" w:color="auto"/>
        <w:left w:val="none" w:sz="0" w:space="0" w:color="auto"/>
        <w:bottom w:val="none" w:sz="0" w:space="0" w:color="auto"/>
        <w:right w:val="none" w:sz="0" w:space="0" w:color="auto"/>
      </w:divBdr>
    </w:div>
    <w:div w:id="1991010575">
      <w:bodyDiv w:val="1"/>
      <w:marLeft w:val="0"/>
      <w:marRight w:val="0"/>
      <w:marTop w:val="0"/>
      <w:marBottom w:val="0"/>
      <w:divBdr>
        <w:top w:val="none" w:sz="0" w:space="0" w:color="auto"/>
        <w:left w:val="none" w:sz="0" w:space="0" w:color="auto"/>
        <w:bottom w:val="none" w:sz="0" w:space="0" w:color="auto"/>
        <w:right w:val="none" w:sz="0" w:space="0" w:color="auto"/>
      </w:divBdr>
    </w:div>
    <w:div w:id="2010793467">
      <w:bodyDiv w:val="1"/>
      <w:marLeft w:val="0"/>
      <w:marRight w:val="0"/>
      <w:marTop w:val="0"/>
      <w:marBottom w:val="0"/>
      <w:divBdr>
        <w:top w:val="none" w:sz="0" w:space="0" w:color="auto"/>
        <w:left w:val="none" w:sz="0" w:space="0" w:color="auto"/>
        <w:bottom w:val="none" w:sz="0" w:space="0" w:color="auto"/>
        <w:right w:val="none" w:sz="0" w:space="0" w:color="auto"/>
      </w:divBdr>
    </w:div>
    <w:div w:id="2037195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Leg21</b:Tag>
    <b:SourceType>InternetSite</b:SourceType>
    <b:Guid>{D0BCE60D-531C-41DC-BB9C-803DA19D0106}</b:Guid>
    <b:Author>
      <b:Author>
        <b:Corporate>Legislation.gov.uk</b:Corporate>
      </b:Author>
    </b:Author>
    <b:Title>Offences against the person act 1861</b:Title>
    <b:InternetSiteTitle>Legislation.gov</b:InternetSiteTitle>
    <b:Year>2021</b:Year>
    <b:Month>February </b:Month>
    <b:Day>25</b:Day>
    <b:URL>https://www.legislation.gov.uk/ukpga/Vict/24-25/100/contents</b:URL>
    <b:RefOrder>1</b:RefOrder>
  </b:Source>
  <b:Source>
    <b:Tag>Chi17</b:Tag>
    <b:SourceType>Report</b:SourceType>
    <b:Guid>{B0A8E1DC-FA81-4140-BB4F-B2F519904A37}</b:Guid>
    <b:Title>SMITH, HOGAN, &amp; ORMEROD'S ESSENTIALS OF CRIMINAL LAW.</b:Title>
    <b:Year>2017</b:Year>
    <b:Author>
      <b:Author>
        <b:NameList>
          <b:Person>
            <b:Last>Child</b:Last>
            <b:First>John</b:First>
          </b:Person>
        </b:NameList>
      </b:Author>
    </b:Author>
    <b:Publisher>Oxford Univeristy Press </b:Publisher>
    <b:City>Oxford</b:City>
    <b:RefOrder>2</b:RefOrder>
  </b:Source>
  <b:Source>
    <b:Tag>Law15</b:Tag>
    <b:SourceType>Report</b:SourceType>
    <b:Guid>{B69403A4-1BCE-42DB-A5FE-EFD0245C92A9}</b:Guid>
    <b:Author>
      <b:Author>
        <b:Corporate> Law Commission No. 361</b:Corporate>
      </b:Author>
    </b:Author>
    <b:Title>Overview of Reform of Offences Against the Person </b:Title>
    <b:Year>2015</b:Year>
    <b:Publisher>Law Comission </b:Publisher>
    <b:RefOrder>3</b:RefOrder>
  </b:Source>
  <b:Source>
    <b:Tag>Leg211</b:Tag>
    <b:SourceType>InternetSite</b:SourceType>
    <b:Guid>{39C010D9-78BA-42CB-A857-CAC321238450}</b:Guid>
    <b:Title>Criminal Justice Act 1988 section 39</b:Title>
    <b:Year>2021</b:Year>
    <b:Author>
      <b:Author>
        <b:Corporate>Legislation.Gov</b:Corporate>
      </b:Author>
    </b:Author>
    <b:InternetSiteTitle>Criminal Justice ACt 1988</b:InternetSiteTitle>
    <b:Month>Februray </b:Month>
    <b:Day>27</b:Day>
    <b:URL>https://www.legislation.gov.uk/ukpga/1988/33/section/39</b:URL>
    <b:RefOrder>4</b:RefOrder>
  </b:Source>
  <b:Source>
    <b:Tag>Leg212</b:Tag>
    <b:SourceType>InternetSite</b:SourceType>
    <b:Guid>{0F846A5B-D509-4EE1-8071-87BC0F99CC7E}</b:Guid>
    <b:Title>Offences against the person act 1861 section 47 </b:Title>
    <b:Year>2021</b:Year>
    <b:Author>
      <b:Author>
        <b:Corporate>Legislation.gov </b:Corporate>
      </b:Author>
    </b:Author>
    <b:InternetSiteTitle>Offences against the person act 1861</b:InternetSiteTitle>
    <b:Month>February</b:Month>
    <b:Day>27</b:Day>
    <b:URL>https://www.legislation.gov.uk/ukpga/Vict/24-25/100/crossheading/assaults</b:URL>
    <b:RefOrder>5</b:RefOrder>
  </b:Source>
  <b:Source>
    <b:Tag>The15</b:Tag>
    <b:SourceType>Report</b:SourceType>
    <b:Guid>{0BED9F5D-8B29-4C8A-8706-EDBD87EF778F}</b:Guid>
    <b:Author>
      <b:Author>
        <b:Corporate>The Law Comission </b:Corporate>
      </b:Author>
    </b:Author>
    <b:Title>Reform Of Offences Against the Person </b:Title>
    <b:Year>2015</b:Year>
    <b:Publisher>Crown </b:Publisher>
    <b:City>London </b:City>
    <b:RefOrder>6</b:RefOrder>
  </b:Source>
  <b:Source>
    <b:Tag>Joh94</b:Tag>
    <b:SourceType>Book</b:SourceType>
    <b:Guid>{97BB3F2F-BC47-49F9-ACFE-B0F4A1115952}</b:Guid>
    <b:Title>Rationality and the rule of law in offences against the person </b:Title>
    <b:Year>1994</b:Year>
    <b:Publisher>Cambridge L.J </b:Publisher>
    <b:Author>
      <b:Author>
        <b:Corporate>John Gardner </b:Corporate>
      </b:Author>
    </b:Author>
    <b:RefOrder>7</b:RefOrder>
  </b:Source>
  <b:Source>
    <b:Tag>Ale17</b:Tag>
    <b:SourceType>JournalArticle</b:SourceType>
    <b:Guid>{9BC878B2-6880-4B9A-9372-F5ADE86D73C2}</b:Guid>
    <b:Title>Should We Reform the Offences Against the Person Act 1861? </b:Title>
    <b:Year>2017</b:Year>
    <b:Author>
      <b:Author>
        <b:NameList>
          <b:Person>
            <b:Last>Eugenicos</b:Last>
            <b:First>Alexandra-Maria</b:First>
          </b:Person>
        </b:NameList>
      </b:Author>
    </b:Author>
    <b:JournalName> Journal of criminal law</b:JournalName>
    <b:Pages>26 - 32</b:Pages>
    <b:RefOrder>8</b:RefOrder>
  </b:Source>
</b:Sources>
</file>

<file path=customXml/itemProps1.xml><?xml version="1.0" encoding="utf-8"?>
<ds:datastoreItem xmlns:ds="http://schemas.openxmlformats.org/officeDocument/2006/customXml" ds:itemID="{060A4095-DB91-4C4B-955C-A532F55A7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3054</TotalTime>
  <Pages>5</Pages>
  <Words>1883</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buono</dc:creator>
  <cp:keywords/>
  <dc:description/>
  <cp:lastModifiedBy>hollie buono</cp:lastModifiedBy>
  <cp:revision>44</cp:revision>
  <dcterms:created xsi:type="dcterms:W3CDTF">2021-02-19T14:54:00Z</dcterms:created>
  <dcterms:modified xsi:type="dcterms:W3CDTF">2021-03-05T14:53:00Z</dcterms:modified>
</cp:coreProperties>
</file>