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customXml/item1.xml" ContentType="application/xml"/>
  <Override PartName="/customXml/itemProps2.xml" ContentType="application/vnd.openxmlformats-officedocument.customXmlProperties+xml"/>
  <Override PartName="/customXml/item2.xml" ContentType="application/xml"/>
  <Override PartName="/customXml/itemProps1.xml" ContentType="application/vnd.openxmlformats-officedocument.customXmlProperties+xml"/>
  <Override PartName="/customXml/item3.xml" ContentType="application/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pkgRId0" Type="http://schemas.openxmlformats.org/officeDocument/2006/relationships/officeDocument" Target="word/document.xml"/><Relationship Id="rId1" Type="http://schemas.openxmlformats.org/officeDocument/2006/relationships/custom-properties" Target="docProps/custom.xml"/></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5A5A5A"/>
          <w:spacing w:val="15"/>
          <w:position w:val="0"/>
          <w:sz w:val="42"/>
          <w:shd w:fill="auto" w:val="clear"/>
        </w:rPr>
      </w:pPr>
      <w:r>
        <w:object w:dxaOrig="12205" w:dyaOrig="2592">
          <v:rect xmlns:o="urn:schemas-microsoft-com:office:office" xmlns:v="urn:schemas-microsoft-com:vml" id="rectole0000000000" style="width:610.250000pt;height:129.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Arial" w:hAnsi="Arial" w:cs="Arial" w:eastAsia="Arial"/>
          <w:b/>
          <w:color w:val="5A5A5A"/>
          <w:spacing w:val="15"/>
          <w:position w:val="0"/>
          <w:sz w:val="40"/>
          <w:shd w:fill="auto" w:val="clear"/>
        </w:rPr>
      </w:pPr>
      <w:r>
        <w:rPr>
          <w:rFonts w:ascii="Arial" w:hAnsi="Arial" w:cs="Arial" w:eastAsia="Arial"/>
          <w:b/>
          <w:color w:val="5A5A5A"/>
          <w:spacing w:val="15"/>
          <w:position w:val="0"/>
          <w:sz w:val="40"/>
          <w:shd w:fill="auto" w:val="clear"/>
        </w:rPr>
        <w:t xml:space="preserve">Module Code &amp; Title: </w:t>
      </w:r>
      <w:r>
        <w:rPr>
          <w:rFonts w:ascii="Arial" w:hAnsi="Arial" w:cs="Arial" w:eastAsia="Arial"/>
          <w:b/>
          <w:color w:val="222222"/>
          <w:spacing w:val="15"/>
          <w:position w:val="0"/>
          <w:sz w:val="40"/>
          <w:shd w:fill="FFFFFF" w:val="clear"/>
        </w:rPr>
        <w:t xml:space="preserve"> </w:t>
      </w:r>
      <w:r>
        <w:rPr>
          <w:rFonts w:ascii="Arial" w:hAnsi="Arial" w:cs="Arial" w:eastAsia="Arial"/>
          <w:b/>
          <w:color w:val="000000"/>
          <w:spacing w:val="15"/>
          <w:position w:val="0"/>
          <w:sz w:val="40"/>
          <w:shd w:fill="auto" w:val="clear"/>
        </w:rPr>
        <w:t xml:space="preserve">ACMA4014</w:t>
      </w:r>
    </w:p>
    <w:p>
      <w:pPr>
        <w:spacing w:before="0" w:after="160" w:line="360"/>
        <w:ind w:right="0" w:left="0" w:firstLine="0"/>
        <w:jc w:val="center"/>
        <w:rPr>
          <w:rFonts w:ascii="Arial" w:hAnsi="Arial" w:cs="Arial" w:eastAsia="Arial"/>
          <w:b/>
          <w:color w:val="000000"/>
          <w:spacing w:val="15"/>
          <w:position w:val="0"/>
          <w:sz w:val="40"/>
          <w:shd w:fill="auto" w:val="clear"/>
        </w:rPr>
      </w:pPr>
      <w:r>
        <w:rPr>
          <w:rFonts w:ascii="Arial" w:hAnsi="Arial" w:cs="Arial" w:eastAsia="Arial"/>
          <w:b/>
          <w:color w:val="000000"/>
          <w:spacing w:val="15"/>
          <w:position w:val="0"/>
          <w:sz w:val="40"/>
          <w:shd w:fill="auto" w:val="clear"/>
        </w:rPr>
        <w:t xml:space="preserve">Technical Skills Development</w:t>
      </w:r>
    </w:p>
    <w:p>
      <w:pPr>
        <w:spacing w:before="0" w:after="16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Title: Logbook</w:t>
      </w: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5A5A5A"/>
          <w:spacing w:val="15"/>
          <w:position w:val="0"/>
          <w:sz w:val="42"/>
          <w:shd w:fill="auto" w:val="clear"/>
        </w:rPr>
      </w:pPr>
    </w:p>
    <w:p>
      <w:pPr>
        <w:spacing w:before="0" w:after="160" w:line="360"/>
        <w:ind w:right="0" w:left="0" w:firstLine="0"/>
        <w:jc w:val="both"/>
        <w:rPr>
          <w:rFonts w:ascii="Arial" w:hAnsi="Arial" w:cs="Arial" w:eastAsia="Arial"/>
          <w:b/>
          <w:color w:val="5A5A5A"/>
          <w:spacing w:val="15"/>
          <w:position w:val="0"/>
          <w:sz w:val="28"/>
          <w:shd w:fill="auto" w:val="clear"/>
        </w:rPr>
      </w:pPr>
      <w:r>
        <w:rPr>
          <w:rFonts w:ascii="Arial" w:hAnsi="Arial" w:cs="Arial" w:eastAsia="Arial"/>
          <w:b/>
          <w:color w:val="5A5A5A"/>
          <w:spacing w:val="15"/>
          <w:position w:val="0"/>
          <w:sz w:val="28"/>
          <w:shd w:fill="auto" w:val="clear"/>
        </w:rPr>
        <w:t xml:space="preserve">Student Name</w:t>
        <w:tab/>
        <w:t xml:space="preserve">:</w:t>
      </w:r>
      <w:r>
        <w:rPr>
          <w:rFonts w:ascii="Arial" w:hAnsi="Arial" w:cs="Arial" w:eastAsia="Arial"/>
          <w:b/>
          <w:color w:val="5A5A5A"/>
          <w:spacing w:val="15"/>
          <w:position w:val="0"/>
          <w:sz w:val="28"/>
          <w:shd w:fill="auto" w:val="clear"/>
        </w:rPr>
        <w:t xml:space="preserve">Ivan Danyi</w:t>
      </w:r>
    </w:p>
    <w:p>
      <w:pPr>
        <w:spacing w:before="0" w:after="160" w:line="360"/>
        <w:ind w:right="0" w:left="0" w:firstLine="0"/>
        <w:jc w:val="both"/>
        <w:rPr>
          <w:rFonts w:ascii="Arial" w:hAnsi="Arial" w:cs="Arial" w:eastAsia="Arial"/>
          <w:b/>
          <w:color w:val="5A5A5A"/>
          <w:spacing w:val="15"/>
          <w:position w:val="0"/>
          <w:sz w:val="28"/>
          <w:shd w:fill="auto" w:val="clear"/>
        </w:rPr>
      </w:pPr>
      <w:r>
        <w:rPr>
          <w:rFonts w:ascii="Arial" w:hAnsi="Arial" w:cs="Arial" w:eastAsia="Arial"/>
          <w:b/>
          <w:color w:val="5A5A5A"/>
          <w:spacing w:val="15"/>
          <w:position w:val="0"/>
          <w:sz w:val="28"/>
          <w:shd w:fill="auto" w:val="clear"/>
        </w:rPr>
        <w:t xml:space="preserve">Student ID</w:t>
        <w:tab/>
        <w:t xml:space="preserve">:</w:t>
      </w:r>
      <w:r>
        <w:rPr>
          <w:rFonts w:ascii="Arial" w:hAnsi="Arial" w:cs="Arial" w:eastAsia="Arial"/>
          <w:b/>
          <w:color w:val="5A5A5A"/>
          <w:spacing w:val="15"/>
          <w:position w:val="0"/>
          <w:sz w:val="28"/>
          <w:shd w:fill="auto" w:val="clear"/>
        </w:rPr>
        <w:t xml:space="preserve">2232676</w:t>
      </w:r>
    </w:p>
    <w:p>
      <w:pPr>
        <w:spacing w:before="0" w:after="160" w:line="24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Lecturer Name</w:t>
        <w:tab/>
        <w:t xml:space="preserve">:</w:t>
      </w:r>
      <w:r>
        <w:rPr>
          <w:rFonts w:ascii="Arial" w:hAnsi="Arial" w:cs="Arial" w:eastAsia="Arial"/>
          <w:b/>
          <w:color w:val="auto"/>
          <w:spacing w:val="0"/>
          <w:position w:val="0"/>
          <w:sz w:val="28"/>
          <w:shd w:fill="auto" w:val="clear"/>
        </w:rPr>
        <w:t xml:space="preserve">Dr Jamiu A. Dauda</w:t>
      </w:r>
    </w:p>
    <w:p>
      <w:pPr>
        <w:spacing w:before="0" w:after="160" w:line="360"/>
        <w:ind w:right="0" w:left="0" w:firstLine="0"/>
        <w:jc w:val="both"/>
        <w:rPr>
          <w:rFonts w:ascii="Arial" w:hAnsi="Arial" w:cs="Arial" w:eastAsia="Arial"/>
          <w:color w:val="5A5A5A"/>
          <w:spacing w:val="15"/>
          <w:position w:val="0"/>
          <w:sz w:val="28"/>
          <w:shd w:fill="auto" w:val="clear"/>
        </w:rPr>
      </w:pPr>
    </w:p>
    <w:p>
      <w:pPr>
        <w:spacing w:before="0" w:after="160" w:line="360"/>
        <w:ind w:right="0" w:left="0" w:firstLine="0"/>
        <w:jc w:val="both"/>
        <w:rPr>
          <w:rFonts w:ascii="Arial" w:hAnsi="Arial" w:cs="Arial" w:eastAsia="Arial"/>
          <w:color w:val="auto"/>
          <w:spacing w:val="0"/>
          <w:position w:val="0"/>
          <w:sz w:val="70"/>
          <w:shd w:fill="auto" w:val="clear"/>
        </w:rPr>
      </w:pPr>
    </w:p>
    <w:p>
      <w:pPr>
        <w:spacing w:before="0" w:after="200" w:line="360"/>
        <w:ind w:right="0" w:left="0" w:firstLine="0"/>
        <w:jc w:val="both"/>
        <w:rPr>
          <w:rFonts w:ascii="Arial" w:hAnsi="Arial" w:cs="Arial" w:eastAsia="Arial"/>
          <w:color w:val="auto"/>
          <w:spacing w:val="0"/>
          <w:position w:val="0"/>
          <w:sz w:val="44"/>
          <w:shd w:fill="auto" w:val="clear"/>
        </w:rPr>
      </w:pPr>
      <w:r>
        <w:rPr>
          <w:rFonts w:ascii="Arial" w:hAnsi="Arial" w:cs="Arial" w:eastAsia="Arial"/>
          <w:color w:val="auto"/>
          <w:spacing w:val="0"/>
          <w:position w:val="0"/>
          <w:sz w:val="44"/>
          <w:shd w:fill="auto" w:val="clear"/>
        </w:rPr>
        <w:t xml:space="preserve"> </w:t>
      </w:r>
    </w:p>
    <w:p>
      <w:pPr>
        <w:spacing w:before="0" w:after="200" w:line="360"/>
        <w:ind w:right="0" w:left="0" w:firstLine="0"/>
        <w:jc w:val="both"/>
        <w:rPr>
          <w:rFonts w:ascii="Arial" w:hAnsi="Arial" w:cs="Arial" w:eastAsia="Arial"/>
          <w:color w:val="auto"/>
          <w:spacing w:val="0"/>
          <w:position w:val="0"/>
          <w:sz w:val="4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report will concentrate on the activities and knowledge gained from both technical skills lectures, thus a comprehension of the tasks completed and the advantages I gained from them is necessary. Also, I'd be able to identify my areas of improvement and the parts of my work that need more effort before they're consistent with the rest thanks to this. This will guarantee that what was successful and how the topic's major benefits/values relate to the lecture's material. By examining this in further depth, we can see that it is really rather straightforward and easy to grasp. Here, I would additionally incorporate what lecturers covered the notebook. For instance, the lecture also discusses health and safety protocols, since this aspect of working in a secure setting is essential for discussing any potential dangers and how they might be avoided or mitigated.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Logbook</w:t>
      </w:r>
    </w:p>
    <w:tbl>
      <w:tblPr/>
      <w:tblGrid>
        <w:gridCol w:w="1089"/>
        <w:gridCol w:w="1620"/>
        <w:gridCol w:w="2056"/>
        <w:gridCol w:w="2133"/>
        <w:gridCol w:w="2888"/>
      </w:tblGrid>
      <w:tr>
        <w:trPr>
          <w:trHeight w:val="1" w:hRule="atLeast"/>
          <w:jc w:val="left"/>
        </w:trPr>
        <w:tc>
          <w:tcPr>
            <w:tcW w:w="1089"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Activity WK</w:t>
            </w:r>
          </w:p>
        </w:tc>
        <w:tc>
          <w:tcPr>
            <w:tcW w:w="1620"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Activity</w:t>
            </w:r>
          </w:p>
        </w:tc>
        <w:tc>
          <w:tcPr>
            <w:tcW w:w="2056"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Key Learning Points</w:t>
            </w:r>
          </w:p>
        </w:tc>
        <w:tc>
          <w:tcPr>
            <w:tcW w:w="2133"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Key Benefits/Value added</w:t>
            </w:r>
          </w:p>
        </w:tc>
        <w:tc>
          <w:tcPr>
            <w:tcW w:w="2888"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Further comments and How can I improve it in future</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1</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Introduction to Health and Safety</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Health and safety benefits in the workplace.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necessity of having proper health and safety policy in the workplace.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development of appropriate health and safety principle based on the employee feedback and current workplace demand. </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Through this course, I learned more about HSE (Health, Safety, Welfare, and Risk) management in the workplace.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educated myself on the laws governing workplace safety.</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this lesson, I was educated on the roles that both employers and workers play in ensuring a safe working environment.</w:t>
            </w:r>
          </w:p>
          <w:p>
            <w:pPr>
              <w:spacing w:before="0" w:after="160" w:line="240"/>
              <w:ind w:right="0" w:left="0" w:firstLine="0"/>
              <w:jc w:val="left"/>
              <w:rPr>
                <w:color w:val="auto"/>
                <w:spacing w:val="0"/>
                <w:position w:val="0"/>
                <w:shd w:fill="auto" w:val="clear"/>
              </w:rPr>
            </w:pP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Workers and managers who are well-informed about health and safety issues in the workplace are better equipped to spot dangers and take preventative measures (Jonathan and Mbogo, 2016). This has the potential to lessen the incidence of occupational injuries and illnesses, which is good for workers' health in general. It is possible to estimate the amount of danger posed by each potential hazard in the workplace by doing a risk assessment. With this knowledge, a strategy to eradicate or reduce the threat may be formulated. The training was a huge success. Having a fun, engaging video game to play that teaches me about health and safety is a great way to learn more.</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2</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Why is health and safety important in the workplace? </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importance of maintaining health and safety at workplace for avoiding hazards.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placement of health and safety acts in the right platform. </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management of health and safety principle. </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After a risk factor has been identified, the employer may take action to mitigate the danger. Providing PPE, maintaining equipment, and instituting safe procedures are all examples of what this may include.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to the obvious practical applications, I also gained an appreciation for health and safety in the workplace.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gained knowledge about the challenges I could face and how to meet them.</w:t>
            </w:r>
          </w:p>
          <w:p>
            <w:pPr>
              <w:spacing w:before="0" w:after="160" w:line="240"/>
              <w:ind w:right="0" w:left="0" w:firstLine="0"/>
              <w:jc w:val="left"/>
              <w:rPr>
                <w:color w:val="auto"/>
                <w:spacing w:val="0"/>
                <w:position w:val="0"/>
                <w:shd w:fill="auto" w:val="clear"/>
              </w:rPr>
            </w:pP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session was excellent and helpful since the work was well described, and I left knowing exactly what I needed to do and turn in to determine where I stood and what I could work on to make progress.</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was able to gain insight into occupational hazards thanks to the worksheets and examples provided.</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manage risks successfully in the workplace, it's important to understand what causes them and what countermeasures may be taken.</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3</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Practical risk assessment. </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Rules and Regulations.</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development of risk assessment based on the identification of risks at workplace.</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Strategies of risk assessment within the workplace. </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Here I look at some of the more tangible benefits of doing a risk assessment, including the safety of the workplace for both employers and workers. Following the rules and legislation will make sure whether the task is complete and satisfactory.</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 have understand that any business that cares about providing its employees with a healthy and risk-free workplace should prioritize learning about risk assessment. possible risks are identified, the possibility of those risks happening is evaluated, and the possible repercussions of those risks are weighed. Organizations may avoid mishaps by conducting risk assessments to uncover hidden dangers. Organizations may take preventative measures against accidents if they are aware of the risks that exist. Accidents in the workplace may be quite expensive for businesses (HOU et al., 2021). Organizations may save money by lowering the cost of accidents by recognizing risks and taking preventative actions.</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4</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 &amp; Safety Scenario at Workplaces.</w:t>
            </w:r>
          </w:p>
          <w:p>
            <w:pPr>
              <w:spacing w:before="0" w:after="16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Risk Identification &amp; Management tools</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Understanding on the relationship between safety measurements, risk assessments and the identified risks. </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using of risk management tools to minimise the risk at workplace. </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Risk assessment tools aid businesses in seeing possible threats and determining how severe they are likely to be (Magalhães et al., 2022). With this knowledge, a risk management strategy may be developed to reduce or do away with the identified threats. Organizations may set priorities for which risks to address first if they have a thorough grasp of the risks and the possible implications of those risks. This aids in the efficient distribution of company resources. Tools for risk assessment provide a methodical way to investigate and rank possible dangers. This allows businesses to make choices based on fact rather than speculation. Risk assessment instruments provide people a shared vocabulary and structure for talking about hazards. Employees, supervisors, and other interested parties may more easily share information and work together.</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gained an understanding of the factors that contribute to workplace hazards and its implications for employees. This would also indicate the scale on which individual risk perceptions are placed.</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this may help workers stay safe on the job, no matter where they happen to be.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Safety tools and procedures, together with any applicable strategies, may be used to compare potential outcomes and provide insight into the potential internal and external impacts on the firm and its employees.</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Long-term management plans, enabling a large number of people to keep track of events and their causes.</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5</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Risk Identification.</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Risk Prosecution</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Notice of Prohibition and Notice of Improvement</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Examples from everyday life and the risks they pose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Probability scales</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repercussions of breaking the rules</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What would happen if there were more warnings? </w:t>
            </w:r>
          </w:p>
          <w:p>
            <w:pPr>
              <w:spacing w:before="0" w:after="160" w:line="240"/>
              <w:ind w:right="0" w:left="0" w:firstLine="0"/>
              <w:jc w:val="left"/>
              <w:rPr>
                <w:color w:val="auto"/>
                <w:spacing w:val="0"/>
                <w:position w:val="0"/>
                <w:shd w:fill="auto" w:val="clear"/>
              </w:rPr>
            </w:pP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make things better, I will look into the company's preferred repercussions for rule breaking and incorporate those ideas into my own work in the future.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Why not doing so might cause problems for companies and individuals, and what checks and balances are in place to prevent that from happening. There are businesses that do daily checks to determine whether everything is running well and what needs to change (Sorensen et al., 2018).</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should be aware of the potential complications that might arise if this advice was disregarded. A punishment of £100 could be imposed after a certain number of warnings or instances of this behavior.</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6</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Water jug puzzle</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conversion of 3 glasses to liters was a must. To identify the hostage and catch the three thieves</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What the thieves' perception of the glasses' difference means and how it works</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Using this method, I was able to calculate how many liters would be needed to fill three glasses and the implications this would have for the burglars. Gold coins, presumably if the supply is enough. To facilitate this, I went into Word and added a circle without an arrow in the middle to symbolize the informational data, so that I would always be aware of what needed to be done.</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7</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Velocity and time excel</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Determine the vehicle's velocity, range, and travel time, making sure to provide a graph representing the data and appropriate units of measurement.</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With this knowledge in hand, I was able to devote more time to exploring various approaches to answering each question type.</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Excel users may improve their data analysis skills by learning how to compute velocity and time. This is helpful in a number of fields, including project management, economics, and market research. By calculating how long activities will take to complete and how much advancement can be achieved in a given amount of time, velocity and time calculations may help people and organizations plan projects more successfully. Learning to use Excel's velocity and time calculation tools may help people and businesses better manage resources by revealing where they are being wasted or where more support is required.</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Because of this, I can see how a solution or equation may be used to calculate the required speed or distance for a vehicle.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Thinking about possible time-saving methods and deciding which computations to apply to each cell. Specifically, you might use something like =AVERAGE(F2:F21). Overall dimensions are broken down into Technician A, B, and C categories as well as sample and real dimensions.</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figuring this out, we can provide answers that satisfy the unique needs of each specialist in charge of analyzing the data.</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this was required for the grade, I gave it a quick run through and answered the questions based on what I knew and what was provided in the brief.</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8</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Library session </w:t>
            </w:r>
          </w:p>
          <w:p>
            <w:pPr>
              <w:spacing w:before="0" w:after="160" w:line="240"/>
              <w:ind w:right="0" w:left="0" w:firstLine="0"/>
              <w:jc w:val="left"/>
              <w:rPr>
                <w:spacing w:val="0"/>
                <w:position w:val="0"/>
                <w:sz w:val="22"/>
                <w:shd w:fill="auto" w:val="clear"/>
              </w:rPr>
            </w:pP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Books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Instructions for Using the Virtual Library</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Methods and materials </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This gave me an idea of what resources were out there and how to find them using my own knowledge.</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lecturer gave me a guided tour of the greatest literature, explained why information is valuable, and outlined the implications of having access to this knowledge.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Educational resources that aid in the completion of homework and other schoolwork in order to convey a concept to the learner. </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9</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Composites</w:t>
            </w:r>
          </w:p>
          <w:p>
            <w:pPr>
              <w:spacing w:before="0" w:after="160" w:line="240"/>
              <w:ind w:right="0" w:left="0" w:firstLine="0"/>
              <w:jc w:val="left"/>
              <w:rPr>
                <w:spacing w:val="0"/>
                <w:position w:val="0"/>
                <w:sz w:val="22"/>
                <w:shd w:fill="auto" w:val="clear"/>
              </w:rPr>
            </w:pP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Composites (a collection of materials that have been fused together) are what it is.</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Types of Alignments and Their Functions</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 benefited from slide-based learning on building materials and their uses because:</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workshop was informative since I was able to ask questions and learn more about the many kinds of materials, their advantages and disadvantages, and their significance in the context of the relevant business.</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taught me the significance of the materials used in construction over time.</w:t>
            </w:r>
          </w:p>
          <w:p>
            <w:pPr>
              <w:spacing w:before="0" w:after="160" w:line="240"/>
              <w:ind w:right="0" w:left="0" w:firstLine="0"/>
              <w:jc w:val="left"/>
              <w:rPr>
                <w:color w:val="auto"/>
                <w:spacing w:val="0"/>
                <w:position w:val="0"/>
                <w:shd w:fill="auto" w:val="clear"/>
              </w:rPr>
            </w:pPr>
          </w:p>
        </w:tc>
      </w:tr>
    </w:tbl>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in-depth understanding of potential dangers in the workplace, as well as methods for mitigating such dangers, may be gained by participation in a health and safety program. As a result, people will be better able to make educated choices and take effective measures to avoid harm. A health and safety training may help workers become familiar with the rules and regulations that govern their safety on the job. This may aid people and businesses in staying out of trouble and maintaining compliance. Overall, I have been benefited from the information, skills, and tactics learned in a health and safety course in order to create and sustain a healthy and safe workplace. By capitalizing on these advantages, businesses and people may boost safety, communication, morale, and output while decreasing the costs of workplace injuries.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References</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HOU, Y., Khokhar, M., Khan, M., Islam, T. and Haider, I. (2021) Put Safety First: Exploring the Role of Health and Safety Practices in Improving the Performance of SMEs. </w:t>
      </w:r>
      <w:r>
        <w:rPr>
          <w:rFonts w:ascii="Arial" w:hAnsi="Arial" w:cs="Arial" w:eastAsia="Arial"/>
          <w:i/>
          <w:color w:val="auto"/>
          <w:spacing w:val="0"/>
          <w:position w:val="0"/>
          <w:sz w:val="24"/>
          <w:shd w:fill="auto" w:val="clear"/>
        </w:rPr>
        <w:t xml:space="preserve">SAGE Open</w:t>
      </w:r>
      <w:r>
        <w:rPr>
          <w:rFonts w:ascii="Arial" w:hAnsi="Arial" w:cs="Arial" w:eastAsia="Arial"/>
          <w:color w:val="auto"/>
          <w:spacing w:val="0"/>
          <w:position w:val="0"/>
          <w:sz w:val="24"/>
          <w:shd w:fill="auto" w:val="clear"/>
        </w:rPr>
        <w:t xml:space="preserve">, 11(3), p.215824402110321. doi:https://doi.org/10.1177/21582440211032173.</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Jonathan, G. and Mbogo, R. (2016) </w:t>
      </w:r>
      <w:r>
        <w:rPr>
          <w:rFonts w:ascii="Arial" w:hAnsi="Arial" w:cs="Arial" w:eastAsia="Arial"/>
          <w:i/>
          <w:color w:val="auto"/>
          <w:spacing w:val="0"/>
          <w:position w:val="0"/>
          <w:sz w:val="24"/>
          <w:shd w:fill="auto" w:val="clear"/>
        </w:rPr>
        <w:t xml:space="preserve">Maintaining Health and Safety at Workplace: Employee and Employer’s Role in Ensuring a Safe Working Environment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https://files.eric.ed.gov/fulltext/EJ1118861.pdf</w:t>
        </w:r>
      </w:hyperlink>
      <w:r>
        <w:rPr>
          <w:rFonts w:ascii="Arial" w:hAnsi="Arial" w:cs="Arial" w:eastAsia="Arial"/>
          <w:color w:val="auto"/>
          <w:spacing w:val="0"/>
          <w:position w:val="0"/>
          <w:sz w:val="24"/>
          <w:shd w:fill="auto" w:val="clear"/>
        </w:rPr>
        <w:t xml:space="preserve">.</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Magalhães, L.M.C.A., Silva Costa, K.T. da, Capistrano, G.N., Leal, M.D. and de Andrade, F.B. (2022) A study on occupational health and safety. </w:t>
      </w:r>
      <w:r>
        <w:rPr>
          <w:rFonts w:ascii="Arial" w:hAnsi="Arial" w:cs="Arial" w:eastAsia="Arial"/>
          <w:i/>
          <w:color w:val="auto"/>
          <w:spacing w:val="0"/>
          <w:position w:val="0"/>
          <w:sz w:val="24"/>
          <w:shd w:fill="auto" w:val="clear"/>
        </w:rPr>
        <w:t xml:space="preserve">BMC Public Health</w:t>
      </w:r>
      <w:r>
        <w:rPr>
          <w:rFonts w:ascii="Arial" w:hAnsi="Arial" w:cs="Arial" w:eastAsia="Arial"/>
          <w:color w:val="auto"/>
          <w:spacing w:val="0"/>
          <w:position w:val="0"/>
          <w:sz w:val="24"/>
          <w:shd w:fill="auto" w:val="clear"/>
        </w:rPr>
        <w:t xml:space="preserve">, 22(1). doi:https://doi.org/10.1186/s12889-022-14584-w.</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Sorensen, G., Sparer, E., Williams, J.A.R., Gundersen, D., Boden, L.I., Dennerlein, J.T., Hashimoto, D., Katz, J.N., McLellan, D.L., Okechukwu, C.A., Pronk, N.P., Revette, A. and Wagner, G.R. (2018) Measuring Best Practices for Workplace Safety, Health, and Well-Being. </w:t>
      </w:r>
      <w:r>
        <w:rPr>
          <w:rFonts w:ascii="Arial" w:hAnsi="Arial" w:cs="Arial" w:eastAsia="Arial"/>
          <w:i/>
          <w:color w:val="auto"/>
          <w:spacing w:val="0"/>
          <w:position w:val="0"/>
          <w:sz w:val="24"/>
          <w:shd w:fill="auto" w:val="clear"/>
        </w:rPr>
        <w:t xml:space="preserve">Journal of Occupational and Environmental Medicine</w:t>
      </w:r>
      <w:r>
        <w:rPr>
          <w:rFonts w:ascii="Arial" w:hAnsi="Arial" w:cs="Arial" w:eastAsia="Arial"/>
          <w:color w:val="auto"/>
          <w:spacing w:val="0"/>
          <w:position w:val="0"/>
          <w:sz w:val="24"/>
          <w:shd w:fill="auto" w:val="clear"/>
        </w:rPr>
        <w:t xml:space="preserve">, [online] 60(5), pp.430</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439. doi:https://doi.org/10.1097/jom.0000000000001286.</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 standalone="yes"?>
<Relationships xmlns="http://schemas.openxmlformats.org/package/2006/relationships"><Relationship Id="docRId4" Type="http://schemas.openxmlformats.org/officeDocument/2006/relationships/styles" Target="styles.xml"/><Relationship Id="docRId3" Type="http://schemas.openxmlformats.org/officeDocument/2006/relationships/numbering" Target="numbering.xml"/><Relationship Id="rId3" Type="http://schemas.openxmlformats.org/officeDocument/2006/relationships/customXml" Target="../customXml/item3.xml"/><Relationship Id="docRId2" Type="http://schemas.openxmlformats.org/officeDocument/2006/relationships/hyperlink" Target="https://files.eric.ed.gov/fulltext/EJ1118861.pdf" TargetMode="External"/><Relationship Id="rId2" Type="http://schemas.openxmlformats.org/officeDocument/2006/relationships/customXml" Target="../customXml/item2.xml"/><Relationship Id="rId1" Type="http://schemas.openxmlformats.org/officeDocument/2006/relationships/customXml" Target="../customXml/item1.xml"/><Relationship Id="docRId1" Type="http://schemas.openxmlformats.org/officeDocument/2006/relationships/image" Target="media/image0.wmf"/><Relationship Id="docRId0" Type="http://schemas.openxmlformats.org/officeDocument/2006/relationships/oleObject" Target="embeddings/oleObject0.bin"/></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5" ma:contentTypeDescription="Create a new document." ma:contentTypeScope="" ma:versionID="8dd903870dcc65d19fcd765af03af0ba">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5cb280f742592e5bd5e97b3bbfeb93ac"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C2BF7DE-01D3-4EFC-8D90-6F5CA052F5BA}"/>
</file>

<file path=customXml/itemProps2.xml><?xml version="1.0" encoding="utf-8"?>
<ds:datastoreItem xmlns:ds="http://schemas.openxmlformats.org/officeDocument/2006/customXml" ds:itemID="{7D807A38-E16E-491A-BBAD-6A762E06D697}"/>
</file>

<file path=customXml/itemProps3.xml><?xml version="1.0" encoding="utf-8"?>
<ds:datastoreItem xmlns:ds="http://schemas.openxmlformats.org/officeDocument/2006/customXml" ds:itemID="{128E3736-DEE6-4132-AE61-DA76DA1AEE92}"/>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ies>
</file>