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C89E08" w14:textId="77777777" w:rsidR="008A3729" w:rsidRDefault="008A3729" w:rsidP="00326DF5">
      <w:pPr>
        <w:ind w:left="1080" w:hanging="720"/>
        <w:jc w:val="both"/>
      </w:pPr>
    </w:p>
    <w:p w14:paraId="25C39B56" w14:textId="77777777" w:rsidR="008A3729" w:rsidRDefault="008A3729" w:rsidP="00326DF5">
      <w:pPr>
        <w:ind w:left="1080" w:hanging="720"/>
        <w:jc w:val="both"/>
      </w:pPr>
    </w:p>
    <w:p w14:paraId="757C2CD9" w14:textId="77777777" w:rsidR="008A3729" w:rsidRDefault="008A3729" w:rsidP="00326DF5">
      <w:pPr>
        <w:ind w:left="1080" w:hanging="720"/>
        <w:jc w:val="both"/>
      </w:pPr>
    </w:p>
    <w:p w14:paraId="7A1C75C7" w14:textId="77777777" w:rsidR="008A3729" w:rsidRDefault="008A3729" w:rsidP="00326DF5">
      <w:pPr>
        <w:ind w:left="1080" w:hanging="720"/>
        <w:jc w:val="both"/>
      </w:pPr>
    </w:p>
    <w:p w14:paraId="7F99433A" w14:textId="77777777" w:rsidR="008A3729" w:rsidRDefault="008A3729" w:rsidP="00326DF5">
      <w:pPr>
        <w:ind w:left="1080" w:hanging="720"/>
        <w:jc w:val="both"/>
      </w:pPr>
    </w:p>
    <w:p w14:paraId="7BFFE346" w14:textId="77777777" w:rsidR="008A3729" w:rsidRDefault="008A3729" w:rsidP="00326DF5">
      <w:pPr>
        <w:ind w:left="1080" w:hanging="720"/>
        <w:jc w:val="both"/>
      </w:pPr>
    </w:p>
    <w:p w14:paraId="14B2C60B" w14:textId="77777777" w:rsidR="008A3729" w:rsidRDefault="008A3729" w:rsidP="00326DF5">
      <w:pPr>
        <w:ind w:left="1080" w:hanging="720"/>
        <w:jc w:val="both"/>
      </w:pPr>
    </w:p>
    <w:p w14:paraId="0A443A09" w14:textId="22DF6ECE" w:rsidR="008A3729" w:rsidRPr="00D04DA0" w:rsidRDefault="00D04DA0" w:rsidP="00326DF5">
      <w:pPr>
        <w:ind w:left="1080" w:hanging="720"/>
        <w:jc w:val="both"/>
        <w:rPr>
          <w:b/>
          <w:bCs/>
          <w:sz w:val="36"/>
          <w:szCs w:val="36"/>
        </w:rPr>
      </w:pPr>
      <w:r w:rsidRPr="00D04DA0">
        <w:rPr>
          <w:b/>
          <w:bCs/>
          <w:sz w:val="36"/>
          <w:szCs w:val="36"/>
        </w:rPr>
        <w:t>Zakat, Waqf and Ṣul</w:t>
      </w:r>
      <w:r w:rsidRPr="00D04DA0">
        <w:rPr>
          <w:rFonts w:ascii="Calibri" w:hAnsi="Calibri" w:cs="Calibri"/>
          <w:b/>
          <w:bCs/>
          <w:sz w:val="36"/>
          <w:szCs w:val="36"/>
        </w:rPr>
        <w:t>ḥ</w:t>
      </w:r>
      <w:r w:rsidRPr="00D04DA0">
        <w:rPr>
          <w:b/>
          <w:bCs/>
          <w:sz w:val="36"/>
          <w:szCs w:val="36"/>
        </w:rPr>
        <w:t>: Islamic Expressions of Harmony in Social Justice and Sustainable Peacebuilding</w:t>
      </w:r>
    </w:p>
    <w:p w14:paraId="3710D259" w14:textId="77777777" w:rsidR="008A3729" w:rsidRDefault="008A3729" w:rsidP="00326DF5">
      <w:pPr>
        <w:ind w:left="1080" w:hanging="720"/>
        <w:jc w:val="both"/>
      </w:pPr>
    </w:p>
    <w:p w14:paraId="29FBD26B" w14:textId="77777777" w:rsidR="008A3729" w:rsidRDefault="008A3729" w:rsidP="00326DF5">
      <w:pPr>
        <w:ind w:left="1080" w:hanging="720"/>
        <w:jc w:val="both"/>
      </w:pPr>
    </w:p>
    <w:p w14:paraId="4C58DAC6" w14:textId="77777777" w:rsidR="008A3729" w:rsidRDefault="008A3729" w:rsidP="00326DF5">
      <w:pPr>
        <w:ind w:left="1080" w:hanging="720"/>
        <w:jc w:val="both"/>
      </w:pPr>
    </w:p>
    <w:p w14:paraId="78D96034" w14:textId="77777777" w:rsidR="008A3729" w:rsidRDefault="008A3729" w:rsidP="00326DF5">
      <w:pPr>
        <w:ind w:left="1080" w:hanging="720"/>
        <w:jc w:val="both"/>
      </w:pPr>
    </w:p>
    <w:p w14:paraId="03F0E4A1" w14:textId="77777777" w:rsidR="008A3729" w:rsidRDefault="008A3729" w:rsidP="00326DF5">
      <w:pPr>
        <w:ind w:left="1080" w:hanging="720"/>
        <w:jc w:val="both"/>
      </w:pPr>
    </w:p>
    <w:p w14:paraId="79CBF260" w14:textId="77777777" w:rsidR="008A3729" w:rsidRDefault="008A3729" w:rsidP="00326DF5">
      <w:pPr>
        <w:ind w:left="1080" w:hanging="720"/>
        <w:jc w:val="both"/>
      </w:pPr>
    </w:p>
    <w:p w14:paraId="6FCC5875" w14:textId="77777777" w:rsidR="008A3729" w:rsidRDefault="008A3729" w:rsidP="00326DF5">
      <w:pPr>
        <w:jc w:val="both"/>
      </w:pPr>
    </w:p>
    <w:p w14:paraId="467CF818" w14:textId="77777777" w:rsidR="008A3729" w:rsidRDefault="008A3729" w:rsidP="00326DF5">
      <w:pPr>
        <w:ind w:left="1080" w:hanging="720"/>
        <w:jc w:val="both"/>
      </w:pPr>
    </w:p>
    <w:p w14:paraId="04DC7A83" w14:textId="77777777" w:rsidR="008A3729" w:rsidRDefault="008A3729" w:rsidP="00326DF5">
      <w:pPr>
        <w:ind w:left="1080" w:hanging="720"/>
        <w:jc w:val="both"/>
      </w:pPr>
    </w:p>
    <w:p w14:paraId="600FE38B" w14:textId="77777777" w:rsidR="008A3729" w:rsidRDefault="008A3729" w:rsidP="00326DF5">
      <w:pPr>
        <w:ind w:left="1080" w:hanging="720"/>
        <w:jc w:val="both"/>
      </w:pPr>
    </w:p>
    <w:p w14:paraId="7D959F3E" w14:textId="77777777" w:rsidR="008A3729" w:rsidRDefault="008A3729" w:rsidP="00326DF5">
      <w:pPr>
        <w:ind w:left="1080" w:hanging="720"/>
        <w:jc w:val="both"/>
      </w:pPr>
    </w:p>
    <w:p w14:paraId="7259D2E7" w14:textId="77777777" w:rsidR="008A3729" w:rsidRDefault="008A3729" w:rsidP="00326DF5">
      <w:pPr>
        <w:ind w:left="1080" w:hanging="720"/>
        <w:jc w:val="both"/>
      </w:pPr>
    </w:p>
    <w:p w14:paraId="00EA58CE" w14:textId="77777777" w:rsidR="003A6A7C" w:rsidRDefault="003A6A7C" w:rsidP="00326DF5">
      <w:pPr>
        <w:ind w:left="1440" w:hanging="720"/>
        <w:jc w:val="both"/>
      </w:pPr>
      <w:r w:rsidRPr="0077264E">
        <w:rPr>
          <w:b/>
          <w:bCs/>
        </w:rPr>
        <w:t>Student name:</w:t>
      </w:r>
      <w:r>
        <w:t xml:space="preserve"> Mohammed Gabris</w:t>
      </w:r>
    </w:p>
    <w:p w14:paraId="395D7495" w14:textId="77777777" w:rsidR="003A6A7C" w:rsidRDefault="003A6A7C" w:rsidP="00326DF5">
      <w:pPr>
        <w:ind w:left="1440" w:hanging="720"/>
        <w:jc w:val="both"/>
      </w:pPr>
      <w:r w:rsidRPr="0077264E">
        <w:rPr>
          <w:b/>
          <w:bCs/>
        </w:rPr>
        <w:t>Student ID:</w:t>
      </w:r>
      <w:r>
        <w:t xml:space="preserve"> 2502666</w:t>
      </w:r>
    </w:p>
    <w:p w14:paraId="514E563D" w14:textId="77777777" w:rsidR="003A6A7C" w:rsidRDefault="003A6A7C" w:rsidP="00326DF5">
      <w:pPr>
        <w:ind w:left="1440" w:hanging="720"/>
        <w:jc w:val="both"/>
      </w:pPr>
      <w:r w:rsidRPr="0077264E">
        <w:rPr>
          <w:b/>
          <w:bCs/>
        </w:rPr>
        <w:t>Module</w:t>
      </w:r>
      <w:r w:rsidRPr="00D533B8">
        <w:rPr>
          <w:b/>
          <w:bCs/>
        </w:rPr>
        <w:t>:</w:t>
      </w:r>
      <w:r>
        <w:t xml:space="preserve"> Harmony: Theory and Practice</w:t>
      </w:r>
      <w:r w:rsidRPr="0077264E">
        <w:t xml:space="preserve"> </w:t>
      </w:r>
      <w:r>
        <w:t>- HPCA7032</w:t>
      </w:r>
    </w:p>
    <w:p w14:paraId="74A95D1C" w14:textId="0CA2367A" w:rsidR="003A6A7C" w:rsidRDefault="003A6A7C" w:rsidP="00326DF5">
      <w:pPr>
        <w:ind w:left="1440" w:hanging="720"/>
        <w:jc w:val="both"/>
      </w:pPr>
      <w:r w:rsidRPr="0077264E">
        <w:rPr>
          <w:b/>
          <w:bCs/>
        </w:rPr>
        <w:t>Submission date:</w:t>
      </w:r>
      <w:r>
        <w:t xml:space="preserve"> </w:t>
      </w:r>
      <w:r w:rsidR="00AB3D0D">
        <w:t>02</w:t>
      </w:r>
      <w:r>
        <w:t>/</w:t>
      </w:r>
      <w:r w:rsidR="00AB3D0D">
        <w:t>07</w:t>
      </w:r>
      <w:r>
        <w:t>/2026</w:t>
      </w:r>
    </w:p>
    <w:p w14:paraId="497E72FB" w14:textId="51924EFF" w:rsidR="00DB5D44" w:rsidRPr="00DB5D44" w:rsidRDefault="00510C70" w:rsidP="00326DF5">
      <w:pPr>
        <w:pStyle w:val="ListParagraph"/>
        <w:numPr>
          <w:ilvl w:val="0"/>
          <w:numId w:val="1"/>
        </w:numPr>
        <w:jc w:val="both"/>
        <w:rPr>
          <w:b/>
          <w:bCs/>
        </w:rPr>
      </w:pPr>
      <w:r w:rsidRPr="009C7432">
        <w:rPr>
          <w:b/>
          <w:bCs/>
        </w:rPr>
        <w:lastRenderedPageBreak/>
        <w:t>Introduction</w:t>
      </w:r>
    </w:p>
    <w:p w14:paraId="1BF3EC04" w14:textId="58534C32" w:rsidR="00DB5D44" w:rsidRDefault="00DB5D44" w:rsidP="00326DF5">
      <w:pPr>
        <w:ind w:firstLine="360"/>
        <w:jc w:val="both"/>
      </w:pPr>
      <w:r>
        <w:t>The concept of harmony is often associated with balance, order and peaceful coexistence. In peace studies, harmony is a key notion that bridges divisions by transforming cycles of conflict whilst promoting cooperation and sustainable coexistence. In this essay, harmony will be treated as a practical and ethical way of organizing relationships so that individuals, communities, and institutions can thrive in an environment that embodies justice, care, and shared accountability. This is important as it serves the essence of peacebuilding, which is not only concerned with ending visible conflict, but also with addressing social, economic, and other concealed conditions that allow the continuation of conflict and injustice. As Gill argues, harmony encompasses the idea of “right relationships amongst all” that should be understood as “dynamic and proactive” instead of static (Gill, 2020, p. 289). This conceptualization provides a clear linkage between the theory of Harmony and sustainable peacebuilding.</w:t>
      </w:r>
    </w:p>
    <w:p w14:paraId="03E525F3" w14:textId="284D3ED3" w:rsidR="00DB5D44" w:rsidRDefault="00DB5D44" w:rsidP="00326DF5">
      <w:pPr>
        <w:ind w:firstLine="360"/>
        <w:jc w:val="both"/>
      </w:pPr>
      <w:r>
        <w:t>This essay examines how the theory and principles of Harmony can be manifested and applied through social justice and conflict resolution. It does so through an Islamic ethical framework that focuses on three practices: zakat, waqf, and ṣul</w:t>
      </w:r>
      <w:r>
        <w:rPr>
          <w:rFonts w:ascii="Calibri" w:hAnsi="Calibri" w:cs="Calibri"/>
        </w:rPr>
        <w:t>ḥ</w:t>
      </w:r>
      <w:r>
        <w:t>. Zakat refers to obligatory giving and wealth redistribution; waqf refers to the dedication of property or assets for long-term public benefit and use; and finally, ṣul</w:t>
      </w:r>
      <w:r>
        <w:rPr>
          <w:rFonts w:ascii="Calibri" w:hAnsi="Calibri" w:cs="Calibri"/>
        </w:rPr>
        <w:t>ḥ</w:t>
      </w:r>
      <w:r>
        <w:t xml:space="preserve"> refers to reconciliation or mediation between parties in dispute. These practices in Islam are not only religious duties but can also be viewed as a practical manifestation of Harmony due to their aim of restoring balance, reducing harm, supporting vulnerable groups, and mending relationships.</w:t>
      </w:r>
    </w:p>
    <w:p w14:paraId="199EF56A" w14:textId="07674796" w:rsidR="00DB5D44" w:rsidRDefault="00DB5D44" w:rsidP="00326DF5">
      <w:pPr>
        <w:ind w:firstLine="360"/>
        <w:jc w:val="both"/>
      </w:pPr>
      <w:r>
        <w:t>This discussion is based on an Islamic foundation rooted in the Qur’anic values of balance, justice, trust and reconciliation. The Qur’an states: “He has set the balance so that you may not exceed in the balance: weigh with justice and do not fall short in the balance” (Qur’an 55:7–9, trans. Abdel Haleem, 2005). The balance, or al-</w:t>
      </w:r>
      <w:proofErr w:type="spellStart"/>
      <w:r>
        <w:t>mīzān</w:t>
      </w:r>
      <w:proofErr w:type="spellEnd"/>
      <w:r>
        <w:t xml:space="preserve">, here serves two meanings according to classical and modern Islamic interpretations, as it holds both a literal and metaphorical sense. On a literal level, the verse calls for honesty in trade, and metaphorically refers to justice, equity, and environmental stewardship; the verses remind believers to mirror the structural harmony found in the cosmos. On a similar note, the Qur’an commands believers to “uphold justice and bear witness to God, even if it is against yourselves, your parents, or your close relatives” (Qur’an 4:135, trans. Abdel Haleem, 2005). Such verses suggest that Harmony cannot be limited or reduced to social calm or outward </w:t>
      </w:r>
      <w:r>
        <w:t>order but</w:t>
      </w:r>
      <w:r>
        <w:t xml:space="preserve"> rather implies that it must be grounded in justice.</w:t>
      </w:r>
    </w:p>
    <w:p w14:paraId="75E958A6" w14:textId="7CD7D3C1" w:rsidR="00DB5D44" w:rsidRDefault="00DB5D44" w:rsidP="00326DF5">
      <w:pPr>
        <w:ind w:firstLine="360"/>
        <w:jc w:val="both"/>
      </w:pPr>
      <w:r>
        <w:t xml:space="preserve">To further connect this argument with peace studies, Galtung’s work is important as it shows that violence is not limited to direct physical harm. Violence can embody other forms, as it can be structural, especially when social dynamics prevent people from reaching their </w:t>
      </w:r>
      <w:r>
        <w:lastRenderedPageBreak/>
        <w:t>full potential or accessing the resources they need. Galtung draws a distinction between negative peace, defined as the absence of personal violence, and positive peace, understood as the absence of structural violence or the presence of social justice (Galtung, 1969, p. 183). From this lens, zakat and waqf can be studied as responses to structural injustice, while ṣul</w:t>
      </w:r>
      <w:r>
        <w:rPr>
          <w:rFonts w:ascii="Calibri" w:hAnsi="Calibri" w:cs="Calibri"/>
        </w:rPr>
        <w:t>ḥ</w:t>
      </w:r>
      <w:r>
        <w:t xml:space="preserve"> can be studied as a process of relational repair. Hence, this topic is made relevant not only to Islamic studies, but also to wider debates in peacebuilding and social justice.</w:t>
      </w:r>
    </w:p>
    <w:p w14:paraId="1E0A29BA" w14:textId="13FAC555" w:rsidR="00DB5D44" w:rsidRDefault="00DB5D44" w:rsidP="00326DF5">
      <w:pPr>
        <w:ind w:firstLine="360"/>
        <w:jc w:val="both"/>
      </w:pPr>
      <w:r>
        <w:t>This essay argues that the three practices of zakat, waqf, and ṣul</w:t>
      </w:r>
      <w:r>
        <w:rPr>
          <w:rFonts w:ascii="Calibri" w:hAnsi="Calibri" w:cs="Calibri"/>
        </w:rPr>
        <w:t>ḥ</w:t>
      </w:r>
      <w:r>
        <w:t xml:space="preserve"> can showcase Harmony as a model for sustainable peacebuilding because they consist of a combination of ethical principles and practical mechanisms. Zakat addresses inequality through a mechanism of redistribution; waqf provides long-term charitable endowment to communities; and ṣul</w:t>
      </w:r>
      <w:r>
        <w:rPr>
          <w:rFonts w:ascii="Calibri" w:hAnsi="Calibri" w:cs="Calibri"/>
        </w:rPr>
        <w:t>ḥ</w:t>
      </w:r>
      <w:r>
        <w:t xml:space="preserve"> seeks to transform conflict through dialogue and reconciliation. It’s important to note that this essay also argues that these practices are not harmonious by default, as their success depends on the means and conditions of implementation. Hence, this essay attempts to answer the following question: to what extent can Islamic principles and practices of zakat, waqf and ṣul</w:t>
      </w:r>
      <w:r>
        <w:rPr>
          <w:rFonts w:ascii="Calibri" w:hAnsi="Calibri" w:cs="Calibri"/>
        </w:rPr>
        <w:t>ḥ</w:t>
      </w:r>
      <w:r>
        <w:t xml:space="preserve"> express the theory and principles of Harmony as a model for social justice, conflict resolution and sustainable peacebuilding? To address this question, the essay first reviews the literature on Harmony, positive peace and Islamic ethical principles. It also examines practical case studies on the role that harmony can play in transforming injustice through the application of Islamic principles.</w:t>
      </w:r>
    </w:p>
    <w:p w14:paraId="77C6B847" w14:textId="506DDD71" w:rsidR="00050779" w:rsidRDefault="0043765B" w:rsidP="00326DF5">
      <w:pPr>
        <w:ind w:firstLine="360"/>
        <w:jc w:val="both"/>
      </w:pPr>
      <w:r>
        <w:t>.</w:t>
      </w:r>
    </w:p>
    <w:p w14:paraId="56DD2885" w14:textId="77777777" w:rsidR="0043765B" w:rsidRDefault="0043765B" w:rsidP="00326DF5">
      <w:pPr>
        <w:ind w:firstLine="360"/>
        <w:jc w:val="both"/>
      </w:pPr>
    </w:p>
    <w:p w14:paraId="2941B8E4" w14:textId="77777777" w:rsidR="0043765B" w:rsidRDefault="0043765B" w:rsidP="00326DF5">
      <w:pPr>
        <w:ind w:firstLine="360"/>
        <w:jc w:val="both"/>
      </w:pPr>
    </w:p>
    <w:p w14:paraId="237309C4" w14:textId="77777777" w:rsidR="0043765B" w:rsidRDefault="0043765B" w:rsidP="00326DF5">
      <w:pPr>
        <w:ind w:firstLine="360"/>
        <w:jc w:val="both"/>
      </w:pPr>
    </w:p>
    <w:p w14:paraId="35039E00" w14:textId="77777777" w:rsidR="0043765B" w:rsidRDefault="0043765B" w:rsidP="00326DF5">
      <w:pPr>
        <w:ind w:firstLine="360"/>
        <w:jc w:val="both"/>
      </w:pPr>
    </w:p>
    <w:p w14:paraId="03A4F721" w14:textId="77777777" w:rsidR="0043765B" w:rsidRDefault="0043765B" w:rsidP="00326DF5">
      <w:pPr>
        <w:ind w:firstLine="360"/>
        <w:jc w:val="both"/>
      </w:pPr>
    </w:p>
    <w:p w14:paraId="7C7F6293" w14:textId="77777777" w:rsidR="0043765B" w:rsidRDefault="0043765B" w:rsidP="00326DF5">
      <w:pPr>
        <w:ind w:firstLine="360"/>
        <w:jc w:val="both"/>
      </w:pPr>
    </w:p>
    <w:p w14:paraId="13230A9C" w14:textId="77777777" w:rsidR="0043765B" w:rsidRDefault="0043765B" w:rsidP="00326DF5">
      <w:pPr>
        <w:ind w:firstLine="360"/>
        <w:jc w:val="both"/>
      </w:pPr>
    </w:p>
    <w:p w14:paraId="2FAE2316" w14:textId="77777777" w:rsidR="0043765B" w:rsidRDefault="0043765B" w:rsidP="00326DF5">
      <w:pPr>
        <w:ind w:firstLine="360"/>
        <w:jc w:val="both"/>
      </w:pPr>
    </w:p>
    <w:p w14:paraId="3687693C" w14:textId="77777777" w:rsidR="0043765B" w:rsidRDefault="0043765B" w:rsidP="00326DF5">
      <w:pPr>
        <w:jc w:val="both"/>
      </w:pPr>
    </w:p>
    <w:p w14:paraId="49E795EA" w14:textId="77777777" w:rsidR="00DB5D44" w:rsidRDefault="00DB5D44" w:rsidP="00326DF5">
      <w:pPr>
        <w:jc w:val="both"/>
      </w:pPr>
    </w:p>
    <w:p w14:paraId="4EB837B0" w14:textId="77777777" w:rsidR="0043765B" w:rsidRDefault="0043765B" w:rsidP="00326DF5">
      <w:pPr>
        <w:ind w:firstLine="360"/>
        <w:jc w:val="both"/>
      </w:pPr>
    </w:p>
    <w:p w14:paraId="4D4D230A" w14:textId="77777777" w:rsidR="004A0F15" w:rsidRDefault="0043765B" w:rsidP="00326DF5">
      <w:pPr>
        <w:pStyle w:val="ListParagraph"/>
        <w:numPr>
          <w:ilvl w:val="0"/>
          <w:numId w:val="1"/>
        </w:numPr>
        <w:jc w:val="both"/>
        <w:rPr>
          <w:b/>
          <w:bCs/>
        </w:rPr>
      </w:pPr>
      <w:r w:rsidRPr="0043765B">
        <w:rPr>
          <w:b/>
          <w:bCs/>
        </w:rPr>
        <w:lastRenderedPageBreak/>
        <w:t>Literature Review</w:t>
      </w:r>
      <w:r w:rsidR="00D621E6">
        <w:rPr>
          <w:b/>
          <w:bCs/>
        </w:rPr>
        <w:t xml:space="preserve">: </w:t>
      </w:r>
    </w:p>
    <w:p w14:paraId="47B1EF60" w14:textId="77777777" w:rsidR="00F04563" w:rsidRDefault="00F04563" w:rsidP="00326DF5">
      <w:pPr>
        <w:pStyle w:val="ListParagraph"/>
        <w:ind w:left="1080"/>
        <w:jc w:val="both"/>
        <w:rPr>
          <w:b/>
          <w:bCs/>
        </w:rPr>
      </w:pPr>
    </w:p>
    <w:p w14:paraId="18D66400" w14:textId="45C68D27" w:rsidR="006444AA" w:rsidRPr="00F04563" w:rsidRDefault="00D621E6" w:rsidP="00326DF5">
      <w:pPr>
        <w:pStyle w:val="ListParagraph"/>
        <w:numPr>
          <w:ilvl w:val="1"/>
          <w:numId w:val="1"/>
        </w:numPr>
        <w:jc w:val="both"/>
        <w:rPr>
          <w:b/>
          <w:bCs/>
        </w:rPr>
      </w:pPr>
      <w:r w:rsidRPr="00D621E6">
        <w:rPr>
          <w:b/>
          <w:bCs/>
        </w:rPr>
        <w:t>Harmony, Positive Peace and Sustainable Peacebuilding</w:t>
      </w:r>
    </w:p>
    <w:p w14:paraId="3692E402" w14:textId="5BB9A7EE" w:rsidR="006444AA" w:rsidRDefault="006444AA" w:rsidP="00326DF5">
      <w:pPr>
        <w:ind w:firstLine="360"/>
        <w:jc w:val="both"/>
      </w:pPr>
      <w:r>
        <w:t>This section reviews the key relevant literature needed to frame the essay, focusing on three interrelated concepts: Harmony, positive peace and sustainable peacebuilding. These concepts are crucial for the essay, since it revolves around examining Harmony as a practical framework for social justice, conflict resolution, and ethical policy.</w:t>
      </w:r>
    </w:p>
    <w:p w14:paraId="4A9DD9B1" w14:textId="4276E1D2" w:rsidR="006444AA" w:rsidRDefault="006444AA" w:rsidP="00326DF5">
      <w:pPr>
        <w:ind w:firstLine="360"/>
        <w:jc w:val="both"/>
      </w:pPr>
      <w:r>
        <w:t>The ‘Harmony Project’ defines Harmony as a way of learning from natural pre-existing systems to create “healthier, more sustainable ways of living and being” (The Harmony Project, n.d., p. 1). The principles of this source are applicable to social and political life, despite it being strongly linked to nature and education. A particularly relevant principle is interdependence, which states that “natural systems are wholly interconnected” and that every component in a healthy system has “a value and a role to play” (The Harmony Project, n.d., p. 2). This principle allows Harmony to be understood not only as environmental balance, but also as a social concept. In human societies, poverty, conflict, and injustice are not isolated problems as they are connected to wider systems of power, resource mobilization, governance and community dynamics. Therefore, a harmony-based approach must ask how social systems can be understood and shaped in a way that all people’s dignity, value, and meaningful roles are recognized.</w:t>
      </w:r>
    </w:p>
    <w:p w14:paraId="5776AFBB" w14:textId="6A2F2471" w:rsidR="006444AA" w:rsidRDefault="006444AA" w:rsidP="00326DF5">
      <w:pPr>
        <w:ind w:firstLine="360"/>
        <w:jc w:val="both"/>
      </w:pPr>
      <w:r>
        <w:t>The Harmony Project also states that “in a sustainable system resources are recycled to create never-ending, regenerative cycles” (The Harmony Project, n.d., p. 3). This statement connects to the discussion of zakat and waqf since both practices promote circulation instead of accumulation. Zakat is about the redistribution of wealth from those who possess surplus resources to those who are eligible for support, whereas waqf is about dedicating and preserving assets for long-term use that would benefit community welfare. Given what was mentioned, Harmony can be linked to systems that prevent social stagnation, while reducing inequality and keeping resources preserved towards public utility and benefit.</w:t>
      </w:r>
    </w:p>
    <w:p w14:paraId="6862D1DF" w14:textId="04898113" w:rsidR="006444AA" w:rsidRDefault="006444AA" w:rsidP="00326DF5">
      <w:pPr>
        <w:ind w:firstLine="360"/>
        <w:jc w:val="both"/>
      </w:pPr>
      <w:proofErr w:type="spellStart"/>
      <w:r>
        <w:t>Scherto</w:t>
      </w:r>
      <w:proofErr w:type="spellEnd"/>
      <w:r>
        <w:t xml:space="preserve"> Gill provides a more direct link between Harmony and </w:t>
      </w:r>
      <w:r>
        <w:t>Peace</w:t>
      </w:r>
      <w:r>
        <w:t xml:space="preserve"> studies. Gill states that harmony contains the concept of “right relationships amongst all” and should be viewed as “dynamic and proactive” instead of stagnant (Gill, 2020, p. 289). Such an outlook challenges the narrow understanding of </w:t>
      </w:r>
      <w:r>
        <w:t>harmony such</w:t>
      </w:r>
      <w:r>
        <w:t xml:space="preserve"> as simple order, compliance or the absence of disagreement. Instead, Gill presents harmony as a process of harmonizing, which she describes as “a co-creative and generative process” that transforms conflict and tension into new horizons of relationship and interconnectedness (Gill, 2020, p. 289). This suggests that conflict is not always the opposite of Harmony, since conflict may reveal fragmented relationships, unmet needs or injustice. Hence, Harmony is not about </w:t>
      </w:r>
      <w:r>
        <w:lastRenderedPageBreak/>
        <w:t xml:space="preserve">concealing conflict, instead it is an invitation to engage </w:t>
      </w:r>
      <w:proofErr w:type="gramStart"/>
      <w:r>
        <w:t>with</w:t>
      </w:r>
      <w:proofErr w:type="gramEnd"/>
      <w:r>
        <w:t xml:space="preserve"> conflict in a way that can mend relationships, resulting in more just outcomes.</w:t>
      </w:r>
    </w:p>
    <w:p w14:paraId="37668B46" w14:textId="791B2201" w:rsidR="006444AA" w:rsidRDefault="006444AA" w:rsidP="00326DF5">
      <w:pPr>
        <w:ind w:firstLine="360"/>
        <w:jc w:val="both"/>
      </w:pPr>
      <w:r>
        <w:t>Gill also adds that Harmony is relational and multidimensional, as it applies to relationships between individuals, communities, institutions, and societies. She emphasizes this idea by arguing that harmony involves “symbiosis and interdependence” and that its relational nature applies to “individuals, groups, societies, structures and systems” (Gill, 2020, p. 292). This argument is relevant to sustainable peacebuilding. Sustainable peace is not only about stopping immediate violence, but it should also include addressing social inequality, institutional mistrust or unresolved grievances. Therefore, a peace process that is based on harmony must include addressing both visible relationships between people and the structures that shape people’s lives.</w:t>
      </w:r>
    </w:p>
    <w:p w14:paraId="529826FF" w14:textId="674E4573" w:rsidR="006444AA" w:rsidRDefault="006444AA" w:rsidP="00326DF5">
      <w:pPr>
        <w:ind w:firstLine="360"/>
        <w:jc w:val="both"/>
      </w:pPr>
      <w:r>
        <w:t>In terms of direct and indirect violence, Johan Galtung’s theory of violence and peace is relevant. Galtung’s contribution expands the meaning of violence beyond physical harm, as he distinguishes between personal and structural violence. He explains that violence can be direct and visible when it involves a clear actor, or indirect and invisible where harm is embedded in social structures (Galtung, 1969, p. 178). Structural violence is when political, economic, or social conditions hinder people’s ability to fulfill their needs and achieve their potential. Poverty, exclusion, unequal access to services, and lack of protection are all examples of conditions that jeopardize peace.</w:t>
      </w:r>
    </w:p>
    <w:p w14:paraId="19BAB28C" w14:textId="1CD3F4D5" w:rsidR="006444AA" w:rsidRDefault="006444AA" w:rsidP="00326DF5">
      <w:pPr>
        <w:ind w:firstLine="360"/>
        <w:jc w:val="both"/>
      </w:pPr>
      <w:r>
        <w:t xml:space="preserve">Galtung also draws a distinction between negative and positive peace. Negative peace refers to the absence of direct or personal violence, whereas positive peace includes the reduction of structural violence and the ensuring of social justice (Galtung, 1969, pp. 183–184). He warns that focusing solely on the absence of personal violence often leads to the reliance on and acceptance of “law and order” societies, in which social calm becomes more valued than justice (Galtung, 1969, p. 184). In such cases, a society might seem peaceful since there is no </w:t>
      </w:r>
      <w:r>
        <w:t>open-air fighting</w:t>
      </w:r>
      <w:r>
        <w:t>, protests, direct violence or any other forms of civil unrest or insecurity, but that calm is temporary as the root causes of the conflict are left unaddressed. This indicates that injustice has been normalized or even silenced. From that perspective, Harmony must be evaluated and measured through justice and not only through order.</w:t>
      </w:r>
    </w:p>
    <w:p w14:paraId="4C1B7912" w14:textId="16A9AC40" w:rsidR="006444AA" w:rsidRDefault="006444AA" w:rsidP="00326DF5">
      <w:pPr>
        <w:ind w:firstLine="360"/>
        <w:jc w:val="both"/>
      </w:pPr>
      <w:r>
        <w:t xml:space="preserve">The relationship between Harmony and positive peace is core yet complex due to its interconnectedness and subjectivity. Both concepts reject the simple and narrow understanding of peace as being the absence of violence. </w:t>
      </w:r>
      <w:proofErr w:type="gramStart"/>
      <w:r>
        <w:t>They</w:t>
      </w:r>
      <w:proofErr w:type="gramEnd"/>
      <w:r>
        <w:t xml:space="preserve"> also </w:t>
      </w:r>
      <w:proofErr w:type="gramStart"/>
      <w:r>
        <w:t>both emphasize</w:t>
      </w:r>
      <w:proofErr w:type="gramEnd"/>
      <w:r>
        <w:t xml:space="preserve"> relationships, systems and conditions that enable flourishing in life. However, Harmony is more concerned with a broader ethical and relationship-oriented approach, in comparison to positive peace that provides a more explicit analytical tool for identifying structural </w:t>
      </w:r>
      <w:r>
        <w:lastRenderedPageBreak/>
        <w:t>injustice. Harmony and positive peace together allow this essay to analyze the three Islamic practices of zakat, waqf, and ṣul</w:t>
      </w:r>
      <w:r>
        <w:rPr>
          <w:rFonts w:ascii="Calibri" w:hAnsi="Calibri" w:cs="Calibri"/>
        </w:rPr>
        <w:t>ḥ</w:t>
      </w:r>
      <w:r>
        <w:t xml:space="preserve"> as mechanisms that may lead to sustainable peace. Zakat and waqf addressing economic vulnerability and social welfare can be linked to positive peace. On the other hand, ṣul</w:t>
      </w:r>
      <w:r>
        <w:rPr>
          <w:rFonts w:ascii="Calibri" w:hAnsi="Calibri" w:cs="Calibri"/>
        </w:rPr>
        <w:t>ḥ</w:t>
      </w:r>
      <w:r>
        <w:t xml:space="preserve"> can be linked to Harmony due to its focus on repairing relationships through mediation and reconciliation.</w:t>
      </w:r>
    </w:p>
    <w:p w14:paraId="0FEEB239" w14:textId="7E822062" w:rsidR="006444AA" w:rsidRDefault="006444AA" w:rsidP="00326DF5">
      <w:pPr>
        <w:ind w:firstLine="360"/>
        <w:jc w:val="both"/>
      </w:pPr>
      <w:r>
        <w:t>A limitation regarding Harmony can be drawn from the above literature. If Harmony is interpreted and presented as the preservation of order at any cost, it would become a counter force against peace. When Harmony is reduced to agreement or silence for the sake of social stability, it may discourage and force weaker groups to tolerate and accept injustice. Galtung warns that peace research must be inclusive of both the absence of personal violence and the fight against social injustice (Galtung, 1969, p. 186). Therefore, Harmony must allow disagreement and conflict to be expressed when harm is inflicted. Hence, it must include justice, participation and accountability. Harmony loses its value when it becomes about concealing tensions and preserves it when it transforms tension into just and more sustainable relationships.</w:t>
      </w:r>
    </w:p>
    <w:p w14:paraId="1991E7CD" w14:textId="5337F239" w:rsidR="006444AA" w:rsidRDefault="006444AA" w:rsidP="00326DF5">
      <w:pPr>
        <w:ind w:firstLine="360"/>
        <w:jc w:val="both"/>
      </w:pPr>
      <w:r>
        <w:t>In sum, the literature weaves a common thread between Harmony, positive peace, and sustainable peacebuilding on relationships, systems, and justice. The Harmony Project frames Harmony through interdependence and sustainable cycles. Gill links Harmony directly to peace, dialogue and relational transformation. Galtung offers the critical peace studies framework needed to distinguish shallow calm from concealed structural injustice.</w:t>
      </w:r>
    </w:p>
    <w:p w14:paraId="3099F9E4" w14:textId="417FC884" w:rsidR="006D5DF6" w:rsidRDefault="006D5DF6" w:rsidP="00326DF5">
      <w:pPr>
        <w:ind w:firstLine="720"/>
        <w:jc w:val="both"/>
      </w:pPr>
    </w:p>
    <w:p w14:paraId="4B3B483F" w14:textId="32DB5350" w:rsidR="00FB1EFF" w:rsidRPr="00CB5EA6" w:rsidRDefault="00B1031A" w:rsidP="00326DF5">
      <w:pPr>
        <w:pStyle w:val="ListParagraph"/>
        <w:numPr>
          <w:ilvl w:val="1"/>
          <w:numId w:val="1"/>
        </w:numPr>
        <w:jc w:val="both"/>
        <w:rPr>
          <w:b/>
          <w:bCs/>
        </w:rPr>
      </w:pPr>
      <w:r w:rsidRPr="004A0F15">
        <w:rPr>
          <w:b/>
          <w:bCs/>
        </w:rPr>
        <w:t>Zakat, Waqf and Ṣul</w:t>
      </w:r>
      <w:r w:rsidRPr="004A0F15">
        <w:rPr>
          <w:rFonts w:ascii="Calibri" w:hAnsi="Calibri" w:cs="Calibri"/>
          <w:b/>
          <w:bCs/>
        </w:rPr>
        <w:t>ḥ</w:t>
      </w:r>
    </w:p>
    <w:p w14:paraId="1CFD36CD" w14:textId="141BCC9F" w:rsidR="00FB1EFF" w:rsidRDefault="00FB1EFF" w:rsidP="00326DF5">
      <w:pPr>
        <w:ind w:firstLine="720"/>
        <w:jc w:val="both"/>
      </w:pPr>
      <w:r>
        <w:t>Zakat, waqf and ṣul</w:t>
      </w:r>
      <w:r>
        <w:rPr>
          <w:rFonts w:ascii="Calibri" w:hAnsi="Calibri" w:cs="Calibri"/>
        </w:rPr>
        <w:t>ḥ</w:t>
      </w:r>
      <w:r>
        <w:t xml:space="preserve"> show how ethical principles can become social mechanisms, helping to connect the theory of Harmony with practical Islamic institutions. Zakat has to do with the redistribution of wealth and overall reduction of poverty, waqf is linked to long-term welfare and social infrastructure, and ṣul</w:t>
      </w:r>
      <w:r>
        <w:rPr>
          <w:rFonts w:ascii="Calibri" w:hAnsi="Calibri" w:cs="Calibri"/>
        </w:rPr>
        <w:t>ḥ</w:t>
      </w:r>
      <w:r>
        <w:t xml:space="preserve"> focuses on reconciliation and resolution of disputes. These practices together provide tangible examples of how Harmony may be demonstrated through social justice and conflict transformation.</w:t>
      </w:r>
    </w:p>
    <w:p w14:paraId="6A051242" w14:textId="28A2DDA7" w:rsidR="00FB1EFF" w:rsidRDefault="00FB1EFF" w:rsidP="00326DF5">
      <w:pPr>
        <w:ind w:firstLine="720"/>
        <w:jc w:val="both"/>
      </w:pPr>
      <w:r>
        <w:t xml:space="preserve">Zakat is the obligatory form of giving and one of the five main pillars of Islam. According to Noor and Pickup, zakat is “one of the largest forms of wealth transfer to the poor and needy in existence”, and they argue that it has a significant role to play in contributing to Sustainable Development Goals (Noor and Pickup, 2017, p. 3). This is an important argument for the essay because zakat is not only about individual charity, but also a social mechanism aimed at reducing inequality. The authors also note that zakat is usually given informally and often anonymously from one person to another, but they also argue that </w:t>
      </w:r>
      <w:r>
        <w:lastRenderedPageBreak/>
        <w:t xml:space="preserve">sustainable and long-term alleviation of poverty requires professional management and structured </w:t>
      </w:r>
      <w:r w:rsidR="00DB5D44">
        <w:t>programs</w:t>
      </w:r>
      <w:r>
        <w:t xml:space="preserve"> that create skills and opportunities (Noor and Pickup, 2017, pp. 6–8). Zakat supports Harmony when it fosters structural empowerment, however, its impact is limited when it is confined to only short-term relief.</w:t>
      </w:r>
    </w:p>
    <w:p w14:paraId="42A70AB4" w14:textId="54432174" w:rsidR="00FB1EFF" w:rsidRDefault="00FB1EFF" w:rsidP="00326DF5">
      <w:pPr>
        <w:ind w:firstLine="720"/>
        <w:jc w:val="both"/>
      </w:pPr>
      <w:r>
        <w:t>Recent scholars, such as Zulkipli, Basit and Wajdi, frame zakat and waqf as complementary tools of Islamic social finance. They argue that zakat and waqf can play a strong role in sustainably alleviating poverty, however they are often underused due to their institutional fragmentation and weak policy integration (Zulkipli, Basit and Wajdi, 2025, p. 17). Their study moves beyond a religious or charitable reading of zakat and waqf, placing them within a wider discussion of governance, accountability, and sustainable development. This is useful for the argument that Islamic practices can contribute to Harmony only when implemented effectively through structured institutions, instead of only relying on moral intention.</w:t>
      </w:r>
    </w:p>
    <w:p w14:paraId="7D0F6522" w14:textId="15582E84" w:rsidR="00FB1EFF" w:rsidRDefault="00FB1EFF" w:rsidP="00326DF5">
      <w:pPr>
        <w:ind w:firstLine="720"/>
        <w:jc w:val="both"/>
      </w:pPr>
      <w:r>
        <w:t xml:space="preserve">Waqf differs from zakat due to its long-term dedication of property or assets. </w:t>
      </w:r>
      <w:proofErr w:type="spellStart"/>
      <w:r>
        <w:t>Kahf</w:t>
      </w:r>
      <w:proofErr w:type="spellEnd"/>
      <w:r>
        <w:t xml:space="preserve"> elaborates that waqf means holding and preserving property or assets “for the confined benefit of certain philanthropy” and preventing its misuse outside of that purpose (</w:t>
      </w:r>
      <w:proofErr w:type="spellStart"/>
      <w:r>
        <w:t>Kahf</w:t>
      </w:r>
      <w:proofErr w:type="spellEnd"/>
      <w:r>
        <w:t xml:space="preserve">, n.d., p. 2). This makes waqf relevant to sustainable peacebuilding as it is intended and designed to continuously yield benefits for others, instead of one-time assistance. </w:t>
      </w:r>
      <w:proofErr w:type="spellStart"/>
      <w:r>
        <w:t>Kahf</w:t>
      </w:r>
      <w:proofErr w:type="spellEnd"/>
      <w:r>
        <w:t xml:space="preserve"> draws a historical reflection on waqf, stating that it has supported the poor and matters of public interest, varying from education, health-care services, libraries, scientific research, infrastructure, and support for animals and the environment (</w:t>
      </w:r>
      <w:proofErr w:type="spellStart"/>
      <w:r>
        <w:t>Kahf</w:t>
      </w:r>
      <w:proofErr w:type="spellEnd"/>
      <w:r>
        <w:t xml:space="preserve">, n.d., p. 3). Therefore, waqf directly contributes to the notion of Harmony through continuity, public benefit, and intergenerational accountability. </w:t>
      </w:r>
      <w:proofErr w:type="spellStart"/>
      <w:r>
        <w:t>Kahf</w:t>
      </w:r>
      <w:proofErr w:type="spellEnd"/>
      <w:r>
        <w:t xml:space="preserve"> also highlights that the role of </w:t>
      </w:r>
      <w:proofErr w:type="gramStart"/>
      <w:r>
        <w:t>waqf</w:t>
      </w:r>
      <w:proofErr w:type="gramEnd"/>
      <w:r>
        <w:t xml:space="preserve"> in achieving full social potential depends on proper governance, preservation of assets and responsible management.</w:t>
      </w:r>
    </w:p>
    <w:p w14:paraId="06B32361" w14:textId="212B46D4" w:rsidR="00FB1EFF" w:rsidRDefault="00FB1EFF" w:rsidP="00326DF5">
      <w:pPr>
        <w:ind w:firstLine="720"/>
        <w:jc w:val="both"/>
      </w:pPr>
      <w:r>
        <w:t>Finally, Ṣul</w:t>
      </w:r>
      <w:r>
        <w:rPr>
          <w:rFonts w:ascii="Calibri" w:hAnsi="Calibri" w:cs="Calibri"/>
        </w:rPr>
        <w:t>ḥ</w:t>
      </w:r>
      <w:r>
        <w:t xml:space="preserve"> brings the focus to the dimension of conflict resolution. Wan Muhammad defines ṣul</w:t>
      </w:r>
      <w:r>
        <w:rPr>
          <w:rFonts w:ascii="Calibri" w:hAnsi="Calibri" w:cs="Calibri"/>
        </w:rPr>
        <w:t>ḥ</w:t>
      </w:r>
      <w:r>
        <w:t xml:space="preserve"> as “reconciliation or mediation” and describes it as a process in which disputing parties reach a mutual agreement and a workable resolution with the aid of a mediator or ṣul</w:t>
      </w:r>
      <w:r>
        <w:rPr>
          <w:rFonts w:ascii="Calibri" w:hAnsi="Calibri" w:cs="Calibri"/>
        </w:rPr>
        <w:t>ḥ</w:t>
      </w:r>
      <w:r>
        <w:t xml:space="preserve"> officer (Wan Muhammad, 2008, p. 34). Through that definition, its relevance to harmony is clear since it aims to end hostility whilst restoring peaceful relationships. For example, in the Malaysian Shariah court system, ṣul</w:t>
      </w:r>
      <w:r>
        <w:rPr>
          <w:rFonts w:ascii="Calibri" w:hAnsi="Calibri" w:cs="Calibri"/>
        </w:rPr>
        <w:t>ḥ</w:t>
      </w:r>
      <w:r>
        <w:t xml:space="preserve"> is used as a formal mechanism for handling disputes, especially cases related to family affairs. Thus, this shows how ṣul</w:t>
      </w:r>
      <w:r>
        <w:rPr>
          <w:rFonts w:ascii="Calibri" w:hAnsi="Calibri" w:cs="Calibri"/>
        </w:rPr>
        <w:t>ḥ</w:t>
      </w:r>
      <w:r>
        <w:t xml:space="preserve"> is not only a spiritual or moral concept, but also a practical method for the dispute-resolution process.</w:t>
      </w:r>
    </w:p>
    <w:p w14:paraId="7DDB899D" w14:textId="3CB00547" w:rsidR="00E46D1C" w:rsidRDefault="00FB1EFF" w:rsidP="00326DF5">
      <w:pPr>
        <w:ind w:firstLine="720"/>
        <w:jc w:val="both"/>
      </w:pPr>
      <w:r>
        <w:t xml:space="preserve">Overall, the literature above confirms how Islamic practices can contribute directly to the concept of Harmony under the condition of being critically analyzed. Zakat cannot reduce structural injustice if not managed properly. Waqf loses its effectiveness if assets and </w:t>
      </w:r>
      <w:r>
        <w:lastRenderedPageBreak/>
        <w:t>properties are mismanaged or misused due to the absence of accountability. For ṣul</w:t>
      </w:r>
      <w:r>
        <w:rPr>
          <w:rFonts w:ascii="Calibri" w:hAnsi="Calibri" w:cs="Calibri"/>
        </w:rPr>
        <w:t>ḥ</w:t>
      </w:r>
      <w:r>
        <w:t xml:space="preserve"> to play a successful role in reconciliation, it should not allow one party to agree under pressure or allow the whole process to ignore unequal power relations. Hence, zakat, waqf, and ṣul</w:t>
      </w:r>
      <w:r>
        <w:rPr>
          <w:rFonts w:ascii="Calibri" w:hAnsi="Calibri" w:cs="Calibri"/>
        </w:rPr>
        <w:t>ḥ</w:t>
      </w:r>
      <w:r>
        <w:t xml:space="preserve"> cannot be automatically presented as being successful in ensuring Harmony. Their contribution depends on the embodiment of justice, dignity, participation and sustainable social benefit. The next section expands further on the Islamic ethical framework focusing on </w:t>
      </w:r>
      <w:proofErr w:type="spellStart"/>
      <w:r>
        <w:t>mīzān</w:t>
      </w:r>
      <w:proofErr w:type="spellEnd"/>
      <w:r>
        <w:t xml:space="preserve">, </w:t>
      </w:r>
      <w:proofErr w:type="spellStart"/>
      <w:r>
        <w:rPr>
          <w:rFonts w:ascii="Arial" w:hAnsi="Arial" w:cs="Arial"/>
        </w:rPr>
        <w:t>ʿ</w:t>
      </w:r>
      <w:r>
        <w:t>adl</w:t>
      </w:r>
      <w:proofErr w:type="spellEnd"/>
      <w:r>
        <w:t xml:space="preserve">, </w:t>
      </w:r>
      <w:proofErr w:type="spellStart"/>
      <w:r>
        <w:t>masla</w:t>
      </w:r>
      <w:r>
        <w:rPr>
          <w:rFonts w:ascii="Calibri" w:hAnsi="Calibri" w:cs="Calibri"/>
        </w:rPr>
        <w:t>ḥ</w:t>
      </w:r>
      <w:r>
        <w:t>a</w:t>
      </w:r>
      <w:proofErr w:type="spellEnd"/>
      <w:r>
        <w:t xml:space="preserve">, </w:t>
      </w:r>
      <w:proofErr w:type="spellStart"/>
      <w:r>
        <w:t>maqāṣid</w:t>
      </w:r>
      <w:proofErr w:type="spellEnd"/>
      <w:r>
        <w:t xml:space="preserve"> and </w:t>
      </w:r>
      <w:proofErr w:type="spellStart"/>
      <w:r>
        <w:t>amānah</w:t>
      </w:r>
      <w:proofErr w:type="spellEnd"/>
      <w:r>
        <w:t>.</w:t>
      </w:r>
    </w:p>
    <w:p w14:paraId="60C277C9" w14:textId="77777777" w:rsidR="00B1031A" w:rsidRPr="00AB22E7" w:rsidRDefault="00B1031A" w:rsidP="00326DF5">
      <w:pPr>
        <w:jc w:val="both"/>
      </w:pPr>
    </w:p>
    <w:p w14:paraId="17BBC822" w14:textId="45F16AF3" w:rsidR="00B316C5" w:rsidRPr="00326DF5" w:rsidRDefault="00AF6C80" w:rsidP="00326DF5">
      <w:pPr>
        <w:pStyle w:val="ListParagraph"/>
        <w:numPr>
          <w:ilvl w:val="0"/>
          <w:numId w:val="1"/>
        </w:numPr>
        <w:jc w:val="both"/>
        <w:rPr>
          <w:b/>
          <w:bCs/>
        </w:rPr>
      </w:pPr>
      <w:r w:rsidRPr="00335C2B">
        <w:rPr>
          <w:b/>
          <w:bCs/>
        </w:rPr>
        <w:t xml:space="preserve">Islamic Ethical Framework: Mīzān, </w:t>
      </w:r>
      <w:r w:rsidRPr="00335C2B">
        <w:rPr>
          <w:rFonts w:ascii="Arial" w:hAnsi="Arial" w:cs="Arial"/>
          <w:b/>
          <w:bCs/>
        </w:rPr>
        <w:t>ʿ</w:t>
      </w:r>
      <w:r w:rsidRPr="00335C2B">
        <w:rPr>
          <w:b/>
          <w:bCs/>
        </w:rPr>
        <w:t xml:space="preserve">Adl, </w:t>
      </w:r>
      <w:proofErr w:type="spellStart"/>
      <w:r w:rsidRPr="00335C2B">
        <w:rPr>
          <w:b/>
          <w:bCs/>
        </w:rPr>
        <w:t>Maq</w:t>
      </w:r>
      <w:r w:rsidRPr="00335C2B">
        <w:rPr>
          <w:rFonts w:ascii="Aptos" w:hAnsi="Aptos" w:cs="Aptos"/>
          <w:b/>
          <w:bCs/>
        </w:rPr>
        <w:t>ā</w:t>
      </w:r>
      <w:r w:rsidRPr="00335C2B">
        <w:rPr>
          <w:b/>
          <w:bCs/>
        </w:rPr>
        <w:t>ṣid</w:t>
      </w:r>
      <w:proofErr w:type="spellEnd"/>
      <w:r w:rsidRPr="00335C2B">
        <w:rPr>
          <w:b/>
          <w:bCs/>
        </w:rPr>
        <w:t xml:space="preserve">, </w:t>
      </w:r>
      <w:proofErr w:type="spellStart"/>
      <w:r w:rsidRPr="00335C2B">
        <w:rPr>
          <w:b/>
          <w:bCs/>
        </w:rPr>
        <w:t>Masla</w:t>
      </w:r>
      <w:r w:rsidRPr="00335C2B">
        <w:rPr>
          <w:rFonts w:ascii="Calibri" w:hAnsi="Calibri" w:cs="Calibri"/>
          <w:b/>
          <w:bCs/>
        </w:rPr>
        <w:t>ḥ</w:t>
      </w:r>
      <w:r w:rsidRPr="00335C2B">
        <w:rPr>
          <w:b/>
          <w:bCs/>
        </w:rPr>
        <w:t>a</w:t>
      </w:r>
      <w:proofErr w:type="spellEnd"/>
      <w:r w:rsidRPr="00335C2B">
        <w:rPr>
          <w:b/>
          <w:bCs/>
        </w:rPr>
        <w:t xml:space="preserve"> and </w:t>
      </w:r>
      <w:proofErr w:type="spellStart"/>
      <w:r w:rsidRPr="00335C2B">
        <w:rPr>
          <w:b/>
          <w:bCs/>
        </w:rPr>
        <w:t>Amānah</w:t>
      </w:r>
      <w:proofErr w:type="spellEnd"/>
    </w:p>
    <w:p w14:paraId="4404C960" w14:textId="3FC45FA0" w:rsidR="008A7A2A" w:rsidRDefault="008A7A2A" w:rsidP="00326DF5">
      <w:pPr>
        <w:ind w:firstLine="360"/>
        <w:jc w:val="both"/>
      </w:pPr>
      <w:r>
        <w:t>Zakat, waqf, and ṣul</w:t>
      </w:r>
      <w:r>
        <w:rPr>
          <w:rFonts w:ascii="Calibri" w:hAnsi="Calibri" w:cs="Calibri"/>
        </w:rPr>
        <w:t>ḥ</w:t>
      </w:r>
      <w:r>
        <w:t xml:space="preserve"> are reinforced through a set of Islamic ethical principles that also supports the expression of Harmony. Some of the most relevant principles are </w:t>
      </w:r>
      <w:proofErr w:type="spellStart"/>
      <w:r>
        <w:t>mīzān</w:t>
      </w:r>
      <w:proofErr w:type="spellEnd"/>
      <w:r>
        <w:t xml:space="preserve">, </w:t>
      </w:r>
      <w:proofErr w:type="spellStart"/>
      <w:r>
        <w:rPr>
          <w:rFonts w:ascii="Arial" w:hAnsi="Arial" w:cs="Arial"/>
        </w:rPr>
        <w:t>ʿ</w:t>
      </w:r>
      <w:r>
        <w:t>adl</w:t>
      </w:r>
      <w:proofErr w:type="spellEnd"/>
      <w:r>
        <w:t xml:space="preserve">, </w:t>
      </w:r>
      <w:proofErr w:type="spellStart"/>
      <w:r>
        <w:t>maq</w:t>
      </w:r>
      <w:r>
        <w:rPr>
          <w:rFonts w:ascii="Aptos" w:hAnsi="Aptos" w:cs="Aptos"/>
        </w:rPr>
        <w:t>ā</w:t>
      </w:r>
      <w:r>
        <w:t>ṣid</w:t>
      </w:r>
      <w:proofErr w:type="spellEnd"/>
      <w:r>
        <w:t xml:space="preserve">, </w:t>
      </w:r>
      <w:proofErr w:type="spellStart"/>
      <w:r>
        <w:t>masla</w:t>
      </w:r>
      <w:r>
        <w:rPr>
          <w:rFonts w:ascii="Calibri" w:hAnsi="Calibri" w:cs="Calibri"/>
        </w:rPr>
        <w:t>ḥ</w:t>
      </w:r>
      <w:r>
        <w:t>a</w:t>
      </w:r>
      <w:proofErr w:type="spellEnd"/>
      <w:r>
        <w:t xml:space="preserve"> and </w:t>
      </w:r>
      <w:proofErr w:type="spellStart"/>
      <w:r>
        <w:t>amānah</w:t>
      </w:r>
      <w:proofErr w:type="spellEnd"/>
      <w:r>
        <w:t>. These principles show that Islamic ethics are concerned with social responsibility, justice and the public good; not limited to personal piety only. This idea emphasizes that Harmony, as previously discussed, should not be understood as calm and order only. Within the Islamic framework, Harmony should include justice, trust, accountability and care for vulnerable community members.</w:t>
      </w:r>
    </w:p>
    <w:p w14:paraId="675DCCAA" w14:textId="69EAF173" w:rsidR="008A7A2A" w:rsidRDefault="008A7A2A" w:rsidP="00326DF5">
      <w:pPr>
        <w:ind w:firstLine="360"/>
        <w:jc w:val="both"/>
      </w:pPr>
      <w:r>
        <w:t xml:space="preserve">The first principle is </w:t>
      </w:r>
      <w:proofErr w:type="spellStart"/>
      <w:r>
        <w:t>mīzān</w:t>
      </w:r>
      <w:proofErr w:type="spellEnd"/>
      <w:r>
        <w:t>, which means balance, measure or proportion in Arabic. The Qur’an states: “He has set the balance so that you may not exceed in the balance: weigh with justice and do not fall short in the balance” (Qur’an 55:7–9, trans. Abdel Haleem, 2005). This verse connects balance directly with justice, as balance here is not only a spiritual or cosmic construct but also has a social meaning. Hence, a society cannot be harmonious if wealth, power and opportunity are unequally distributed. From such a lens, zakat and waqf can be viewed as practices that aim to restore balance by rechanneling wealth towards those in need in addition to supporting long-term public benefit.</w:t>
      </w:r>
    </w:p>
    <w:p w14:paraId="4A2392E2" w14:textId="408F36CD" w:rsidR="008A7A2A" w:rsidRDefault="008A7A2A" w:rsidP="00326DF5">
      <w:pPr>
        <w:ind w:firstLine="360"/>
        <w:jc w:val="both"/>
      </w:pPr>
      <w:r>
        <w:t xml:space="preserve">The second principle is </w:t>
      </w:r>
      <w:proofErr w:type="spellStart"/>
      <w:r>
        <w:rPr>
          <w:rFonts w:ascii="Arial" w:hAnsi="Arial" w:cs="Arial"/>
        </w:rPr>
        <w:t>ʿ</w:t>
      </w:r>
      <w:r>
        <w:t>adl</w:t>
      </w:r>
      <w:proofErr w:type="spellEnd"/>
      <w:r>
        <w:t>, which means justice in Arabic. Justice is central and a key word to both Islamic ethics and peacebuilding, as it deepens the concept of Harmony away from becoming a superficial form of order. The Qur</w:t>
      </w:r>
      <w:r>
        <w:rPr>
          <w:rFonts w:ascii="Aptos" w:hAnsi="Aptos" w:cs="Aptos"/>
        </w:rPr>
        <w:t>’</w:t>
      </w:r>
      <w:r>
        <w:t xml:space="preserve">an commands: </w:t>
      </w:r>
      <w:r>
        <w:rPr>
          <w:rFonts w:ascii="Aptos" w:hAnsi="Aptos" w:cs="Aptos"/>
        </w:rPr>
        <w:t>“</w:t>
      </w:r>
      <w:r>
        <w:t xml:space="preserve">You who believe, uphold justice and bear witness to God, even if it is against yourselves, your parents, or your close relatives” (Qur’an 4:135, trans. Abdel Haleem, 2005). This verse commands a strong ethical standard calling for the prioritization of justice even if it is personally challenging. It also reinforces the idea that building real peace requires facing uncomfortable truths. </w:t>
      </w:r>
      <w:proofErr w:type="spellStart"/>
      <w:r>
        <w:rPr>
          <w:rFonts w:ascii="Arial" w:hAnsi="Arial" w:cs="Arial"/>
        </w:rPr>
        <w:t>ʿ</w:t>
      </w:r>
      <w:r>
        <w:t>Adl</w:t>
      </w:r>
      <w:proofErr w:type="spellEnd"/>
      <w:r>
        <w:t xml:space="preserve"> is an important principle to adhere to, since it provides the standard by which zakat, waqf and ṣul</w:t>
      </w:r>
      <w:r>
        <w:rPr>
          <w:rFonts w:ascii="Calibri" w:hAnsi="Calibri" w:cs="Calibri"/>
        </w:rPr>
        <w:t>ḥ</w:t>
      </w:r>
      <w:r>
        <w:t xml:space="preserve"> must be assessed. Harmony is therefore embodied when these practices reduce poverty, protect dignity and mend relationships, not by reproducing inequality, silencing vulnerable people or avoiding accountability.</w:t>
      </w:r>
    </w:p>
    <w:p w14:paraId="531074F1" w14:textId="6671DC09" w:rsidR="008A7A2A" w:rsidRDefault="008A7A2A" w:rsidP="00326DF5">
      <w:pPr>
        <w:ind w:firstLine="360"/>
        <w:jc w:val="both"/>
      </w:pPr>
      <w:r>
        <w:lastRenderedPageBreak/>
        <w:t xml:space="preserve">The third principle is </w:t>
      </w:r>
      <w:proofErr w:type="spellStart"/>
      <w:r>
        <w:t>maqāṣid</w:t>
      </w:r>
      <w:proofErr w:type="spellEnd"/>
      <w:r>
        <w:t xml:space="preserve"> al-</w:t>
      </w:r>
      <w:proofErr w:type="spellStart"/>
      <w:r>
        <w:t>sharī</w:t>
      </w:r>
      <w:r>
        <w:rPr>
          <w:rFonts w:ascii="Arial" w:hAnsi="Arial" w:cs="Arial"/>
        </w:rPr>
        <w:t>ʿ</w:t>
      </w:r>
      <w:r>
        <w:t>ah</w:t>
      </w:r>
      <w:proofErr w:type="spellEnd"/>
      <w:r>
        <w:t xml:space="preserve">, which means the higher objectives or purposes of Islamic law. Kamali explains that the Shariah is concerned with </w:t>
      </w:r>
      <w:r>
        <w:rPr>
          <w:rFonts w:ascii="Aptos" w:hAnsi="Aptos" w:cs="Aptos"/>
        </w:rPr>
        <w:t>“</w:t>
      </w:r>
      <w:r>
        <w:t>the benefits of the individual and that of the community</w:t>
      </w:r>
      <w:r>
        <w:rPr>
          <w:rFonts w:ascii="Aptos" w:hAnsi="Aptos" w:cs="Aptos"/>
        </w:rPr>
        <w:t>”</w:t>
      </w:r>
      <w:r>
        <w:t xml:space="preserve"> and its laws aim to safeguard these benefits and improve the living conditions of human life (Kamali, 2008, p. 2). This concept allows Islamic practices to be evaluated based on their ethical and social outcomes, instead of their formal performance. For instance, zakat should be assessed by whether it reduces hardship and empowers recipients instead of looking only at whether the money was distributed. Waqf should be assessed by the extent to which it serves public welfare, instead of whether only the asset is legally dedicated. Ṣul</w:t>
      </w:r>
      <w:r>
        <w:rPr>
          <w:rFonts w:ascii="Calibri" w:hAnsi="Calibri" w:cs="Calibri"/>
        </w:rPr>
        <w:t>ḥ</w:t>
      </w:r>
      <w:r>
        <w:t xml:space="preserve"> should be assessed by whether reconciliation is fair and voluntary, and not only whether an agreement is reached.</w:t>
      </w:r>
    </w:p>
    <w:p w14:paraId="2DDEB1CE" w14:textId="4BB72279" w:rsidR="008A7A2A" w:rsidRDefault="008A7A2A" w:rsidP="00326DF5">
      <w:pPr>
        <w:ind w:firstLine="360"/>
        <w:jc w:val="both"/>
      </w:pPr>
      <w:r>
        <w:t xml:space="preserve">A principle related to </w:t>
      </w:r>
      <w:proofErr w:type="spellStart"/>
      <w:r>
        <w:t>maqāṣid</w:t>
      </w:r>
      <w:proofErr w:type="spellEnd"/>
      <w:r>
        <w:t xml:space="preserve"> is </w:t>
      </w:r>
      <w:proofErr w:type="spellStart"/>
      <w:r>
        <w:t>masla</w:t>
      </w:r>
      <w:r>
        <w:rPr>
          <w:rFonts w:ascii="Calibri" w:hAnsi="Calibri" w:cs="Calibri"/>
        </w:rPr>
        <w:t>ḥ</w:t>
      </w:r>
      <w:r>
        <w:t>a</w:t>
      </w:r>
      <w:proofErr w:type="spellEnd"/>
      <w:r>
        <w:t xml:space="preserve">, which refers to public interest. </w:t>
      </w:r>
      <w:proofErr w:type="spellStart"/>
      <w:r>
        <w:t>Masla</w:t>
      </w:r>
      <w:r>
        <w:rPr>
          <w:rFonts w:ascii="Calibri" w:hAnsi="Calibri" w:cs="Calibri"/>
        </w:rPr>
        <w:t>ḥ</w:t>
      </w:r>
      <w:r>
        <w:t>a</w:t>
      </w:r>
      <w:proofErr w:type="spellEnd"/>
      <w:r>
        <w:t xml:space="preserve"> refers to the welfare and common benefit that Islamic law seeks to achieve. Kamali, in his writings, links </w:t>
      </w:r>
      <w:proofErr w:type="spellStart"/>
      <w:r>
        <w:t>masla</w:t>
      </w:r>
      <w:r>
        <w:rPr>
          <w:rFonts w:ascii="Calibri" w:hAnsi="Calibri" w:cs="Calibri"/>
        </w:rPr>
        <w:t>ḥ</w:t>
      </w:r>
      <w:r>
        <w:t>a</w:t>
      </w:r>
      <w:proofErr w:type="spellEnd"/>
      <w:r>
        <w:t xml:space="preserve"> to compassion and justice, arguing that the Qur’an and Sunnah aim to “establish justice, eliminate prejudice, and alleviate hardship” (Kamali, 2008, p. 2). Social peace cannot be separated from public welfare; where people struggle to secure their basic needs such as food, education, healthcare, or livelihoods, conflict is hidden and delayed but conditions for injustice remain. Zakat and waqf are crucial since they support </w:t>
      </w:r>
      <w:proofErr w:type="spellStart"/>
      <w:r>
        <w:t>masla</w:t>
      </w:r>
      <w:r>
        <w:rPr>
          <w:rFonts w:ascii="Calibri" w:hAnsi="Calibri" w:cs="Calibri"/>
        </w:rPr>
        <w:t>ḥ</w:t>
      </w:r>
      <w:r>
        <w:t>a</w:t>
      </w:r>
      <w:proofErr w:type="spellEnd"/>
      <w:r>
        <w:t xml:space="preserve"> through redistribution, social support and sustainable community infrastructure.</w:t>
      </w:r>
    </w:p>
    <w:p w14:paraId="737F8846" w14:textId="4897C828" w:rsidR="008A7A2A" w:rsidRDefault="008A7A2A" w:rsidP="00326DF5">
      <w:pPr>
        <w:ind w:firstLine="360"/>
        <w:jc w:val="both"/>
      </w:pPr>
      <w:r>
        <w:t xml:space="preserve">The fifth and final principle to discuss is </w:t>
      </w:r>
      <w:proofErr w:type="spellStart"/>
      <w:r>
        <w:t>amānah</w:t>
      </w:r>
      <w:proofErr w:type="spellEnd"/>
      <w:r>
        <w:t xml:space="preserve">, which translates to trust or responsibility. The Qur’an states: “God commands you [people] to return things entrusted to you to their rightful owners, and, if you judge between people, to do so with justice” (Qur’an 4:58, trans. Abdel Haleem, 2005). The verse links trust with justice and fair judgement, making </w:t>
      </w:r>
      <w:proofErr w:type="spellStart"/>
      <w:r>
        <w:t>amānah</w:t>
      </w:r>
      <w:proofErr w:type="spellEnd"/>
      <w:r>
        <w:t xml:space="preserve"> central for the governance of zakat and waqf especially since these practices involve managing resources for others’ use. The ones responsible for collecting zakat and managing waqf assets are not mere administrators; they are entrusted personnel for ensuring that resources reach the right people and serve the intended public good. Without adhering to the principle of </w:t>
      </w:r>
      <w:proofErr w:type="spellStart"/>
      <w:r>
        <w:t>amānah</w:t>
      </w:r>
      <w:proofErr w:type="spellEnd"/>
      <w:r>
        <w:t>, Islamic social finance would lose its credibility and fail to achieve social harmony.</w:t>
      </w:r>
    </w:p>
    <w:p w14:paraId="41B1EEC1" w14:textId="0C538AB3" w:rsidR="008A7A2A" w:rsidRDefault="008A7A2A" w:rsidP="00326DF5">
      <w:pPr>
        <w:ind w:firstLine="360"/>
        <w:jc w:val="both"/>
      </w:pPr>
      <w:r>
        <w:t xml:space="preserve">Overall, these five Islamic principles form the ethical foundation for Islamic practices. </w:t>
      </w:r>
      <w:proofErr w:type="spellStart"/>
      <w:r>
        <w:t>Mīzān</w:t>
      </w:r>
      <w:proofErr w:type="spellEnd"/>
      <w:r>
        <w:t xml:space="preserve"> is about the need to establish balance; </w:t>
      </w:r>
      <w:proofErr w:type="spellStart"/>
      <w:r>
        <w:rPr>
          <w:rFonts w:ascii="Arial" w:hAnsi="Arial" w:cs="Arial"/>
        </w:rPr>
        <w:t>ʿ</w:t>
      </w:r>
      <w:r>
        <w:t>adl</w:t>
      </w:r>
      <w:proofErr w:type="spellEnd"/>
      <w:r>
        <w:t xml:space="preserve"> is concerned with meaningful justice and equity; </w:t>
      </w:r>
      <w:proofErr w:type="spellStart"/>
      <w:r>
        <w:t>maq</w:t>
      </w:r>
      <w:r>
        <w:rPr>
          <w:rFonts w:ascii="Aptos" w:hAnsi="Aptos" w:cs="Aptos"/>
        </w:rPr>
        <w:t>ā</w:t>
      </w:r>
      <w:r>
        <w:t>ṣid</w:t>
      </w:r>
      <w:proofErr w:type="spellEnd"/>
      <w:r>
        <w:t xml:space="preserve"> and </w:t>
      </w:r>
      <w:proofErr w:type="spellStart"/>
      <w:r>
        <w:t>masla</w:t>
      </w:r>
      <w:r>
        <w:rPr>
          <w:rFonts w:ascii="Calibri" w:hAnsi="Calibri" w:cs="Calibri"/>
        </w:rPr>
        <w:t>ḥ</w:t>
      </w:r>
      <w:r>
        <w:t>a</w:t>
      </w:r>
      <w:proofErr w:type="spellEnd"/>
      <w:r>
        <w:t xml:space="preserve"> focus on public welfare and human flourishing; and </w:t>
      </w:r>
      <w:r>
        <w:t>finally,</w:t>
      </w:r>
      <w:r>
        <w:t xml:space="preserve"> </w:t>
      </w:r>
      <w:proofErr w:type="spellStart"/>
      <w:r>
        <w:t>amānah</w:t>
      </w:r>
      <w:proofErr w:type="spellEnd"/>
      <w:r>
        <w:t xml:space="preserve"> calls for responsible governance and use of power. These principles show that Islamic Harmony is not about conflict avoidance and maintaining social order, it is about building conditions in which people’s rights, dignity and relationships are preserved</w:t>
      </w:r>
    </w:p>
    <w:p w14:paraId="3B4D765E" w14:textId="0FD27413" w:rsidR="00521223" w:rsidRDefault="009827E7" w:rsidP="00326DF5">
      <w:pPr>
        <w:ind w:firstLine="360"/>
        <w:jc w:val="both"/>
      </w:pPr>
      <w:r>
        <w:t xml:space="preserve">. </w:t>
      </w:r>
    </w:p>
    <w:p w14:paraId="762FBD9F" w14:textId="7F1B81C3" w:rsidR="00D66647" w:rsidRPr="00D66647" w:rsidRDefault="002424ED" w:rsidP="00326DF5">
      <w:pPr>
        <w:pStyle w:val="ListParagraph"/>
        <w:numPr>
          <w:ilvl w:val="0"/>
          <w:numId w:val="1"/>
        </w:numPr>
        <w:jc w:val="both"/>
      </w:pPr>
      <w:r w:rsidRPr="00A070E7">
        <w:rPr>
          <w:b/>
          <w:bCs/>
        </w:rPr>
        <w:lastRenderedPageBreak/>
        <w:t>Case Study: Zakat, Waqf and Ṣul</w:t>
      </w:r>
      <w:r w:rsidRPr="00A070E7">
        <w:rPr>
          <w:rFonts w:ascii="Calibri" w:hAnsi="Calibri" w:cs="Calibri"/>
          <w:b/>
          <w:bCs/>
        </w:rPr>
        <w:t>ḥ</w:t>
      </w:r>
      <w:r w:rsidRPr="00A070E7">
        <w:rPr>
          <w:b/>
          <w:bCs/>
        </w:rPr>
        <w:t xml:space="preserve"> in Practice</w:t>
      </w:r>
    </w:p>
    <w:p w14:paraId="70EB10EE" w14:textId="3345F31D" w:rsidR="00D66647" w:rsidRPr="00D66647" w:rsidRDefault="00D66647" w:rsidP="00326DF5">
      <w:pPr>
        <w:ind w:firstLine="720"/>
        <w:jc w:val="both"/>
      </w:pPr>
      <w:r w:rsidRPr="00D66647">
        <w:t>After establishing the theoretical discussion above, Harmony must be tested in practice so that it does not remain only an abstract ethical concept. This section therefore puts Harmony in practice through the examination of two practical case studies: the first, zakat and waqf in Indonesia as instruments of Islamic social finance aiming towards poverty alleviation and social welfare; and the second on ṣul</w:t>
      </w:r>
      <w:r w:rsidRPr="00D66647">
        <w:rPr>
          <w:rFonts w:ascii="Calibri" w:hAnsi="Calibri" w:cs="Calibri"/>
        </w:rPr>
        <w:t>ḥ</w:t>
      </w:r>
      <w:r w:rsidRPr="00D66647">
        <w:t xml:space="preserve"> in Malaysian Shariah courts as a practical model of mediation and conflict resolution. Both cases show how Islamic principles can support the expression of Harmony through social welfare and reconciliation. They also highlight how implementation determines whether Harmony becomes a tool for transformation or merely an ideal symbol.</w:t>
      </w:r>
    </w:p>
    <w:p w14:paraId="43E56259" w14:textId="10FDDDB9" w:rsidR="003311A7" w:rsidRDefault="003311A7" w:rsidP="00326DF5">
      <w:pPr>
        <w:pStyle w:val="ListParagraph"/>
        <w:numPr>
          <w:ilvl w:val="1"/>
          <w:numId w:val="1"/>
        </w:numPr>
        <w:jc w:val="both"/>
        <w:rPr>
          <w:b/>
          <w:bCs/>
        </w:rPr>
      </w:pPr>
      <w:r w:rsidRPr="003311A7">
        <w:rPr>
          <w:b/>
          <w:bCs/>
        </w:rPr>
        <w:t>Zakat and Waqf in Indonesia: Social Justice and Sustainable Welfare</w:t>
      </w:r>
    </w:p>
    <w:p w14:paraId="048E3A4A" w14:textId="1AA8EEDB" w:rsidR="00E90087" w:rsidRDefault="00E90087" w:rsidP="00326DF5">
      <w:pPr>
        <w:ind w:firstLine="720"/>
        <w:jc w:val="both"/>
      </w:pPr>
      <w:r>
        <w:t>The case study of Indonesia is deemed useful due to its demographic context of having a large Muslim population and active national institutions that focus on the application of zakat and waqf. Some of these institutions include BAZNAS and the Indonesian Waqf Board. According to a report from UNDP and BAZNAS, zakat is framed as a major source of development, describing it as “one of the largest forms of wealth transfer to the poor and needy in existence” (Noor and Pickup, 2017, p. 3). This shifts zakat beyond the narrow idea of personal charity, to it becoming a form of social practice that contributes to reducing poverty and inequality and supporting sustainable development.</w:t>
      </w:r>
    </w:p>
    <w:p w14:paraId="5369BBEA" w14:textId="04F83F1F" w:rsidR="00E90087" w:rsidRDefault="00E90087" w:rsidP="00326DF5">
      <w:pPr>
        <w:ind w:firstLine="720"/>
        <w:jc w:val="both"/>
      </w:pPr>
      <w:r>
        <w:t>The Qur’an supports this understanding of zakat through the identification of specific categories of recipients, including: the poor, the needy, those who administer zakat, those in debt, travelers and others who are socially or economically vulnerable (Qur’an 9:60, trans. Abdel Haleem, 2005). This suggests that zakat is not an optional form of charity or generosity, but a structured social obligation for Muslims. Harmony gets expressed here due to the reflected principle of cycles in which wealth is not meant to remain concentrated in one place. On the contrary, it calls for wealth circulation towards those in need whose dignity and security are threatened by poverty.</w:t>
      </w:r>
    </w:p>
    <w:p w14:paraId="2C04F8C1" w14:textId="2ABBD813" w:rsidR="00E90087" w:rsidRDefault="00E90087" w:rsidP="00326DF5">
      <w:pPr>
        <w:ind w:firstLine="720"/>
        <w:jc w:val="both"/>
      </w:pPr>
      <w:r>
        <w:t xml:space="preserve">Zakat here shows strength in providing direct support to vulnerable people by strengthening social responsibility and solidarity, while overall linking religious obligation with developmental goals. Noor and Pickup support this argument on how zakat has a greater development potential when managed professionally in alignment with long-term goals (2017, pp. 6–8). Zakat here meets with positive peace, since poverty is a form of structural violence, and the notion of redistributive systems helps reduce the conditions that generate insecurity and social resentment. Hence, </w:t>
      </w:r>
      <w:proofErr w:type="gramStart"/>
      <w:r>
        <w:t>zakat</w:t>
      </w:r>
      <w:proofErr w:type="gramEnd"/>
      <w:r>
        <w:t xml:space="preserve"> also contributes to the </w:t>
      </w:r>
      <w:r>
        <w:lastRenderedPageBreak/>
        <w:t>conceptualization of Harmony when moving beyond emergency response to alignment with empowerment, livelihood, education and unconditional access to services.</w:t>
      </w:r>
    </w:p>
    <w:p w14:paraId="6C39723D" w14:textId="3CC51B12" w:rsidR="00E90087" w:rsidRDefault="00E90087" w:rsidP="00326DF5">
      <w:pPr>
        <w:ind w:firstLine="720"/>
        <w:jc w:val="both"/>
      </w:pPr>
      <w:r>
        <w:t xml:space="preserve">Waqf becomes complementary to zakat due to its long-term orientation. </w:t>
      </w:r>
      <w:proofErr w:type="spellStart"/>
      <w:r>
        <w:t>Kahf</w:t>
      </w:r>
      <w:proofErr w:type="spellEnd"/>
      <w:r>
        <w:t xml:space="preserve"> defines waqf as the preservation of property for charitable purposes whilst preventing it from being misused for other purposes (</w:t>
      </w:r>
      <w:proofErr w:type="spellStart"/>
      <w:r>
        <w:t>Kahf</w:t>
      </w:r>
      <w:proofErr w:type="spellEnd"/>
      <w:r>
        <w:t>, n.d., p. 2). In the example of Indonesia, modern literature argues that zakat and waqf work together: zakat by providing direct support for the poor, while waqf provides longer-term infrastructure and empowerment (Zulkipli, Basit and Wajdi, 2025, pp. 25–26). This makes waqf relevant to sustainable Harmony as assets and properties are not depleted immediately, with benefits intended to continue across time.</w:t>
      </w:r>
    </w:p>
    <w:p w14:paraId="27DCE456" w14:textId="3CBC6910" w:rsidR="00E90087" w:rsidRDefault="00E90087" w:rsidP="00326DF5">
      <w:pPr>
        <w:ind w:firstLine="720"/>
        <w:jc w:val="both"/>
      </w:pPr>
      <w:r>
        <w:t>It is also important to highlight the limitations of the Indonesian case study. Zulkipli, Basit and Wajdi identify low public literacy, weak coordination, institutional fragmentation, and insufficient policy integration as challenges to the proper implementation and management of zakat and waqf (2025, pp. 26–27). As previously reflected in the literature, despite the practice having a strong ethical foundation, it will not be successful if institutions are fragmented or poorly governed; this will result in a weak and limited social impact. For instance, if zakat funds are distributed without having prior credible data on need, or if waqf assets are misused due to weak management or absence of accountability, the result will be symbolic religious fulfillment with no real structural transformation.</w:t>
      </w:r>
    </w:p>
    <w:p w14:paraId="435856AB" w14:textId="4A22FCF5" w:rsidR="00E90087" w:rsidRDefault="00E90087" w:rsidP="00326DF5">
      <w:pPr>
        <w:ind w:firstLine="720"/>
        <w:jc w:val="both"/>
      </w:pPr>
      <w:r>
        <w:t xml:space="preserve">The above case shows that zakat and waqf can play a significant role in expressing Harmony, however their success depends on specific conditions. These practices must be managed with </w:t>
      </w:r>
      <w:proofErr w:type="spellStart"/>
      <w:r>
        <w:t>amānah</w:t>
      </w:r>
      <w:proofErr w:type="spellEnd"/>
      <w:r>
        <w:t xml:space="preserve">, transparency and accountability. They must also be embraced in structured social policy rather than treated as isolated and independent initiatives for charity. Therefore, their success should be measured by whether they reduce vulnerability, improve accessibility to services and strengthen social dignity instead of merely looking at the amount of money collected and number of assets secured. In sum, </w:t>
      </w:r>
      <w:proofErr w:type="gramStart"/>
      <w:r>
        <w:t>zakat</w:t>
      </w:r>
      <w:proofErr w:type="gramEnd"/>
      <w:r>
        <w:t xml:space="preserve"> and </w:t>
      </w:r>
      <w:proofErr w:type="gramStart"/>
      <w:r>
        <w:t>waqf</w:t>
      </w:r>
      <w:proofErr w:type="gramEnd"/>
      <w:r>
        <w:t xml:space="preserve"> strongly contribute to Harmony when moral intention and professional governance are combined for a greater social impact.</w:t>
      </w:r>
    </w:p>
    <w:p w14:paraId="4C4D10C1" w14:textId="77777777" w:rsidR="00326DF5" w:rsidRDefault="00326DF5" w:rsidP="00326DF5">
      <w:pPr>
        <w:ind w:firstLine="720"/>
        <w:jc w:val="both"/>
      </w:pPr>
    </w:p>
    <w:p w14:paraId="69C824FE" w14:textId="77777777" w:rsidR="00326DF5" w:rsidRDefault="00326DF5" w:rsidP="00326DF5">
      <w:pPr>
        <w:ind w:firstLine="720"/>
        <w:jc w:val="both"/>
      </w:pPr>
    </w:p>
    <w:p w14:paraId="2F973015" w14:textId="1C65DAD6" w:rsidR="00326DF5" w:rsidRDefault="00326DF5" w:rsidP="00326DF5">
      <w:pPr>
        <w:ind w:firstLine="720"/>
        <w:jc w:val="both"/>
      </w:pPr>
    </w:p>
    <w:p w14:paraId="090DF0DE" w14:textId="77777777" w:rsidR="00326DF5" w:rsidRDefault="00326DF5" w:rsidP="00326DF5">
      <w:pPr>
        <w:ind w:firstLine="720"/>
        <w:jc w:val="both"/>
      </w:pPr>
    </w:p>
    <w:p w14:paraId="463E5176" w14:textId="77777777" w:rsidR="00326DF5" w:rsidRDefault="00326DF5" w:rsidP="00326DF5">
      <w:pPr>
        <w:ind w:firstLine="720"/>
        <w:jc w:val="both"/>
      </w:pPr>
    </w:p>
    <w:p w14:paraId="3A3AB6BB" w14:textId="77777777" w:rsidR="00326DF5" w:rsidRDefault="00326DF5" w:rsidP="00326DF5">
      <w:pPr>
        <w:ind w:firstLine="720"/>
        <w:jc w:val="both"/>
      </w:pPr>
    </w:p>
    <w:p w14:paraId="4F3EE546" w14:textId="107F1550" w:rsidR="00B46F30" w:rsidRPr="00003911" w:rsidRDefault="00003911" w:rsidP="00326DF5">
      <w:pPr>
        <w:pStyle w:val="ListParagraph"/>
        <w:numPr>
          <w:ilvl w:val="1"/>
          <w:numId w:val="1"/>
        </w:numPr>
        <w:jc w:val="both"/>
        <w:rPr>
          <w:b/>
          <w:bCs/>
        </w:rPr>
      </w:pPr>
      <w:r w:rsidRPr="00003911">
        <w:rPr>
          <w:b/>
          <w:bCs/>
        </w:rPr>
        <w:lastRenderedPageBreak/>
        <w:t>Ṣul</w:t>
      </w:r>
      <w:r w:rsidRPr="00003911">
        <w:rPr>
          <w:rFonts w:ascii="Calibri" w:hAnsi="Calibri" w:cs="Calibri"/>
          <w:b/>
          <w:bCs/>
        </w:rPr>
        <w:t>ḥ</w:t>
      </w:r>
      <w:r w:rsidRPr="00003911">
        <w:rPr>
          <w:b/>
          <w:bCs/>
        </w:rPr>
        <w:t xml:space="preserve"> in Malaysian Shariah Courts: Reconciliation and Relational Peace</w:t>
      </w:r>
    </w:p>
    <w:p w14:paraId="0DBAA404" w14:textId="0B87B2D7" w:rsidR="00A54C48" w:rsidRDefault="00A54C48" w:rsidP="00326DF5">
      <w:pPr>
        <w:ind w:firstLine="720"/>
        <w:jc w:val="both"/>
      </w:pPr>
      <w:r>
        <w:t>The second case study’s focus is on ṣul</w:t>
      </w:r>
      <w:r>
        <w:rPr>
          <w:rFonts w:ascii="Calibri" w:hAnsi="Calibri" w:cs="Calibri"/>
        </w:rPr>
        <w:t>ḥ</w:t>
      </w:r>
      <w:r>
        <w:t xml:space="preserve"> in Malaysian Shariah courts. This case study shows what Islamic conflict resolution looks like in practice, and how it can be applied in a formal legal setting. Wan Muhammad defines ṣul</w:t>
      </w:r>
      <w:r>
        <w:rPr>
          <w:rFonts w:ascii="Calibri" w:hAnsi="Calibri" w:cs="Calibri"/>
        </w:rPr>
        <w:t>ḥ</w:t>
      </w:r>
      <w:r>
        <w:t xml:space="preserve"> as “reconciliation or mediation” and continues to describe it as a process in which conflicting parties seek a mutually agreed resolution under the support and guidance of a mediator or ṣul</w:t>
      </w:r>
      <w:r>
        <w:rPr>
          <w:rFonts w:ascii="Calibri" w:hAnsi="Calibri" w:cs="Calibri"/>
        </w:rPr>
        <w:t>ḥ</w:t>
      </w:r>
      <w:r>
        <w:t xml:space="preserve"> officer (Wan Muhammad, 2008, p. 34). The purpose of ṣul</w:t>
      </w:r>
      <w:r>
        <w:rPr>
          <w:rFonts w:ascii="Calibri" w:hAnsi="Calibri" w:cs="Calibri"/>
        </w:rPr>
        <w:t>ḥ</w:t>
      </w:r>
      <w:r>
        <w:t xml:space="preserve"> is to end conflict and neutralize hostility for relationships to thrive in peace and harmony (Wan Muhammad, 2008, p. 34).</w:t>
      </w:r>
    </w:p>
    <w:p w14:paraId="56987FE2" w14:textId="53111326" w:rsidR="00A54C48" w:rsidRDefault="00A54C48" w:rsidP="00326DF5">
      <w:pPr>
        <w:ind w:firstLine="720"/>
        <w:jc w:val="both"/>
      </w:pPr>
      <w:r>
        <w:t>The Qur’an provides a clear and strong basis for this approach in Qur’an 49:10, stating that “the believers are brothers, so make peace between your two brothers” (Qur’an 49:10, trans. Abdel Haleem, 2005). Ṣul</w:t>
      </w:r>
      <w:r>
        <w:rPr>
          <w:rFonts w:ascii="Calibri" w:hAnsi="Calibri" w:cs="Calibri"/>
        </w:rPr>
        <w:t>ḥ</w:t>
      </w:r>
      <w:r>
        <w:t xml:space="preserve"> therefore can act as a practical tool for achieving Harmony since it creates a space for dialogue and negotiation while focusing on relational repair. This can be crucial and relevant in family-related disputes, where relationships may continue even after legal processes end. In such a context, ṣul</w:t>
      </w:r>
      <w:r>
        <w:rPr>
          <w:rFonts w:ascii="Calibri" w:hAnsi="Calibri" w:cs="Calibri"/>
        </w:rPr>
        <w:t>ḥ</w:t>
      </w:r>
      <w:r>
        <w:t>, through mediation, can reduce hostility beyond the conclusion of a legal process.</w:t>
      </w:r>
    </w:p>
    <w:p w14:paraId="3F6A7A5E" w14:textId="1B1AA6D5" w:rsidR="00A54C48" w:rsidRDefault="00A54C48" w:rsidP="00326DF5">
      <w:pPr>
        <w:ind w:firstLine="720"/>
        <w:jc w:val="both"/>
      </w:pPr>
      <w:r>
        <w:t>The Malaysian case also highlights the importance of institutional ethics, as Wan Muhammad notes that ṣul</w:t>
      </w:r>
      <w:r>
        <w:rPr>
          <w:rFonts w:ascii="Calibri" w:hAnsi="Calibri" w:cs="Calibri"/>
        </w:rPr>
        <w:t>ḥ</w:t>
      </w:r>
      <w:r>
        <w:t xml:space="preserve"> officers are commanded to avoid bias, refuse all forms of gifts and bribes to protect the credibility of the Shariah court as a reputable institution of justice (Wan Muhammad, 2008, pp. 47–48). This obligation is key, as reconciliation relies foundationally on trust. If the mediator is not neutral, or if one party feels pressured, ṣul</w:t>
      </w:r>
      <w:r>
        <w:rPr>
          <w:rFonts w:ascii="Calibri" w:hAnsi="Calibri" w:cs="Calibri"/>
        </w:rPr>
        <w:t>ḥ</w:t>
      </w:r>
      <w:r>
        <w:t xml:space="preserve"> would result in settlement without achieving justice. Maintaining work ethics becomes crucially relevant, especially where there are unequal power relations in cases of family-related disputes such as divorce and inheritance-related topics.</w:t>
      </w:r>
    </w:p>
    <w:p w14:paraId="18C527E8" w14:textId="13FDD2DC" w:rsidR="00B44880" w:rsidRDefault="00A54C48" w:rsidP="00326DF5">
      <w:pPr>
        <w:ind w:firstLine="720"/>
        <w:jc w:val="both"/>
      </w:pPr>
      <w:r>
        <w:t>Ṣul</w:t>
      </w:r>
      <w:r>
        <w:rPr>
          <w:rFonts w:ascii="Calibri" w:hAnsi="Calibri" w:cs="Calibri"/>
        </w:rPr>
        <w:t>ḥ</w:t>
      </w:r>
      <w:r>
        <w:t xml:space="preserve"> can only express harmony when the reconciliation process is neutral, just and voluntary in the pursuit of protecting vulnerable parties. A successful settlement case should only be measured through an outcome that protects dignity, justice and consent; it should not only be measured through case closure as a successful indicator for resolution. Like zakat and waqf in the Indonesian case, ṣul</w:t>
      </w:r>
      <w:r>
        <w:rPr>
          <w:rFonts w:ascii="Calibri" w:hAnsi="Calibri" w:cs="Calibri"/>
        </w:rPr>
        <w:t>ḥ</w:t>
      </w:r>
      <w:r>
        <w:t xml:space="preserve"> shows that Islamic practices can support sustainable peacebuilding only when ethical and accountable implementation is honored</w:t>
      </w:r>
      <w:r w:rsidR="00B44880">
        <w:t xml:space="preserve">. </w:t>
      </w:r>
    </w:p>
    <w:p w14:paraId="440763FD" w14:textId="77777777" w:rsidR="00326DF5" w:rsidRDefault="00326DF5" w:rsidP="00326DF5">
      <w:pPr>
        <w:ind w:firstLine="720"/>
        <w:jc w:val="both"/>
      </w:pPr>
    </w:p>
    <w:p w14:paraId="6B9C38EE" w14:textId="77777777" w:rsidR="00326DF5" w:rsidRDefault="00326DF5" w:rsidP="00326DF5">
      <w:pPr>
        <w:jc w:val="both"/>
      </w:pPr>
    </w:p>
    <w:p w14:paraId="3E6F64F8" w14:textId="77777777" w:rsidR="00326DF5" w:rsidRDefault="00326DF5" w:rsidP="00326DF5">
      <w:pPr>
        <w:jc w:val="both"/>
      </w:pPr>
    </w:p>
    <w:p w14:paraId="73DB07B9" w14:textId="77777777" w:rsidR="00326DF5" w:rsidRDefault="00326DF5" w:rsidP="00326DF5">
      <w:pPr>
        <w:ind w:firstLine="720"/>
        <w:jc w:val="both"/>
      </w:pPr>
    </w:p>
    <w:p w14:paraId="165BD72A" w14:textId="324DEFA2" w:rsidR="00620BE4" w:rsidRPr="00620BE4" w:rsidRDefault="00620BE4" w:rsidP="00326DF5">
      <w:pPr>
        <w:pStyle w:val="ListParagraph"/>
        <w:numPr>
          <w:ilvl w:val="0"/>
          <w:numId w:val="1"/>
        </w:numPr>
        <w:tabs>
          <w:tab w:val="left" w:pos="1047"/>
        </w:tabs>
        <w:jc w:val="both"/>
        <w:rPr>
          <w:b/>
          <w:bCs/>
        </w:rPr>
      </w:pPr>
      <w:r w:rsidRPr="00620BE4">
        <w:rPr>
          <w:b/>
          <w:bCs/>
        </w:rPr>
        <w:lastRenderedPageBreak/>
        <w:t>Conclusion</w:t>
      </w:r>
    </w:p>
    <w:p w14:paraId="7ADA0AA5" w14:textId="20B84FF6" w:rsidR="00E730FC" w:rsidRDefault="009C50A3" w:rsidP="00326DF5">
      <w:pPr>
        <w:tabs>
          <w:tab w:val="left" w:pos="1047"/>
        </w:tabs>
        <w:jc w:val="both"/>
      </w:pPr>
      <w:r>
        <w:tab/>
      </w:r>
      <w:r w:rsidR="00E730FC">
        <w:t>This essay has critically examined the extent to which Islamic practices and principles of zakat, waqf, and ṣul</w:t>
      </w:r>
      <w:r w:rsidR="00E730FC">
        <w:rPr>
          <w:rFonts w:ascii="Calibri" w:hAnsi="Calibri" w:cs="Calibri"/>
        </w:rPr>
        <w:t>ḥ</w:t>
      </w:r>
      <w:r w:rsidR="00E730FC">
        <w:t xml:space="preserve"> can express the theory and principles of Harmony as a model for conflict resolution, sustainable peacebuilding and social justice. It has been argued that Harmony should not be framed as passive order, silence or the absence of disagreement. Instead, Harmony is better approached as a process of restoring balance, mending relationships and creating conditions in which communities can co-exist with dignity and shared accountability.</w:t>
      </w:r>
    </w:p>
    <w:p w14:paraId="75A36D03" w14:textId="0A9DBDE2" w:rsidR="00E730FC" w:rsidRDefault="00E730FC" w:rsidP="00326DF5">
      <w:pPr>
        <w:tabs>
          <w:tab w:val="left" w:pos="1047"/>
        </w:tabs>
        <w:jc w:val="both"/>
      </w:pPr>
      <w:r>
        <w:tab/>
      </w:r>
      <w:r>
        <w:t xml:space="preserve">The discussion drew strong linkages between Harmony and positive peace. Galtung’s distinction between negative and positive peace demonstrates that peace cannot be reduced to the absence of direct violence; it must also tackle structural violence and social injustice that are often concealed and suppressed (Galtung, 1969). This concept also closely links with Islamic ethical principles such as </w:t>
      </w:r>
      <w:proofErr w:type="spellStart"/>
      <w:r>
        <w:t>mīzān</w:t>
      </w:r>
      <w:proofErr w:type="spellEnd"/>
      <w:r>
        <w:t xml:space="preserve">, </w:t>
      </w:r>
      <w:proofErr w:type="spellStart"/>
      <w:r>
        <w:rPr>
          <w:rFonts w:ascii="Arial" w:hAnsi="Arial" w:cs="Arial"/>
        </w:rPr>
        <w:t>ʿ</w:t>
      </w:r>
      <w:r>
        <w:t>adl</w:t>
      </w:r>
      <w:proofErr w:type="spellEnd"/>
      <w:r>
        <w:t xml:space="preserve">, </w:t>
      </w:r>
      <w:proofErr w:type="spellStart"/>
      <w:r>
        <w:t>maq</w:t>
      </w:r>
      <w:r>
        <w:rPr>
          <w:rFonts w:ascii="Aptos" w:hAnsi="Aptos" w:cs="Aptos"/>
        </w:rPr>
        <w:t>ā</w:t>
      </w:r>
      <w:r>
        <w:t>ṣid</w:t>
      </w:r>
      <w:proofErr w:type="spellEnd"/>
      <w:r>
        <w:t xml:space="preserve">, </w:t>
      </w:r>
      <w:proofErr w:type="spellStart"/>
      <w:r>
        <w:t>masla</w:t>
      </w:r>
      <w:r>
        <w:rPr>
          <w:rFonts w:ascii="Calibri" w:hAnsi="Calibri" w:cs="Calibri"/>
        </w:rPr>
        <w:t>ḥ</w:t>
      </w:r>
      <w:r>
        <w:t>a</w:t>
      </w:r>
      <w:proofErr w:type="spellEnd"/>
      <w:r>
        <w:t xml:space="preserve"> and </w:t>
      </w:r>
      <w:proofErr w:type="spellStart"/>
      <w:r>
        <w:t>amānah</w:t>
      </w:r>
      <w:proofErr w:type="spellEnd"/>
      <w:r>
        <w:t>. An emphasis was also drawn from the Qur’an, underlining balance and justice and showing that Islamic Harmony is not only a spiritual concept, but also a social and practical one (Qur’an 55:7–9; Qur’an 4:135, trans. Abdel Haleem, 2005).</w:t>
      </w:r>
    </w:p>
    <w:p w14:paraId="42C5AE60" w14:textId="16ADDDE4" w:rsidR="00E730FC" w:rsidRDefault="00E730FC" w:rsidP="00326DF5">
      <w:pPr>
        <w:tabs>
          <w:tab w:val="left" w:pos="1047"/>
        </w:tabs>
        <w:jc w:val="both"/>
      </w:pPr>
      <w:r>
        <w:tab/>
      </w:r>
      <w:r>
        <w:t>The case studies further demonstrated how these concepts can be practically manifested, showing that zakat, waqf and ṣul</w:t>
      </w:r>
      <w:r>
        <w:rPr>
          <w:rFonts w:ascii="Calibri" w:hAnsi="Calibri" w:cs="Calibri"/>
        </w:rPr>
        <w:t>ḥ</w:t>
      </w:r>
      <w:r>
        <w:t xml:space="preserve"> can express Harmony in different yet complementary ways. Zakat and waqf focus on addressing structural dimensions of peace through the notion of wealth redistribution, support to public welfare and creation of long-term public benefit. Ṣul</w:t>
      </w:r>
      <w:r>
        <w:rPr>
          <w:rFonts w:ascii="Calibri" w:hAnsi="Calibri" w:cs="Calibri"/>
        </w:rPr>
        <w:t>ḥ</w:t>
      </w:r>
      <w:r>
        <w:t xml:space="preserve"> addresses relational dimensions of peace by inviting dialogue, mediation and reconciliation. More importantly, the cases also showed that these practices are not automatically harmonious and are limited to certain conditions. Zakat may be limited by short-term charity, waqf may suffer from poor governance, and ṣul</w:t>
      </w:r>
      <w:r>
        <w:rPr>
          <w:rFonts w:ascii="Calibri" w:hAnsi="Calibri" w:cs="Calibri"/>
        </w:rPr>
        <w:t>ḥ</w:t>
      </w:r>
      <w:r>
        <w:t xml:space="preserve"> may result in unjust settlements if power dynamics are ignored and processes are poorly managed.</w:t>
      </w:r>
    </w:p>
    <w:p w14:paraId="4DC51772" w14:textId="19720B92" w:rsidR="003E20FA" w:rsidRDefault="00E730FC" w:rsidP="00326DF5">
      <w:pPr>
        <w:tabs>
          <w:tab w:val="left" w:pos="1047"/>
        </w:tabs>
        <w:jc w:val="both"/>
      </w:pPr>
      <w:r>
        <w:tab/>
      </w:r>
      <w:r>
        <w:t>Therefore, what determines the success of zakat, waqf and ṣul</w:t>
      </w:r>
      <w:r>
        <w:rPr>
          <w:rFonts w:ascii="Calibri" w:hAnsi="Calibri" w:cs="Calibri"/>
        </w:rPr>
        <w:t>ḥ</w:t>
      </w:r>
      <w:r>
        <w:t xml:space="preserve"> in expressing Harmony depends on the conditions of implementation. To a significant extent, these practices can express Harmony, but only conditionally. When these practices are implemented with justice, accountability, transparency and protection for vulnerable groups, only then can they directly contribute to an atmosphere that embodies Harmony. Hence, the value of their fulfillment does not lie only in their religious origin, but in their ability to positively transform social conditions and relationships. In such a sense, Islamic principles can directly contribute to sustainable peacebuilding when ethical principles of justice, charity with structural change, and reconciliation with dignity are honored and integrated.</w:t>
      </w:r>
      <w:r w:rsidR="00A671E7">
        <w:t xml:space="preserve"> </w:t>
      </w:r>
    </w:p>
    <w:p w14:paraId="09568FBA" w14:textId="7E71CBE0" w:rsidR="00CA13CD" w:rsidRPr="00326DF5" w:rsidRDefault="00CA13CD" w:rsidP="00326DF5">
      <w:pPr>
        <w:jc w:val="both"/>
        <w:rPr>
          <w:b/>
          <w:bCs/>
        </w:rPr>
      </w:pPr>
      <w:r w:rsidRPr="00326DF5">
        <w:rPr>
          <w:b/>
          <w:bCs/>
        </w:rPr>
        <w:lastRenderedPageBreak/>
        <w:t>References</w:t>
      </w:r>
    </w:p>
    <w:p w14:paraId="571FC697" w14:textId="77777777" w:rsidR="008A3729" w:rsidRPr="00326DF5" w:rsidRDefault="008A3729" w:rsidP="00326DF5">
      <w:pPr>
        <w:jc w:val="both"/>
      </w:pPr>
      <w:r w:rsidRPr="00326DF5">
        <w:t xml:space="preserve">Abdel Haleem, M.A.S. (trans.) (2005) </w:t>
      </w:r>
      <w:r w:rsidRPr="00326DF5">
        <w:rPr>
          <w:i/>
          <w:iCs/>
        </w:rPr>
        <w:t>The Qur’an: A New Translation</w:t>
      </w:r>
      <w:r w:rsidRPr="00326DF5">
        <w:t>. Oxford: Oxford University Press.</w:t>
      </w:r>
    </w:p>
    <w:p w14:paraId="79126312" w14:textId="77777777" w:rsidR="008A3729" w:rsidRPr="00326DF5" w:rsidRDefault="008A3729" w:rsidP="00326DF5">
      <w:pPr>
        <w:jc w:val="both"/>
      </w:pPr>
      <w:r w:rsidRPr="00326DF5">
        <w:t xml:space="preserve">Auda, J. (2007) </w:t>
      </w:r>
      <w:proofErr w:type="spellStart"/>
      <w:r w:rsidRPr="00326DF5">
        <w:rPr>
          <w:i/>
          <w:iCs/>
        </w:rPr>
        <w:t>Maqasid</w:t>
      </w:r>
      <w:proofErr w:type="spellEnd"/>
      <w:r w:rsidRPr="00326DF5">
        <w:rPr>
          <w:i/>
          <w:iCs/>
        </w:rPr>
        <w:t xml:space="preserve"> al-Shariah as Philosophy of Islamic Law: A Systems Approach</w:t>
      </w:r>
      <w:r w:rsidRPr="00326DF5">
        <w:t>. London and Washington: International Institute of Islamic Thought.</w:t>
      </w:r>
    </w:p>
    <w:p w14:paraId="516FB009" w14:textId="77777777" w:rsidR="008A3729" w:rsidRPr="00326DF5" w:rsidRDefault="008A3729" w:rsidP="00326DF5">
      <w:pPr>
        <w:jc w:val="both"/>
      </w:pPr>
      <w:r w:rsidRPr="00326DF5">
        <w:t xml:space="preserve">Dunne, R. (2016) ‘Principles of Harmony’, </w:t>
      </w:r>
      <w:r w:rsidRPr="00326DF5">
        <w:rPr>
          <w:i/>
          <w:iCs/>
        </w:rPr>
        <w:t>Primary Geography</w:t>
      </w:r>
      <w:r w:rsidRPr="00326DF5">
        <w:t>, Summer 2016, pp. 12–13.</w:t>
      </w:r>
    </w:p>
    <w:p w14:paraId="44C124E8" w14:textId="77777777" w:rsidR="008A3729" w:rsidRPr="00326DF5" w:rsidRDefault="008A3729" w:rsidP="00326DF5">
      <w:pPr>
        <w:jc w:val="both"/>
      </w:pPr>
      <w:r w:rsidRPr="00326DF5">
        <w:t xml:space="preserve">Galtung, J. (1969) ‘Violence, peace, and peace research’, </w:t>
      </w:r>
      <w:r w:rsidRPr="00326DF5">
        <w:rPr>
          <w:i/>
          <w:iCs/>
        </w:rPr>
        <w:t>Journal of Peace Research</w:t>
      </w:r>
      <w:r w:rsidRPr="00326DF5">
        <w:t>, 6(3), pp. 167–191.</w:t>
      </w:r>
    </w:p>
    <w:p w14:paraId="40B1B7BD" w14:textId="6BE11F6E" w:rsidR="008A3729" w:rsidRPr="00326DF5" w:rsidRDefault="008A3729" w:rsidP="00326DF5">
      <w:pPr>
        <w:jc w:val="both"/>
      </w:pPr>
      <w:r w:rsidRPr="00326DF5">
        <w:t>Gill, S. (</w:t>
      </w:r>
      <w:r w:rsidR="00D723D1" w:rsidRPr="00326DF5">
        <w:t xml:space="preserve">2020) </w:t>
      </w:r>
      <w:r w:rsidRPr="00326DF5">
        <w:t xml:space="preserve">Peace from the perspectives of harmony’, in Campion, N. (ed.) </w:t>
      </w:r>
      <w:r w:rsidRPr="00326DF5">
        <w:rPr>
          <w:i/>
          <w:iCs/>
        </w:rPr>
        <w:t>The Harmony Debates: Exploring a Practical Philosophy for a Sustainable Future</w:t>
      </w:r>
      <w:r w:rsidRPr="00326DF5">
        <w:t>. Ceredigion: Sophia Centre Press, pp. 289–304.</w:t>
      </w:r>
    </w:p>
    <w:p w14:paraId="7CE2B73B" w14:textId="77777777" w:rsidR="008A3729" w:rsidRPr="00326DF5" w:rsidRDefault="008A3729" w:rsidP="00326DF5">
      <w:pPr>
        <w:jc w:val="both"/>
      </w:pPr>
      <w:proofErr w:type="spellStart"/>
      <w:r w:rsidRPr="00326DF5">
        <w:t>Kahf</w:t>
      </w:r>
      <w:proofErr w:type="spellEnd"/>
      <w:r w:rsidRPr="00326DF5">
        <w:t xml:space="preserve">, M. (n.d.) </w:t>
      </w:r>
      <w:r w:rsidRPr="00326DF5">
        <w:rPr>
          <w:i/>
          <w:iCs/>
        </w:rPr>
        <w:t>Waqf and Its Sociopolitical Aspects</w:t>
      </w:r>
      <w:r w:rsidRPr="00326DF5">
        <w:t>. Available as course material.</w:t>
      </w:r>
    </w:p>
    <w:p w14:paraId="209C5004" w14:textId="77777777" w:rsidR="008A3729" w:rsidRPr="00326DF5" w:rsidRDefault="008A3729" w:rsidP="00326DF5">
      <w:pPr>
        <w:jc w:val="both"/>
      </w:pPr>
      <w:r w:rsidRPr="00326DF5">
        <w:t xml:space="preserve">Kamali, M.H. (2008) </w:t>
      </w:r>
      <w:proofErr w:type="spellStart"/>
      <w:r w:rsidRPr="00326DF5">
        <w:rPr>
          <w:i/>
          <w:iCs/>
        </w:rPr>
        <w:t>Maqasid</w:t>
      </w:r>
      <w:proofErr w:type="spellEnd"/>
      <w:r w:rsidRPr="00326DF5">
        <w:rPr>
          <w:i/>
          <w:iCs/>
        </w:rPr>
        <w:t xml:space="preserve"> al-Shariah Made Simple</w:t>
      </w:r>
      <w:r w:rsidRPr="00326DF5">
        <w:t>. London and Washington: International Institute of Islamic Thought.</w:t>
      </w:r>
    </w:p>
    <w:p w14:paraId="27B66D6A" w14:textId="77777777" w:rsidR="008A3729" w:rsidRPr="00326DF5" w:rsidRDefault="008A3729" w:rsidP="00326DF5">
      <w:pPr>
        <w:jc w:val="both"/>
      </w:pPr>
      <w:r w:rsidRPr="00326DF5">
        <w:t xml:space="preserve">Noor, Z. and Pickup, F. (2017) </w:t>
      </w:r>
      <w:r w:rsidRPr="00326DF5">
        <w:rPr>
          <w:i/>
          <w:iCs/>
        </w:rPr>
        <w:t>The Role of Zakat in Supporting the Sustainable Development Goals</w:t>
      </w:r>
      <w:r w:rsidRPr="00326DF5">
        <w:t>. Jakarta: BAZNAS and UNDP Indonesia.</w:t>
      </w:r>
    </w:p>
    <w:p w14:paraId="1C904BAF" w14:textId="77777777" w:rsidR="008A3729" w:rsidRPr="00326DF5" w:rsidRDefault="008A3729" w:rsidP="00326DF5">
      <w:pPr>
        <w:jc w:val="both"/>
      </w:pPr>
      <w:proofErr w:type="spellStart"/>
      <w:r w:rsidRPr="00326DF5">
        <w:t>Syifauddin</w:t>
      </w:r>
      <w:proofErr w:type="spellEnd"/>
      <w:r w:rsidRPr="00326DF5">
        <w:t xml:space="preserve">, M.N., Arifin, B. and </w:t>
      </w:r>
      <w:proofErr w:type="spellStart"/>
      <w:r w:rsidRPr="00326DF5">
        <w:t>Piryanti</w:t>
      </w:r>
      <w:proofErr w:type="spellEnd"/>
      <w:r w:rsidRPr="00326DF5">
        <w:t xml:space="preserve">, M. (2025) ‘Waqf as an instrument of social ethics: A study of Islamic legal philosophy on altruism and ownership’, </w:t>
      </w:r>
      <w:r w:rsidRPr="00326DF5">
        <w:rPr>
          <w:i/>
          <w:iCs/>
        </w:rPr>
        <w:t>At-</w:t>
      </w:r>
      <w:proofErr w:type="spellStart"/>
      <w:r w:rsidRPr="00326DF5">
        <w:rPr>
          <w:i/>
          <w:iCs/>
        </w:rPr>
        <w:t>Tahdzib</w:t>
      </w:r>
      <w:proofErr w:type="spellEnd"/>
      <w:r w:rsidRPr="00326DF5">
        <w:rPr>
          <w:i/>
          <w:iCs/>
        </w:rPr>
        <w:t xml:space="preserve">: </w:t>
      </w:r>
      <w:proofErr w:type="spellStart"/>
      <w:r w:rsidRPr="00326DF5">
        <w:rPr>
          <w:i/>
          <w:iCs/>
        </w:rPr>
        <w:t>Jurnal</w:t>
      </w:r>
      <w:proofErr w:type="spellEnd"/>
      <w:r w:rsidRPr="00326DF5">
        <w:rPr>
          <w:i/>
          <w:iCs/>
        </w:rPr>
        <w:t xml:space="preserve"> Studi Islam dan Mu’amalah</w:t>
      </w:r>
      <w:r w:rsidRPr="00326DF5">
        <w:t>, 13(1), pp. 49–64.</w:t>
      </w:r>
    </w:p>
    <w:p w14:paraId="66B439AF" w14:textId="77777777" w:rsidR="008A3729" w:rsidRPr="00326DF5" w:rsidRDefault="008A3729" w:rsidP="00326DF5">
      <w:pPr>
        <w:jc w:val="both"/>
      </w:pPr>
      <w:r w:rsidRPr="00326DF5">
        <w:t xml:space="preserve">The Harmony Project (n.d.) </w:t>
      </w:r>
      <w:r w:rsidRPr="00326DF5">
        <w:rPr>
          <w:i/>
          <w:iCs/>
        </w:rPr>
        <w:t>Nature’s Principles of Harmony</w:t>
      </w:r>
      <w:r w:rsidRPr="00326DF5">
        <w:t>. Available as course material.</w:t>
      </w:r>
    </w:p>
    <w:p w14:paraId="2B15E8DC" w14:textId="77777777" w:rsidR="008A3729" w:rsidRPr="00326DF5" w:rsidRDefault="008A3729" w:rsidP="00326DF5">
      <w:pPr>
        <w:jc w:val="both"/>
      </w:pPr>
      <w:r w:rsidRPr="00326DF5">
        <w:t>Wan Muhammad, R. (2008) ‘The theory and practice of ṣul</w:t>
      </w:r>
      <w:r w:rsidRPr="00326DF5">
        <w:rPr>
          <w:rFonts w:ascii="Calibri" w:hAnsi="Calibri" w:cs="Calibri"/>
        </w:rPr>
        <w:t>ḥ</w:t>
      </w:r>
      <w:r w:rsidRPr="00326DF5">
        <w:t xml:space="preserve"> (mediation) in the Malaysian Shariah Courts’, </w:t>
      </w:r>
      <w:r w:rsidRPr="00326DF5">
        <w:rPr>
          <w:i/>
          <w:iCs/>
        </w:rPr>
        <w:t>IIUM Law Journal</w:t>
      </w:r>
      <w:r w:rsidRPr="00326DF5">
        <w:t>, 16(1), pp. 33–64.</w:t>
      </w:r>
    </w:p>
    <w:p w14:paraId="02930430" w14:textId="77777777" w:rsidR="008A3729" w:rsidRPr="00326DF5" w:rsidRDefault="008A3729" w:rsidP="00326DF5">
      <w:pPr>
        <w:jc w:val="both"/>
      </w:pPr>
      <w:r w:rsidRPr="00326DF5">
        <w:t xml:space="preserve">Zulkipli, Basit, A. and Wajdi, F. (2025) ‘The strategic role of zakat and waqf in sustainable poverty alleviation: A literature review from the perspective of Islamic economics’, </w:t>
      </w:r>
      <w:r w:rsidRPr="00326DF5">
        <w:rPr>
          <w:i/>
          <w:iCs/>
        </w:rPr>
        <w:t xml:space="preserve">Islamic Banking: </w:t>
      </w:r>
      <w:proofErr w:type="spellStart"/>
      <w:r w:rsidRPr="00326DF5">
        <w:rPr>
          <w:i/>
          <w:iCs/>
        </w:rPr>
        <w:t>Jurnal</w:t>
      </w:r>
      <w:proofErr w:type="spellEnd"/>
      <w:r w:rsidRPr="00326DF5">
        <w:rPr>
          <w:i/>
          <w:iCs/>
        </w:rPr>
        <w:t xml:space="preserve"> </w:t>
      </w:r>
      <w:proofErr w:type="spellStart"/>
      <w:r w:rsidRPr="00326DF5">
        <w:rPr>
          <w:i/>
          <w:iCs/>
        </w:rPr>
        <w:t>Pemikiran</w:t>
      </w:r>
      <w:proofErr w:type="spellEnd"/>
      <w:r w:rsidRPr="00326DF5">
        <w:rPr>
          <w:i/>
          <w:iCs/>
        </w:rPr>
        <w:t xml:space="preserve"> dan </w:t>
      </w:r>
      <w:proofErr w:type="spellStart"/>
      <w:r w:rsidRPr="00326DF5">
        <w:rPr>
          <w:i/>
          <w:iCs/>
        </w:rPr>
        <w:t>Pengembangan</w:t>
      </w:r>
      <w:proofErr w:type="spellEnd"/>
      <w:r w:rsidRPr="00326DF5">
        <w:rPr>
          <w:i/>
          <w:iCs/>
        </w:rPr>
        <w:t xml:space="preserve"> </w:t>
      </w:r>
      <w:proofErr w:type="spellStart"/>
      <w:r w:rsidRPr="00326DF5">
        <w:rPr>
          <w:i/>
          <w:iCs/>
        </w:rPr>
        <w:t>Perbankan</w:t>
      </w:r>
      <w:proofErr w:type="spellEnd"/>
      <w:r w:rsidRPr="00326DF5">
        <w:rPr>
          <w:i/>
          <w:iCs/>
        </w:rPr>
        <w:t xml:space="preserve"> Syariah</w:t>
      </w:r>
      <w:r w:rsidRPr="00326DF5">
        <w:t>, 11(1), pp. 17–32.</w:t>
      </w:r>
    </w:p>
    <w:p w14:paraId="5FCDB6A7" w14:textId="77777777" w:rsidR="00CA13CD" w:rsidRPr="00326DF5" w:rsidRDefault="00CA13CD" w:rsidP="00326DF5">
      <w:pPr>
        <w:jc w:val="both"/>
        <w:rPr>
          <w:sz w:val="22"/>
          <w:szCs w:val="22"/>
        </w:rPr>
      </w:pPr>
    </w:p>
    <w:sectPr w:rsidR="00CA13CD" w:rsidRPr="00326DF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7669F"/>
    <w:multiLevelType w:val="multilevel"/>
    <w:tmpl w:val="62941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103028"/>
    <w:multiLevelType w:val="hybridMultilevel"/>
    <w:tmpl w:val="E5AA32EC"/>
    <w:lvl w:ilvl="0" w:tplc="D60C30BE">
      <w:start w:val="1"/>
      <w:numFmt w:val="upperRoman"/>
      <w:lvlText w:val="%1."/>
      <w:lvlJc w:val="left"/>
      <w:pPr>
        <w:ind w:left="1080" w:hanging="720"/>
      </w:pPr>
      <w:rPr>
        <w:rFonts w:hint="default"/>
        <w:b/>
        <w:bCs/>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65800766">
    <w:abstractNumId w:val="1"/>
  </w:num>
  <w:num w:numId="2" w16cid:durableId="1925452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FE8"/>
    <w:rsid w:val="000006A0"/>
    <w:rsid w:val="00001CA8"/>
    <w:rsid w:val="00001FFE"/>
    <w:rsid w:val="00003911"/>
    <w:rsid w:val="00007C41"/>
    <w:rsid w:val="00007CC5"/>
    <w:rsid w:val="00022729"/>
    <w:rsid w:val="0002333E"/>
    <w:rsid w:val="0002521A"/>
    <w:rsid w:val="00026963"/>
    <w:rsid w:val="000427BB"/>
    <w:rsid w:val="000470BE"/>
    <w:rsid w:val="00050779"/>
    <w:rsid w:val="00053975"/>
    <w:rsid w:val="000555D3"/>
    <w:rsid w:val="00056E6F"/>
    <w:rsid w:val="00062EB5"/>
    <w:rsid w:val="0006735B"/>
    <w:rsid w:val="00074ECE"/>
    <w:rsid w:val="00077538"/>
    <w:rsid w:val="000824BB"/>
    <w:rsid w:val="0008684F"/>
    <w:rsid w:val="00096398"/>
    <w:rsid w:val="000A1973"/>
    <w:rsid w:val="000A4DA5"/>
    <w:rsid w:val="000B0D4C"/>
    <w:rsid w:val="000B3353"/>
    <w:rsid w:val="000B6A0E"/>
    <w:rsid w:val="000B7693"/>
    <w:rsid w:val="000C0F1D"/>
    <w:rsid w:val="000C27DB"/>
    <w:rsid w:val="000D352B"/>
    <w:rsid w:val="000D5CD8"/>
    <w:rsid w:val="000F7CDB"/>
    <w:rsid w:val="001015AD"/>
    <w:rsid w:val="00101F93"/>
    <w:rsid w:val="00103F01"/>
    <w:rsid w:val="00106D2B"/>
    <w:rsid w:val="00111FE8"/>
    <w:rsid w:val="00116998"/>
    <w:rsid w:val="00117D54"/>
    <w:rsid w:val="00126143"/>
    <w:rsid w:val="0013000E"/>
    <w:rsid w:val="001308BB"/>
    <w:rsid w:val="0014017D"/>
    <w:rsid w:val="00142FB6"/>
    <w:rsid w:val="00144FA1"/>
    <w:rsid w:val="001463B0"/>
    <w:rsid w:val="00150D28"/>
    <w:rsid w:val="0016068E"/>
    <w:rsid w:val="001642FE"/>
    <w:rsid w:val="00164392"/>
    <w:rsid w:val="00166045"/>
    <w:rsid w:val="0016663F"/>
    <w:rsid w:val="0017578C"/>
    <w:rsid w:val="001758AE"/>
    <w:rsid w:val="00175CEE"/>
    <w:rsid w:val="00185FFD"/>
    <w:rsid w:val="0019448E"/>
    <w:rsid w:val="001A7334"/>
    <w:rsid w:val="001C0BB7"/>
    <w:rsid w:val="001C48CB"/>
    <w:rsid w:val="001C4978"/>
    <w:rsid w:val="001C777C"/>
    <w:rsid w:val="001D00D1"/>
    <w:rsid w:val="001D42FA"/>
    <w:rsid w:val="001D7B2F"/>
    <w:rsid w:val="001E4A64"/>
    <w:rsid w:val="001E7661"/>
    <w:rsid w:val="001F0F3B"/>
    <w:rsid w:val="001F1CBE"/>
    <w:rsid w:val="001F2121"/>
    <w:rsid w:val="001F7349"/>
    <w:rsid w:val="00202B5F"/>
    <w:rsid w:val="00216055"/>
    <w:rsid w:val="00225E52"/>
    <w:rsid w:val="0023621E"/>
    <w:rsid w:val="002424ED"/>
    <w:rsid w:val="0024799D"/>
    <w:rsid w:val="00251E97"/>
    <w:rsid w:val="0025691D"/>
    <w:rsid w:val="00260671"/>
    <w:rsid w:val="00261B0D"/>
    <w:rsid w:val="00267AA1"/>
    <w:rsid w:val="002769E9"/>
    <w:rsid w:val="00277AB7"/>
    <w:rsid w:val="002806BA"/>
    <w:rsid w:val="002814D4"/>
    <w:rsid w:val="0028156C"/>
    <w:rsid w:val="002848A9"/>
    <w:rsid w:val="002A2877"/>
    <w:rsid w:val="002A3D9B"/>
    <w:rsid w:val="002B1080"/>
    <w:rsid w:val="002B2DCC"/>
    <w:rsid w:val="002B3A8D"/>
    <w:rsid w:val="002B72BD"/>
    <w:rsid w:val="002C527F"/>
    <w:rsid w:val="002C749A"/>
    <w:rsid w:val="002D066D"/>
    <w:rsid w:val="002D7299"/>
    <w:rsid w:val="002E150E"/>
    <w:rsid w:val="002F343E"/>
    <w:rsid w:val="002F45FC"/>
    <w:rsid w:val="002F5209"/>
    <w:rsid w:val="002F710D"/>
    <w:rsid w:val="003073D3"/>
    <w:rsid w:val="00312494"/>
    <w:rsid w:val="003132B1"/>
    <w:rsid w:val="003217FE"/>
    <w:rsid w:val="00326DF5"/>
    <w:rsid w:val="003272B1"/>
    <w:rsid w:val="003311A7"/>
    <w:rsid w:val="00335C2B"/>
    <w:rsid w:val="003365DB"/>
    <w:rsid w:val="00340E06"/>
    <w:rsid w:val="0034330C"/>
    <w:rsid w:val="00344C26"/>
    <w:rsid w:val="00347292"/>
    <w:rsid w:val="00350F33"/>
    <w:rsid w:val="00352E59"/>
    <w:rsid w:val="00361286"/>
    <w:rsid w:val="003628CE"/>
    <w:rsid w:val="003633EC"/>
    <w:rsid w:val="00366DC0"/>
    <w:rsid w:val="00367BBF"/>
    <w:rsid w:val="0037130F"/>
    <w:rsid w:val="00375DAF"/>
    <w:rsid w:val="00380BBF"/>
    <w:rsid w:val="00382971"/>
    <w:rsid w:val="003839EE"/>
    <w:rsid w:val="00383EEF"/>
    <w:rsid w:val="0039055D"/>
    <w:rsid w:val="00392B27"/>
    <w:rsid w:val="003A368A"/>
    <w:rsid w:val="003A3EAC"/>
    <w:rsid w:val="003A6A7C"/>
    <w:rsid w:val="003A7412"/>
    <w:rsid w:val="003B39BA"/>
    <w:rsid w:val="003B7846"/>
    <w:rsid w:val="003C1843"/>
    <w:rsid w:val="003C3DEA"/>
    <w:rsid w:val="003C5C8B"/>
    <w:rsid w:val="003E20FA"/>
    <w:rsid w:val="003E578C"/>
    <w:rsid w:val="003E6898"/>
    <w:rsid w:val="003E6B00"/>
    <w:rsid w:val="003E757E"/>
    <w:rsid w:val="003F25F8"/>
    <w:rsid w:val="00400B76"/>
    <w:rsid w:val="00401121"/>
    <w:rsid w:val="004150B3"/>
    <w:rsid w:val="00415BA5"/>
    <w:rsid w:val="0041763B"/>
    <w:rsid w:val="00423254"/>
    <w:rsid w:val="00432D84"/>
    <w:rsid w:val="00434CF4"/>
    <w:rsid w:val="00435105"/>
    <w:rsid w:val="0043567D"/>
    <w:rsid w:val="0043765B"/>
    <w:rsid w:val="004426C7"/>
    <w:rsid w:val="00442BF9"/>
    <w:rsid w:val="00453C64"/>
    <w:rsid w:val="00453E3A"/>
    <w:rsid w:val="004552E4"/>
    <w:rsid w:val="0046259A"/>
    <w:rsid w:val="00463826"/>
    <w:rsid w:val="004667A6"/>
    <w:rsid w:val="004736F5"/>
    <w:rsid w:val="004774DD"/>
    <w:rsid w:val="004808BA"/>
    <w:rsid w:val="00481C17"/>
    <w:rsid w:val="00483884"/>
    <w:rsid w:val="004914CB"/>
    <w:rsid w:val="004A0F15"/>
    <w:rsid w:val="004A27E1"/>
    <w:rsid w:val="004A43ED"/>
    <w:rsid w:val="004A7633"/>
    <w:rsid w:val="004B4796"/>
    <w:rsid w:val="004C1EB0"/>
    <w:rsid w:val="004C3078"/>
    <w:rsid w:val="004E5ED5"/>
    <w:rsid w:val="004F3079"/>
    <w:rsid w:val="004F48E2"/>
    <w:rsid w:val="004F66F4"/>
    <w:rsid w:val="00500DA6"/>
    <w:rsid w:val="005105FE"/>
    <w:rsid w:val="00510C70"/>
    <w:rsid w:val="00521223"/>
    <w:rsid w:val="00521ED1"/>
    <w:rsid w:val="00522611"/>
    <w:rsid w:val="00524A8B"/>
    <w:rsid w:val="00547BC5"/>
    <w:rsid w:val="00550F94"/>
    <w:rsid w:val="00551DD5"/>
    <w:rsid w:val="0055261E"/>
    <w:rsid w:val="00552CF2"/>
    <w:rsid w:val="00556034"/>
    <w:rsid w:val="005604E1"/>
    <w:rsid w:val="005618FD"/>
    <w:rsid w:val="00562F11"/>
    <w:rsid w:val="00572087"/>
    <w:rsid w:val="00577F27"/>
    <w:rsid w:val="0058044A"/>
    <w:rsid w:val="005830A5"/>
    <w:rsid w:val="00585400"/>
    <w:rsid w:val="00585B2E"/>
    <w:rsid w:val="0058628D"/>
    <w:rsid w:val="005911D3"/>
    <w:rsid w:val="005931F6"/>
    <w:rsid w:val="00595911"/>
    <w:rsid w:val="00596D13"/>
    <w:rsid w:val="005A04F6"/>
    <w:rsid w:val="005A726A"/>
    <w:rsid w:val="005B1F43"/>
    <w:rsid w:val="005B4BBF"/>
    <w:rsid w:val="005B57D9"/>
    <w:rsid w:val="005B6E88"/>
    <w:rsid w:val="005C1893"/>
    <w:rsid w:val="005C503C"/>
    <w:rsid w:val="005D3A09"/>
    <w:rsid w:val="005D5576"/>
    <w:rsid w:val="005E06EB"/>
    <w:rsid w:val="005E124B"/>
    <w:rsid w:val="005F03EA"/>
    <w:rsid w:val="005F04CF"/>
    <w:rsid w:val="005F34A2"/>
    <w:rsid w:val="005F3B3D"/>
    <w:rsid w:val="006006E5"/>
    <w:rsid w:val="00600A08"/>
    <w:rsid w:val="006039C4"/>
    <w:rsid w:val="006054F3"/>
    <w:rsid w:val="00620BE4"/>
    <w:rsid w:val="006210C7"/>
    <w:rsid w:val="00621EEA"/>
    <w:rsid w:val="006235D6"/>
    <w:rsid w:val="006241EC"/>
    <w:rsid w:val="006247BC"/>
    <w:rsid w:val="006272B7"/>
    <w:rsid w:val="00634E08"/>
    <w:rsid w:val="00636C5A"/>
    <w:rsid w:val="00637AE3"/>
    <w:rsid w:val="006408FB"/>
    <w:rsid w:val="006444AA"/>
    <w:rsid w:val="00646AD1"/>
    <w:rsid w:val="00650F90"/>
    <w:rsid w:val="00652162"/>
    <w:rsid w:val="00657E14"/>
    <w:rsid w:val="0066051D"/>
    <w:rsid w:val="0066542D"/>
    <w:rsid w:val="0066727B"/>
    <w:rsid w:val="0067650D"/>
    <w:rsid w:val="00683077"/>
    <w:rsid w:val="006835C2"/>
    <w:rsid w:val="00685A62"/>
    <w:rsid w:val="00691427"/>
    <w:rsid w:val="00693173"/>
    <w:rsid w:val="00693194"/>
    <w:rsid w:val="006A1562"/>
    <w:rsid w:val="006B2476"/>
    <w:rsid w:val="006C6C77"/>
    <w:rsid w:val="006D2D96"/>
    <w:rsid w:val="006D382A"/>
    <w:rsid w:val="006D5DF6"/>
    <w:rsid w:val="006D69A4"/>
    <w:rsid w:val="006E0274"/>
    <w:rsid w:val="006E104E"/>
    <w:rsid w:val="006E1566"/>
    <w:rsid w:val="006F7208"/>
    <w:rsid w:val="0070391A"/>
    <w:rsid w:val="00703C7D"/>
    <w:rsid w:val="007178A5"/>
    <w:rsid w:val="00723375"/>
    <w:rsid w:val="00723CEF"/>
    <w:rsid w:val="00725D8E"/>
    <w:rsid w:val="0073686C"/>
    <w:rsid w:val="00737016"/>
    <w:rsid w:val="007373F7"/>
    <w:rsid w:val="007437D0"/>
    <w:rsid w:val="0075080D"/>
    <w:rsid w:val="00750A50"/>
    <w:rsid w:val="007611C9"/>
    <w:rsid w:val="0076258A"/>
    <w:rsid w:val="0076331B"/>
    <w:rsid w:val="00765DD8"/>
    <w:rsid w:val="0077610D"/>
    <w:rsid w:val="007761DC"/>
    <w:rsid w:val="007803DC"/>
    <w:rsid w:val="007816E7"/>
    <w:rsid w:val="007907A1"/>
    <w:rsid w:val="00794092"/>
    <w:rsid w:val="007A1A3D"/>
    <w:rsid w:val="007A2C53"/>
    <w:rsid w:val="007B449C"/>
    <w:rsid w:val="007D0200"/>
    <w:rsid w:val="007D6DA4"/>
    <w:rsid w:val="007E0931"/>
    <w:rsid w:val="007E4645"/>
    <w:rsid w:val="007E695B"/>
    <w:rsid w:val="007F1D5E"/>
    <w:rsid w:val="007F25BB"/>
    <w:rsid w:val="007F76DA"/>
    <w:rsid w:val="008045DE"/>
    <w:rsid w:val="0080630F"/>
    <w:rsid w:val="00817689"/>
    <w:rsid w:val="00820930"/>
    <w:rsid w:val="00830EF1"/>
    <w:rsid w:val="0084437E"/>
    <w:rsid w:val="00863220"/>
    <w:rsid w:val="00870DA4"/>
    <w:rsid w:val="00870E18"/>
    <w:rsid w:val="00872BF7"/>
    <w:rsid w:val="00875118"/>
    <w:rsid w:val="008832EF"/>
    <w:rsid w:val="008835F6"/>
    <w:rsid w:val="00893E0E"/>
    <w:rsid w:val="00895F9A"/>
    <w:rsid w:val="008A3729"/>
    <w:rsid w:val="008A411C"/>
    <w:rsid w:val="008A7A2A"/>
    <w:rsid w:val="008A7C84"/>
    <w:rsid w:val="008E0BCD"/>
    <w:rsid w:val="008E41E8"/>
    <w:rsid w:val="008E7AF9"/>
    <w:rsid w:val="008F0E5B"/>
    <w:rsid w:val="008F2BC1"/>
    <w:rsid w:val="008F4262"/>
    <w:rsid w:val="008F6F8C"/>
    <w:rsid w:val="00906BA1"/>
    <w:rsid w:val="00920258"/>
    <w:rsid w:val="00941330"/>
    <w:rsid w:val="00945B8B"/>
    <w:rsid w:val="009533FB"/>
    <w:rsid w:val="0096116B"/>
    <w:rsid w:val="00962766"/>
    <w:rsid w:val="00965033"/>
    <w:rsid w:val="00970342"/>
    <w:rsid w:val="00970402"/>
    <w:rsid w:val="00974BDE"/>
    <w:rsid w:val="00977200"/>
    <w:rsid w:val="00981F19"/>
    <w:rsid w:val="00982149"/>
    <w:rsid w:val="009827E7"/>
    <w:rsid w:val="009855DE"/>
    <w:rsid w:val="00993B84"/>
    <w:rsid w:val="00997625"/>
    <w:rsid w:val="009A14B0"/>
    <w:rsid w:val="009A4E53"/>
    <w:rsid w:val="009B046A"/>
    <w:rsid w:val="009B0F47"/>
    <w:rsid w:val="009B1F38"/>
    <w:rsid w:val="009B2EC7"/>
    <w:rsid w:val="009B7750"/>
    <w:rsid w:val="009B7C26"/>
    <w:rsid w:val="009C40C2"/>
    <w:rsid w:val="009C50A3"/>
    <w:rsid w:val="009C7432"/>
    <w:rsid w:val="009C7B48"/>
    <w:rsid w:val="009D076E"/>
    <w:rsid w:val="009D0A52"/>
    <w:rsid w:val="009E04DC"/>
    <w:rsid w:val="009E112A"/>
    <w:rsid w:val="009E1B61"/>
    <w:rsid w:val="009E50E4"/>
    <w:rsid w:val="009E57FA"/>
    <w:rsid w:val="009E6A2D"/>
    <w:rsid w:val="009F120C"/>
    <w:rsid w:val="009F2E9F"/>
    <w:rsid w:val="009F43D6"/>
    <w:rsid w:val="009F6005"/>
    <w:rsid w:val="009F6246"/>
    <w:rsid w:val="009F6990"/>
    <w:rsid w:val="00A04629"/>
    <w:rsid w:val="00A070E7"/>
    <w:rsid w:val="00A168F8"/>
    <w:rsid w:val="00A20A9B"/>
    <w:rsid w:val="00A232FB"/>
    <w:rsid w:val="00A25CA0"/>
    <w:rsid w:val="00A271A4"/>
    <w:rsid w:val="00A27BE0"/>
    <w:rsid w:val="00A33AA5"/>
    <w:rsid w:val="00A35E79"/>
    <w:rsid w:val="00A37B03"/>
    <w:rsid w:val="00A4423D"/>
    <w:rsid w:val="00A47FDF"/>
    <w:rsid w:val="00A527D9"/>
    <w:rsid w:val="00A54C48"/>
    <w:rsid w:val="00A57D3F"/>
    <w:rsid w:val="00A6589F"/>
    <w:rsid w:val="00A671E7"/>
    <w:rsid w:val="00A815DD"/>
    <w:rsid w:val="00A81CB1"/>
    <w:rsid w:val="00A81D42"/>
    <w:rsid w:val="00A85218"/>
    <w:rsid w:val="00A86D66"/>
    <w:rsid w:val="00AA1394"/>
    <w:rsid w:val="00AB3D0D"/>
    <w:rsid w:val="00AD1BB6"/>
    <w:rsid w:val="00AD6DDA"/>
    <w:rsid w:val="00AD7774"/>
    <w:rsid w:val="00AE5CD0"/>
    <w:rsid w:val="00AF4582"/>
    <w:rsid w:val="00AF6C80"/>
    <w:rsid w:val="00B01F55"/>
    <w:rsid w:val="00B1031A"/>
    <w:rsid w:val="00B11058"/>
    <w:rsid w:val="00B136DF"/>
    <w:rsid w:val="00B17193"/>
    <w:rsid w:val="00B22705"/>
    <w:rsid w:val="00B25EFB"/>
    <w:rsid w:val="00B2717A"/>
    <w:rsid w:val="00B316C5"/>
    <w:rsid w:val="00B32C6E"/>
    <w:rsid w:val="00B4055A"/>
    <w:rsid w:val="00B4259A"/>
    <w:rsid w:val="00B4361A"/>
    <w:rsid w:val="00B44880"/>
    <w:rsid w:val="00B44963"/>
    <w:rsid w:val="00B46F30"/>
    <w:rsid w:val="00B54950"/>
    <w:rsid w:val="00B56969"/>
    <w:rsid w:val="00B62DB0"/>
    <w:rsid w:val="00B67403"/>
    <w:rsid w:val="00B73273"/>
    <w:rsid w:val="00B74144"/>
    <w:rsid w:val="00B74CE7"/>
    <w:rsid w:val="00B8462F"/>
    <w:rsid w:val="00B87A18"/>
    <w:rsid w:val="00B90C5E"/>
    <w:rsid w:val="00B932EE"/>
    <w:rsid w:val="00BA4370"/>
    <w:rsid w:val="00BA6EFF"/>
    <w:rsid w:val="00BB0FDB"/>
    <w:rsid w:val="00BD0082"/>
    <w:rsid w:val="00BE7F6F"/>
    <w:rsid w:val="00BF20CC"/>
    <w:rsid w:val="00BF339E"/>
    <w:rsid w:val="00BF5414"/>
    <w:rsid w:val="00BF5775"/>
    <w:rsid w:val="00C037B3"/>
    <w:rsid w:val="00C03834"/>
    <w:rsid w:val="00C05931"/>
    <w:rsid w:val="00C06E53"/>
    <w:rsid w:val="00C07359"/>
    <w:rsid w:val="00C131C1"/>
    <w:rsid w:val="00C26F47"/>
    <w:rsid w:val="00C30A85"/>
    <w:rsid w:val="00C336A3"/>
    <w:rsid w:val="00C42DBF"/>
    <w:rsid w:val="00C44BF4"/>
    <w:rsid w:val="00C514DC"/>
    <w:rsid w:val="00C5358F"/>
    <w:rsid w:val="00C649B0"/>
    <w:rsid w:val="00C70B92"/>
    <w:rsid w:val="00C7428B"/>
    <w:rsid w:val="00C85302"/>
    <w:rsid w:val="00C86A22"/>
    <w:rsid w:val="00C90CC4"/>
    <w:rsid w:val="00C91521"/>
    <w:rsid w:val="00C934C0"/>
    <w:rsid w:val="00CA13CD"/>
    <w:rsid w:val="00CB5EA6"/>
    <w:rsid w:val="00CB78F8"/>
    <w:rsid w:val="00CB7A98"/>
    <w:rsid w:val="00CC0C5D"/>
    <w:rsid w:val="00CC59C8"/>
    <w:rsid w:val="00CD16FA"/>
    <w:rsid w:val="00CD1763"/>
    <w:rsid w:val="00CD3B57"/>
    <w:rsid w:val="00CD3BFA"/>
    <w:rsid w:val="00CE06DB"/>
    <w:rsid w:val="00CE647E"/>
    <w:rsid w:val="00CF3A8D"/>
    <w:rsid w:val="00D027CF"/>
    <w:rsid w:val="00D04DA0"/>
    <w:rsid w:val="00D07281"/>
    <w:rsid w:val="00D13F03"/>
    <w:rsid w:val="00D142E8"/>
    <w:rsid w:val="00D27746"/>
    <w:rsid w:val="00D35332"/>
    <w:rsid w:val="00D35D77"/>
    <w:rsid w:val="00D40CEE"/>
    <w:rsid w:val="00D43D5F"/>
    <w:rsid w:val="00D621E6"/>
    <w:rsid w:val="00D66647"/>
    <w:rsid w:val="00D6683C"/>
    <w:rsid w:val="00D72223"/>
    <w:rsid w:val="00D723D1"/>
    <w:rsid w:val="00D72967"/>
    <w:rsid w:val="00D74541"/>
    <w:rsid w:val="00D76BF3"/>
    <w:rsid w:val="00D81CB2"/>
    <w:rsid w:val="00D8334A"/>
    <w:rsid w:val="00D85763"/>
    <w:rsid w:val="00D8594D"/>
    <w:rsid w:val="00D913DE"/>
    <w:rsid w:val="00DA65CE"/>
    <w:rsid w:val="00DB5D44"/>
    <w:rsid w:val="00DC0B29"/>
    <w:rsid w:val="00DC6232"/>
    <w:rsid w:val="00DE0B38"/>
    <w:rsid w:val="00DE20F2"/>
    <w:rsid w:val="00DF50D6"/>
    <w:rsid w:val="00E0111E"/>
    <w:rsid w:val="00E02AEE"/>
    <w:rsid w:val="00E05930"/>
    <w:rsid w:val="00E162E4"/>
    <w:rsid w:val="00E1660D"/>
    <w:rsid w:val="00E20382"/>
    <w:rsid w:val="00E20FEA"/>
    <w:rsid w:val="00E26F18"/>
    <w:rsid w:val="00E27010"/>
    <w:rsid w:val="00E35B90"/>
    <w:rsid w:val="00E35E7A"/>
    <w:rsid w:val="00E379E3"/>
    <w:rsid w:val="00E45981"/>
    <w:rsid w:val="00E464F3"/>
    <w:rsid w:val="00E46D1C"/>
    <w:rsid w:val="00E518D4"/>
    <w:rsid w:val="00E52C92"/>
    <w:rsid w:val="00E55A3C"/>
    <w:rsid w:val="00E575F2"/>
    <w:rsid w:val="00E70654"/>
    <w:rsid w:val="00E730FC"/>
    <w:rsid w:val="00E748A7"/>
    <w:rsid w:val="00E75DCC"/>
    <w:rsid w:val="00E90087"/>
    <w:rsid w:val="00E90137"/>
    <w:rsid w:val="00E90BEA"/>
    <w:rsid w:val="00E92A41"/>
    <w:rsid w:val="00E938D4"/>
    <w:rsid w:val="00E9528B"/>
    <w:rsid w:val="00E97DBF"/>
    <w:rsid w:val="00EA3C9F"/>
    <w:rsid w:val="00EB15A0"/>
    <w:rsid w:val="00EB7CBE"/>
    <w:rsid w:val="00EC1D9C"/>
    <w:rsid w:val="00EC3324"/>
    <w:rsid w:val="00ED1E9F"/>
    <w:rsid w:val="00ED4A86"/>
    <w:rsid w:val="00ED52E2"/>
    <w:rsid w:val="00ED7BA8"/>
    <w:rsid w:val="00EE4254"/>
    <w:rsid w:val="00EF05B5"/>
    <w:rsid w:val="00EF3987"/>
    <w:rsid w:val="00F04287"/>
    <w:rsid w:val="00F04563"/>
    <w:rsid w:val="00F04F98"/>
    <w:rsid w:val="00F11BC1"/>
    <w:rsid w:val="00F11DBC"/>
    <w:rsid w:val="00F131D5"/>
    <w:rsid w:val="00F23004"/>
    <w:rsid w:val="00F245A5"/>
    <w:rsid w:val="00F2485E"/>
    <w:rsid w:val="00F3068D"/>
    <w:rsid w:val="00F32624"/>
    <w:rsid w:val="00F4020F"/>
    <w:rsid w:val="00F411E1"/>
    <w:rsid w:val="00F474CC"/>
    <w:rsid w:val="00F50FDE"/>
    <w:rsid w:val="00F53EEE"/>
    <w:rsid w:val="00F54A76"/>
    <w:rsid w:val="00F60E2D"/>
    <w:rsid w:val="00F6699D"/>
    <w:rsid w:val="00F719AF"/>
    <w:rsid w:val="00F763EF"/>
    <w:rsid w:val="00F84CC6"/>
    <w:rsid w:val="00F86D1D"/>
    <w:rsid w:val="00F87DF1"/>
    <w:rsid w:val="00F91D8B"/>
    <w:rsid w:val="00F94042"/>
    <w:rsid w:val="00F96B10"/>
    <w:rsid w:val="00FA239E"/>
    <w:rsid w:val="00FA5010"/>
    <w:rsid w:val="00FB1EFF"/>
    <w:rsid w:val="00FB6263"/>
    <w:rsid w:val="00FB6E35"/>
    <w:rsid w:val="00FB7B03"/>
    <w:rsid w:val="00FC297C"/>
    <w:rsid w:val="00FC62B1"/>
    <w:rsid w:val="00FC737F"/>
    <w:rsid w:val="00FC7524"/>
    <w:rsid w:val="00FD17C1"/>
    <w:rsid w:val="00FD21DE"/>
    <w:rsid w:val="00FD4A08"/>
    <w:rsid w:val="00FD5568"/>
    <w:rsid w:val="00FD7B8D"/>
    <w:rsid w:val="00FD7F4B"/>
    <w:rsid w:val="00FE0FC8"/>
    <w:rsid w:val="00FF104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373B0"/>
  <w15:chartTrackingRefBased/>
  <w15:docId w15:val="{DE5C86F4-714E-497F-AABE-10154F6B4C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1F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1F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1F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1F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1F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1F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1F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1F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1F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F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1F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1F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1F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1F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1F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1F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1F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1FE8"/>
    <w:rPr>
      <w:rFonts w:eastAsiaTheme="majorEastAsia" w:cstheme="majorBidi"/>
      <w:color w:val="272727" w:themeColor="text1" w:themeTint="D8"/>
    </w:rPr>
  </w:style>
  <w:style w:type="paragraph" w:styleId="Title">
    <w:name w:val="Title"/>
    <w:basedOn w:val="Normal"/>
    <w:next w:val="Normal"/>
    <w:link w:val="TitleChar"/>
    <w:uiPriority w:val="10"/>
    <w:qFormat/>
    <w:rsid w:val="00111F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1F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1F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1F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1FE8"/>
    <w:pPr>
      <w:spacing w:before="160"/>
      <w:jc w:val="center"/>
    </w:pPr>
    <w:rPr>
      <w:i/>
      <w:iCs/>
      <w:color w:val="404040" w:themeColor="text1" w:themeTint="BF"/>
    </w:rPr>
  </w:style>
  <w:style w:type="character" w:customStyle="1" w:styleId="QuoteChar">
    <w:name w:val="Quote Char"/>
    <w:basedOn w:val="DefaultParagraphFont"/>
    <w:link w:val="Quote"/>
    <w:uiPriority w:val="29"/>
    <w:rsid w:val="00111FE8"/>
    <w:rPr>
      <w:i/>
      <w:iCs/>
      <w:color w:val="404040" w:themeColor="text1" w:themeTint="BF"/>
    </w:rPr>
  </w:style>
  <w:style w:type="paragraph" w:styleId="ListParagraph">
    <w:name w:val="List Paragraph"/>
    <w:basedOn w:val="Normal"/>
    <w:uiPriority w:val="34"/>
    <w:qFormat/>
    <w:rsid w:val="00111FE8"/>
    <w:pPr>
      <w:ind w:left="720"/>
      <w:contextualSpacing/>
    </w:pPr>
  </w:style>
  <w:style w:type="character" w:styleId="IntenseEmphasis">
    <w:name w:val="Intense Emphasis"/>
    <w:basedOn w:val="DefaultParagraphFont"/>
    <w:uiPriority w:val="21"/>
    <w:qFormat/>
    <w:rsid w:val="00111FE8"/>
    <w:rPr>
      <w:i/>
      <w:iCs/>
      <w:color w:val="0F4761" w:themeColor="accent1" w:themeShade="BF"/>
    </w:rPr>
  </w:style>
  <w:style w:type="paragraph" w:styleId="IntenseQuote">
    <w:name w:val="Intense Quote"/>
    <w:basedOn w:val="Normal"/>
    <w:next w:val="Normal"/>
    <w:link w:val="IntenseQuoteChar"/>
    <w:uiPriority w:val="30"/>
    <w:qFormat/>
    <w:rsid w:val="00111F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1FE8"/>
    <w:rPr>
      <w:i/>
      <w:iCs/>
      <w:color w:val="0F4761" w:themeColor="accent1" w:themeShade="BF"/>
    </w:rPr>
  </w:style>
  <w:style w:type="character" w:styleId="IntenseReference">
    <w:name w:val="Intense Reference"/>
    <w:basedOn w:val="DefaultParagraphFont"/>
    <w:uiPriority w:val="32"/>
    <w:qFormat/>
    <w:rsid w:val="00111FE8"/>
    <w:rPr>
      <w:b/>
      <w:bCs/>
      <w:smallCaps/>
      <w:color w:val="0F4761" w:themeColor="accent1" w:themeShade="BF"/>
      <w:spacing w:val="5"/>
    </w:rPr>
  </w:style>
  <w:style w:type="paragraph" w:styleId="NormalWeb">
    <w:name w:val="Normal (Web)"/>
    <w:basedOn w:val="Normal"/>
    <w:uiPriority w:val="99"/>
    <w:semiHidden/>
    <w:unhideWhenUsed/>
    <w:rsid w:val="002424E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6E9AE8-32B1-4695-9AD7-A4C31BC084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1734</TotalTime>
  <Pages>14</Pages>
  <Words>5198</Words>
  <Characters>29632</Characters>
  <Application>Microsoft Office Word</Application>
  <DocSecurity>0</DocSecurity>
  <Lines>246</Lines>
  <Paragraphs>69</Paragraphs>
  <ScaleCrop>false</ScaleCrop>
  <Company/>
  <LinksUpToDate>false</LinksUpToDate>
  <CharactersWithSpaces>34761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Mohamad Ghabris</dc:creator>
  <cp:keywords/>
  <dc:description/>
  <cp:lastModifiedBy>Mohamad Ghabris</cp:lastModifiedBy>
  <cp:revision>585</cp:revision>
  <dcterms:created xsi:type="dcterms:W3CDTF">2026-06-28T13:15:00Z</dcterms:created>
  <dcterms:modified xsi:type="dcterms:W3CDTF">2026-07-02T19:02:00Z</dcterms:modified>
</cp:coreProperties>
</file>