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A3824" w14:textId="77777777" w:rsidR="00F33D5F" w:rsidRDefault="00F33D5F" w:rsidP="005A40AF">
      <w:pPr>
        <w:jc w:val="center"/>
        <w:rPr>
          <w:rFonts w:ascii="Times New Roman" w:hAnsi="Times New Roman" w:cs="Times New Roman"/>
          <w:sz w:val="32"/>
          <w:szCs w:val="32"/>
        </w:rPr>
      </w:pPr>
    </w:p>
    <w:p w14:paraId="2784E021" w14:textId="1B3BFF34" w:rsidR="00FA399E" w:rsidRPr="00B73B2F" w:rsidRDefault="00FA399E" w:rsidP="005A40AF">
      <w:pPr>
        <w:jc w:val="center"/>
        <w:rPr>
          <w:rFonts w:ascii="Times New Roman" w:hAnsi="Times New Roman" w:cs="Times New Roman"/>
          <w:b/>
          <w:bCs/>
          <w:sz w:val="32"/>
          <w:szCs w:val="32"/>
        </w:rPr>
      </w:pPr>
      <w:r w:rsidRPr="00B73B2F">
        <w:rPr>
          <w:rFonts w:ascii="Times New Roman" w:hAnsi="Times New Roman" w:cs="Times New Roman"/>
          <w:b/>
          <w:bCs/>
          <w:sz w:val="32"/>
          <w:szCs w:val="32"/>
        </w:rPr>
        <w:t>Programme: BA (Hons) Business Management</w:t>
      </w:r>
    </w:p>
    <w:p w14:paraId="2F971D25" w14:textId="77777777" w:rsidR="00FA399E" w:rsidRPr="00B73B2F" w:rsidRDefault="00FA399E" w:rsidP="005A40AF">
      <w:pPr>
        <w:jc w:val="center"/>
        <w:rPr>
          <w:rFonts w:ascii="Times New Roman" w:hAnsi="Times New Roman" w:cs="Times New Roman"/>
          <w:b/>
          <w:bCs/>
          <w:sz w:val="32"/>
          <w:szCs w:val="32"/>
        </w:rPr>
      </w:pPr>
      <w:r w:rsidRPr="00B73B2F">
        <w:rPr>
          <w:rFonts w:ascii="Times New Roman" w:hAnsi="Times New Roman" w:cs="Times New Roman"/>
          <w:b/>
          <w:bCs/>
          <w:sz w:val="32"/>
          <w:szCs w:val="32"/>
        </w:rPr>
        <w:t>Module: Global Business Environment</w:t>
      </w:r>
    </w:p>
    <w:p w14:paraId="28AE989B" w14:textId="5345CF09" w:rsidR="00BD0370" w:rsidRPr="00B73B2F" w:rsidRDefault="00FA399E" w:rsidP="005A40AF">
      <w:pPr>
        <w:jc w:val="center"/>
        <w:rPr>
          <w:rFonts w:ascii="Times New Roman" w:hAnsi="Times New Roman" w:cs="Times New Roman"/>
          <w:b/>
          <w:bCs/>
          <w:sz w:val="32"/>
          <w:szCs w:val="32"/>
        </w:rPr>
      </w:pPr>
      <w:r w:rsidRPr="00B73B2F">
        <w:rPr>
          <w:rFonts w:ascii="Times New Roman" w:hAnsi="Times New Roman" w:cs="Times New Roman"/>
          <w:b/>
          <w:bCs/>
          <w:sz w:val="32"/>
          <w:szCs w:val="32"/>
        </w:rPr>
        <w:t>Module code: LCBB4016</w:t>
      </w:r>
    </w:p>
    <w:p w14:paraId="378CEF8D" w14:textId="77777777" w:rsidR="00FA399E" w:rsidRPr="005A40AF" w:rsidRDefault="00FA399E" w:rsidP="005A40AF">
      <w:pPr>
        <w:jc w:val="center"/>
        <w:rPr>
          <w:rFonts w:ascii="Times New Roman" w:hAnsi="Times New Roman" w:cs="Times New Roman"/>
          <w:sz w:val="32"/>
          <w:szCs w:val="32"/>
        </w:rPr>
      </w:pPr>
    </w:p>
    <w:p w14:paraId="7C932FAE" w14:textId="77777777" w:rsidR="00FA399E" w:rsidRPr="005A40AF" w:rsidRDefault="00FA399E" w:rsidP="005A40AF">
      <w:pPr>
        <w:jc w:val="center"/>
        <w:rPr>
          <w:rFonts w:ascii="Times New Roman" w:hAnsi="Times New Roman" w:cs="Times New Roman"/>
          <w:sz w:val="32"/>
          <w:szCs w:val="32"/>
        </w:rPr>
      </w:pPr>
    </w:p>
    <w:p w14:paraId="4E526E77" w14:textId="77777777" w:rsidR="00FA399E" w:rsidRPr="005A40AF" w:rsidRDefault="00FA399E" w:rsidP="005A40AF">
      <w:pPr>
        <w:jc w:val="center"/>
        <w:rPr>
          <w:rFonts w:ascii="Times New Roman" w:hAnsi="Times New Roman" w:cs="Times New Roman"/>
          <w:sz w:val="32"/>
          <w:szCs w:val="32"/>
        </w:rPr>
      </w:pPr>
    </w:p>
    <w:p w14:paraId="703A0868" w14:textId="77777777" w:rsidR="00FA399E" w:rsidRPr="005A40AF" w:rsidRDefault="00FA399E" w:rsidP="005A40AF">
      <w:pPr>
        <w:jc w:val="center"/>
        <w:rPr>
          <w:rFonts w:ascii="Times New Roman" w:hAnsi="Times New Roman" w:cs="Times New Roman"/>
          <w:sz w:val="32"/>
          <w:szCs w:val="32"/>
        </w:rPr>
      </w:pPr>
    </w:p>
    <w:p w14:paraId="1C738907" w14:textId="77777777" w:rsidR="00FA399E" w:rsidRPr="005A40AF" w:rsidRDefault="00FA399E" w:rsidP="005A40AF">
      <w:pPr>
        <w:jc w:val="center"/>
        <w:rPr>
          <w:rFonts w:ascii="Times New Roman" w:hAnsi="Times New Roman" w:cs="Times New Roman"/>
          <w:sz w:val="32"/>
          <w:szCs w:val="32"/>
        </w:rPr>
      </w:pPr>
    </w:p>
    <w:p w14:paraId="204BFE9C" w14:textId="4096D774" w:rsidR="00FA399E" w:rsidRPr="005A40AF" w:rsidRDefault="00FA399E" w:rsidP="005A40AF">
      <w:pPr>
        <w:jc w:val="center"/>
        <w:rPr>
          <w:rFonts w:ascii="Times New Roman" w:hAnsi="Times New Roman" w:cs="Times New Roman"/>
          <w:sz w:val="32"/>
          <w:szCs w:val="32"/>
        </w:rPr>
      </w:pPr>
      <w:r w:rsidRPr="005A40AF">
        <w:rPr>
          <w:rFonts w:ascii="Times New Roman" w:hAnsi="Times New Roman" w:cs="Times New Roman"/>
          <w:sz w:val="32"/>
          <w:szCs w:val="32"/>
        </w:rPr>
        <w:t xml:space="preserve"> Global Forces and Their Impact on Unilever</w:t>
      </w:r>
    </w:p>
    <w:p w14:paraId="6AB95D25" w14:textId="1A4CC9C1" w:rsidR="00FA399E" w:rsidRPr="005A40AF" w:rsidRDefault="00FA399E" w:rsidP="005A40AF">
      <w:pPr>
        <w:jc w:val="center"/>
        <w:rPr>
          <w:rFonts w:ascii="Times New Roman" w:hAnsi="Times New Roman" w:cs="Times New Roman"/>
          <w:sz w:val="32"/>
          <w:szCs w:val="32"/>
        </w:rPr>
      </w:pPr>
      <w:r w:rsidRPr="005A40AF">
        <w:rPr>
          <w:rFonts w:ascii="Times New Roman" w:hAnsi="Times New Roman" w:cs="Times New Roman"/>
          <w:sz w:val="32"/>
          <w:szCs w:val="32"/>
        </w:rPr>
        <w:t>Student ID: 2327723</w:t>
      </w:r>
    </w:p>
    <w:p w14:paraId="7B94E8A3" w14:textId="77777777" w:rsidR="00D7034B" w:rsidRPr="005A40AF" w:rsidRDefault="00D7034B" w:rsidP="005A40AF">
      <w:pPr>
        <w:jc w:val="center"/>
        <w:rPr>
          <w:rFonts w:ascii="Times New Roman" w:hAnsi="Times New Roman" w:cs="Times New Roman"/>
          <w:szCs w:val="24"/>
        </w:rPr>
      </w:pPr>
    </w:p>
    <w:p w14:paraId="13D689E7" w14:textId="77777777" w:rsidR="00D7034B" w:rsidRPr="005A40AF" w:rsidRDefault="00D7034B" w:rsidP="005A40AF">
      <w:pPr>
        <w:jc w:val="center"/>
        <w:rPr>
          <w:rFonts w:ascii="Times New Roman" w:hAnsi="Times New Roman" w:cs="Times New Roman"/>
          <w:szCs w:val="24"/>
        </w:rPr>
      </w:pPr>
    </w:p>
    <w:p w14:paraId="2E67982F" w14:textId="77777777" w:rsidR="00D7034B" w:rsidRPr="005A40AF" w:rsidRDefault="00D7034B" w:rsidP="005A40AF">
      <w:pPr>
        <w:jc w:val="center"/>
        <w:rPr>
          <w:rFonts w:ascii="Times New Roman" w:hAnsi="Times New Roman" w:cs="Times New Roman"/>
          <w:szCs w:val="24"/>
        </w:rPr>
      </w:pPr>
    </w:p>
    <w:p w14:paraId="36CA7A73" w14:textId="77777777" w:rsidR="00D7034B" w:rsidRPr="005A40AF" w:rsidRDefault="00D7034B" w:rsidP="005A40AF">
      <w:pPr>
        <w:jc w:val="center"/>
        <w:rPr>
          <w:rFonts w:ascii="Times New Roman" w:hAnsi="Times New Roman" w:cs="Times New Roman"/>
          <w:szCs w:val="24"/>
        </w:rPr>
      </w:pPr>
    </w:p>
    <w:p w14:paraId="71E019B7" w14:textId="77777777" w:rsidR="00D7034B" w:rsidRPr="005A40AF" w:rsidRDefault="00D7034B" w:rsidP="005A40AF">
      <w:pPr>
        <w:jc w:val="center"/>
        <w:rPr>
          <w:rFonts w:ascii="Times New Roman" w:hAnsi="Times New Roman" w:cs="Times New Roman"/>
          <w:szCs w:val="24"/>
        </w:rPr>
      </w:pPr>
    </w:p>
    <w:p w14:paraId="7B32C926" w14:textId="7BB0837D" w:rsidR="00D7034B" w:rsidRDefault="00D7034B" w:rsidP="005A40AF">
      <w:pPr>
        <w:jc w:val="center"/>
        <w:rPr>
          <w:rFonts w:ascii="Times New Roman" w:hAnsi="Times New Roman" w:cs="Times New Roman"/>
          <w:szCs w:val="24"/>
        </w:rPr>
      </w:pPr>
      <w:r w:rsidRPr="005A40AF">
        <w:rPr>
          <w:rFonts w:ascii="Times New Roman" w:hAnsi="Times New Roman" w:cs="Times New Roman"/>
          <w:szCs w:val="24"/>
        </w:rPr>
        <w:t>I declare that this assignment is all my own work and that I have acknowledged all materials used from the published or unpublished works of other people. All references have been duly cited.</w:t>
      </w:r>
    </w:p>
    <w:p w14:paraId="6E89C7CF" w14:textId="77777777" w:rsidR="00B73B2F" w:rsidRPr="005A40AF" w:rsidRDefault="00B73B2F" w:rsidP="005A40AF">
      <w:pPr>
        <w:jc w:val="center"/>
        <w:rPr>
          <w:rFonts w:ascii="Times New Roman" w:hAnsi="Times New Roman" w:cs="Times New Roman"/>
          <w:szCs w:val="24"/>
        </w:rPr>
      </w:pPr>
    </w:p>
    <w:p w14:paraId="567905AE" w14:textId="77777777" w:rsidR="00D7034B" w:rsidRPr="005A40AF" w:rsidRDefault="00D7034B" w:rsidP="005A40AF">
      <w:pPr>
        <w:jc w:val="center"/>
        <w:rPr>
          <w:rFonts w:ascii="Times New Roman" w:hAnsi="Times New Roman" w:cs="Times New Roman"/>
          <w:szCs w:val="24"/>
        </w:rPr>
      </w:pPr>
    </w:p>
    <w:p w14:paraId="3ABA4C01" w14:textId="77777777" w:rsidR="00D7034B" w:rsidRPr="005A40AF" w:rsidRDefault="00D7034B" w:rsidP="005A40AF">
      <w:pPr>
        <w:jc w:val="center"/>
        <w:rPr>
          <w:rFonts w:ascii="Times New Roman" w:hAnsi="Times New Roman" w:cs="Times New Roman"/>
          <w:szCs w:val="24"/>
        </w:rPr>
      </w:pPr>
    </w:p>
    <w:p w14:paraId="706539AA" w14:textId="66EAE0DD" w:rsidR="00D7034B" w:rsidRPr="005A40AF" w:rsidRDefault="000F66C9" w:rsidP="00B73B2F">
      <w:pPr>
        <w:jc w:val="center"/>
        <w:rPr>
          <w:rFonts w:ascii="Times New Roman" w:hAnsi="Times New Roman" w:cs="Times New Roman"/>
          <w:szCs w:val="24"/>
          <w:u w:val="single"/>
        </w:rPr>
      </w:pPr>
      <w:r w:rsidRPr="005A40AF">
        <w:rPr>
          <w:rFonts w:ascii="Times New Roman" w:hAnsi="Times New Roman" w:cs="Times New Roman"/>
          <w:szCs w:val="24"/>
          <w:u w:val="single"/>
        </w:rPr>
        <w:lastRenderedPageBreak/>
        <w:t>Introduction</w:t>
      </w:r>
    </w:p>
    <w:p w14:paraId="564E8424" w14:textId="334A672B" w:rsidR="00C81772" w:rsidRPr="005A40AF" w:rsidRDefault="00C81772" w:rsidP="005A40AF">
      <w:pPr>
        <w:rPr>
          <w:rFonts w:ascii="Times New Roman" w:hAnsi="Times New Roman" w:cs="Times New Roman"/>
          <w:szCs w:val="24"/>
        </w:rPr>
      </w:pPr>
      <w:r w:rsidRPr="005A40AF">
        <w:rPr>
          <w:rFonts w:ascii="Times New Roman" w:hAnsi="Times New Roman" w:cs="Times New Roman"/>
          <w:szCs w:val="24"/>
        </w:rPr>
        <w:t>Globalisation is the growth of economic, political, social and technological interdependence between nations and the impact of this on the strategy, resources and competition of multinational enterprises. Globalisation is taking place through the worldwide flow of capital, technology, information and regulation (</w:t>
      </w:r>
      <w:proofErr w:type="spellStart"/>
      <w:r w:rsidRPr="005A40AF">
        <w:rPr>
          <w:rFonts w:ascii="Times New Roman" w:hAnsi="Times New Roman" w:cs="Times New Roman"/>
          <w:szCs w:val="24"/>
        </w:rPr>
        <w:t>Gygli</w:t>
      </w:r>
      <w:proofErr w:type="spellEnd"/>
      <w:r w:rsidRPr="005A40AF">
        <w:rPr>
          <w:rFonts w:ascii="Times New Roman" w:hAnsi="Times New Roman" w:cs="Times New Roman"/>
          <w:szCs w:val="24"/>
        </w:rPr>
        <w:t xml:space="preserve"> et al. 2019) but it also brings risks to businesses. In the global </w:t>
      </w:r>
      <w:r w:rsidR="009F4DFA" w:rsidRPr="005A40AF">
        <w:rPr>
          <w:rFonts w:ascii="Times New Roman" w:hAnsi="Times New Roman" w:cs="Times New Roman"/>
          <w:szCs w:val="24"/>
        </w:rPr>
        <w:t xml:space="preserve">context </w:t>
      </w:r>
      <w:r w:rsidRPr="005A40AF">
        <w:rPr>
          <w:rFonts w:ascii="Times New Roman" w:hAnsi="Times New Roman" w:cs="Times New Roman"/>
          <w:szCs w:val="24"/>
        </w:rPr>
        <w:t>artificial intelligence, geopolitics, supply chain disruption, and sustainability regulation are restructuring competitive advantage, and organizations must adapt to this uncertainty and change (Meyer et al., 2020).</w:t>
      </w:r>
    </w:p>
    <w:p w14:paraId="04EFCC7A" w14:textId="635074F0" w:rsidR="00DF799E" w:rsidRPr="005A40AF" w:rsidRDefault="00C81772" w:rsidP="005A40AF">
      <w:pPr>
        <w:rPr>
          <w:rFonts w:ascii="Times New Roman" w:hAnsi="Times New Roman" w:cs="Times New Roman"/>
          <w:szCs w:val="24"/>
        </w:rPr>
      </w:pPr>
      <w:r w:rsidRPr="005A40AF">
        <w:rPr>
          <w:rFonts w:ascii="Times New Roman" w:hAnsi="Times New Roman" w:cs="Times New Roman"/>
          <w:szCs w:val="24"/>
        </w:rPr>
        <w:t>As Unilever's headquarters are in London, the company is part of one of the largest consumer goods groups in the world, with over 400 brands in over 190 countries. As such, the technology, laws, consumer attitudes and relationships between countries can influence everything from supply chains to innovation and markets (Unilever, 202</w:t>
      </w:r>
      <w:r w:rsidR="002B67F2" w:rsidRPr="005A40AF">
        <w:rPr>
          <w:rFonts w:ascii="Times New Roman" w:hAnsi="Times New Roman" w:cs="Times New Roman"/>
          <w:szCs w:val="24"/>
        </w:rPr>
        <w:t>4</w:t>
      </w:r>
      <w:r w:rsidRPr="005A40AF">
        <w:rPr>
          <w:rFonts w:ascii="Times New Roman" w:hAnsi="Times New Roman" w:cs="Times New Roman"/>
          <w:szCs w:val="24"/>
        </w:rPr>
        <w:t xml:space="preserve">). </w:t>
      </w:r>
      <w:r w:rsidR="00C136A2" w:rsidRPr="005A40AF">
        <w:rPr>
          <w:rFonts w:ascii="Times New Roman" w:hAnsi="Times New Roman" w:cs="Times New Roman"/>
          <w:szCs w:val="24"/>
        </w:rPr>
        <w:t xml:space="preserve"> </w:t>
      </w:r>
      <w:r w:rsidR="00DF799E" w:rsidRPr="005A40AF">
        <w:rPr>
          <w:rFonts w:ascii="Times New Roman" w:hAnsi="Times New Roman" w:cs="Times New Roman"/>
          <w:szCs w:val="24"/>
        </w:rPr>
        <w:t>This essay discusses the global trends</w:t>
      </w:r>
      <w:r w:rsidR="00C136A2" w:rsidRPr="005A40AF">
        <w:rPr>
          <w:rFonts w:ascii="Times New Roman" w:hAnsi="Times New Roman" w:cs="Times New Roman"/>
          <w:szCs w:val="24"/>
        </w:rPr>
        <w:t xml:space="preserve"> and</w:t>
      </w:r>
      <w:r w:rsidR="00DF799E" w:rsidRPr="005A40AF">
        <w:rPr>
          <w:rFonts w:ascii="Times New Roman" w:hAnsi="Times New Roman" w:cs="Times New Roman"/>
          <w:szCs w:val="24"/>
        </w:rPr>
        <w:t xml:space="preserve"> the opportunities and threats they present for Unilever</w:t>
      </w:r>
      <w:r w:rsidR="00C136A2" w:rsidRPr="005A40AF">
        <w:rPr>
          <w:rFonts w:ascii="Times New Roman" w:hAnsi="Times New Roman" w:cs="Times New Roman"/>
          <w:szCs w:val="24"/>
        </w:rPr>
        <w:t>.</w:t>
      </w:r>
    </w:p>
    <w:p w14:paraId="376610E4" w14:textId="77777777" w:rsidR="00DF799E" w:rsidRPr="005A40AF" w:rsidRDefault="00DF799E" w:rsidP="005A40AF">
      <w:pPr>
        <w:rPr>
          <w:rFonts w:ascii="Times New Roman" w:hAnsi="Times New Roman" w:cs="Times New Roman"/>
          <w:szCs w:val="24"/>
          <w:u w:val="single"/>
        </w:rPr>
      </w:pPr>
      <w:r w:rsidRPr="005A40AF">
        <w:rPr>
          <w:rFonts w:ascii="Times New Roman" w:hAnsi="Times New Roman" w:cs="Times New Roman"/>
          <w:szCs w:val="24"/>
          <w:u w:val="single"/>
        </w:rPr>
        <w:t>Opportunities and Challenges Shaped by Global Forces</w:t>
      </w:r>
    </w:p>
    <w:p w14:paraId="5DBF2BCD" w14:textId="61A2CF45" w:rsidR="00C81772" w:rsidRPr="005A40AF" w:rsidRDefault="00DF799E" w:rsidP="005A40AF">
      <w:pPr>
        <w:pStyle w:val="ListParagraph"/>
        <w:numPr>
          <w:ilvl w:val="0"/>
          <w:numId w:val="2"/>
        </w:numPr>
        <w:rPr>
          <w:rFonts w:ascii="Times New Roman" w:hAnsi="Times New Roman" w:cs="Times New Roman"/>
          <w:szCs w:val="24"/>
        </w:rPr>
      </w:pPr>
      <w:r w:rsidRPr="005A40AF">
        <w:rPr>
          <w:rFonts w:ascii="Times New Roman" w:hAnsi="Times New Roman" w:cs="Times New Roman"/>
          <w:szCs w:val="24"/>
        </w:rPr>
        <w:t>Artificial Intelligence and Digital Transformation</w:t>
      </w:r>
    </w:p>
    <w:p w14:paraId="65784F52" w14:textId="44D67D29" w:rsidR="00C81772" w:rsidRPr="005A40AF" w:rsidRDefault="00C81772" w:rsidP="005A40AF">
      <w:pPr>
        <w:rPr>
          <w:rFonts w:ascii="Times New Roman" w:hAnsi="Times New Roman" w:cs="Times New Roman"/>
          <w:szCs w:val="24"/>
        </w:rPr>
      </w:pPr>
      <w:r w:rsidRPr="005A40AF">
        <w:rPr>
          <w:rFonts w:ascii="Times New Roman" w:hAnsi="Times New Roman" w:cs="Times New Roman"/>
          <w:szCs w:val="24"/>
        </w:rPr>
        <w:t>AI is currently one of the most disruptive components of the global business ecosystem, transforming value creation through automation, predictive analytics, and decision augmentation (Shrestha et al., 2021). For Unilever, AI allows it to improve demand forecasting, new product development and marketing personalisation. The company uses machine learning-based algorithms to analyse consumer behaviour in its international markets to carry out targeted advertising and disseminate information more quickly. For example, the company's AI-powered platform, the "People Data Centres", supports real-time knowledge extraction allowing companies to rapidly respond to changing consumer demand (Unilever, 2023).</w:t>
      </w:r>
    </w:p>
    <w:p w14:paraId="5387F9D8" w14:textId="4431307F" w:rsidR="00C81772" w:rsidRPr="005A40AF" w:rsidRDefault="00C81772" w:rsidP="005A40AF">
      <w:pPr>
        <w:rPr>
          <w:rFonts w:ascii="Times New Roman" w:hAnsi="Times New Roman" w:cs="Times New Roman"/>
          <w:szCs w:val="24"/>
        </w:rPr>
      </w:pPr>
      <w:r w:rsidRPr="005A40AF">
        <w:rPr>
          <w:rFonts w:ascii="Times New Roman" w:hAnsi="Times New Roman" w:cs="Times New Roman"/>
          <w:szCs w:val="24"/>
        </w:rPr>
        <w:t xml:space="preserve">The same technology creates new organisational requirements related to high quality data governance, cybersecurity protection and specialist digital expertise. As discussed in Raisch and Krakowski's competitive dynamics of AI transformation research (2021), organisations face new challenges in developing adequate new organisational routines and hybrid human-machines organisation forms, making it difficult to arrive at a common view regarding decision rights, work design and culture. Unilever faces increasing pressure to build digital capabilities globally, especially in markets where digital connectivity is lacking. Unilever </w:t>
      </w:r>
      <w:r w:rsidRPr="005A40AF">
        <w:rPr>
          <w:rFonts w:ascii="Times New Roman" w:hAnsi="Times New Roman" w:cs="Times New Roman"/>
          <w:szCs w:val="24"/>
        </w:rPr>
        <w:lastRenderedPageBreak/>
        <w:t>also risks its reputation when algorithms are biased and when data is not private in jurisdictions that expect privacy and protection</w:t>
      </w:r>
      <w:r w:rsidR="00B73A65" w:rsidRPr="005A40AF">
        <w:rPr>
          <w:rFonts w:ascii="Times New Roman" w:hAnsi="Times New Roman" w:cs="Times New Roman"/>
          <w:szCs w:val="24"/>
        </w:rPr>
        <w:t>.</w:t>
      </w:r>
    </w:p>
    <w:p w14:paraId="1850740C" w14:textId="27D8B6E4" w:rsidR="00C81772" w:rsidRPr="005A40AF" w:rsidRDefault="00424DEE" w:rsidP="005A40AF">
      <w:pPr>
        <w:pStyle w:val="ListParagraph"/>
        <w:numPr>
          <w:ilvl w:val="0"/>
          <w:numId w:val="2"/>
        </w:numPr>
        <w:rPr>
          <w:rFonts w:ascii="Times New Roman" w:hAnsi="Times New Roman" w:cs="Times New Roman"/>
          <w:szCs w:val="24"/>
        </w:rPr>
      </w:pPr>
      <w:r w:rsidRPr="005A40AF">
        <w:rPr>
          <w:rFonts w:ascii="Times New Roman" w:hAnsi="Times New Roman" w:cs="Times New Roman"/>
          <w:szCs w:val="24"/>
        </w:rPr>
        <w:t>Geopolitics and Global Supply Chain Disruptions</w:t>
      </w:r>
    </w:p>
    <w:p w14:paraId="21EE79D3" w14:textId="6210B885" w:rsidR="00C81772" w:rsidRPr="005A40AF" w:rsidRDefault="00C81772" w:rsidP="005A40AF">
      <w:pPr>
        <w:rPr>
          <w:rFonts w:ascii="Times New Roman" w:hAnsi="Times New Roman" w:cs="Times New Roman"/>
          <w:szCs w:val="24"/>
        </w:rPr>
      </w:pPr>
      <w:r w:rsidRPr="005A40AF">
        <w:rPr>
          <w:rFonts w:ascii="Times New Roman" w:hAnsi="Times New Roman" w:cs="Times New Roman"/>
          <w:szCs w:val="24"/>
        </w:rPr>
        <w:t>Geopolitical risk and supply chain disruptions are major forces upon multinational corporations. Geopolitical events for example the Russia-Ukraine war, conflicts in the Middle East, post-Brexit trade negotiations and deteriorating Western-Chinese relations are reshaping global supply chains and trade routes. According to Gereffi (2020), global value chains reconfigure with resilience, regionalisation and multi-sourcing.</w:t>
      </w:r>
    </w:p>
    <w:p w14:paraId="0E3091E1" w14:textId="2CEBD6C0" w:rsidR="00C81772" w:rsidRPr="005A40AF" w:rsidRDefault="00C81772" w:rsidP="005A40AF">
      <w:pPr>
        <w:rPr>
          <w:rFonts w:ascii="Times New Roman" w:hAnsi="Times New Roman" w:cs="Times New Roman"/>
          <w:szCs w:val="24"/>
        </w:rPr>
      </w:pPr>
      <w:r w:rsidRPr="005A40AF">
        <w:rPr>
          <w:rFonts w:ascii="Times New Roman" w:hAnsi="Times New Roman" w:cs="Times New Roman"/>
          <w:szCs w:val="24"/>
        </w:rPr>
        <w:t>Unilever views supply chain resilience with meaningful opportunity. Its investment in digital capabilities, diversified sourcing and localised manufacturing means the company is more agile, making it less exposed to any localised shocks in one market. For example, Unilever invested in local factories in Asia and Africa to provide rapid access to the local market and reduce reliance on transcontinental logistics, and to access large emerging markets (Unilever, 202</w:t>
      </w:r>
      <w:r w:rsidR="008C24BF" w:rsidRPr="005A40AF">
        <w:rPr>
          <w:rFonts w:ascii="Times New Roman" w:hAnsi="Times New Roman" w:cs="Times New Roman"/>
          <w:szCs w:val="24"/>
        </w:rPr>
        <w:t>4</w:t>
      </w:r>
      <w:r w:rsidRPr="005A40AF">
        <w:rPr>
          <w:rFonts w:ascii="Times New Roman" w:hAnsi="Times New Roman" w:cs="Times New Roman"/>
          <w:szCs w:val="24"/>
        </w:rPr>
        <w:t>).</w:t>
      </w:r>
    </w:p>
    <w:p w14:paraId="0FE2A68C" w14:textId="67C5E658" w:rsidR="00C81772" w:rsidRPr="005A40AF" w:rsidRDefault="00C81772" w:rsidP="005A40AF">
      <w:pPr>
        <w:rPr>
          <w:rFonts w:ascii="Times New Roman" w:hAnsi="Times New Roman" w:cs="Times New Roman"/>
          <w:szCs w:val="24"/>
        </w:rPr>
      </w:pPr>
      <w:r w:rsidRPr="005A40AF">
        <w:rPr>
          <w:rFonts w:ascii="Times New Roman" w:hAnsi="Times New Roman" w:cs="Times New Roman"/>
          <w:szCs w:val="24"/>
        </w:rPr>
        <w:t>Simultaneously, geopolitical complexity, including disruptions of global shipping and trade resulting in higher transportation costs and changes in product procurement and formulation, is increasing the cost (</w:t>
      </w:r>
      <w:proofErr w:type="spellStart"/>
      <w:r w:rsidRPr="005A40AF">
        <w:rPr>
          <w:rFonts w:ascii="Times New Roman" w:hAnsi="Times New Roman" w:cs="Times New Roman"/>
          <w:szCs w:val="24"/>
        </w:rPr>
        <w:t>Dolgui</w:t>
      </w:r>
      <w:proofErr w:type="spellEnd"/>
      <w:r w:rsidRPr="005A40AF">
        <w:rPr>
          <w:rFonts w:ascii="Times New Roman" w:hAnsi="Times New Roman" w:cs="Times New Roman"/>
          <w:szCs w:val="24"/>
        </w:rPr>
        <w:t xml:space="preserve"> and Ivanov, 2021). Research also suggests such uncertainty impairs supply chain optimization while increasing the need for planned safety stock (</w:t>
      </w:r>
      <w:proofErr w:type="spellStart"/>
      <w:r w:rsidRPr="005A40AF">
        <w:rPr>
          <w:rFonts w:ascii="Times New Roman" w:hAnsi="Times New Roman" w:cs="Times New Roman"/>
          <w:szCs w:val="24"/>
        </w:rPr>
        <w:t>Dolgui</w:t>
      </w:r>
      <w:proofErr w:type="spellEnd"/>
      <w:r w:rsidRPr="005A40AF">
        <w:rPr>
          <w:rFonts w:ascii="Times New Roman" w:hAnsi="Times New Roman" w:cs="Times New Roman"/>
          <w:szCs w:val="24"/>
        </w:rPr>
        <w:t xml:space="preserve"> and Ivanov, 2021). For Unilever's raw materials such as palm oil, dairy ingredients, packaging and chemicals, prices fluctuate. Political action such as sanctions, tariffs and local content legislation affect market access, and in some cases may require a shift in either production or research and development capacity.</w:t>
      </w:r>
    </w:p>
    <w:p w14:paraId="2080A053" w14:textId="04A0B197" w:rsidR="00C81772" w:rsidRPr="005A40AF" w:rsidRDefault="004923C8" w:rsidP="005A40AF">
      <w:pPr>
        <w:pStyle w:val="ListParagraph"/>
        <w:numPr>
          <w:ilvl w:val="0"/>
          <w:numId w:val="2"/>
        </w:numPr>
        <w:rPr>
          <w:rFonts w:ascii="Times New Roman" w:hAnsi="Times New Roman" w:cs="Times New Roman"/>
          <w:szCs w:val="24"/>
        </w:rPr>
      </w:pPr>
      <w:r w:rsidRPr="005A40AF">
        <w:rPr>
          <w:rFonts w:ascii="Times New Roman" w:hAnsi="Times New Roman" w:cs="Times New Roman"/>
          <w:szCs w:val="24"/>
        </w:rPr>
        <w:t>Sustainability Regulation and the Corporate Sustainability Reporting Directive (CSRD)</w:t>
      </w:r>
    </w:p>
    <w:p w14:paraId="0EDD4C61" w14:textId="7E836F81" w:rsidR="00C81772" w:rsidRPr="005A40AF" w:rsidRDefault="00C81772" w:rsidP="005A40AF">
      <w:pPr>
        <w:rPr>
          <w:rFonts w:ascii="Times New Roman" w:hAnsi="Times New Roman" w:cs="Times New Roman"/>
          <w:szCs w:val="24"/>
        </w:rPr>
      </w:pPr>
      <w:r w:rsidRPr="005A40AF">
        <w:rPr>
          <w:rFonts w:ascii="Times New Roman" w:hAnsi="Times New Roman" w:cs="Times New Roman"/>
          <w:szCs w:val="24"/>
        </w:rPr>
        <w:t xml:space="preserve">Sustainability drives international business as one of the most important factors. For example, the EU passed the Corporate Sustainability Reporting Directive (CSRD). The directive requires large multinational businesses to disclose the ESG performance of their value chains. The directive also covers how they are managing the risk of climate change. </w:t>
      </w:r>
      <w:r w:rsidR="001578E6" w:rsidRPr="005A40AF">
        <w:rPr>
          <w:rFonts w:ascii="Times New Roman" w:hAnsi="Times New Roman" w:cs="Times New Roman"/>
          <w:szCs w:val="24"/>
        </w:rPr>
        <w:t xml:space="preserve">Furthermore, </w:t>
      </w:r>
      <w:r w:rsidRPr="005A40AF">
        <w:rPr>
          <w:rFonts w:ascii="Times New Roman" w:hAnsi="Times New Roman" w:cs="Times New Roman"/>
          <w:szCs w:val="24"/>
        </w:rPr>
        <w:t xml:space="preserve">Van der </w:t>
      </w:r>
      <w:proofErr w:type="spellStart"/>
      <w:r w:rsidRPr="005A40AF">
        <w:rPr>
          <w:rFonts w:ascii="Times New Roman" w:hAnsi="Times New Roman" w:cs="Times New Roman"/>
          <w:szCs w:val="24"/>
        </w:rPr>
        <w:t>Lugt</w:t>
      </w:r>
      <w:proofErr w:type="spellEnd"/>
      <w:r w:rsidRPr="005A40AF">
        <w:rPr>
          <w:rFonts w:ascii="Times New Roman" w:hAnsi="Times New Roman" w:cs="Times New Roman"/>
          <w:szCs w:val="24"/>
        </w:rPr>
        <w:t xml:space="preserve"> et al.</w:t>
      </w:r>
      <w:r w:rsidR="001578E6" w:rsidRPr="005A40AF">
        <w:rPr>
          <w:rFonts w:ascii="Times New Roman" w:hAnsi="Times New Roman" w:cs="Times New Roman"/>
          <w:szCs w:val="24"/>
        </w:rPr>
        <w:t xml:space="preserve"> (</w:t>
      </w:r>
      <w:r w:rsidRPr="005A40AF">
        <w:rPr>
          <w:rFonts w:ascii="Times New Roman" w:hAnsi="Times New Roman" w:cs="Times New Roman"/>
          <w:szCs w:val="24"/>
        </w:rPr>
        <w:t>2023)</w:t>
      </w:r>
      <w:r w:rsidR="0073427C" w:rsidRPr="005A40AF">
        <w:rPr>
          <w:rFonts w:ascii="Times New Roman" w:hAnsi="Times New Roman" w:cs="Times New Roman"/>
          <w:szCs w:val="24"/>
        </w:rPr>
        <w:t xml:space="preserve"> say </w:t>
      </w:r>
      <w:r w:rsidRPr="005A40AF">
        <w:rPr>
          <w:rFonts w:ascii="Times New Roman" w:hAnsi="Times New Roman" w:cs="Times New Roman"/>
          <w:szCs w:val="24"/>
        </w:rPr>
        <w:t>that sustainability regulation can help companies to better internalise environmental externalities, report with transparency, and include sustainability when they plan decisions.</w:t>
      </w:r>
    </w:p>
    <w:p w14:paraId="42B1A08C" w14:textId="45F988B4" w:rsidR="00C81772" w:rsidRPr="005A40AF" w:rsidRDefault="00C81772" w:rsidP="005A40AF">
      <w:pPr>
        <w:rPr>
          <w:rFonts w:ascii="Times New Roman" w:hAnsi="Times New Roman" w:cs="Times New Roman"/>
          <w:szCs w:val="24"/>
        </w:rPr>
      </w:pPr>
      <w:r w:rsidRPr="005A40AF">
        <w:rPr>
          <w:rFonts w:ascii="Times New Roman" w:hAnsi="Times New Roman" w:cs="Times New Roman"/>
          <w:szCs w:val="24"/>
        </w:rPr>
        <w:lastRenderedPageBreak/>
        <w:t>For Unilever, the largest opportunities of CSRD are building consumer, investor and regulatory trust. Strong sustainability credentials provide Unilever with a differentiator against competitors in markets where demand for sustainable products and services is growing. Unilever's Sustainability Plan answers heightened global expectations on waste, practices regenerative agriculture, and nets zero, attracting investors with ESG mandates, and reinforces Unilever's reputation as a global brand.</w:t>
      </w:r>
    </w:p>
    <w:p w14:paraId="614EEF83" w14:textId="1553D8E0" w:rsidR="008E1821" w:rsidRPr="005A40AF" w:rsidRDefault="00C81772" w:rsidP="005A40AF">
      <w:pPr>
        <w:rPr>
          <w:rFonts w:ascii="Times New Roman" w:hAnsi="Times New Roman" w:cs="Times New Roman"/>
          <w:szCs w:val="24"/>
        </w:rPr>
      </w:pPr>
      <w:r w:rsidRPr="005A40AF">
        <w:rPr>
          <w:rFonts w:ascii="Times New Roman" w:hAnsi="Times New Roman" w:cs="Times New Roman"/>
          <w:szCs w:val="24"/>
        </w:rPr>
        <w:t xml:space="preserve">But at a practical level, complying with regulations like the CSRD challenges people because they need to gather data from entire value chains, including international suppliers with complex locations. Adams and </w:t>
      </w:r>
      <w:proofErr w:type="spellStart"/>
      <w:r w:rsidRPr="005A40AF">
        <w:rPr>
          <w:rFonts w:ascii="Times New Roman" w:hAnsi="Times New Roman" w:cs="Times New Roman"/>
          <w:szCs w:val="24"/>
        </w:rPr>
        <w:t>Abhayawansa</w:t>
      </w:r>
      <w:proofErr w:type="spellEnd"/>
      <w:r w:rsidRPr="005A40AF">
        <w:rPr>
          <w:rFonts w:ascii="Times New Roman" w:hAnsi="Times New Roman" w:cs="Times New Roman"/>
          <w:szCs w:val="24"/>
        </w:rPr>
        <w:t xml:space="preserve"> (2022) argue that sustainability reporting increases costs to track emissions, social impacts and resource use across complex supply chains. For Unilever, this involves managing smallholder farmers, packaging suppliers and distribution partners with varying governance in multiple regulatory environments. Sustainability targets may also temporarily increase costs of operations through investment in green technology, circular packaging or renewable energy sources.</w:t>
      </w:r>
      <w:r w:rsidR="0073427C" w:rsidRPr="005A40AF">
        <w:rPr>
          <w:rFonts w:ascii="Times New Roman" w:hAnsi="Times New Roman" w:cs="Times New Roman"/>
          <w:szCs w:val="24"/>
        </w:rPr>
        <w:t xml:space="preserve"> </w:t>
      </w:r>
    </w:p>
    <w:p w14:paraId="77AF9920" w14:textId="77777777" w:rsidR="008E1821" w:rsidRPr="005A40AF" w:rsidRDefault="008E1821" w:rsidP="005A40AF">
      <w:pPr>
        <w:rPr>
          <w:rFonts w:ascii="Times New Roman" w:hAnsi="Times New Roman" w:cs="Times New Roman"/>
          <w:szCs w:val="24"/>
          <w:u w:val="single"/>
        </w:rPr>
      </w:pPr>
      <w:r w:rsidRPr="005A40AF">
        <w:rPr>
          <w:rFonts w:ascii="Times New Roman" w:hAnsi="Times New Roman" w:cs="Times New Roman"/>
          <w:szCs w:val="24"/>
          <w:u w:val="single"/>
        </w:rPr>
        <w:t>Impact on Unilever’s Market Positioning, Innovation, Talent Management, and Competitiveness</w:t>
      </w:r>
    </w:p>
    <w:p w14:paraId="470E7E55" w14:textId="269255E4" w:rsidR="008E1821" w:rsidRPr="005A40AF" w:rsidRDefault="008E1821" w:rsidP="005A40AF">
      <w:pPr>
        <w:pStyle w:val="ListParagraph"/>
        <w:numPr>
          <w:ilvl w:val="0"/>
          <w:numId w:val="1"/>
        </w:numPr>
        <w:rPr>
          <w:rFonts w:ascii="Times New Roman" w:hAnsi="Times New Roman" w:cs="Times New Roman"/>
          <w:szCs w:val="24"/>
        </w:rPr>
      </w:pPr>
      <w:r w:rsidRPr="005A40AF">
        <w:rPr>
          <w:rFonts w:ascii="Times New Roman" w:hAnsi="Times New Roman" w:cs="Times New Roman"/>
          <w:szCs w:val="24"/>
        </w:rPr>
        <w:t>Market Positioning</w:t>
      </w:r>
    </w:p>
    <w:p w14:paraId="5B206FFD" w14:textId="6768D78A" w:rsidR="00C81772" w:rsidRPr="005A40AF" w:rsidRDefault="00C81772" w:rsidP="005A40AF">
      <w:pPr>
        <w:rPr>
          <w:rFonts w:ascii="Times New Roman" w:hAnsi="Times New Roman" w:cs="Times New Roman"/>
          <w:szCs w:val="24"/>
        </w:rPr>
      </w:pPr>
      <w:r w:rsidRPr="005A40AF">
        <w:rPr>
          <w:rFonts w:ascii="Times New Roman" w:hAnsi="Times New Roman" w:cs="Times New Roman"/>
          <w:szCs w:val="24"/>
        </w:rPr>
        <w:t>Unilever seeks to remain competitive by attending to global trends and utilising AI for precision marketing and segmentation. Such Unilever advantages will help improve market share in crowded areas of the FMCG markets, and especially in digital-first countries. Choi et al. (2023) further show that digital capabilities improve market agility and product-market fit (PMF) in the consumer goods sector.</w:t>
      </w:r>
    </w:p>
    <w:p w14:paraId="06751362" w14:textId="77777777" w:rsidR="00C81772" w:rsidRPr="005A40AF" w:rsidRDefault="00C81772" w:rsidP="005A40AF">
      <w:pPr>
        <w:rPr>
          <w:rFonts w:ascii="Times New Roman" w:hAnsi="Times New Roman" w:cs="Times New Roman"/>
          <w:szCs w:val="24"/>
        </w:rPr>
      </w:pPr>
      <w:r w:rsidRPr="005A40AF">
        <w:rPr>
          <w:rFonts w:ascii="Times New Roman" w:hAnsi="Times New Roman" w:cs="Times New Roman"/>
          <w:szCs w:val="24"/>
        </w:rPr>
        <w:t>Unilever's competitiveness can also be affected by geopolitical risks by location. For example, supply blockages can cause the firm's shelf share to decline compared to firms with supply bases in one location. Meanwhile, sustainability regulation generally has a positive effect on brand equity but imposes costs compared to less-regulated rivals, especially in developing countries where sustainability enforcement evolves gradually.</w:t>
      </w:r>
    </w:p>
    <w:p w14:paraId="54753B3E" w14:textId="4E607802" w:rsidR="00C81772" w:rsidRPr="005A40AF" w:rsidRDefault="007F39F7" w:rsidP="005A40AF">
      <w:pPr>
        <w:pStyle w:val="ListParagraph"/>
        <w:numPr>
          <w:ilvl w:val="0"/>
          <w:numId w:val="1"/>
        </w:numPr>
        <w:rPr>
          <w:rFonts w:ascii="Times New Roman" w:hAnsi="Times New Roman" w:cs="Times New Roman"/>
          <w:szCs w:val="24"/>
        </w:rPr>
      </w:pPr>
      <w:r w:rsidRPr="005A40AF">
        <w:rPr>
          <w:rFonts w:ascii="Times New Roman" w:hAnsi="Times New Roman" w:cs="Times New Roman"/>
          <w:szCs w:val="24"/>
        </w:rPr>
        <w:t>Innovation Capabilities</w:t>
      </w:r>
    </w:p>
    <w:p w14:paraId="1C12943A" w14:textId="2CE4CB22" w:rsidR="00C81772" w:rsidRPr="005A40AF" w:rsidRDefault="00C81772" w:rsidP="005A40AF">
      <w:pPr>
        <w:rPr>
          <w:rFonts w:ascii="Times New Roman" w:hAnsi="Times New Roman" w:cs="Times New Roman"/>
          <w:szCs w:val="24"/>
        </w:rPr>
      </w:pPr>
      <w:r w:rsidRPr="005A40AF">
        <w:rPr>
          <w:rFonts w:ascii="Times New Roman" w:hAnsi="Times New Roman" w:cs="Times New Roman"/>
          <w:szCs w:val="24"/>
        </w:rPr>
        <w:t xml:space="preserve">AI is speeding Unilever's product development process through rapid experimentation, auto-formulation, and auto-trend forecasting, reducing product cycle times and developing products better suited for the local markets. Unilever is also using digital twins and predictive </w:t>
      </w:r>
      <w:r w:rsidRPr="005A40AF">
        <w:rPr>
          <w:rFonts w:ascii="Times New Roman" w:hAnsi="Times New Roman" w:cs="Times New Roman"/>
          <w:szCs w:val="24"/>
        </w:rPr>
        <w:lastRenderedPageBreak/>
        <w:t xml:space="preserve">modelling to optimise product standardisation and reduce wastage. This supports </w:t>
      </w:r>
      <w:proofErr w:type="spellStart"/>
      <w:r w:rsidRPr="005A40AF">
        <w:rPr>
          <w:rFonts w:ascii="Times New Roman" w:hAnsi="Times New Roman" w:cs="Times New Roman"/>
          <w:szCs w:val="24"/>
        </w:rPr>
        <w:t>Jarrahi's</w:t>
      </w:r>
      <w:proofErr w:type="spellEnd"/>
      <w:r w:rsidRPr="005A40AF">
        <w:rPr>
          <w:rFonts w:ascii="Times New Roman" w:hAnsi="Times New Roman" w:cs="Times New Roman"/>
          <w:szCs w:val="24"/>
        </w:rPr>
        <w:t xml:space="preserve"> (2019) argument that artificial intelligence augments human creativity when it is part of a collaborative innovation ecosystem.</w:t>
      </w:r>
    </w:p>
    <w:p w14:paraId="50FD41F7" w14:textId="35D0AA5A" w:rsidR="00C81772" w:rsidRPr="005A40AF" w:rsidRDefault="00FC2A36" w:rsidP="005A40AF">
      <w:pPr>
        <w:pStyle w:val="ListParagraph"/>
        <w:numPr>
          <w:ilvl w:val="0"/>
          <w:numId w:val="1"/>
        </w:numPr>
        <w:rPr>
          <w:rFonts w:ascii="Times New Roman" w:hAnsi="Times New Roman" w:cs="Times New Roman"/>
          <w:szCs w:val="24"/>
        </w:rPr>
      </w:pPr>
      <w:r w:rsidRPr="005A40AF">
        <w:rPr>
          <w:rFonts w:ascii="Times New Roman" w:hAnsi="Times New Roman" w:cs="Times New Roman"/>
          <w:szCs w:val="24"/>
        </w:rPr>
        <w:t>Talent Management</w:t>
      </w:r>
    </w:p>
    <w:p w14:paraId="71CEE59D" w14:textId="028B466B" w:rsidR="00C81772" w:rsidRPr="005A40AF" w:rsidRDefault="00C81772" w:rsidP="005A40AF">
      <w:pPr>
        <w:rPr>
          <w:rFonts w:ascii="Times New Roman" w:hAnsi="Times New Roman" w:cs="Times New Roman"/>
          <w:szCs w:val="24"/>
        </w:rPr>
      </w:pPr>
      <w:r w:rsidRPr="005A40AF">
        <w:rPr>
          <w:rFonts w:ascii="Times New Roman" w:hAnsi="Times New Roman" w:cs="Times New Roman"/>
          <w:szCs w:val="24"/>
        </w:rPr>
        <w:t>Talent is a meaningful component of Unilever's global strategy. The rise of Artificial Intelligence has also increased the demand for data scientists, digital marketers, automation experts, and ethical Artificial Intelligence professionals. According to Min et al. (2021), digital transformation changes skills required for the workforce, causing a need for reskilling programs on adaptability. Unilever's digital skilling programs allow employees to work on AI tools and address the global shortage of digital talent.</w:t>
      </w:r>
    </w:p>
    <w:p w14:paraId="57697F2E" w14:textId="716157E5" w:rsidR="00C81772" w:rsidRPr="005A40AF" w:rsidRDefault="00C81772" w:rsidP="005A40AF">
      <w:pPr>
        <w:rPr>
          <w:rFonts w:ascii="Times New Roman" w:hAnsi="Times New Roman" w:cs="Times New Roman"/>
          <w:szCs w:val="24"/>
        </w:rPr>
      </w:pPr>
      <w:r w:rsidRPr="005A40AF">
        <w:rPr>
          <w:rFonts w:ascii="Times New Roman" w:hAnsi="Times New Roman" w:cs="Times New Roman"/>
          <w:szCs w:val="24"/>
        </w:rPr>
        <w:t>Purpose-driven careers are increasingly sought by younger employees, and strong environmental, social and governance (ESG) commitments create more attractive organizations. Meeting sustainability commitments will require new capabilities, like climate reporting, regenerative agriculture and life-cycle assessment, increasing recruiting and upskilling requirements.</w:t>
      </w:r>
    </w:p>
    <w:p w14:paraId="78CA21FB" w14:textId="30D86C50" w:rsidR="0041670B" w:rsidRPr="005A40AF" w:rsidRDefault="0041670B" w:rsidP="005A40AF">
      <w:pPr>
        <w:pStyle w:val="ListParagraph"/>
        <w:numPr>
          <w:ilvl w:val="0"/>
          <w:numId w:val="1"/>
        </w:numPr>
        <w:rPr>
          <w:rFonts w:ascii="Times New Roman" w:hAnsi="Times New Roman" w:cs="Times New Roman"/>
          <w:szCs w:val="24"/>
        </w:rPr>
      </w:pPr>
      <w:r w:rsidRPr="005A40AF">
        <w:rPr>
          <w:rFonts w:ascii="Times New Roman" w:hAnsi="Times New Roman" w:cs="Times New Roman"/>
          <w:szCs w:val="24"/>
        </w:rPr>
        <w:t>Overall Competitiveness</w:t>
      </w:r>
    </w:p>
    <w:p w14:paraId="28C5A59B" w14:textId="6BBE493D" w:rsidR="00C81772" w:rsidRPr="005A40AF" w:rsidRDefault="00C81772" w:rsidP="005A40AF">
      <w:pPr>
        <w:rPr>
          <w:rFonts w:ascii="Times New Roman" w:hAnsi="Times New Roman" w:cs="Times New Roman"/>
          <w:szCs w:val="24"/>
        </w:rPr>
      </w:pPr>
      <w:r w:rsidRPr="005A40AF">
        <w:rPr>
          <w:rFonts w:ascii="Times New Roman" w:hAnsi="Times New Roman" w:cs="Times New Roman"/>
          <w:szCs w:val="24"/>
        </w:rPr>
        <w:t>Alongside AI, geopolitics and sustainability, Unilever's competitive advantage is multi-fold: AI increases productivity and accelerates innovation; sustainability improves brand equity and improves long-term survival; and supply chain resilience strengthens the continuity of business and the responsiveness of its different departments to regional markets. However, these forces also imply higher costs, greater capabilities, and more complexity in strategy overall.</w:t>
      </w:r>
    </w:p>
    <w:p w14:paraId="7DE76529" w14:textId="77777777" w:rsidR="0041670B" w:rsidRPr="005A40AF" w:rsidRDefault="0041670B" w:rsidP="00B73B2F">
      <w:pPr>
        <w:jc w:val="center"/>
        <w:rPr>
          <w:rFonts w:ascii="Times New Roman" w:hAnsi="Times New Roman" w:cs="Times New Roman"/>
          <w:szCs w:val="24"/>
          <w:u w:val="single"/>
        </w:rPr>
      </w:pPr>
      <w:r w:rsidRPr="005A40AF">
        <w:rPr>
          <w:rFonts w:ascii="Times New Roman" w:hAnsi="Times New Roman" w:cs="Times New Roman"/>
          <w:szCs w:val="24"/>
          <w:u w:val="single"/>
        </w:rPr>
        <w:t>Strategic Recommendations</w:t>
      </w:r>
    </w:p>
    <w:p w14:paraId="5A593DA8" w14:textId="3120DAE5" w:rsidR="00C81772" w:rsidRPr="005A40AF" w:rsidRDefault="0041670B" w:rsidP="005A40AF">
      <w:pPr>
        <w:rPr>
          <w:rFonts w:ascii="Times New Roman" w:hAnsi="Times New Roman" w:cs="Times New Roman"/>
          <w:szCs w:val="24"/>
        </w:rPr>
      </w:pPr>
      <w:r w:rsidRPr="005A40AF">
        <w:rPr>
          <w:rFonts w:ascii="Times New Roman" w:hAnsi="Times New Roman" w:cs="Times New Roman"/>
          <w:szCs w:val="24"/>
        </w:rPr>
        <w:t>1. Deepen AI Integration Through Ethical and Scalable Systems</w:t>
      </w:r>
    </w:p>
    <w:p w14:paraId="7F664190" w14:textId="7892ADA9" w:rsidR="00F34714" w:rsidRPr="005A40AF" w:rsidRDefault="00C81772" w:rsidP="005A40AF">
      <w:pPr>
        <w:rPr>
          <w:rFonts w:ascii="Times New Roman" w:hAnsi="Times New Roman" w:cs="Times New Roman"/>
          <w:szCs w:val="24"/>
        </w:rPr>
      </w:pPr>
      <w:r w:rsidRPr="005A40AF">
        <w:rPr>
          <w:rFonts w:ascii="Times New Roman" w:hAnsi="Times New Roman" w:cs="Times New Roman"/>
          <w:szCs w:val="24"/>
        </w:rPr>
        <w:t xml:space="preserve">Unilever can benefit from embedding appropriate AI governance in its value chain. This could include processes that improve due to predictive analytics during supply chain planning, systems that manufacture for quality-control due to AI-based automation and personalization that improves because of ethical AI-based data models. Collaborating alongside universities and academic institutions can help Unilever innovate responsibly and </w:t>
      </w:r>
      <w:r w:rsidRPr="005A40AF">
        <w:rPr>
          <w:rFonts w:ascii="Times New Roman" w:hAnsi="Times New Roman" w:cs="Times New Roman"/>
          <w:szCs w:val="24"/>
        </w:rPr>
        <w:lastRenderedPageBreak/>
        <w:t>attract digital talent</w:t>
      </w:r>
      <w:r w:rsidR="00E31B78" w:rsidRPr="005A40AF">
        <w:rPr>
          <w:rFonts w:ascii="Times New Roman" w:hAnsi="Times New Roman" w:cs="Times New Roman"/>
          <w:szCs w:val="24"/>
        </w:rPr>
        <w:t>, as integrated human–AI collaboration enhances decision quality and accelerates innovation processes</w:t>
      </w:r>
      <w:r w:rsidR="00EB5D3F" w:rsidRPr="005A40AF">
        <w:rPr>
          <w:rFonts w:ascii="Times New Roman" w:hAnsi="Times New Roman" w:cs="Times New Roman"/>
          <w:szCs w:val="24"/>
        </w:rPr>
        <w:t xml:space="preserve"> (Shrestha et al. 2021). </w:t>
      </w:r>
    </w:p>
    <w:p w14:paraId="1E5B765A" w14:textId="6A877E13" w:rsidR="00F34714" w:rsidRPr="005A40AF" w:rsidRDefault="00F34714" w:rsidP="005A40AF">
      <w:pPr>
        <w:rPr>
          <w:rFonts w:ascii="Times New Roman" w:hAnsi="Times New Roman" w:cs="Times New Roman"/>
          <w:szCs w:val="24"/>
        </w:rPr>
      </w:pPr>
      <w:r w:rsidRPr="005A40AF">
        <w:rPr>
          <w:rFonts w:ascii="Times New Roman" w:hAnsi="Times New Roman" w:cs="Times New Roman"/>
          <w:szCs w:val="24"/>
        </w:rPr>
        <w:t>2. Build a Multi-Regional “Resilient-by-Design” Supply Chain</w:t>
      </w:r>
    </w:p>
    <w:p w14:paraId="282E1186" w14:textId="10EE3B09" w:rsidR="00C81772" w:rsidRPr="005A40AF" w:rsidRDefault="00C81772" w:rsidP="005A40AF">
      <w:pPr>
        <w:rPr>
          <w:rFonts w:ascii="Times New Roman" w:hAnsi="Times New Roman" w:cs="Times New Roman"/>
          <w:szCs w:val="24"/>
        </w:rPr>
      </w:pPr>
      <w:r w:rsidRPr="005A40AF">
        <w:rPr>
          <w:rFonts w:ascii="Times New Roman" w:hAnsi="Times New Roman" w:cs="Times New Roman"/>
          <w:szCs w:val="24"/>
        </w:rPr>
        <w:t xml:space="preserve">Unilever can reduce vulnerabilities to supply disruptions through supplier base and location diversification, supply chain mapping, blockchain traceability use, and smart inventory management, among other actions. </w:t>
      </w:r>
      <w:proofErr w:type="spellStart"/>
      <w:r w:rsidRPr="005A40AF">
        <w:rPr>
          <w:rFonts w:ascii="Times New Roman" w:hAnsi="Times New Roman" w:cs="Times New Roman"/>
          <w:szCs w:val="24"/>
        </w:rPr>
        <w:t>Dolgui</w:t>
      </w:r>
      <w:proofErr w:type="spellEnd"/>
      <w:r w:rsidRPr="005A40AF">
        <w:rPr>
          <w:rFonts w:ascii="Times New Roman" w:hAnsi="Times New Roman" w:cs="Times New Roman"/>
          <w:szCs w:val="24"/>
        </w:rPr>
        <w:t xml:space="preserve"> and Ivanov (2021) argue that resilience capabilities reduce vulnerability thereby improving competitive advantage. Expanding supplier development programs in Africa, Latin America and South Asia would increase local anchoring and decrease logistics risk for long-distance procurement.</w:t>
      </w:r>
    </w:p>
    <w:p w14:paraId="0A6312D5" w14:textId="26824866" w:rsidR="00C81772" w:rsidRPr="005A40AF" w:rsidRDefault="00F34714" w:rsidP="005A40AF">
      <w:pPr>
        <w:rPr>
          <w:rFonts w:ascii="Times New Roman" w:hAnsi="Times New Roman" w:cs="Times New Roman"/>
          <w:szCs w:val="24"/>
        </w:rPr>
      </w:pPr>
      <w:r w:rsidRPr="005A40AF">
        <w:rPr>
          <w:rFonts w:ascii="Times New Roman" w:hAnsi="Times New Roman" w:cs="Times New Roman"/>
          <w:szCs w:val="24"/>
        </w:rPr>
        <w:t>3. Accelerate Sustainability Integration Through Value Chain Transparency</w:t>
      </w:r>
    </w:p>
    <w:p w14:paraId="221E189C" w14:textId="3D5F51D1" w:rsidR="00645571" w:rsidRPr="005A40AF" w:rsidRDefault="00C81772" w:rsidP="005A40AF">
      <w:pPr>
        <w:rPr>
          <w:rFonts w:ascii="Times New Roman" w:hAnsi="Times New Roman" w:cs="Times New Roman"/>
          <w:szCs w:val="24"/>
        </w:rPr>
      </w:pPr>
      <w:r w:rsidRPr="005A40AF">
        <w:rPr>
          <w:rFonts w:ascii="Times New Roman" w:hAnsi="Times New Roman" w:cs="Times New Roman"/>
          <w:szCs w:val="24"/>
        </w:rPr>
        <w:t xml:space="preserve">To meet upcoming CSRD requirements and consumer expectations, Unilever could improve sustainability data reporting with Tier-2 and Tier-3 suppliers and introduce digitalized ESG dashboards, satellite monitoring to track agricultural inputs, and climate risk analytics. Long-term calculated cooperation with suppliers on regenerative agriculture and circular models reduces compliance costs and enables co-development. According to Van der </w:t>
      </w:r>
      <w:proofErr w:type="spellStart"/>
      <w:r w:rsidRPr="005A40AF">
        <w:rPr>
          <w:rFonts w:ascii="Times New Roman" w:hAnsi="Times New Roman" w:cs="Times New Roman"/>
          <w:szCs w:val="24"/>
        </w:rPr>
        <w:t>Lugt</w:t>
      </w:r>
      <w:proofErr w:type="spellEnd"/>
      <w:r w:rsidRPr="005A40AF">
        <w:rPr>
          <w:rFonts w:ascii="Times New Roman" w:hAnsi="Times New Roman" w:cs="Times New Roman"/>
          <w:szCs w:val="24"/>
        </w:rPr>
        <w:t xml:space="preserve"> et al. (2023), stronger ESG integration supports long-term organisational profitability and improves investor trust in the long run.</w:t>
      </w:r>
    </w:p>
    <w:p w14:paraId="52495DFB" w14:textId="77A2E76B" w:rsidR="00C81772" w:rsidRPr="005A40AF" w:rsidRDefault="00645571" w:rsidP="005A40AF">
      <w:pPr>
        <w:rPr>
          <w:rFonts w:ascii="Times New Roman" w:hAnsi="Times New Roman" w:cs="Times New Roman"/>
          <w:szCs w:val="24"/>
        </w:rPr>
      </w:pPr>
      <w:r w:rsidRPr="005A40AF">
        <w:rPr>
          <w:rFonts w:ascii="Times New Roman" w:hAnsi="Times New Roman" w:cs="Times New Roman"/>
          <w:szCs w:val="24"/>
        </w:rPr>
        <w:t>4. Strengthen Global Talent Capability Through Strategic Reskilling</w:t>
      </w:r>
    </w:p>
    <w:p w14:paraId="63A755AD" w14:textId="735BB54F" w:rsidR="00C81772" w:rsidRPr="005A40AF" w:rsidRDefault="00C81772" w:rsidP="005A40AF">
      <w:pPr>
        <w:rPr>
          <w:rFonts w:ascii="Times New Roman" w:hAnsi="Times New Roman" w:cs="Times New Roman"/>
          <w:szCs w:val="24"/>
        </w:rPr>
      </w:pPr>
      <w:r w:rsidRPr="005A40AF">
        <w:rPr>
          <w:rFonts w:ascii="Times New Roman" w:hAnsi="Times New Roman" w:cs="Times New Roman"/>
          <w:szCs w:val="24"/>
        </w:rPr>
        <w:t>Unilever should continuously reskill people in digital, sustainability and intercultural leadership competencies like AI ethics, climate reporting, data science and other areas. It should collaborate with leading global business schools and technology partners. Min et al. (2021) suggest</w:t>
      </w:r>
      <w:r w:rsidR="00ED0C00" w:rsidRPr="005A40AF">
        <w:rPr>
          <w:rFonts w:ascii="Times New Roman" w:hAnsi="Times New Roman" w:cs="Times New Roman"/>
          <w:szCs w:val="24"/>
        </w:rPr>
        <w:t>s</w:t>
      </w:r>
      <w:r w:rsidRPr="005A40AF">
        <w:rPr>
          <w:rFonts w:ascii="Times New Roman" w:hAnsi="Times New Roman" w:cs="Times New Roman"/>
          <w:szCs w:val="24"/>
        </w:rPr>
        <w:t xml:space="preserve"> this can improve organisational agility with resilience and better attract then retain high-value talent in competitive </w:t>
      </w:r>
      <w:proofErr w:type="spellStart"/>
      <w:r w:rsidRPr="005A40AF">
        <w:rPr>
          <w:rFonts w:ascii="Times New Roman" w:hAnsi="Times New Roman" w:cs="Times New Roman"/>
          <w:szCs w:val="24"/>
        </w:rPr>
        <w:t>labor</w:t>
      </w:r>
      <w:proofErr w:type="spellEnd"/>
      <w:r w:rsidRPr="005A40AF">
        <w:rPr>
          <w:rFonts w:ascii="Times New Roman" w:hAnsi="Times New Roman" w:cs="Times New Roman"/>
          <w:szCs w:val="24"/>
        </w:rPr>
        <w:t xml:space="preserve"> markets.</w:t>
      </w:r>
    </w:p>
    <w:p w14:paraId="258EB27A" w14:textId="0C2FCCFD" w:rsidR="00C81772" w:rsidRPr="005A40AF" w:rsidRDefault="00645571" w:rsidP="005A40AF">
      <w:pPr>
        <w:rPr>
          <w:rFonts w:ascii="Times New Roman" w:hAnsi="Times New Roman" w:cs="Times New Roman"/>
          <w:szCs w:val="24"/>
          <w:u w:val="single"/>
        </w:rPr>
      </w:pPr>
      <w:r w:rsidRPr="005A40AF">
        <w:rPr>
          <w:rFonts w:ascii="Times New Roman" w:hAnsi="Times New Roman" w:cs="Times New Roman"/>
          <w:szCs w:val="24"/>
          <w:u w:val="single"/>
        </w:rPr>
        <w:t>Conclusion</w:t>
      </w:r>
    </w:p>
    <w:p w14:paraId="407611FA" w14:textId="77777777" w:rsidR="00B73B2F" w:rsidRDefault="00C81772" w:rsidP="005A40AF">
      <w:pPr>
        <w:rPr>
          <w:rFonts w:ascii="Times New Roman" w:hAnsi="Times New Roman" w:cs="Times New Roman"/>
          <w:szCs w:val="24"/>
        </w:rPr>
      </w:pPr>
      <w:r w:rsidRPr="005A40AF">
        <w:rPr>
          <w:rFonts w:ascii="Times New Roman" w:hAnsi="Times New Roman" w:cs="Times New Roman"/>
          <w:szCs w:val="24"/>
        </w:rPr>
        <w:t>The essay explored themes that reshape Unilever's operational and calculated context. AI promises to analyse, innovate, and effect change in areas, but poses difficulties in data governance and in attracting talent. Geopolitical shifts show that resilient, diversified supply chains are important again these chains cost more and are more uncertain. When regulations support sustainability, regulations provide long-term brand equity and accountability because they substantially invest in operational reporting</w:t>
      </w:r>
      <w:r w:rsidR="00ED0C00" w:rsidRPr="005A40AF">
        <w:rPr>
          <w:rFonts w:ascii="Times New Roman" w:hAnsi="Times New Roman" w:cs="Times New Roman"/>
          <w:szCs w:val="24"/>
        </w:rPr>
        <w:t>.</w:t>
      </w:r>
    </w:p>
    <w:p w14:paraId="7EE68997" w14:textId="5E500FAC" w:rsidR="00B82907" w:rsidRPr="00B73B2F" w:rsidRDefault="00B82907" w:rsidP="00B73B2F">
      <w:pPr>
        <w:jc w:val="center"/>
        <w:rPr>
          <w:rFonts w:ascii="Times New Roman" w:hAnsi="Times New Roman" w:cs="Times New Roman"/>
          <w:szCs w:val="24"/>
        </w:rPr>
      </w:pPr>
      <w:r w:rsidRPr="005A40AF">
        <w:rPr>
          <w:rFonts w:ascii="Times New Roman" w:hAnsi="Times New Roman" w:cs="Times New Roman"/>
          <w:szCs w:val="24"/>
          <w:u w:val="single"/>
        </w:rPr>
        <w:lastRenderedPageBreak/>
        <w:t>Reference</w:t>
      </w:r>
      <w:r w:rsidR="000F66C9" w:rsidRPr="005A40AF">
        <w:rPr>
          <w:rFonts w:ascii="Times New Roman" w:hAnsi="Times New Roman" w:cs="Times New Roman"/>
          <w:szCs w:val="24"/>
          <w:u w:val="single"/>
        </w:rPr>
        <w:t xml:space="preserve"> List</w:t>
      </w:r>
    </w:p>
    <w:p w14:paraId="08BEF192" w14:textId="77777777" w:rsidR="00AE0BA4" w:rsidRPr="005A40AF" w:rsidRDefault="00AE0BA4" w:rsidP="005A40AF">
      <w:pPr>
        <w:rPr>
          <w:rFonts w:ascii="Times New Roman" w:hAnsi="Times New Roman" w:cs="Times New Roman"/>
          <w:szCs w:val="24"/>
        </w:rPr>
      </w:pPr>
      <w:r w:rsidRPr="005A40AF">
        <w:rPr>
          <w:rFonts w:ascii="Times New Roman" w:hAnsi="Times New Roman" w:cs="Times New Roman"/>
          <w:szCs w:val="24"/>
        </w:rPr>
        <w:t xml:space="preserve">Adams, C.A. and </w:t>
      </w:r>
      <w:proofErr w:type="spellStart"/>
      <w:r w:rsidRPr="005A40AF">
        <w:rPr>
          <w:rFonts w:ascii="Times New Roman" w:hAnsi="Times New Roman" w:cs="Times New Roman"/>
          <w:szCs w:val="24"/>
        </w:rPr>
        <w:t>Abhayawansa</w:t>
      </w:r>
      <w:proofErr w:type="spellEnd"/>
      <w:r w:rsidRPr="005A40AF">
        <w:rPr>
          <w:rFonts w:ascii="Times New Roman" w:hAnsi="Times New Roman" w:cs="Times New Roman"/>
          <w:szCs w:val="24"/>
        </w:rPr>
        <w:t>, S. (2022) ‘Connecting the COVID-19 pandemic, environmental, social and governance (ESG) investing and calls for “harmonisation” of sustainability reporting’, Critical Perspectives on Accounting, 88, pp. 1–7.</w:t>
      </w:r>
    </w:p>
    <w:p w14:paraId="204635F9" w14:textId="77777777" w:rsidR="00AE0BA4" w:rsidRPr="005A40AF" w:rsidRDefault="00AE0BA4" w:rsidP="005A40AF">
      <w:pPr>
        <w:rPr>
          <w:rFonts w:ascii="Times New Roman" w:hAnsi="Times New Roman" w:cs="Times New Roman"/>
          <w:szCs w:val="24"/>
        </w:rPr>
      </w:pPr>
      <w:r w:rsidRPr="005A40AF">
        <w:rPr>
          <w:rFonts w:ascii="Times New Roman" w:hAnsi="Times New Roman" w:cs="Times New Roman"/>
          <w:szCs w:val="24"/>
        </w:rPr>
        <w:t>Choi, J., Lee, J. and Hwang, Y. (2023) ‘Digital capabilities and competitiveness in consumer goods markets’, Journal of Business Research, 157, pp. 1–12.</w:t>
      </w:r>
    </w:p>
    <w:p w14:paraId="40915352" w14:textId="77777777" w:rsidR="00AE0BA4" w:rsidRPr="005A40AF" w:rsidRDefault="00AE0BA4" w:rsidP="005A40AF">
      <w:pPr>
        <w:rPr>
          <w:rFonts w:ascii="Times New Roman" w:hAnsi="Times New Roman" w:cs="Times New Roman"/>
          <w:szCs w:val="24"/>
        </w:rPr>
      </w:pPr>
      <w:proofErr w:type="spellStart"/>
      <w:r w:rsidRPr="005A40AF">
        <w:rPr>
          <w:rFonts w:ascii="Times New Roman" w:hAnsi="Times New Roman" w:cs="Times New Roman"/>
          <w:szCs w:val="24"/>
        </w:rPr>
        <w:t>Dolgui</w:t>
      </w:r>
      <w:proofErr w:type="spellEnd"/>
      <w:r w:rsidRPr="005A40AF">
        <w:rPr>
          <w:rFonts w:ascii="Times New Roman" w:hAnsi="Times New Roman" w:cs="Times New Roman"/>
          <w:szCs w:val="24"/>
        </w:rPr>
        <w:t>, A. and Ivanov, D. (2021) ‘Ripple effect and supply chain resilience: research review and implications’, Omega, 102, pp. 1–17.</w:t>
      </w:r>
    </w:p>
    <w:p w14:paraId="22363DAB" w14:textId="77777777" w:rsidR="00AE0BA4" w:rsidRPr="005A40AF" w:rsidRDefault="00AE0BA4" w:rsidP="005A40AF">
      <w:pPr>
        <w:rPr>
          <w:rFonts w:ascii="Times New Roman" w:hAnsi="Times New Roman" w:cs="Times New Roman"/>
          <w:szCs w:val="24"/>
        </w:rPr>
      </w:pPr>
      <w:r w:rsidRPr="005A40AF">
        <w:rPr>
          <w:rFonts w:ascii="Times New Roman" w:hAnsi="Times New Roman" w:cs="Times New Roman"/>
          <w:szCs w:val="24"/>
        </w:rPr>
        <w:t>Gereffi, G. (2020) ‘What does the COVID-19 pandemic teach us about global value chains?’, Journal of International Business Policy, 3(3), pp. 287–301.</w:t>
      </w:r>
    </w:p>
    <w:p w14:paraId="15E88A89" w14:textId="77777777" w:rsidR="00AE0BA4" w:rsidRPr="005A40AF" w:rsidRDefault="00AE0BA4" w:rsidP="005A40AF">
      <w:pPr>
        <w:rPr>
          <w:rFonts w:ascii="Times New Roman" w:hAnsi="Times New Roman" w:cs="Times New Roman"/>
          <w:szCs w:val="24"/>
        </w:rPr>
      </w:pPr>
      <w:r w:rsidRPr="005A40AF">
        <w:rPr>
          <w:rFonts w:ascii="Times New Roman" w:hAnsi="Times New Roman" w:cs="Times New Roman"/>
          <w:szCs w:val="24"/>
        </w:rPr>
        <w:t xml:space="preserve">Gygli, S., </w:t>
      </w:r>
      <w:proofErr w:type="spellStart"/>
      <w:r w:rsidRPr="005A40AF">
        <w:rPr>
          <w:rFonts w:ascii="Times New Roman" w:hAnsi="Times New Roman" w:cs="Times New Roman"/>
          <w:szCs w:val="24"/>
        </w:rPr>
        <w:t>Haelg</w:t>
      </w:r>
      <w:proofErr w:type="spellEnd"/>
      <w:r w:rsidRPr="005A40AF">
        <w:rPr>
          <w:rFonts w:ascii="Times New Roman" w:hAnsi="Times New Roman" w:cs="Times New Roman"/>
          <w:szCs w:val="24"/>
        </w:rPr>
        <w:t xml:space="preserve">, F., </w:t>
      </w:r>
      <w:proofErr w:type="spellStart"/>
      <w:r w:rsidRPr="005A40AF">
        <w:rPr>
          <w:rFonts w:ascii="Times New Roman" w:hAnsi="Times New Roman" w:cs="Times New Roman"/>
          <w:szCs w:val="24"/>
        </w:rPr>
        <w:t>Potrafke</w:t>
      </w:r>
      <w:proofErr w:type="spellEnd"/>
      <w:r w:rsidRPr="005A40AF">
        <w:rPr>
          <w:rFonts w:ascii="Times New Roman" w:hAnsi="Times New Roman" w:cs="Times New Roman"/>
          <w:szCs w:val="24"/>
        </w:rPr>
        <w:t>, N. and Sturm, J.-E. (2019) ‘The KOF globalisation index – revisited’, Review of International Organizations, 14(3), pp. 543–574.</w:t>
      </w:r>
    </w:p>
    <w:p w14:paraId="15177334" w14:textId="77777777" w:rsidR="00AE0BA4" w:rsidRPr="005A40AF" w:rsidRDefault="00AE0BA4" w:rsidP="005A40AF">
      <w:pPr>
        <w:rPr>
          <w:rFonts w:ascii="Times New Roman" w:hAnsi="Times New Roman" w:cs="Times New Roman"/>
          <w:szCs w:val="24"/>
        </w:rPr>
      </w:pPr>
      <w:proofErr w:type="spellStart"/>
      <w:r w:rsidRPr="005A40AF">
        <w:rPr>
          <w:rFonts w:ascii="Times New Roman" w:hAnsi="Times New Roman" w:cs="Times New Roman"/>
          <w:szCs w:val="24"/>
        </w:rPr>
        <w:t>Jarrahi</w:t>
      </w:r>
      <w:proofErr w:type="spellEnd"/>
      <w:r w:rsidRPr="005A40AF">
        <w:rPr>
          <w:rFonts w:ascii="Times New Roman" w:hAnsi="Times New Roman" w:cs="Times New Roman"/>
          <w:szCs w:val="24"/>
        </w:rPr>
        <w:t>, M.H. (2019) ‘Artificial intelligence and the future of work: human–AI symbiosis in organisational decision-making’, Business Horizons, 62(2), pp. 1–9.</w:t>
      </w:r>
    </w:p>
    <w:p w14:paraId="3FAB45AB" w14:textId="77777777" w:rsidR="00AE0BA4" w:rsidRPr="005A40AF" w:rsidRDefault="00AE0BA4" w:rsidP="005A40AF">
      <w:pPr>
        <w:rPr>
          <w:rFonts w:ascii="Times New Roman" w:hAnsi="Times New Roman" w:cs="Times New Roman"/>
          <w:szCs w:val="24"/>
        </w:rPr>
      </w:pPr>
      <w:r w:rsidRPr="005A40AF">
        <w:rPr>
          <w:rFonts w:ascii="Times New Roman" w:hAnsi="Times New Roman" w:cs="Times New Roman"/>
          <w:szCs w:val="24"/>
        </w:rPr>
        <w:t>Meyer, K., Li, C. and Schotter, A. (2020) ‘Managing the MNE in turbulent times: new challenges and responses’, Journal of World Business, 55(3), pp. 1–7.</w:t>
      </w:r>
    </w:p>
    <w:p w14:paraId="289C784E" w14:textId="77777777" w:rsidR="00AE0BA4" w:rsidRPr="005A40AF" w:rsidRDefault="00AE0BA4" w:rsidP="005A40AF">
      <w:pPr>
        <w:rPr>
          <w:rFonts w:ascii="Times New Roman" w:hAnsi="Times New Roman" w:cs="Times New Roman"/>
          <w:szCs w:val="24"/>
        </w:rPr>
      </w:pPr>
      <w:r w:rsidRPr="005A40AF">
        <w:rPr>
          <w:rFonts w:ascii="Times New Roman" w:hAnsi="Times New Roman" w:cs="Times New Roman"/>
          <w:szCs w:val="24"/>
        </w:rPr>
        <w:t>Min, H., Kim, Y. and Lee, S. (2021) ‘Digital transformation and talent development in multinational enterprises’, International Journal of Human Resource Management, 32(18), pp. 3830–3855.</w:t>
      </w:r>
    </w:p>
    <w:p w14:paraId="15C0113E" w14:textId="77777777" w:rsidR="00AE0BA4" w:rsidRPr="005A40AF" w:rsidRDefault="00AE0BA4" w:rsidP="005A40AF">
      <w:pPr>
        <w:rPr>
          <w:rFonts w:ascii="Times New Roman" w:hAnsi="Times New Roman" w:cs="Times New Roman"/>
          <w:szCs w:val="24"/>
        </w:rPr>
      </w:pPr>
      <w:r w:rsidRPr="005A40AF">
        <w:rPr>
          <w:rFonts w:ascii="Times New Roman" w:hAnsi="Times New Roman" w:cs="Times New Roman"/>
          <w:szCs w:val="24"/>
        </w:rPr>
        <w:t>Raisch, S. and Krakowski, S. (2021) ‘Artificial intelligence and management: the automation–augmentation paradox’, Academy of Management Review, 46(1), pp. 1–21.</w:t>
      </w:r>
    </w:p>
    <w:p w14:paraId="04624740" w14:textId="77777777" w:rsidR="00AE0BA4" w:rsidRPr="005A40AF" w:rsidRDefault="00AE0BA4" w:rsidP="005A40AF">
      <w:pPr>
        <w:rPr>
          <w:rFonts w:ascii="Times New Roman" w:hAnsi="Times New Roman" w:cs="Times New Roman"/>
          <w:szCs w:val="24"/>
        </w:rPr>
      </w:pPr>
      <w:r w:rsidRPr="005A40AF">
        <w:rPr>
          <w:rFonts w:ascii="Times New Roman" w:hAnsi="Times New Roman" w:cs="Times New Roman"/>
          <w:szCs w:val="24"/>
        </w:rPr>
        <w:t>Shrestha, Y.R., Ben-Menahem, S.M. and Von Krogh, G. (2021) ‘Augmenting organisational decision-making with deep learning algorithms’, Journal of Management, 47(6), pp. 1373–1400.</w:t>
      </w:r>
    </w:p>
    <w:p w14:paraId="49541FEA" w14:textId="77777777" w:rsidR="00AE0BA4" w:rsidRPr="005A40AF" w:rsidRDefault="00AE0BA4" w:rsidP="005A40AF">
      <w:pPr>
        <w:rPr>
          <w:rFonts w:ascii="Times New Roman" w:hAnsi="Times New Roman" w:cs="Times New Roman"/>
          <w:szCs w:val="24"/>
        </w:rPr>
      </w:pPr>
      <w:r w:rsidRPr="005A40AF">
        <w:rPr>
          <w:rFonts w:ascii="Times New Roman" w:hAnsi="Times New Roman" w:cs="Times New Roman"/>
          <w:szCs w:val="24"/>
        </w:rPr>
        <w:t xml:space="preserve">Unilever (2024) Annual Report and Accounts 2024. London: Unilever PLC. Available at: </w:t>
      </w:r>
      <w:hyperlink r:id="rId7" w:history="1">
        <w:r w:rsidRPr="005A40AF">
          <w:rPr>
            <w:rStyle w:val="Hyperlink"/>
            <w:rFonts w:ascii="Times New Roman" w:hAnsi="Times New Roman" w:cs="Times New Roman"/>
            <w:szCs w:val="24"/>
          </w:rPr>
          <w:t>https://www.unilever.com/files/unilever-annual-report-and-accounts-2024.pdf</w:t>
        </w:r>
      </w:hyperlink>
      <w:r w:rsidRPr="005A40AF">
        <w:rPr>
          <w:rFonts w:ascii="Times New Roman" w:hAnsi="Times New Roman" w:cs="Times New Roman"/>
          <w:szCs w:val="24"/>
        </w:rPr>
        <w:t xml:space="preserve"> (Accessed: 17 November 2025)</w:t>
      </w:r>
    </w:p>
    <w:p w14:paraId="3B5940A8" w14:textId="77777777" w:rsidR="00AE0BA4" w:rsidRPr="005A40AF" w:rsidRDefault="00AE0BA4" w:rsidP="005A40AF">
      <w:pPr>
        <w:rPr>
          <w:rFonts w:ascii="Times New Roman" w:hAnsi="Times New Roman" w:cs="Times New Roman"/>
          <w:szCs w:val="24"/>
        </w:rPr>
      </w:pPr>
      <w:r w:rsidRPr="005A40AF">
        <w:rPr>
          <w:rFonts w:ascii="Times New Roman" w:hAnsi="Times New Roman" w:cs="Times New Roman"/>
          <w:szCs w:val="24"/>
        </w:rPr>
        <w:t>Van der Lugt, C., Albareda, L. and Waddock, S. (2023) ‘Sustainable governance and global corporate responsibility’, Journal of Business Ethics, 186(1), pp. 35–52.</w:t>
      </w:r>
    </w:p>
    <w:sectPr w:rsidR="00AE0BA4" w:rsidRPr="005A40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DD59B" w14:textId="77777777" w:rsidR="00B22994" w:rsidRDefault="00B22994" w:rsidP="00F33D5F">
      <w:pPr>
        <w:spacing w:after="0" w:line="240" w:lineRule="auto"/>
      </w:pPr>
      <w:r>
        <w:separator/>
      </w:r>
    </w:p>
  </w:endnote>
  <w:endnote w:type="continuationSeparator" w:id="0">
    <w:p w14:paraId="33BFA214" w14:textId="77777777" w:rsidR="00B22994" w:rsidRDefault="00B22994" w:rsidP="00F33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EA66D" w14:textId="77777777" w:rsidR="00B22994" w:rsidRDefault="00B22994" w:rsidP="00F33D5F">
      <w:pPr>
        <w:spacing w:after="0" w:line="240" w:lineRule="auto"/>
      </w:pPr>
      <w:r>
        <w:separator/>
      </w:r>
    </w:p>
  </w:footnote>
  <w:footnote w:type="continuationSeparator" w:id="0">
    <w:p w14:paraId="4A5567D4" w14:textId="77777777" w:rsidR="00B22994" w:rsidRDefault="00B22994" w:rsidP="00F33D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E16877"/>
    <w:multiLevelType w:val="hybridMultilevel"/>
    <w:tmpl w:val="4A6EE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084606"/>
    <w:multiLevelType w:val="hybridMultilevel"/>
    <w:tmpl w:val="F8C09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8419507">
    <w:abstractNumId w:val="1"/>
  </w:num>
  <w:num w:numId="2" w16cid:durableId="360859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99E"/>
    <w:rsid w:val="000317C3"/>
    <w:rsid w:val="00037FE4"/>
    <w:rsid w:val="000F66C9"/>
    <w:rsid w:val="001560A0"/>
    <w:rsid w:val="001578E6"/>
    <w:rsid w:val="0018259D"/>
    <w:rsid w:val="002B67F2"/>
    <w:rsid w:val="002D3688"/>
    <w:rsid w:val="003F3421"/>
    <w:rsid w:val="0041670B"/>
    <w:rsid w:val="00424DEE"/>
    <w:rsid w:val="004923C8"/>
    <w:rsid w:val="004A4BDD"/>
    <w:rsid w:val="00587E28"/>
    <w:rsid w:val="005A40AF"/>
    <w:rsid w:val="00645571"/>
    <w:rsid w:val="0073427C"/>
    <w:rsid w:val="00776FC8"/>
    <w:rsid w:val="007F39F7"/>
    <w:rsid w:val="00815B9F"/>
    <w:rsid w:val="008C24BF"/>
    <w:rsid w:val="008E1821"/>
    <w:rsid w:val="00907CE1"/>
    <w:rsid w:val="00914364"/>
    <w:rsid w:val="00917618"/>
    <w:rsid w:val="009F4DFA"/>
    <w:rsid w:val="00AE0BA4"/>
    <w:rsid w:val="00B22994"/>
    <w:rsid w:val="00B73A65"/>
    <w:rsid w:val="00B73B2F"/>
    <w:rsid w:val="00B82907"/>
    <w:rsid w:val="00BD0370"/>
    <w:rsid w:val="00C136A2"/>
    <w:rsid w:val="00C81772"/>
    <w:rsid w:val="00D326B9"/>
    <w:rsid w:val="00D7034B"/>
    <w:rsid w:val="00D95420"/>
    <w:rsid w:val="00DF799E"/>
    <w:rsid w:val="00E31B78"/>
    <w:rsid w:val="00E84D85"/>
    <w:rsid w:val="00EB5D3F"/>
    <w:rsid w:val="00ED0C00"/>
    <w:rsid w:val="00F33D5F"/>
    <w:rsid w:val="00F34714"/>
    <w:rsid w:val="00FA399E"/>
    <w:rsid w:val="00FC2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5B2B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Calibri"/>
        <w:sz w:val="24"/>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39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A39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A399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A399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A399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A399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A399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A399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A399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99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A399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A399E"/>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A399E"/>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FA399E"/>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FA399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A399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A399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A399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A39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39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399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399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A399E"/>
    <w:pPr>
      <w:spacing w:before="160"/>
      <w:jc w:val="center"/>
    </w:pPr>
    <w:rPr>
      <w:i/>
      <w:iCs/>
      <w:color w:val="404040" w:themeColor="text1" w:themeTint="BF"/>
    </w:rPr>
  </w:style>
  <w:style w:type="character" w:customStyle="1" w:styleId="QuoteChar">
    <w:name w:val="Quote Char"/>
    <w:basedOn w:val="DefaultParagraphFont"/>
    <w:link w:val="Quote"/>
    <w:uiPriority w:val="29"/>
    <w:rsid w:val="00FA399E"/>
    <w:rPr>
      <w:i/>
      <w:iCs/>
      <w:color w:val="404040" w:themeColor="text1" w:themeTint="BF"/>
    </w:rPr>
  </w:style>
  <w:style w:type="paragraph" w:styleId="ListParagraph">
    <w:name w:val="List Paragraph"/>
    <w:basedOn w:val="Normal"/>
    <w:uiPriority w:val="34"/>
    <w:qFormat/>
    <w:rsid w:val="00FA399E"/>
    <w:pPr>
      <w:ind w:left="720"/>
      <w:contextualSpacing/>
    </w:pPr>
  </w:style>
  <w:style w:type="character" w:styleId="IntenseEmphasis">
    <w:name w:val="Intense Emphasis"/>
    <w:basedOn w:val="DefaultParagraphFont"/>
    <w:uiPriority w:val="21"/>
    <w:qFormat/>
    <w:rsid w:val="00FA399E"/>
    <w:rPr>
      <w:i/>
      <w:iCs/>
      <w:color w:val="2F5496" w:themeColor="accent1" w:themeShade="BF"/>
    </w:rPr>
  </w:style>
  <w:style w:type="paragraph" w:styleId="IntenseQuote">
    <w:name w:val="Intense Quote"/>
    <w:basedOn w:val="Normal"/>
    <w:next w:val="Normal"/>
    <w:link w:val="IntenseQuoteChar"/>
    <w:uiPriority w:val="30"/>
    <w:qFormat/>
    <w:rsid w:val="00FA39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399E"/>
    <w:rPr>
      <w:i/>
      <w:iCs/>
      <w:color w:val="2F5496" w:themeColor="accent1" w:themeShade="BF"/>
    </w:rPr>
  </w:style>
  <w:style w:type="character" w:styleId="IntenseReference">
    <w:name w:val="Intense Reference"/>
    <w:basedOn w:val="DefaultParagraphFont"/>
    <w:uiPriority w:val="32"/>
    <w:qFormat/>
    <w:rsid w:val="00FA399E"/>
    <w:rPr>
      <w:b/>
      <w:bCs/>
      <w:smallCaps/>
      <w:color w:val="2F5496" w:themeColor="accent1" w:themeShade="BF"/>
      <w:spacing w:val="5"/>
    </w:rPr>
  </w:style>
  <w:style w:type="character" w:styleId="Hyperlink">
    <w:name w:val="Hyperlink"/>
    <w:basedOn w:val="DefaultParagraphFont"/>
    <w:uiPriority w:val="99"/>
    <w:unhideWhenUsed/>
    <w:rsid w:val="000F66C9"/>
    <w:rPr>
      <w:color w:val="0563C1" w:themeColor="hyperlink"/>
      <w:u w:val="single"/>
    </w:rPr>
  </w:style>
  <w:style w:type="character" w:styleId="UnresolvedMention">
    <w:name w:val="Unresolved Mention"/>
    <w:basedOn w:val="DefaultParagraphFont"/>
    <w:uiPriority w:val="99"/>
    <w:semiHidden/>
    <w:unhideWhenUsed/>
    <w:rsid w:val="000F66C9"/>
    <w:rPr>
      <w:color w:val="605E5C"/>
      <w:shd w:val="clear" w:color="auto" w:fill="E1DFDD"/>
    </w:rPr>
  </w:style>
  <w:style w:type="paragraph" w:styleId="Header">
    <w:name w:val="header"/>
    <w:basedOn w:val="Normal"/>
    <w:link w:val="HeaderChar"/>
    <w:uiPriority w:val="99"/>
    <w:unhideWhenUsed/>
    <w:rsid w:val="00F33D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D5F"/>
  </w:style>
  <w:style w:type="paragraph" w:styleId="Footer">
    <w:name w:val="footer"/>
    <w:basedOn w:val="Normal"/>
    <w:link w:val="FooterChar"/>
    <w:uiPriority w:val="99"/>
    <w:unhideWhenUsed/>
    <w:rsid w:val="00F33D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D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nilever.com/files/unilever-annual-report-and-accounts-2024.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2149</Words>
  <Characters>12250</Characters>
  <Application>Microsoft Office Word</Application>
  <DocSecurity>0</DocSecurity>
  <Lines>102</Lines>
  <Paragraphs>28</Paragraphs>
  <ScaleCrop>false</ScaleCrop>
  <Company/>
  <LinksUpToDate>false</LinksUpToDate>
  <CharactersWithSpaces>14371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2025-11-19T16:09:00Z</dcterms:created>
  <dcterms:modified xsi:type="dcterms:W3CDTF">2025-12-07T14:21:00Z</dcterms:modified>
</cp:coreProperties>
</file>