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C75566" w14:textId="2E745D88" w:rsidR="00FD752E" w:rsidRDefault="00F81132" w:rsidP="00F81132">
      <w:pPr>
        <w:jc w:val="center"/>
        <w:rPr>
          <w:b/>
          <w:bCs/>
        </w:rPr>
      </w:pPr>
      <w:r>
        <w:rPr>
          <w:b/>
          <w:bCs/>
        </w:rPr>
        <w:t>HPPH7010 – Knowledge, Reason and Reality</w:t>
      </w:r>
    </w:p>
    <w:p w14:paraId="4134EEAB" w14:textId="2431C4EE" w:rsidR="00F81132" w:rsidRDefault="00F81132" w:rsidP="00F81132">
      <w:pPr>
        <w:jc w:val="center"/>
        <w:rPr>
          <w:b/>
          <w:bCs/>
        </w:rPr>
      </w:pPr>
      <w:r>
        <w:rPr>
          <w:b/>
          <w:bCs/>
        </w:rPr>
        <w:t>Assignment One: Annotated Bibliography</w:t>
      </w:r>
    </w:p>
    <w:p w14:paraId="245C9FE0" w14:textId="09181BF7" w:rsidR="00F81132" w:rsidRDefault="00F81132" w:rsidP="00F81132">
      <w:pPr>
        <w:jc w:val="center"/>
        <w:rPr>
          <w:b/>
          <w:bCs/>
        </w:rPr>
      </w:pPr>
      <w:r>
        <w:rPr>
          <w:b/>
          <w:bCs/>
        </w:rPr>
        <w:t>Wendie Kosek 1710841</w:t>
      </w:r>
    </w:p>
    <w:p w14:paraId="7CF588E6" w14:textId="6414CDD2" w:rsidR="00F81132" w:rsidRDefault="00F81132" w:rsidP="00F81132">
      <w:pPr>
        <w:jc w:val="center"/>
        <w:rPr>
          <w:b/>
          <w:bCs/>
        </w:rPr>
      </w:pPr>
    </w:p>
    <w:p w14:paraId="0D28D971" w14:textId="77777777" w:rsidR="00F61BAD" w:rsidRDefault="00F61BAD" w:rsidP="00F81132">
      <w:pPr>
        <w:jc w:val="center"/>
        <w:rPr>
          <w:b/>
          <w:bCs/>
        </w:rPr>
      </w:pPr>
    </w:p>
    <w:p w14:paraId="61B955D8" w14:textId="47FD8645" w:rsidR="006C38DA" w:rsidRPr="00F61BAD" w:rsidRDefault="00F61BAD">
      <w:pPr>
        <w:rPr>
          <w:b/>
          <w:bCs/>
        </w:rPr>
      </w:pPr>
      <w:r>
        <w:t>‘</w:t>
      </w:r>
      <w:r w:rsidR="006C38DA" w:rsidRPr="00F61BAD">
        <w:rPr>
          <w:b/>
          <w:bCs/>
        </w:rPr>
        <w:t>Presocratic Cosmology</w:t>
      </w:r>
      <w:r w:rsidRPr="00F61BAD">
        <w:rPr>
          <w:b/>
          <w:bCs/>
        </w:rPr>
        <w:t>’</w:t>
      </w:r>
      <w:r w:rsidR="00F81132" w:rsidRPr="00F61BAD">
        <w:rPr>
          <w:b/>
          <w:bCs/>
        </w:rPr>
        <w:t xml:space="preserve"> by M. R. Wright. </w:t>
      </w:r>
      <w:r w:rsidR="00F1692A" w:rsidRPr="00F61BAD">
        <w:rPr>
          <w:b/>
          <w:bCs/>
        </w:rPr>
        <w:t>Published in October 2008 in</w:t>
      </w:r>
      <w:r w:rsidR="006C38DA" w:rsidRPr="00F61BAD">
        <w:rPr>
          <w:b/>
          <w:bCs/>
        </w:rPr>
        <w:t xml:space="preserve"> </w:t>
      </w:r>
      <w:r w:rsidR="006C38DA" w:rsidRPr="00F61BAD">
        <w:rPr>
          <w:b/>
          <w:bCs/>
          <w:i/>
          <w:iCs/>
        </w:rPr>
        <w:t>The Oxford Handbook of Presocratic Philosophy</w:t>
      </w:r>
      <w:r w:rsidR="00F81132" w:rsidRPr="00F61BAD">
        <w:rPr>
          <w:b/>
          <w:bCs/>
          <w:i/>
          <w:iCs/>
        </w:rPr>
        <w:t>.</w:t>
      </w:r>
      <w:r w:rsidR="00F1692A" w:rsidRPr="00F61BAD">
        <w:rPr>
          <w:b/>
          <w:bCs/>
        </w:rPr>
        <w:t xml:space="preserve"> </w:t>
      </w:r>
    </w:p>
    <w:p w14:paraId="27A96AD7" w14:textId="5648E9FF" w:rsidR="001D7CE2" w:rsidRDefault="001D7CE2" w:rsidP="00F402DB">
      <w:pPr>
        <w:spacing w:line="360" w:lineRule="auto"/>
      </w:pPr>
      <w:r>
        <w:t>Theory of Everything</w:t>
      </w:r>
    </w:p>
    <w:p w14:paraId="66EB2BF2" w14:textId="1EBF2D35" w:rsidR="001D7CE2" w:rsidRDefault="001D7CE2" w:rsidP="00F402DB">
      <w:pPr>
        <w:spacing w:line="360" w:lineRule="auto"/>
      </w:pPr>
      <w:r>
        <w:t>The Presocratic exploration of cosmology can be defined as a “theory of everything” and how the cosmos is understood by humans. Wright posits that</w:t>
      </w:r>
      <w:r w:rsidR="00D64025">
        <w:t xml:space="preserve">, fundamentally, </w:t>
      </w:r>
      <w:r>
        <w:t xml:space="preserve">three questions </w:t>
      </w:r>
      <w:r w:rsidR="00D64025">
        <w:t xml:space="preserve">arise </w:t>
      </w:r>
      <w:r>
        <w:t xml:space="preserve">as the competing cosmologies of the time reveal themselves; these three questions </w:t>
      </w:r>
      <w:r w:rsidR="00D64025">
        <w:t>remain</w:t>
      </w:r>
      <w:r>
        <w:t xml:space="preserve"> un</w:t>
      </w:r>
      <w:r w:rsidR="00F049D5">
        <w:t>answered</w:t>
      </w:r>
      <w:r w:rsidR="00D64025">
        <w:t xml:space="preserve"> </w:t>
      </w:r>
      <w:r>
        <w:t>and relate to: 1. The form of most of matter; 2. The process of the beginning of the universe</w:t>
      </w:r>
      <w:r w:rsidR="00BA020E">
        <w:t>; 3. Whether the universe is infinite or finite.</w:t>
      </w:r>
      <w:r w:rsidR="00BA020E">
        <w:rPr>
          <w:rStyle w:val="FootnoteReference"/>
        </w:rPr>
        <w:footnoteReference w:id="1"/>
      </w:r>
      <w:r w:rsidR="00BA020E">
        <w:t xml:space="preserve"> Wright completes the article with an anthropic </w:t>
      </w:r>
      <w:r w:rsidR="00900854">
        <w:t>perspective which</w:t>
      </w:r>
      <w:r w:rsidR="00BA020E">
        <w:t xml:space="preserve"> explores how humans see the world and our place within that world.</w:t>
      </w:r>
    </w:p>
    <w:p w14:paraId="7A5C8739" w14:textId="12E9DEFB" w:rsidR="00AC6C7A" w:rsidRDefault="00AC6C7A" w:rsidP="00F402DB">
      <w:pPr>
        <w:spacing w:line="360" w:lineRule="auto"/>
      </w:pPr>
      <w:r>
        <w:t xml:space="preserve">Wright informs us of the enthusiasm and optimism with which the first </w:t>
      </w:r>
      <w:proofErr w:type="spellStart"/>
      <w:r>
        <w:t>Pre</w:t>
      </w:r>
      <w:r w:rsidR="00FD752E">
        <w:t>s</w:t>
      </w:r>
      <w:r>
        <w:t>ocratics</w:t>
      </w:r>
      <w:proofErr w:type="spellEnd"/>
      <w:r>
        <w:t xml:space="preserve"> embarked on explaining the all-encompassing ‘theory of everything’. The </w:t>
      </w:r>
      <w:r w:rsidR="00E53653">
        <w:t>answers to these fundamental questions were acknowledge as being accessible to human reasoning; The rewards gained from such knowledge</w:t>
      </w:r>
      <w:r>
        <w:t xml:space="preserve"> would be well worth the effort required </w:t>
      </w:r>
      <w:r w:rsidR="00E53653">
        <w:t>in aspiring</w:t>
      </w:r>
      <w:r>
        <w:t xml:space="preserve"> t</w:t>
      </w:r>
      <w:r w:rsidR="00F049D5">
        <w:t>o</w:t>
      </w:r>
      <w:r>
        <w:t xml:space="preserve"> understa</w:t>
      </w:r>
      <w:r w:rsidR="00E53653">
        <w:t>nd</w:t>
      </w:r>
      <w:r w:rsidR="00A8379A">
        <w:t xml:space="preserve"> </w:t>
      </w:r>
      <w:r>
        <w:t>all the complexities within this theory.</w:t>
      </w:r>
      <w:r w:rsidR="0098244C">
        <w:t xml:space="preserve"> </w:t>
      </w:r>
      <w:r w:rsidR="00CA58C5">
        <w:rPr>
          <w:rStyle w:val="FootnoteReference"/>
        </w:rPr>
        <w:footnoteReference w:id="2"/>
      </w:r>
      <w:r w:rsidR="0098244C">
        <w:t xml:space="preserve">In </w:t>
      </w:r>
      <w:r w:rsidR="00FD752E">
        <w:t>this</w:t>
      </w:r>
      <w:r w:rsidR="00461432">
        <w:t xml:space="preserve"> article </w:t>
      </w:r>
      <w:r w:rsidR="00A8379A">
        <w:t>Wright</w:t>
      </w:r>
      <w:r w:rsidR="00461432">
        <w:t xml:space="preserve"> puts forward</w:t>
      </w:r>
      <w:r w:rsidR="0098244C">
        <w:t xml:space="preserve"> a history of the regions and their philosophers, as well as the politics and the competitive tradition of the epoch. </w:t>
      </w:r>
      <w:r w:rsidR="00FC4488">
        <w:t xml:space="preserve">Competition was seen in athletics and politics as well as in gaining knowledge; this led to the development of criticizing, </w:t>
      </w:r>
      <w:proofErr w:type="gramStart"/>
      <w:r w:rsidR="00FC4488">
        <w:t>modifying</w:t>
      </w:r>
      <w:proofErr w:type="gramEnd"/>
      <w:r w:rsidR="00FC4488">
        <w:t xml:space="preserve"> and rejecting </w:t>
      </w:r>
      <w:r w:rsidR="00E53653">
        <w:t xml:space="preserve">the </w:t>
      </w:r>
      <w:r w:rsidR="00FC4488">
        <w:t>theories of predecessors as the</w:t>
      </w:r>
      <w:r w:rsidR="00A520FC">
        <w:t xml:space="preserve"> </w:t>
      </w:r>
      <w:r w:rsidR="004C2758">
        <w:t>theorists</w:t>
      </w:r>
      <w:r w:rsidR="00FC4488">
        <w:t xml:space="preserve"> rivalled the traditions of poetic influences. </w:t>
      </w:r>
      <w:r w:rsidR="008736FA">
        <w:t xml:space="preserve">These first philosophers embarked on the journey travelling beyond empirical evidence to the hard land of reason, endeavouring to bring unity to plurality </w:t>
      </w:r>
      <w:r w:rsidR="00F049D5">
        <w:t xml:space="preserve">whilst </w:t>
      </w:r>
      <w:r w:rsidR="008736FA">
        <w:t xml:space="preserve">seeking a permanent foundation in the concept of flux. </w:t>
      </w:r>
      <w:r w:rsidR="00A8379A">
        <w:t>This is reflected in th</w:t>
      </w:r>
      <w:r w:rsidR="00461432">
        <w:t>is</w:t>
      </w:r>
      <w:r w:rsidR="00A8379A">
        <w:t xml:space="preserve"> quotation by Xenophanes</w:t>
      </w:r>
      <w:r w:rsidR="00461432">
        <w:t>:</w:t>
      </w:r>
      <w:r w:rsidR="00A8379A">
        <w:t xml:space="preserve"> “in time by searching we find a better answer.”</w:t>
      </w:r>
      <w:r w:rsidR="00D51F1A">
        <w:rPr>
          <w:rStyle w:val="FootnoteReference"/>
        </w:rPr>
        <w:footnoteReference w:id="3"/>
      </w:r>
      <w:r w:rsidR="00D51F1A">
        <w:t>Wright candidly expresses that these endeavours are still at play and no resolutions have yet been found to explain the matter of the universe or how it began, and we are still no further enlightened as to the whether the universe is finite or infinite.</w:t>
      </w:r>
      <w:r w:rsidR="00CA58C5">
        <w:rPr>
          <w:rStyle w:val="FootnoteReference"/>
        </w:rPr>
        <w:footnoteReference w:id="4"/>
      </w:r>
    </w:p>
    <w:p w14:paraId="41FB67E7" w14:textId="77777777" w:rsidR="00F61BAD" w:rsidRDefault="00F61BAD" w:rsidP="00F402DB">
      <w:pPr>
        <w:spacing w:line="360" w:lineRule="auto"/>
      </w:pPr>
    </w:p>
    <w:p w14:paraId="5C0594D9" w14:textId="7374878D" w:rsidR="00F049D5" w:rsidRDefault="00F049D5" w:rsidP="00F402DB">
      <w:pPr>
        <w:spacing w:line="360" w:lineRule="auto"/>
      </w:pPr>
      <w:r>
        <w:t>In the beginning there was the word…</w:t>
      </w:r>
      <w:r w:rsidR="00630D6A">
        <w:t xml:space="preserve">To infinity and </w:t>
      </w:r>
      <w:r w:rsidR="004C2758">
        <w:t>beyond</w:t>
      </w:r>
      <w:r w:rsidR="00630D6A">
        <w:t>…</w:t>
      </w:r>
    </w:p>
    <w:p w14:paraId="714C753D" w14:textId="244510BE" w:rsidR="00016CC0" w:rsidRDefault="00F049D5" w:rsidP="00F402DB">
      <w:pPr>
        <w:spacing w:line="360" w:lineRule="auto"/>
      </w:pPr>
      <w:r>
        <w:t>The word</w:t>
      </w:r>
      <w:r w:rsidRPr="004C2758">
        <w:rPr>
          <w:i/>
          <w:iCs/>
        </w:rPr>
        <w:t xml:space="preserve"> arche</w:t>
      </w:r>
      <w:r>
        <w:t xml:space="preserve"> is used to describe the first</w:t>
      </w:r>
      <w:r w:rsidR="00630D6A">
        <w:t>,</w:t>
      </w:r>
      <w:r>
        <w:t xml:space="preserve"> and is thought to have been posited by Aristotle, but may have been first used by </w:t>
      </w:r>
      <w:proofErr w:type="spellStart"/>
      <w:r>
        <w:t>Anaximande</w:t>
      </w:r>
      <w:proofErr w:type="spellEnd"/>
      <w:r w:rsidR="00CA58C5">
        <w:t>:</w:t>
      </w:r>
      <w:r>
        <w:t xml:space="preserve"> </w:t>
      </w:r>
      <w:r w:rsidR="00A8753A">
        <w:t>“Anaximander said that the limitless (</w:t>
      </w:r>
      <w:r w:rsidR="00A8753A" w:rsidRPr="00506E58">
        <w:rPr>
          <w:i/>
          <w:iCs/>
        </w:rPr>
        <w:t>apeiron</w:t>
      </w:r>
      <w:r w:rsidR="00A8753A">
        <w:t xml:space="preserve">) is both </w:t>
      </w:r>
      <w:r w:rsidR="00A8753A" w:rsidRPr="00630D6A">
        <w:rPr>
          <w:i/>
          <w:iCs/>
        </w:rPr>
        <w:t>arche</w:t>
      </w:r>
      <w:r w:rsidR="00A8753A">
        <w:t xml:space="preserve"> and </w:t>
      </w:r>
      <w:proofErr w:type="spellStart"/>
      <w:r w:rsidR="00A8753A" w:rsidRPr="00630D6A">
        <w:rPr>
          <w:i/>
          <w:iCs/>
        </w:rPr>
        <w:t>stoicheion</w:t>
      </w:r>
      <w:proofErr w:type="spellEnd"/>
      <w:r w:rsidR="00A8753A">
        <w:t xml:space="preserve"> [element]</w:t>
      </w:r>
      <w:r w:rsidR="006A0C45">
        <w:t xml:space="preserve"> of what there is, being </w:t>
      </w:r>
      <w:r w:rsidR="00DC624F">
        <w:t>the first to use the word Arche.”</w:t>
      </w:r>
      <w:r w:rsidR="005955CF">
        <w:rPr>
          <w:rStyle w:val="FootnoteReference"/>
        </w:rPr>
        <w:footnoteReference w:id="5"/>
      </w:r>
      <w:r w:rsidR="00DC624F">
        <w:t xml:space="preserve"> Wright is quoting Aristotle here, and the quote goes on to say that neither of the elements are the origin of all that is, “but some other unlimited nature</w:t>
      </w:r>
      <w:r w:rsidR="00CA58C5">
        <w:t>.</w:t>
      </w:r>
      <w:r w:rsidR="00DC624F">
        <w:t xml:space="preserve">” </w:t>
      </w:r>
      <w:r w:rsidR="005955CF">
        <w:rPr>
          <w:rStyle w:val="FootnoteReference"/>
        </w:rPr>
        <w:footnoteReference w:id="6"/>
      </w:r>
      <w:r w:rsidR="00506E58">
        <w:t xml:space="preserve"> Wright gives Aristotle’s supporting argument </w:t>
      </w:r>
      <w:r w:rsidR="00CA58C5">
        <w:t>which</w:t>
      </w:r>
      <w:r w:rsidR="00506E58">
        <w:t xml:space="preserve"> relates to the idea of opposites, we see a juxtaposing of arche or limitlessness which would lead to the destruction of the rest, so he posits that the beginning, or limitless, must be separate from the elements. </w:t>
      </w:r>
      <w:r w:rsidR="005955CF">
        <w:rPr>
          <w:rStyle w:val="FootnoteReference"/>
        </w:rPr>
        <w:footnoteReference w:id="7"/>
      </w:r>
      <w:r w:rsidR="00630D6A">
        <w:t xml:space="preserve"> Limitless has no beginning, according to Aristotle, </w:t>
      </w:r>
      <w:r w:rsidR="00630D6A" w:rsidRPr="00F402DB">
        <w:t>and this expresses the fundamental argument in metaphysics</w:t>
      </w:r>
      <w:r w:rsidR="00A520FC">
        <w:t xml:space="preserve"> </w:t>
      </w:r>
      <w:r w:rsidR="00630D6A">
        <w:t xml:space="preserve">as we begin to see infinity in the universe, with no beginning or end. This is a good clear argument for immortality, which Wright clarifies, an eternity which goes both </w:t>
      </w:r>
      <w:r w:rsidR="005955CF">
        <w:t xml:space="preserve">ways; </w:t>
      </w:r>
      <w:r w:rsidR="00630D6A">
        <w:t>and I am reminded of Lucretius</w:t>
      </w:r>
      <w:r w:rsidR="005955CF">
        <w:t>’</w:t>
      </w:r>
      <w:r w:rsidR="00630D6A">
        <w:t xml:space="preserve"> argument that we are obsessed with life after death, yet we pay little or no attention to life before birth.</w:t>
      </w:r>
      <w:r w:rsidR="00C50321">
        <w:rPr>
          <w:rStyle w:val="FootnoteReference"/>
        </w:rPr>
        <w:footnoteReference w:id="8"/>
      </w:r>
      <w:r w:rsidR="00630D6A">
        <w:t xml:space="preserve"> </w:t>
      </w:r>
      <w:r w:rsidR="005955CF">
        <w:t>Writes analysis leads me to the image of the apeiron as a fifth element; the seed from which life is given to the opposing elements, and as these elements battle it out</w:t>
      </w:r>
      <w:r w:rsidR="007A12CF">
        <w:t xml:space="preserve"> as</w:t>
      </w:r>
      <w:r w:rsidR="005955CF">
        <w:t xml:space="preserve"> life is formed, as Wright posits: “the cold compresses to form the earth, the hot surrounds it as fire, and then breaks up into circles to form sun. moon and stars.”</w:t>
      </w:r>
      <w:r w:rsidR="005955CF">
        <w:rPr>
          <w:rStyle w:val="FootnoteReference"/>
        </w:rPr>
        <w:footnoteReference w:id="9"/>
      </w:r>
      <w:r w:rsidR="007A12CF">
        <w:t xml:space="preserve"> </w:t>
      </w:r>
      <w:r w:rsidR="00C50321">
        <w:t xml:space="preserve">This </w:t>
      </w:r>
      <w:proofErr w:type="gramStart"/>
      <w:r w:rsidR="00C50321">
        <w:t>has</w:t>
      </w:r>
      <w:proofErr w:type="gramEnd"/>
      <w:r w:rsidR="00C50321">
        <w:t xml:space="preserve"> interesting correlations with Daoist Philosophy</w:t>
      </w:r>
      <w:r w:rsidR="003003AB">
        <w:t xml:space="preserve"> which speaks of the relationship of destruction and generation in the five elements: Metal, soil, fire, wood and water</w:t>
      </w:r>
      <w:r w:rsidR="00224F09">
        <w:t>.</w:t>
      </w:r>
      <w:r w:rsidR="00224F09">
        <w:rPr>
          <w:rStyle w:val="FootnoteReference"/>
        </w:rPr>
        <w:footnoteReference w:id="10"/>
      </w:r>
    </w:p>
    <w:p w14:paraId="1F5E4ABC" w14:textId="1B07F9E9" w:rsidR="00DC624F" w:rsidRDefault="005B006B" w:rsidP="00F402DB">
      <w:pPr>
        <w:spacing w:line="360" w:lineRule="auto"/>
      </w:pPr>
      <w:r>
        <w:lastRenderedPageBreak/>
        <w:t>F</w:t>
      </w:r>
      <w:r w:rsidR="00016CC0">
        <w:t>igure (1)</w:t>
      </w:r>
      <w:r w:rsidR="003003AB">
        <w:t xml:space="preserve"> </w:t>
      </w:r>
      <w:r w:rsidR="00224F09">
        <w:t xml:space="preserve">demonstrates that the elements are an </w:t>
      </w:r>
      <w:r w:rsidR="003003AB">
        <w:t>essential source for the sustainability of an environment fit for human function and</w:t>
      </w:r>
      <w:r w:rsidR="00224F09">
        <w:t xml:space="preserve"> development.</w:t>
      </w:r>
      <w:r w:rsidR="003003AB">
        <w:t xml:space="preserve"> </w:t>
      </w:r>
      <w:r w:rsidR="00016CC0">
        <w:rPr>
          <w:noProof/>
        </w:rPr>
        <w:drawing>
          <wp:inline distT="0" distB="0" distL="0" distR="0" wp14:anchorId="19705801" wp14:editId="05ECCE79">
            <wp:extent cx="5029200" cy="57150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29200" cy="5715000"/>
                    </a:xfrm>
                    <a:prstGeom prst="rect">
                      <a:avLst/>
                    </a:prstGeom>
                    <a:noFill/>
                    <a:ln>
                      <a:noFill/>
                    </a:ln>
                  </pic:spPr>
                </pic:pic>
              </a:graphicData>
            </a:graphic>
          </wp:inline>
        </w:drawing>
      </w:r>
    </w:p>
    <w:p w14:paraId="107C5C0E" w14:textId="1F8A3A1D" w:rsidR="00016CC0" w:rsidRDefault="00016CC0" w:rsidP="00F402DB">
      <w:pPr>
        <w:spacing w:line="360" w:lineRule="auto"/>
      </w:pPr>
      <w:r>
        <w:t>Fig (1)</w:t>
      </w:r>
      <w:r w:rsidR="00224F09">
        <w:rPr>
          <w:rStyle w:val="FootnoteReference"/>
        </w:rPr>
        <w:footnoteReference w:id="11"/>
      </w:r>
    </w:p>
    <w:p w14:paraId="3D79F6E7" w14:textId="77777777" w:rsidR="00016CC0" w:rsidRDefault="00016CC0" w:rsidP="00F402DB">
      <w:pPr>
        <w:spacing w:line="360" w:lineRule="auto"/>
      </w:pPr>
    </w:p>
    <w:p w14:paraId="505C0D6D" w14:textId="5B58A633" w:rsidR="00BA020E" w:rsidRDefault="00461432" w:rsidP="00F402DB">
      <w:pPr>
        <w:spacing w:line="360" w:lineRule="auto"/>
        <w:jc w:val="both"/>
      </w:pPr>
      <w:r>
        <w:t xml:space="preserve">Wright give a chronology of the theories of the </w:t>
      </w:r>
      <w:r w:rsidR="005955CF">
        <w:t xml:space="preserve">other </w:t>
      </w:r>
      <w:r>
        <w:t xml:space="preserve">presocratic philosophers and how </w:t>
      </w:r>
      <w:r w:rsidR="005C32C6">
        <w:t>they</w:t>
      </w:r>
      <w:r>
        <w:t xml:space="preserve"> </w:t>
      </w:r>
      <w:r w:rsidR="00A8753A">
        <w:t>draw</w:t>
      </w:r>
      <w:r>
        <w:t xml:space="preserve"> </w:t>
      </w:r>
      <w:r w:rsidR="00A8753A">
        <w:t>up</w:t>
      </w:r>
      <w:r>
        <w:t>on the elements to give foundation for their reasoning</w:t>
      </w:r>
      <w:r w:rsidR="005955CF">
        <w:t xml:space="preserve">. </w:t>
      </w:r>
      <w:r w:rsidR="005C32C6">
        <w:t xml:space="preserve">As successors to Anaximander, </w:t>
      </w:r>
      <w:r w:rsidR="005955CF">
        <w:t>Anaximenes favours Air</w:t>
      </w:r>
      <w:r w:rsidR="000941D7">
        <w:t xml:space="preserve"> and</w:t>
      </w:r>
      <w:r w:rsidR="005C32C6">
        <w:t xml:space="preserve"> Heraclitus </w:t>
      </w:r>
      <w:r w:rsidR="000941D7">
        <w:t xml:space="preserve">favours </w:t>
      </w:r>
      <w:r w:rsidR="005C32C6">
        <w:t xml:space="preserve">fire. The theories of the </w:t>
      </w:r>
      <w:proofErr w:type="spellStart"/>
      <w:r w:rsidR="005C32C6">
        <w:t>Presoctatics</w:t>
      </w:r>
      <w:proofErr w:type="spellEnd"/>
      <w:r w:rsidR="005C32C6">
        <w:t xml:space="preserve"> are clearly explained in Wright’s article from the </w:t>
      </w:r>
      <w:r w:rsidR="004C2758">
        <w:t>Parmenidean</w:t>
      </w:r>
      <w:r w:rsidR="005C32C6">
        <w:t xml:space="preserve"> point of permanence to the </w:t>
      </w:r>
      <w:r w:rsidR="004C2758">
        <w:t>Heraclitan</w:t>
      </w:r>
      <w:r w:rsidR="005C32C6">
        <w:t xml:space="preserve"> concept of flux, </w:t>
      </w:r>
      <w:r w:rsidR="00C10419">
        <w:t>and a picture is built up from the foundation of these early thinkers</w:t>
      </w:r>
      <w:r w:rsidR="000941D7">
        <w:t>,</w:t>
      </w:r>
      <w:r w:rsidR="00C10419">
        <w:t xml:space="preserve"> reading through the article not much </w:t>
      </w:r>
      <w:r w:rsidR="00C10419">
        <w:lastRenderedPageBreak/>
        <w:t>reference is given to later philosophers, b</w:t>
      </w:r>
      <w:r w:rsidR="000941D7">
        <w:t>u</w:t>
      </w:r>
      <w:r w:rsidR="00C10419">
        <w:t>t one can’t help but see the developments</w:t>
      </w:r>
      <w:r w:rsidR="00B15B73">
        <w:t xml:space="preserve"> </w:t>
      </w:r>
      <w:r w:rsidR="00C10419">
        <w:t xml:space="preserve">in later philosophy, as Wright lays out the philosophical developments exposing these titans of philosophy </w:t>
      </w:r>
      <w:r w:rsidR="00F95781">
        <w:t xml:space="preserve"> as they </w:t>
      </w:r>
      <w:r w:rsidR="00C10419">
        <w:t>battle like the elements to give life to their theories.</w:t>
      </w:r>
      <w:r w:rsidR="005C32C6">
        <w:t xml:space="preserve"> </w:t>
      </w:r>
      <w:r w:rsidR="00F95781">
        <w:t>Examples of this are seen in</w:t>
      </w:r>
      <w:r w:rsidR="00C10419">
        <w:t xml:space="preserve"> Empedocles reaction to </w:t>
      </w:r>
      <w:r w:rsidR="004C2758">
        <w:t>Parmenides</w:t>
      </w:r>
      <w:r w:rsidR="00C10419">
        <w:t xml:space="preserve"> in that there are “no additions or subtractions from the sum of all things” </w:t>
      </w:r>
      <w:r w:rsidR="00BC0808">
        <w:rPr>
          <w:rStyle w:val="FootnoteReference"/>
        </w:rPr>
        <w:footnoteReference w:id="12"/>
      </w:r>
      <w:r w:rsidR="00C10419">
        <w:t xml:space="preserve">in </w:t>
      </w:r>
      <w:r w:rsidR="004C2758">
        <w:t>Empedocles</w:t>
      </w:r>
      <w:r w:rsidR="00C10419">
        <w:t>’ words “</w:t>
      </w:r>
      <w:r w:rsidR="00BC0808">
        <w:t>’birth’ and ‘death’ are merely names mistakenly used in human speech for the mixing and separating of eternal, unchanging substances.”</w:t>
      </w:r>
      <w:r w:rsidR="00BC0808">
        <w:rPr>
          <w:rStyle w:val="FootnoteReference"/>
        </w:rPr>
        <w:footnoteReference w:id="13"/>
      </w:r>
      <w:r w:rsidR="000941D7">
        <w:t xml:space="preserve"> </w:t>
      </w:r>
      <w:r w:rsidR="006D7CA7">
        <w:t>In philosophical argument we see</w:t>
      </w:r>
      <w:r w:rsidR="009152D3">
        <w:t xml:space="preserve"> these theories  tossed about through time; my thought</w:t>
      </w:r>
      <w:r w:rsidR="00DB3D25">
        <w:t>s</w:t>
      </w:r>
      <w:r w:rsidR="009152D3">
        <w:t xml:space="preserve"> advanc</w:t>
      </w:r>
      <w:r w:rsidR="00DB3D25">
        <w:t xml:space="preserve">e </w:t>
      </w:r>
      <w:r w:rsidR="009152D3">
        <w:t>to the</w:t>
      </w:r>
      <w:r w:rsidR="00BC0808">
        <w:t xml:space="preserve"> Seventeenth century</w:t>
      </w:r>
      <w:r w:rsidR="009152D3">
        <w:t xml:space="preserve">, and </w:t>
      </w:r>
      <w:r w:rsidR="00BC0808">
        <w:t xml:space="preserve"> philosopher Anne Conway’s theory of substance proposing that in existence there are three substances: </w:t>
      </w:r>
      <w:r w:rsidR="00DB3D25">
        <w:t xml:space="preserve">1, </w:t>
      </w:r>
      <w:r w:rsidR="00BC0808">
        <w:t xml:space="preserve">that which is immutable – God; </w:t>
      </w:r>
      <w:r w:rsidR="00DB3D25">
        <w:t xml:space="preserve">2, </w:t>
      </w:r>
      <w:r w:rsidR="00BC0808">
        <w:t xml:space="preserve">that which is both immutable and mutable – Christ and, or Logos; </w:t>
      </w:r>
      <w:r w:rsidR="00DB3D25">
        <w:t>3</w:t>
      </w:r>
      <w:r w:rsidR="00BC0808">
        <w:t xml:space="preserve">, everything else which is termed mutable.  </w:t>
      </w:r>
      <w:r w:rsidR="00DB3D25">
        <w:t xml:space="preserve">The </w:t>
      </w:r>
      <w:r w:rsidR="00BC0808">
        <w:t xml:space="preserve">third substance is everything in the natural world </w:t>
      </w:r>
      <w:r w:rsidR="00DB3D25">
        <w:t xml:space="preserve"> and in this substance </w:t>
      </w:r>
      <w:r w:rsidR="00BC0808">
        <w:t>there is</w:t>
      </w:r>
      <w:r w:rsidR="00DB3D25">
        <w:t xml:space="preserve"> </w:t>
      </w:r>
      <w:r w:rsidR="00BC0808">
        <w:t>change of one thing into another</w:t>
      </w:r>
      <w:r w:rsidR="000F6AA8">
        <w:t>: “That every Body may be turned into a Spirit, and a Spirit into a Body;”</w:t>
      </w:r>
      <w:r w:rsidR="009152D3">
        <w:rPr>
          <w:rStyle w:val="FootnoteReference"/>
        </w:rPr>
        <w:footnoteReference w:id="14"/>
      </w:r>
      <w:r w:rsidR="000F6AA8">
        <w:t xml:space="preserve"> </w:t>
      </w:r>
      <w:r w:rsidR="00BC0808">
        <w:t xml:space="preserve"> Conway’s argument is against Descartes Dualism</w:t>
      </w:r>
      <w:r w:rsidR="00E41F6D">
        <w:t>;</w:t>
      </w:r>
      <w:r w:rsidR="00BC0808">
        <w:t xml:space="preserve"> Wrights article draws on the tensions of attraction </w:t>
      </w:r>
      <w:r w:rsidR="00CB0708">
        <w:t>and repulsion as is seen throughout the history of philosophical debate, giving a foundation of the competitiveness within a lived life as seen by empirical evidence, and the life of that outside of our scope through rational deduction.</w:t>
      </w:r>
      <w:r w:rsidR="009152D3">
        <w:t xml:space="preserve"> </w:t>
      </w:r>
    </w:p>
    <w:p w14:paraId="2B762A16" w14:textId="5E3C43B5" w:rsidR="006D7CA7" w:rsidRDefault="006D7CA7" w:rsidP="00F402DB">
      <w:pPr>
        <w:spacing w:line="360" w:lineRule="auto"/>
        <w:jc w:val="both"/>
      </w:pPr>
      <w:r>
        <w:t>The Air</w:t>
      </w:r>
      <w:r w:rsidR="0084666C">
        <w:t xml:space="preserve">, and </w:t>
      </w:r>
      <w:r w:rsidR="00803B47">
        <w:t>F</w:t>
      </w:r>
      <w:r w:rsidR="0084666C">
        <w:t>ire</w:t>
      </w:r>
      <w:r w:rsidR="004C2758">
        <w:t>,</w:t>
      </w:r>
      <w:r>
        <w:t xml:space="preserve"> we Breathe.</w:t>
      </w:r>
    </w:p>
    <w:p w14:paraId="73A85323" w14:textId="6C73C157" w:rsidR="006D7CA7" w:rsidRDefault="006D7CA7" w:rsidP="00F402DB">
      <w:pPr>
        <w:spacing w:line="360" w:lineRule="auto"/>
        <w:jc w:val="both"/>
      </w:pPr>
      <w:r>
        <w:t xml:space="preserve">Wright concludes this article </w:t>
      </w:r>
      <w:r w:rsidR="008F5ACD">
        <w:t>in reference to the ‘anthropic principle’, which he describes as the connections between life and the universe via the understanding of human perspective. This places ‘man’ as the central immutable object from which all else can be hypothesised and known.</w:t>
      </w:r>
      <w:r w:rsidR="008F5ACD">
        <w:rPr>
          <w:rStyle w:val="FootnoteReference"/>
        </w:rPr>
        <w:footnoteReference w:id="15"/>
      </w:r>
      <w:r w:rsidR="0084666C">
        <w:t>Wright quotes Anaximenes and gives analysis of his theories regarding the element of Air: Invisible and essential; Heraclitus has similar theories about fire: it is the material which</w:t>
      </w:r>
      <w:r w:rsidR="00803B47">
        <w:t xml:space="preserve"> is ever living. Wright completes this article by quoting from </w:t>
      </w:r>
      <w:r w:rsidR="00803B47">
        <w:rPr>
          <w:i/>
          <w:iCs/>
        </w:rPr>
        <w:t>The Mind of God</w:t>
      </w:r>
      <w:r w:rsidR="00803B47">
        <w:t xml:space="preserve">, by Paul Davies: “Just why </w:t>
      </w:r>
      <w:r w:rsidR="00803B47" w:rsidRPr="00063E26">
        <w:rPr>
          <w:i/>
          <w:iCs/>
        </w:rPr>
        <w:t>homo sapiens</w:t>
      </w:r>
      <w:r w:rsidR="00803B47">
        <w:t xml:space="preserve"> should carry the spark of rationality that provides the key </w:t>
      </w:r>
      <w:r w:rsidR="00063E26">
        <w:t>to the universe is a deep enigma.”</w:t>
      </w:r>
      <w:r w:rsidR="00063E26">
        <w:rPr>
          <w:rStyle w:val="FootnoteReference"/>
        </w:rPr>
        <w:footnoteReference w:id="16"/>
      </w:r>
      <w:r w:rsidR="0084666C">
        <w:t xml:space="preserve"> </w:t>
      </w:r>
    </w:p>
    <w:p w14:paraId="6C77BC2D" w14:textId="131723DC" w:rsidR="006D7CA7" w:rsidRDefault="00063E26" w:rsidP="00F402DB">
      <w:pPr>
        <w:spacing w:line="360" w:lineRule="auto"/>
        <w:jc w:val="both"/>
      </w:pPr>
      <w:r>
        <w:t xml:space="preserve">The reading of this article agitates </w:t>
      </w:r>
      <w:r w:rsidR="009A27E7">
        <w:t>a</w:t>
      </w:r>
      <w:r>
        <w:t xml:space="preserve"> deeper question than the three fundamental cosmological questions</w:t>
      </w:r>
      <w:r w:rsidR="008C7770">
        <w:t xml:space="preserve">: Why does ‘man’ look inward and ask these questions of the rationale? We see the turning away from what is known empirically and </w:t>
      </w:r>
      <w:r w:rsidR="002F5507">
        <w:t>the</w:t>
      </w:r>
      <w:r w:rsidR="008C7770">
        <w:t xml:space="preserve"> reliance on the Gods and Nature, as the reasoning man centres himself </w:t>
      </w:r>
      <w:r w:rsidR="007477F4">
        <w:t xml:space="preserve">as </w:t>
      </w:r>
      <w:r w:rsidR="008C7770">
        <w:t>the one immutable point from which all can be known</w:t>
      </w:r>
      <w:r w:rsidR="002F5507">
        <w:t xml:space="preserve">. </w:t>
      </w:r>
      <w:r w:rsidR="009A27E7">
        <w:t xml:space="preserve">These </w:t>
      </w:r>
      <w:proofErr w:type="spellStart"/>
      <w:r w:rsidR="009A27E7">
        <w:t>presocratics</w:t>
      </w:r>
      <w:proofErr w:type="spellEnd"/>
      <w:r w:rsidR="009A27E7">
        <w:t xml:space="preserve"> </w:t>
      </w:r>
      <w:r w:rsidR="00D36D7A">
        <w:t>appear</w:t>
      </w:r>
      <w:r w:rsidR="007477F4">
        <w:t xml:space="preserve"> to have </w:t>
      </w:r>
      <w:r w:rsidR="009A27E7">
        <w:t>gathered up the elements, pit them in a race against each other</w:t>
      </w:r>
      <w:r w:rsidR="00FF3031">
        <w:t>,</w:t>
      </w:r>
      <w:r w:rsidR="009A27E7">
        <w:t xml:space="preserve"> for dominance of one above the other</w:t>
      </w:r>
      <w:r w:rsidR="00FF3031">
        <w:t>,</w:t>
      </w:r>
      <w:r w:rsidR="009A27E7">
        <w:t xml:space="preserve"> in order that the universe may give up her secrets. </w:t>
      </w:r>
      <w:r w:rsidR="00FF3031">
        <w:t>Despite</w:t>
      </w:r>
      <w:r w:rsidR="009C26D5">
        <w:t xml:space="preserve"> the advancement through </w:t>
      </w:r>
      <w:r w:rsidR="009C26D5">
        <w:lastRenderedPageBreak/>
        <w:t>medieval theology and modern scientific deduction</w:t>
      </w:r>
      <w:r w:rsidR="00D36D7A">
        <w:t>,</w:t>
      </w:r>
      <w:r w:rsidR="009C26D5">
        <w:t xml:space="preserve"> still she keeps her secrets</w:t>
      </w:r>
      <w:r w:rsidR="00D36D7A">
        <w:t>;</w:t>
      </w:r>
      <w:r w:rsidR="009C26D5">
        <w:t xml:space="preserve"> which begs the further questio</w:t>
      </w:r>
      <w:r w:rsidR="00CA0F48">
        <w:t xml:space="preserve">n:  Does human consciousness hold the capacity to understand the answers to these three fundamental questions? And the even further question: Will it ever? Through evolutionary processes and the advancement of technology we have come to know what was </w:t>
      </w:r>
      <w:r w:rsidR="00E76536">
        <w:t>previously</w:t>
      </w:r>
      <w:r w:rsidR="00CA0F48">
        <w:t xml:space="preserve"> unknown</w:t>
      </w:r>
      <w:r w:rsidR="00E76536">
        <w:t xml:space="preserve">, </w:t>
      </w:r>
      <w:r w:rsidR="00B044A4">
        <w:t xml:space="preserve">therefore, </w:t>
      </w:r>
      <w:r w:rsidR="00E76536">
        <w:t xml:space="preserve">are the answers in the unknown territory of the </w:t>
      </w:r>
      <w:r w:rsidR="00D36D7A">
        <w:t xml:space="preserve">technological </w:t>
      </w:r>
      <w:r w:rsidR="00E76536">
        <w:t>future</w:t>
      </w:r>
      <w:r w:rsidR="00D36D7A">
        <w:t xml:space="preserve">?  Are they </w:t>
      </w:r>
      <w:r w:rsidR="00E76536">
        <w:t xml:space="preserve">out there in the world? or are they deeply locked away in the consciousness of man, to be accessed through </w:t>
      </w:r>
      <w:r w:rsidR="00FF3031">
        <w:t>the development of his</w:t>
      </w:r>
      <w:r w:rsidR="00E76536">
        <w:t xml:space="preserve"> reason? </w:t>
      </w:r>
    </w:p>
    <w:p w14:paraId="3D5C13AA" w14:textId="77777777" w:rsidR="00FF3031" w:rsidRDefault="00FF3031" w:rsidP="00F402DB">
      <w:pPr>
        <w:spacing w:line="360" w:lineRule="auto"/>
        <w:jc w:val="both"/>
      </w:pPr>
    </w:p>
    <w:p w14:paraId="68EE490C" w14:textId="2990DCD6" w:rsidR="00B044A4" w:rsidRDefault="00B044A4" w:rsidP="00F402DB">
      <w:pPr>
        <w:spacing w:line="360" w:lineRule="auto"/>
        <w:jc w:val="both"/>
      </w:pPr>
      <w:r>
        <w:t>In conclusion the test of a good piece of philosophical writing is not the answers it delivers, but the questions it raises. Wright’s article gives concise answers to how</w:t>
      </w:r>
      <w:r w:rsidR="00FF3031">
        <w:t>, and why,</w:t>
      </w:r>
      <w:r>
        <w:t xml:space="preserve"> the </w:t>
      </w:r>
      <w:proofErr w:type="spellStart"/>
      <w:r>
        <w:t>presocratics</w:t>
      </w:r>
      <w:proofErr w:type="spellEnd"/>
      <w:r>
        <w:t xml:space="preserve"> developed their theories about the </w:t>
      </w:r>
      <w:r w:rsidR="00F402DB">
        <w:t>universe</w:t>
      </w:r>
      <w:r w:rsidR="00FF3031">
        <w:t>;</w:t>
      </w:r>
      <w:r w:rsidR="00F402DB">
        <w:t xml:space="preserve"> </w:t>
      </w:r>
      <w:r w:rsidR="00F61BAD">
        <w:t xml:space="preserve">whilst </w:t>
      </w:r>
      <w:r w:rsidR="00F402DB">
        <w:t>rais</w:t>
      </w:r>
      <w:r w:rsidR="00F61BAD">
        <w:t xml:space="preserve">ing </w:t>
      </w:r>
      <w:r w:rsidR="00F402DB">
        <w:t xml:space="preserve"> the further question of whether the key to these myster</w:t>
      </w:r>
      <w:r w:rsidR="00F61BAD">
        <w:t xml:space="preserve">ies is in fact the biggest mystery of all, man himself. </w:t>
      </w:r>
    </w:p>
    <w:p w14:paraId="31F4C4B2" w14:textId="56029FDF" w:rsidR="006D7CA7" w:rsidRDefault="006D7CA7" w:rsidP="00F402DB">
      <w:pPr>
        <w:spacing w:line="360" w:lineRule="auto"/>
        <w:jc w:val="both"/>
      </w:pPr>
    </w:p>
    <w:p w14:paraId="3DBC1231" w14:textId="652845E4" w:rsidR="001C2C04" w:rsidRDefault="001C2C04" w:rsidP="00F402DB">
      <w:pPr>
        <w:spacing w:line="360" w:lineRule="auto"/>
        <w:jc w:val="both"/>
        <w:rPr>
          <w:b/>
          <w:bCs/>
        </w:rPr>
      </w:pPr>
      <w:r>
        <w:rPr>
          <w:b/>
          <w:bCs/>
        </w:rPr>
        <w:t>Rejection of Innatism by Dominic Scott in Recollections and Experience (Cambridge University Press, 1995) Ch 3 p91 – 106</w:t>
      </w:r>
    </w:p>
    <w:p w14:paraId="767B7E3B" w14:textId="7E0D46F8" w:rsidR="001C2C04" w:rsidRDefault="0054352A" w:rsidP="00F402DB">
      <w:pPr>
        <w:spacing w:line="360" w:lineRule="auto"/>
        <w:jc w:val="both"/>
      </w:pPr>
      <w:r>
        <w:t>Scott discusses arguments for refuting recollections as put forward by Plato (Phaedo 72d-78b)</w:t>
      </w:r>
      <w:r w:rsidR="009A2115">
        <w:t xml:space="preserve">. Scott attempts to define </w:t>
      </w:r>
      <w:r w:rsidR="00835F76">
        <w:t>whether</w:t>
      </w:r>
      <w:r w:rsidR="009A2115">
        <w:t xml:space="preserve"> Aristotle rejects all forms of innateness and deems the mind as </w:t>
      </w:r>
      <w:r w:rsidR="00835F76">
        <w:rPr>
          <w:i/>
          <w:iCs/>
        </w:rPr>
        <w:t xml:space="preserve">tabula rasa </w:t>
      </w:r>
      <w:r w:rsidR="00835F76">
        <w:t xml:space="preserve">– a blank </w:t>
      </w:r>
      <w:r w:rsidR="00D36D7A">
        <w:t>tablet</w:t>
      </w:r>
      <w:r w:rsidR="00835F76">
        <w:t>.</w:t>
      </w:r>
      <w:r w:rsidR="00835F76">
        <w:rPr>
          <w:rStyle w:val="FootnoteReference"/>
        </w:rPr>
        <w:footnoteReference w:id="17"/>
      </w:r>
      <w:r w:rsidR="00835F76">
        <w:t xml:space="preserve"> A clearer idea of other forms of innateness, other than recollections, are assessed and an interesting view of </w:t>
      </w:r>
      <w:r w:rsidR="008820E5">
        <w:t>the juxtaposing of empiricism with innatism</w:t>
      </w:r>
      <w:r w:rsidR="00084237">
        <w:t xml:space="preserve"> is presented</w:t>
      </w:r>
      <w:r w:rsidR="008820E5">
        <w:t xml:space="preserve">. Aristotle is frequently termed an empiricist, relying on sense perceptions to accrue knowledge, </w:t>
      </w:r>
      <w:r w:rsidR="004F60F0">
        <w:t>ideas,</w:t>
      </w:r>
      <w:r w:rsidR="008820E5">
        <w:t xml:space="preserve"> and beliefs</w:t>
      </w:r>
      <w:r w:rsidR="004F60F0">
        <w:t xml:space="preserve"> in the mind; as opposed to Plato, whose theories are based on the concept that at birth the mind holds knowledge gathered, or infused, from previous incarnations, giving rise to the belief in an immortal soul. </w:t>
      </w:r>
      <w:r w:rsidR="00011122">
        <w:t>Scott presents the theor</w:t>
      </w:r>
      <w:r w:rsidR="00A511B5">
        <w:t>ies</w:t>
      </w:r>
      <w:r w:rsidR="00011122">
        <w:t xml:space="preserve"> of latent knowledge and dispositional innatism, and how these two types of innateness are not reliant upon the existence of a soul.</w:t>
      </w:r>
      <w:r w:rsidR="003C709B">
        <w:t xml:space="preserve"> It is by</w:t>
      </w:r>
      <w:r w:rsidR="00011122">
        <w:t xml:space="preserve"> Referring to two seventeenth century European philosophers, Leibniz and Descartes, Scott defines these two </w:t>
      </w:r>
      <w:r w:rsidR="003C709B">
        <w:t>theories: “Knowledge lies wit</w:t>
      </w:r>
      <w:r w:rsidR="003A4023">
        <w:t>hin</w:t>
      </w:r>
      <w:r w:rsidR="003C709B">
        <w:t xml:space="preserve"> us waiting to be aroused </w:t>
      </w:r>
      <w:r w:rsidR="00880670">
        <w:t>by the stimulus of experience.”</w:t>
      </w:r>
      <w:r w:rsidR="00880670">
        <w:rPr>
          <w:rStyle w:val="FootnoteReference"/>
        </w:rPr>
        <w:footnoteReference w:id="18"/>
      </w:r>
      <w:r w:rsidR="003A4023">
        <w:t xml:space="preserve">By this Scott infers that as we are unaware of </w:t>
      </w:r>
      <w:r w:rsidR="00A511B5">
        <w:t xml:space="preserve">the first of these theories: </w:t>
      </w:r>
      <w:r w:rsidR="003A4023">
        <w:t xml:space="preserve">latent knowledge, in that </w:t>
      </w:r>
      <w:r w:rsidR="00A511B5">
        <w:t>knowledge</w:t>
      </w:r>
      <w:r w:rsidR="003A4023">
        <w:t xml:space="preserve"> is not apparent to us, </w:t>
      </w:r>
      <w:r w:rsidR="007477F4">
        <w:t xml:space="preserve">and that </w:t>
      </w:r>
      <w:r w:rsidR="003A4023">
        <w:t xml:space="preserve">this is no reason to believe that </w:t>
      </w:r>
      <w:r w:rsidR="00A511B5">
        <w:t xml:space="preserve">it </w:t>
      </w:r>
      <w:r w:rsidR="003A4023">
        <w:t>does not exist. From this definition Scott explains that Leibniz</w:t>
      </w:r>
      <w:r w:rsidR="007477F4">
        <w:t xml:space="preserve">’s </w:t>
      </w:r>
      <w:r w:rsidR="003A4023">
        <w:t>agree</w:t>
      </w:r>
      <w:r w:rsidR="007477F4">
        <w:t>s</w:t>
      </w:r>
      <w:r w:rsidR="00AA3D3D">
        <w:t xml:space="preserve"> with Plato</w:t>
      </w:r>
      <w:r w:rsidR="003A4023">
        <w:t xml:space="preserve"> </w:t>
      </w:r>
      <w:r w:rsidR="009B68BC">
        <w:t xml:space="preserve">in </w:t>
      </w:r>
      <w:r w:rsidR="003A4023">
        <w:t xml:space="preserve">that the process of learning </w:t>
      </w:r>
      <w:r w:rsidR="00C83F38">
        <w:t>is uncovering knowledge that is latent, quiescent within the soul</w:t>
      </w:r>
      <w:r w:rsidR="00C02DE5">
        <w:t>, or somewhere else</w:t>
      </w:r>
      <w:r w:rsidR="00AA3D3D">
        <w:t>,</w:t>
      </w:r>
      <w:r w:rsidR="00C83F38">
        <w:t xml:space="preserve"> without any implication that these truths are </w:t>
      </w:r>
      <w:r w:rsidR="00C83F38">
        <w:lastRenderedPageBreak/>
        <w:t xml:space="preserve">known to us. The image of </w:t>
      </w:r>
      <w:r w:rsidR="0094133E">
        <w:t xml:space="preserve">this concept is akin to a seed waiting in the darkness for the summer sun to bring forth its flowering potential, this potential is not implicit to our awareness, implying that a substance does not instantly </w:t>
      </w:r>
      <w:r w:rsidR="00A511B5">
        <w:t>have access to all that is within its nature. The second of these theories: Dispositional Innatism</w:t>
      </w:r>
      <w:r w:rsidR="00261747">
        <w:t xml:space="preserve"> is enforced by Descartes and seventeenth century Platonist: “The mind is innately disposed to form a certain set of ideas, whatever it happens to experience.”</w:t>
      </w:r>
      <w:r w:rsidR="00261747">
        <w:rPr>
          <w:rStyle w:val="FootnoteReference"/>
        </w:rPr>
        <w:footnoteReference w:id="19"/>
      </w:r>
      <w:r w:rsidR="00261747">
        <w:t>These ideas are not</w:t>
      </w:r>
      <w:r w:rsidR="001A2169">
        <w:t xml:space="preserve"> </w:t>
      </w:r>
      <w:r w:rsidR="00261747">
        <w:t xml:space="preserve">however </w:t>
      </w:r>
      <w:r w:rsidR="001A2169">
        <w:t xml:space="preserve">present at birth, therefore not reliant upon an immortal soul. Descartes presents the simile of </w:t>
      </w:r>
      <w:r w:rsidR="006D10AE">
        <w:t xml:space="preserve">babies born with a </w:t>
      </w:r>
      <w:r w:rsidR="001A2169">
        <w:t>genetic predisposed illness, and</w:t>
      </w:r>
      <w:r w:rsidR="006D10AE">
        <w:t xml:space="preserve"> </w:t>
      </w:r>
      <w:r w:rsidR="001E316B">
        <w:t>that these</w:t>
      </w:r>
      <w:r w:rsidR="006D10AE">
        <w:t xml:space="preserve"> babies</w:t>
      </w:r>
      <w:r w:rsidR="001A2169">
        <w:t xml:space="preserve"> also have a predisposition to form innate ideas</w:t>
      </w:r>
      <w:r w:rsidR="006D10AE">
        <w:t xml:space="preserve">. </w:t>
      </w:r>
    </w:p>
    <w:p w14:paraId="0AD771AB" w14:textId="17B081AD" w:rsidR="001E316B" w:rsidRDefault="001E316B" w:rsidP="00F402DB">
      <w:pPr>
        <w:spacing w:line="360" w:lineRule="auto"/>
        <w:jc w:val="both"/>
      </w:pPr>
      <w:r>
        <w:t xml:space="preserve">After refereeing to the rationalist philosophers for the above arguments, Scott moves to the theories of empiricist philosopher John Locke to highlight the differences between </w:t>
      </w:r>
      <w:proofErr w:type="spellStart"/>
      <w:r>
        <w:t>dispositionalism</w:t>
      </w:r>
      <w:proofErr w:type="spellEnd"/>
      <w:r>
        <w:t xml:space="preserve"> and </w:t>
      </w:r>
      <w:r w:rsidR="0050792C">
        <w:t>empiricism;</w:t>
      </w:r>
      <w:r>
        <w:t xml:space="preserve"> in the lat</w:t>
      </w:r>
      <w:r w:rsidR="00FB1795">
        <w:t>t</w:t>
      </w:r>
      <w:r>
        <w:t xml:space="preserve">er we learn through experience perceived through our senses and in the former </w:t>
      </w:r>
      <w:r w:rsidR="006855D3" w:rsidRPr="00C02DE5">
        <w:rPr>
          <w:i/>
          <w:iCs/>
        </w:rPr>
        <w:t>tabula rasa</w:t>
      </w:r>
      <w:r w:rsidR="006855D3">
        <w:t xml:space="preserve"> is a feasible concept</w:t>
      </w:r>
      <w:r w:rsidR="009B68BC">
        <w:t>;</w:t>
      </w:r>
      <w:r w:rsidR="006855D3">
        <w:t xml:space="preserve"> </w:t>
      </w:r>
      <w:r w:rsidR="009B68BC">
        <w:t xml:space="preserve">along </w:t>
      </w:r>
      <w:r w:rsidR="006855D3">
        <w:t xml:space="preserve">with a reliance on our experience to develop certain </w:t>
      </w:r>
      <w:r w:rsidR="00084237">
        <w:t>preferential ideas</w:t>
      </w:r>
      <w:r w:rsidR="006855D3">
        <w:t xml:space="preserve"> and beliefs</w:t>
      </w:r>
      <w:r>
        <w:t xml:space="preserve"> </w:t>
      </w:r>
      <w:r w:rsidR="00AA3D3D">
        <w:t>that</w:t>
      </w:r>
      <w:r w:rsidR="006855D3">
        <w:t xml:space="preserve"> correlate with our genetic tendencies.</w:t>
      </w:r>
      <w:r w:rsidR="00084237">
        <w:rPr>
          <w:rStyle w:val="FootnoteReference"/>
        </w:rPr>
        <w:footnoteReference w:id="20"/>
      </w:r>
      <w:r w:rsidR="006855D3">
        <w:t xml:space="preserve"> From</w:t>
      </w:r>
      <w:r w:rsidR="00084237">
        <w:t xml:space="preserve"> </w:t>
      </w:r>
      <w:r w:rsidR="006855D3">
        <w:t xml:space="preserve">these definitions one can </w:t>
      </w:r>
      <w:r w:rsidR="0050792C">
        <w:t>begin to form beliefs from predisposed ideas which would lead, in my understanding, to a firmly held knowledge, as in a belief in God, or an immortal soul. This gives definition to complete, sometimes blind, faith, and would explain why a</w:t>
      </w:r>
      <w:r w:rsidR="00B626EC">
        <w:t xml:space="preserve">n individual believes in certain things without referring to reason. </w:t>
      </w:r>
    </w:p>
    <w:p w14:paraId="4C9CE6AF" w14:textId="61C2DDA5" w:rsidR="00854C99" w:rsidRDefault="004B1DF5" w:rsidP="00F402DB">
      <w:pPr>
        <w:spacing w:line="360" w:lineRule="auto"/>
        <w:jc w:val="both"/>
      </w:pPr>
      <w:r>
        <w:t>“To be an empiricist is to assert that at birth there are no predispositions to form particular ideas or beliefs.”</w:t>
      </w:r>
      <w:r>
        <w:rPr>
          <w:rStyle w:val="FootnoteReference"/>
        </w:rPr>
        <w:footnoteReference w:id="21"/>
      </w:r>
      <w:r>
        <w:t>This somewhat</w:t>
      </w:r>
      <w:r w:rsidR="009B68BC">
        <w:t xml:space="preserve"> </w:t>
      </w:r>
      <w:r>
        <w:t xml:space="preserve">extreme </w:t>
      </w:r>
      <w:r w:rsidR="00772325">
        <w:t>description of empiricism gives credence to the metaphor of t</w:t>
      </w:r>
      <w:r w:rsidR="00772325" w:rsidRPr="00C02DE5">
        <w:rPr>
          <w:i/>
          <w:iCs/>
        </w:rPr>
        <w:t>abula rasa</w:t>
      </w:r>
      <w:r w:rsidR="00772325">
        <w:t xml:space="preserve">; However, Scott presents that to hold onto the empiricist perspective is not to dismiss </w:t>
      </w:r>
      <w:r w:rsidR="00CE24E4">
        <w:t xml:space="preserve">innate dispositions completely. Scott refers to the Leibniz/Locke debate to give an </w:t>
      </w:r>
      <w:r w:rsidR="00E47749">
        <w:t>example: “</w:t>
      </w:r>
      <w:r w:rsidR="00CE24E4">
        <w:t xml:space="preserve">[Locke] still wants to insist </w:t>
      </w:r>
      <w:r w:rsidR="00D14544">
        <w:t>that though there may be inborn tugs of appetit</w:t>
      </w:r>
      <w:r w:rsidR="00E47749">
        <w:t>e, there are still no inborn intellectual tugs</w:t>
      </w:r>
      <w:r w:rsidR="00CE24E4">
        <w:t xml:space="preserve"> </w:t>
      </w:r>
      <w:r w:rsidR="00E47749">
        <w:t>towards certain notions or beliefs.”</w:t>
      </w:r>
      <w:r w:rsidR="00E47749">
        <w:rPr>
          <w:rStyle w:val="FootnoteReference"/>
        </w:rPr>
        <w:footnoteReference w:id="22"/>
      </w:r>
      <w:r w:rsidR="00E47749">
        <w:t xml:space="preserve"> From here we view the division of passions and reason</w:t>
      </w:r>
      <w:r w:rsidR="005810AA">
        <w:t xml:space="preserve"> to present a concise argument</w:t>
      </w:r>
      <w:r w:rsidR="007641FD">
        <w:t>. W</w:t>
      </w:r>
      <w:r w:rsidR="005810AA">
        <w:t xml:space="preserve">hilst the passions, as in appetites, are prone to some form of innateness; </w:t>
      </w:r>
      <w:r w:rsidR="007641FD">
        <w:t>r</w:t>
      </w:r>
      <w:r w:rsidR="005810AA">
        <w:t>eason</w:t>
      </w:r>
      <w:r w:rsidR="007641FD">
        <w:t>,</w:t>
      </w:r>
      <w:r w:rsidR="005810AA">
        <w:t xml:space="preserve"> as in ideas and belief</w:t>
      </w:r>
      <w:r w:rsidR="007641FD">
        <w:t xml:space="preserve">, is not developed from any form of innateness: it is from perceptions and lived experience </w:t>
      </w:r>
      <w:r w:rsidR="00554C90">
        <w:t xml:space="preserve">and habitual acts </w:t>
      </w:r>
      <w:r w:rsidR="007641FD">
        <w:t xml:space="preserve">we form </w:t>
      </w:r>
      <w:r w:rsidR="00351893">
        <w:t xml:space="preserve">the notions of </w:t>
      </w:r>
      <w:r w:rsidR="007641FD">
        <w:t>idea</w:t>
      </w:r>
      <w:r w:rsidR="00351893">
        <w:t>s</w:t>
      </w:r>
      <w:r w:rsidR="007641FD">
        <w:t xml:space="preserve">, </w:t>
      </w:r>
      <w:proofErr w:type="gramStart"/>
      <w:r w:rsidR="007641FD">
        <w:t>beliefs</w:t>
      </w:r>
      <w:proofErr w:type="gramEnd"/>
      <w:r w:rsidR="007641FD">
        <w:t xml:space="preserve"> and knowledge</w:t>
      </w:r>
      <w:r w:rsidR="00351893">
        <w:t>. Locke’s concept here expresses an</w:t>
      </w:r>
      <w:r w:rsidR="009B68BC">
        <w:t xml:space="preserve"> </w:t>
      </w:r>
      <w:r w:rsidR="00351893">
        <w:t>instinctively well-formed argument and gives weight to the conclusion by</w:t>
      </w:r>
      <w:r w:rsidR="009B68BC">
        <w:t xml:space="preserve"> the</w:t>
      </w:r>
      <w:r w:rsidR="00351893">
        <w:t xml:space="preserve"> division </w:t>
      </w:r>
      <w:r w:rsidR="009B68BC">
        <w:t xml:space="preserve">of </w:t>
      </w:r>
      <w:r w:rsidR="00351893">
        <w:t xml:space="preserve">reason and passion. If we can explain our passions as some form of predispositions, we may </w:t>
      </w:r>
      <w:r w:rsidR="00486292">
        <w:t xml:space="preserve">well </w:t>
      </w:r>
      <w:r w:rsidR="00351893">
        <w:t>reason ourselves out of that which is passionately insti</w:t>
      </w:r>
      <w:r w:rsidR="00486292">
        <w:t>n</w:t>
      </w:r>
      <w:r w:rsidR="00351893">
        <w:t>ctive</w:t>
      </w:r>
      <w:r w:rsidR="00486292">
        <w:t xml:space="preserve"> and base all our beliefs and knowledge on acquired empirical evidence. </w:t>
      </w:r>
      <w:r w:rsidR="00935E49">
        <w:t>Although it does</w:t>
      </w:r>
      <w:r w:rsidR="00486292">
        <w:t xml:space="preserve"> seem that way</w:t>
      </w:r>
      <w:r w:rsidR="008F0620">
        <w:t>;</w:t>
      </w:r>
      <w:r w:rsidR="00486292">
        <w:t xml:space="preserve"> from the evidence of </w:t>
      </w:r>
      <w:r w:rsidR="004A4997">
        <w:t xml:space="preserve">faith in beliefs held without any form of empirical evidence the reverse is true: </w:t>
      </w:r>
      <w:r w:rsidR="004A4997">
        <w:lastRenderedPageBreak/>
        <w:t>knowledge from empirical evidence is suppressed as the passionate appetite of intuition overrides the empiricist argument. This raises the question are you predi</w:t>
      </w:r>
      <w:r w:rsidR="008F0620">
        <w:t xml:space="preserve">sposed to believe that true knowledge is to be discovered from within, as preformed in the mind, or without, from empirical evidence? </w:t>
      </w:r>
    </w:p>
    <w:p w14:paraId="5C083236" w14:textId="77777777" w:rsidR="00854C99" w:rsidRDefault="00854C99" w:rsidP="00F402DB">
      <w:pPr>
        <w:spacing w:line="360" w:lineRule="auto"/>
        <w:jc w:val="both"/>
      </w:pPr>
    </w:p>
    <w:p w14:paraId="61188E5A" w14:textId="3A4AA0D1" w:rsidR="008F0620" w:rsidRDefault="008F0620" w:rsidP="00F402DB">
      <w:pPr>
        <w:spacing w:line="360" w:lineRule="auto"/>
        <w:jc w:val="both"/>
      </w:pPr>
      <w:r>
        <w:t>Aristotle</w:t>
      </w:r>
    </w:p>
    <w:p w14:paraId="155F1E30" w14:textId="5BB9C98A" w:rsidR="00331C87" w:rsidRDefault="00735772" w:rsidP="00F402DB">
      <w:pPr>
        <w:spacing w:line="360" w:lineRule="auto"/>
        <w:jc w:val="both"/>
      </w:pPr>
      <w:r>
        <w:t xml:space="preserve">As Scott presents Aristotle’s theory of essences and essential </w:t>
      </w:r>
      <w:r w:rsidR="00854C99">
        <w:t>properties</w:t>
      </w:r>
      <w:r w:rsidR="00935E49">
        <w:t>,</w:t>
      </w:r>
      <w:r w:rsidR="00854C99">
        <w:t xml:space="preserve"> clarity is lost and I find the arguments merging one to the other. </w:t>
      </w:r>
      <w:r w:rsidR="00757F3F">
        <w:t>Scott clarifies Aristotle’s words by defining his solution that perception instils the universal: remembered experiences coagulate and form the conditions for the understanding of principles</w:t>
      </w:r>
      <w:r w:rsidR="00F971DC">
        <w:t>.</w:t>
      </w:r>
      <w:r w:rsidR="00F971DC">
        <w:rPr>
          <w:rStyle w:val="FootnoteReference"/>
        </w:rPr>
        <w:footnoteReference w:id="23"/>
      </w:r>
      <w:r w:rsidR="00D12784">
        <w:t xml:space="preserve">Aristotle’s rejection of Platonic </w:t>
      </w:r>
      <w:r w:rsidR="00E92911">
        <w:t>recollections</w:t>
      </w:r>
      <w:r w:rsidR="00A17646">
        <w:t xml:space="preserve"> is based on the presentation that as there may be held knowledge</w:t>
      </w:r>
      <w:r w:rsidR="00D96929">
        <w:t xml:space="preserve"> of which we may be unaware, and this leads to Aristotle’s positing the </w:t>
      </w:r>
      <w:r w:rsidR="00520DFD">
        <w:t xml:space="preserve">following </w:t>
      </w:r>
      <w:r w:rsidR="00D96929">
        <w:t>question</w:t>
      </w:r>
      <w:r w:rsidR="00520DFD">
        <w:t>s</w:t>
      </w:r>
      <w:r w:rsidR="00D96929">
        <w:t>: Who, exactly</w:t>
      </w:r>
      <w:r w:rsidR="00520DFD">
        <w:t>,</w:t>
      </w:r>
      <w:r w:rsidR="00D96929">
        <w:t xml:space="preserve"> is it that is unaware of noticing this knowledge?</w:t>
      </w:r>
      <w:r w:rsidR="00520DFD">
        <w:t xml:space="preserve"> Is it the person or the on-looker? This then raises the further question as to who the on-looker might be, and if that is the case, who is the on-looker of the on-looker </w:t>
      </w:r>
      <w:r w:rsidR="00520DFD" w:rsidRPr="00520DFD">
        <w:rPr>
          <w:i/>
          <w:iCs/>
        </w:rPr>
        <w:t>ad infinitum</w:t>
      </w:r>
      <w:r w:rsidR="00520DFD">
        <w:t xml:space="preserve">. </w:t>
      </w:r>
      <w:r w:rsidR="00520DFD" w:rsidRPr="00520DFD">
        <w:t xml:space="preserve"> </w:t>
      </w:r>
      <w:r w:rsidR="00520DFD">
        <w:t xml:space="preserve">The main argument </w:t>
      </w:r>
      <w:r w:rsidR="009B01E8">
        <w:t xml:space="preserve">that we do not know, are unaware, or do not notice, the presence of certain knowledge is not concluded in Scott’s </w:t>
      </w:r>
      <w:r w:rsidR="003A5846">
        <w:t>assessment,</w:t>
      </w:r>
      <w:r w:rsidR="00497D42">
        <w:t xml:space="preserve"> and he references Barnes</w:t>
      </w:r>
      <w:r w:rsidR="007A1518">
        <w:t>:</w:t>
      </w:r>
      <w:r w:rsidR="00497D42">
        <w:t xml:space="preserve"> “It reduces </w:t>
      </w:r>
      <w:r w:rsidR="003A5846">
        <w:t>innatism to the uncontroversial</w:t>
      </w:r>
      <w:r w:rsidR="007A1518">
        <w:t xml:space="preserve"> </w:t>
      </w:r>
      <w:r w:rsidR="003A5846">
        <w:t xml:space="preserve">hypothesis that human infants have certain innate cognitive </w:t>
      </w:r>
      <w:r w:rsidR="003A5846" w:rsidRPr="003A5846">
        <w:rPr>
          <w:i/>
          <w:iCs/>
        </w:rPr>
        <w:t>capacities</w:t>
      </w:r>
      <w:r w:rsidR="003A5846">
        <w:t xml:space="preserve"> the exercise of which </w:t>
      </w:r>
      <w:r w:rsidR="007A1518">
        <w:t>waits upon experience.”</w:t>
      </w:r>
      <w:r w:rsidR="007A1518">
        <w:rPr>
          <w:rStyle w:val="FootnoteReference"/>
        </w:rPr>
        <w:footnoteReference w:id="24"/>
      </w:r>
      <w:r w:rsidR="007A1518" w:rsidRPr="007A1518">
        <w:t xml:space="preserve"> </w:t>
      </w:r>
      <w:r w:rsidR="007A1518">
        <w:t xml:space="preserve">It seems we must, once again, </w:t>
      </w:r>
      <w:r w:rsidR="00554C90">
        <w:t>be satisfied by</w:t>
      </w:r>
      <w:r w:rsidR="007A1518">
        <w:t xml:space="preserve"> Locke.</w:t>
      </w:r>
      <w:r w:rsidR="00497D42">
        <w:tab/>
      </w:r>
    </w:p>
    <w:p w14:paraId="322FC1E9" w14:textId="77777777" w:rsidR="00EC7A12" w:rsidRDefault="00331C87" w:rsidP="00F402DB">
      <w:pPr>
        <w:spacing w:line="360" w:lineRule="auto"/>
        <w:jc w:val="both"/>
      </w:pPr>
      <w:r>
        <w:t xml:space="preserve">There is much I appreciate in Scott’s </w:t>
      </w:r>
      <w:r w:rsidR="00446EA4">
        <w:t xml:space="preserve">candid </w:t>
      </w:r>
      <w:r>
        <w:t xml:space="preserve">analysis of these theories of Innateness and </w:t>
      </w:r>
      <w:r w:rsidRPr="00331C87">
        <w:rPr>
          <w:i/>
          <w:iCs/>
        </w:rPr>
        <w:t>tabula rasa</w:t>
      </w:r>
      <w:r w:rsidR="002641D3">
        <w:t xml:space="preserve">; </w:t>
      </w:r>
      <w:r w:rsidR="00446EA4">
        <w:t>however,</w:t>
      </w:r>
      <w:r>
        <w:t xml:space="preserve"> </w:t>
      </w:r>
      <w:r w:rsidR="00446EA4">
        <w:t>I have issue with the idea</w:t>
      </w:r>
      <w:r>
        <w:t xml:space="preserve"> he posits that Aristotle relies on intuition over good argument</w:t>
      </w:r>
      <w:r w:rsidR="00446EA4">
        <w:t>,</w:t>
      </w:r>
      <w:r w:rsidR="00EC7A12">
        <w:rPr>
          <w:rStyle w:val="FootnoteReference"/>
        </w:rPr>
        <w:footnoteReference w:id="25"/>
      </w:r>
      <w:r w:rsidR="00446EA4">
        <w:t xml:space="preserve"> and the implication that this is a weaker defence</w:t>
      </w:r>
      <w:r w:rsidR="00DF36E8">
        <w:t xml:space="preserve"> for </w:t>
      </w:r>
      <w:r w:rsidR="00DF36E8" w:rsidRPr="00DF36E8">
        <w:rPr>
          <w:i/>
          <w:iCs/>
        </w:rPr>
        <w:t>tabula rasa</w:t>
      </w:r>
      <w:r w:rsidR="00446EA4">
        <w:t xml:space="preserve">. </w:t>
      </w:r>
      <w:r>
        <w:t xml:space="preserve"> </w:t>
      </w:r>
      <w:r w:rsidR="002641D3">
        <w:t>This appeal to intuition</w:t>
      </w:r>
      <w:r w:rsidR="00EC7A12">
        <w:t>, however,</w:t>
      </w:r>
      <w:r w:rsidR="002641D3">
        <w:t xml:space="preserve"> enforces</w:t>
      </w:r>
      <w:r w:rsidR="00935746">
        <w:t xml:space="preserve"> the argument for innatism</w:t>
      </w:r>
      <w:r w:rsidR="00DF36E8">
        <w:t xml:space="preserve">. As mentioned above, Intuitive beliefs are often held without any reference to reason, and therefore can be based on </w:t>
      </w:r>
      <w:r w:rsidR="00E83421">
        <w:t>some form of predilection or predisposition. These could be defined as genetics rather than a reincarnated, eternal soul; this does give rise to having been informed by some form or another</w:t>
      </w:r>
      <w:r w:rsidR="005E1711">
        <w:t xml:space="preserve"> and denies an appeal to a completely blank consciousness at birth.</w:t>
      </w:r>
    </w:p>
    <w:p w14:paraId="2D0DF985" w14:textId="274E2D84" w:rsidR="00063DC1" w:rsidRDefault="00331CDC" w:rsidP="00F402DB">
      <w:pPr>
        <w:spacing w:line="360" w:lineRule="auto"/>
        <w:jc w:val="both"/>
      </w:pPr>
      <w:r>
        <w:t>The desire to know is innate within human nature</w:t>
      </w:r>
      <w:r w:rsidR="00626297">
        <w:t xml:space="preserve">, we are predisposed with a desire to learn, and to this innate disposition Aristotle does concede in his </w:t>
      </w:r>
      <w:r w:rsidR="00626297" w:rsidRPr="00626297">
        <w:rPr>
          <w:i/>
          <w:iCs/>
        </w:rPr>
        <w:t>Metaphysics</w:t>
      </w:r>
      <w:r w:rsidR="00497D42" w:rsidRPr="00626297">
        <w:rPr>
          <w:i/>
          <w:iCs/>
        </w:rPr>
        <w:tab/>
      </w:r>
      <w:r w:rsidR="00554C90">
        <w:t xml:space="preserve">; </w:t>
      </w:r>
      <w:r w:rsidR="00626297">
        <w:t xml:space="preserve"> Scott adds that this does not mean that we are innately predisposed to be correct in our conclusions</w:t>
      </w:r>
      <w:r w:rsidR="007563AC">
        <w:t>.</w:t>
      </w:r>
      <w:r w:rsidR="008E7300">
        <w:rPr>
          <w:rStyle w:val="FootnoteReference"/>
        </w:rPr>
        <w:footnoteReference w:id="26"/>
      </w:r>
      <w:r w:rsidR="007563AC">
        <w:t xml:space="preserve"> Although Scott does not mention </w:t>
      </w:r>
      <w:r w:rsidR="008E7300">
        <w:t xml:space="preserve">the following, </w:t>
      </w:r>
      <w:r w:rsidR="007563AC">
        <w:t>I am drawn to Plato’s idea of forms</w:t>
      </w:r>
      <w:r w:rsidR="008E7300">
        <w:t>,</w:t>
      </w:r>
      <w:r w:rsidR="007563AC">
        <w:t xml:space="preserve"> in their perfection they </w:t>
      </w:r>
      <w:r w:rsidR="00242252">
        <w:t>inform</w:t>
      </w:r>
      <w:r w:rsidR="007563AC">
        <w:t xml:space="preserve"> that innate ideas are pure</w:t>
      </w:r>
      <w:r w:rsidR="008E7300">
        <w:t xml:space="preserve">, </w:t>
      </w:r>
      <w:r w:rsidR="007563AC">
        <w:t xml:space="preserve">and uncontaminated by human arguments </w:t>
      </w:r>
      <w:r w:rsidR="00242252">
        <w:t>that rely</w:t>
      </w:r>
      <w:r w:rsidR="007563AC">
        <w:t xml:space="preserve"> on reasoning</w:t>
      </w:r>
      <w:r w:rsidR="008E7300">
        <w:t xml:space="preserve"> </w:t>
      </w:r>
      <w:r w:rsidR="00242252">
        <w:t xml:space="preserve">and </w:t>
      </w:r>
      <w:r w:rsidR="008E7300">
        <w:t xml:space="preserve">with no reference to </w:t>
      </w:r>
      <w:r w:rsidR="008E7300">
        <w:lastRenderedPageBreak/>
        <w:t>empirical evidence. As Scott posits: Aristotle is “an empiricist about scientific evidence.”</w:t>
      </w:r>
      <w:r w:rsidR="00497D42">
        <w:tab/>
      </w:r>
      <w:r w:rsidR="00E4101E">
        <w:rPr>
          <w:rStyle w:val="FootnoteReference"/>
        </w:rPr>
        <w:footnoteReference w:id="27"/>
      </w:r>
      <w:r w:rsidR="00E4101E">
        <w:t xml:space="preserve">There is room within the grey areas of the arguments of </w:t>
      </w:r>
      <w:r w:rsidR="00E4101E" w:rsidRPr="00531010">
        <w:rPr>
          <w:i/>
          <w:iCs/>
        </w:rPr>
        <w:t>tabula rasa</w:t>
      </w:r>
      <w:r w:rsidR="00E4101E">
        <w:t xml:space="preserve"> against innatism, and rationalism against empiricism, for understanding human knowledge</w:t>
      </w:r>
      <w:r w:rsidR="00C70825">
        <w:t xml:space="preserve">. And by </w:t>
      </w:r>
      <w:r w:rsidR="009E4EF5">
        <w:t>preceding</w:t>
      </w:r>
      <w:r w:rsidR="00C70825">
        <w:t xml:space="preserve"> from the extremes, we develop a sounder understanding of what it is to acquire knowledge. To have firmly held beliefs in either of these extremes is to limit our acquisition of knowledg</w:t>
      </w:r>
      <w:r w:rsidR="009E4EF5">
        <w:t>e</w:t>
      </w:r>
      <w:r w:rsidR="00F13ABD">
        <w:t>. I came to this piece of work with a belief in some form of innatism, which, with good reasoning, I thought would be refuted; however, with an appeal to intuition I find further argument for innate knowledge. Proof of which is with-held, then again</w:t>
      </w:r>
      <w:r w:rsidR="009135E8">
        <w:t>,</w:t>
      </w:r>
      <w:r w:rsidR="00F13ABD">
        <w:t xml:space="preserve"> proof for </w:t>
      </w:r>
      <w:r w:rsidR="00F13ABD" w:rsidRPr="00542B2E">
        <w:rPr>
          <w:i/>
          <w:iCs/>
        </w:rPr>
        <w:t>tabula rasa</w:t>
      </w:r>
      <w:r w:rsidR="00F13ABD">
        <w:t xml:space="preserve"> theory i</w:t>
      </w:r>
      <w:r w:rsidR="009135E8">
        <w:t>s</w:t>
      </w:r>
      <w:r w:rsidR="00F13ABD">
        <w:t xml:space="preserve"> not strong enough</w:t>
      </w:r>
      <w:r w:rsidR="009135E8">
        <w:t>,</w:t>
      </w:r>
      <w:r w:rsidR="00F13ABD">
        <w:t xml:space="preserve"> or more reasonable</w:t>
      </w:r>
      <w:r w:rsidR="009135E8">
        <w:t>,</w:t>
      </w:r>
      <w:r w:rsidR="00F13ABD">
        <w:t xml:space="preserve"> to refute my instinct for </w:t>
      </w:r>
      <w:r w:rsidR="009135E8">
        <w:t>innatism.</w:t>
      </w:r>
      <w:r w:rsidR="00497D42">
        <w:tab/>
      </w:r>
      <w:r w:rsidR="00497D42">
        <w:tab/>
      </w:r>
      <w:r w:rsidR="00497D42">
        <w:tab/>
      </w:r>
      <w:r w:rsidR="00497D42">
        <w:tab/>
      </w:r>
      <w:r w:rsidR="00497D42">
        <w:tab/>
      </w:r>
      <w:r w:rsidR="00497D42">
        <w:tab/>
      </w:r>
      <w:r w:rsidR="00497D42">
        <w:tab/>
      </w:r>
      <w:r w:rsidR="00497D42">
        <w:tab/>
      </w:r>
      <w:r w:rsidR="00497D42">
        <w:tab/>
      </w:r>
      <w:r w:rsidR="00497D42">
        <w:tab/>
      </w:r>
      <w:r w:rsidR="00497D42">
        <w:tab/>
      </w:r>
      <w:r w:rsidR="00497D42">
        <w:tab/>
      </w:r>
      <w:r w:rsidR="00497D42">
        <w:tab/>
      </w:r>
      <w:r w:rsidR="00497D42">
        <w:tab/>
      </w:r>
      <w:r w:rsidR="00497D42">
        <w:tab/>
      </w:r>
      <w:r w:rsidR="00497D42">
        <w:tab/>
      </w:r>
      <w:r w:rsidR="00497D42">
        <w:tab/>
      </w:r>
      <w:r w:rsidR="00497D42">
        <w:tab/>
      </w:r>
      <w:r w:rsidR="00497D42">
        <w:tab/>
      </w:r>
      <w:r w:rsidR="00497D42">
        <w:tab/>
      </w:r>
      <w:r w:rsidR="00497D42">
        <w:tab/>
      </w:r>
    </w:p>
    <w:p w14:paraId="3D1231C0" w14:textId="32B6BBC4" w:rsidR="006217BA" w:rsidRDefault="00063DC1" w:rsidP="00F402DB">
      <w:pPr>
        <w:spacing w:line="360" w:lineRule="auto"/>
        <w:jc w:val="both"/>
      </w:pPr>
      <w:r>
        <w:t xml:space="preserve">Scott’s interim conclusions describe Aristotle as an empiricist of a </w:t>
      </w:r>
      <w:r w:rsidR="00D534B1">
        <w:t>‘</w:t>
      </w:r>
      <w:r>
        <w:t>more cautious variety</w:t>
      </w:r>
      <w:r w:rsidR="00D534B1">
        <w:t>’</w:t>
      </w:r>
      <w:r>
        <w:t xml:space="preserve"> with credence to learning through </w:t>
      </w:r>
      <w:r w:rsidR="00D534B1">
        <w:t>experience and perceptions, although he does concede to innate dispositions in relation to traits of character and the desire for knowledge</w:t>
      </w:r>
      <w:r w:rsidR="00D534B1">
        <w:rPr>
          <w:rStyle w:val="FootnoteReference"/>
        </w:rPr>
        <w:footnoteReference w:id="28"/>
      </w:r>
      <w:r w:rsidR="00D534B1">
        <w:t xml:space="preserve">. </w:t>
      </w:r>
      <w:r>
        <w:t xml:space="preserve"> </w:t>
      </w:r>
      <w:r w:rsidR="00D534B1">
        <w:t xml:space="preserve">It is within Aristotle’s description, and theories on the </w:t>
      </w:r>
      <w:r w:rsidR="00441D3E">
        <w:t>soul (NE 1 13</w:t>
      </w:r>
      <w:r w:rsidR="00277012">
        <w:t>,</w:t>
      </w:r>
      <w:r w:rsidR="00441D3E">
        <w:t xml:space="preserve"> 1102a)</w:t>
      </w:r>
      <w:r w:rsidR="00441D3E">
        <w:rPr>
          <w:rStyle w:val="FootnoteReference"/>
        </w:rPr>
        <w:footnoteReference w:id="29"/>
      </w:r>
      <w:r w:rsidR="00D534B1">
        <w:t xml:space="preserve"> I find proof of my own conclusions as to whether Aristotle can be called an empiricist or a rationalist</w:t>
      </w:r>
      <w:r w:rsidR="0074068D">
        <w:t xml:space="preserve">. </w:t>
      </w:r>
      <w:r w:rsidR="0079371D">
        <w:t xml:space="preserve">With the division of the soul into rational and irrational parts, the rational is the aspect in which our intellect </w:t>
      </w:r>
      <w:r w:rsidR="00AE0A53">
        <w:t>are associated, and the irrational is associated with our emotions and our desires. Aristotle’s desire is to give equal weight to both aspects, the empirical senses involved in the development of our intellect</w:t>
      </w:r>
      <w:r w:rsidR="00DB23BD">
        <w:t>,</w:t>
      </w:r>
      <w:r w:rsidR="00AE0A53">
        <w:t xml:space="preserve"> and our innate passions which develop from the irrational part of the soul</w:t>
      </w:r>
      <w:r w:rsidR="00DB23BD">
        <w:t>, appeals to the notion of Aristotle as neither empiricist nor rationalist.</w:t>
      </w:r>
      <w:r w:rsidR="00441D3E">
        <w:t xml:space="preserve"> Knowledge acquired through the rational and reason, developed through our passionate drive and influence speaks of a tendency to both the empirical and the rational. </w:t>
      </w:r>
      <w:r w:rsidR="00DB03B4">
        <w:t xml:space="preserve">Scott does not convince me that Aristotle totally dismisses all forms of innateness, </w:t>
      </w:r>
      <w:r w:rsidR="00256428">
        <w:t xml:space="preserve">although </w:t>
      </w:r>
      <w:r w:rsidR="004B579A">
        <w:t>it</w:t>
      </w:r>
      <w:r w:rsidR="00256428">
        <w:t xml:space="preserve"> is clear he values empirical evidence on the development of epistemology</w:t>
      </w:r>
      <w:r w:rsidR="006217BA">
        <w:t>; however,</w:t>
      </w:r>
      <w:r w:rsidR="00256428">
        <w:t xml:space="preserve"> a rational soul, or part of the soul, must hold some form of innate susceptibility to learning and informing of that which is intuitively </w:t>
      </w:r>
      <w:r w:rsidR="006217BA">
        <w:t xml:space="preserve">probable. </w:t>
      </w:r>
    </w:p>
    <w:p w14:paraId="17600DE2" w14:textId="77777777" w:rsidR="006217BA" w:rsidRDefault="006217BA" w:rsidP="00F402DB">
      <w:pPr>
        <w:spacing w:line="360" w:lineRule="auto"/>
        <w:jc w:val="both"/>
      </w:pPr>
    </w:p>
    <w:p w14:paraId="63E14EC7" w14:textId="16B03CAB" w:rsidR="00BA7DF5" w:rsidRDefault="00BA7DF5" w:rsidP="00F402DB">
      <w:pPr>
        <w:spacing w:line="360" w:lineRule="auto"/>
        <w:jc w:val="both"/>
      </w:pPr>
    </w:p>
    <w:p w14:paraId="0214358E" w14:textId="77777777" w:rsidR="00EC5DD0" w:rsidRDefault="00EC5DD0" w:rsidP="00F402DB">
      <w:pPr>
        <w:spacing w:line="360" w:lineRule="auto"/>
        <w:jc w:val="both"/>
      </w:pPr>
    </w:p>
    <w:p w14:paraId="25DA6B81" w14:textId="2BA3D9AF" w:rsidR="00775A24" w:rsidRDefault="00EC5DD0" w:rsidP="00F402DB">
      <w:pPr>
        <w:spacing w:line="360" w:lineRule="auto"/>
        <w:jc w:val="both"/>
        <w:rPr>
          <w:b/>
          <w:bCs/>
        </w:rPr>
      </w:pPr>
      <w:r>
        <w:rPr>
          <w:b/>
          <w:bCs/>
        </w:rPr>
        <w:lastRenderedPageBreak/>
        <w:t>‘</w:t>
      </w:r>
      <w:r w:rsidR="00BA7DF5">
        <w:rPr>
          <w:b/>
          <w:bCs/>
        </w:rPr>
        <w:t>New Foundations for Knowledge: Rene Descartes, Meditations.</w:t>
      </w:r>
      <w:r>
        <w:rPr>
          <w:b/>
          <w:bCs/>
        </w:rPr>
        <w:t xml:space="preserve">’ </w:t>
      </w:r>
      <w:r w:rsidR="00BA7DF5">
        <w:rPr>
          <w:b/>
          <w:bCs/>
        </w:rPr>
        <w:t xml:space="preserve"> John Cottingham (ed) in </w:t>
      </w:r>
      <w:r w:rsidR="00BA7DF5">
        <w:rPr>
          <w:b/>
          <w:bCs/>
          <w:i/>
          <w:iCs/>
        </w:rPr>
        <w:t>Western Philosophy, An Anthology</w:t>
      </w:r>
      <w:r w:rsidR="00775A24">
        <w:rPr>
          <w:b/>
          <w:bCs/>
        </w:rPr>
        <w:t xml:space="preserve"> (Oxford: Blackwell, 2008) p21 – 25</w:t>
      </w:r>
    </w:p>
    <w:p w14:paraId="61D13A3A" w14:textId="7C3A8DA3" w:rsidR="00575359" w:rsidRDefault="00775A24" w:rsidP="00F402DB">
      <w:pPr>
        <w:spacing w:line="360" w:lineRule="auto"/>
        <w:jc w:val="both"/>
      </w:pPr>
      <w:r>
        <w:t xml:space="preserve">Cottingham </w:t>
      </w:r>
      <w:r w:rsidR="00C117BF">
        <w:t>introduces</w:t>
      </w:r>
      <w:r>
        <w:t xml:space="preserve"> Descartes’ first </w:t>
      </w:r>
      <w:r w:rsidR="00DB23BD">
        <w:t xml:space="preserve">meditation </w:t>
      </w:r>
      <w:r>
        <w:t>and part of his second</w:t>
      </w:r>
      <w:r w:rsidR="001302B1">
        <w:t xml:space="preserve">, taken from Descartes’ </w:t>
      </w:r>
      <w:r w:rsidR="001302B1" w:rsidRPr="001302B1">
        <w:rPr>
          <w:i/>
          <w:iCs/>
        </w:rPr>
        <w:t>Meditations on First Philosoph</w:t>
      </w:r>
      <w:r w:rsidR="001302B1">
        <w:rPr>
          <w:i/>
          <w:iCs/>
        </w:rPr>
        <w:t xml:space="preserve">y. </w:t>
      </w:r>
      <w:r w:rsidR="001302B1">
        <w:t xml:space="preserve">This section of the anthology explores ‘Knowledge and Certainty’. Cottingham introduces Descartes’ extracts in reference to </w:t>
      </w:r>
      <w:r w:rsidR="00575359">
        <w:t xml:space="preserve">both </w:t>
      </w:r>
      <w:r w:rsidR="001302B1">
        <w:t>Plato</w:t>
      </w:r>
      <w:r w:rsidR="00575359">
        <w:t>’s</w:t>
      </w:r>
      <w:r w:rsidR="001302B1">
        <w:t xml:space="preserve"> and Aristotle’s definitions of knowledge</w:t>
      </w:r>
      <w:r w:rsidR="003C4C03">
        <w:t xml:space="preserve">. Descartes takes up this mantle in the ‘early modern’ period and proceeds to establish that which can be known without a shadow of a doubt; and then proceeds to discard all opinions held from previous doctrines, and strip back all thought </w:t>
      </w:r>
      <w:r w:rsidR="00B35A41">
        <w:t>and construct a knowledge built on undeniable foundations.</w:t>
      </w:r>
    </w:p>
    <w:p w14:paraId="19D3677C" w14:textId="1BECD4C5" w:rsidR="00976A7E" w:rsidRDefault="00575359" w:rsidP="00F402DB">
      <w:pPr>
        <w:spacing w:line="360" w:lineRule="auto"/>
        <w:jc w:val="both"/>
      </w:pPr>
      <w:r>
        <w:t>Descartes viewed the foundations of philosophy and science as unstable, and that nothing solid could be built upon these precarious foundations</w:t>
      </w:r>
      <w:r w:rsidR="00D007BB">
        <w:t xml:space="preserve"> of opinions and beliefs</w:t>
      </w:r>
      <w:r w:rsidR="00C117BF">
        <w:t>. Cottingham presents the main arguments in this part of Descartes’ work; firstly: “His project is nothing less than the reconstruction of knowledge from the foundation up.”</w:t>
      </w:r>
      <w:r w:rsidR="00C117BF">
        <w:rPr>
          <w:rStyle w:val="FootnoteReference"/>
        </w:rPr>
        <w:footnoteReference w:id="30"/>
      </w:r>
      <w:r w:rsidR="00C117BF">
        <w:t xml:space="preserve">Descartes sets out to discard previously help </w:t>
      </w:r>
      <w:r w:rsidR="005B4F90">
        <w:t>beliefs</w:t>
      </w:r>
      <w:r w:rsidR="00C117BF">
        <w:t xml:space="preserve"> </w:t>
      </w:r>
      <w:r w:rsidR="005B4F90">
        <w:t xml:space="preserve">that have been developed through sense perceptions, deeming the senses as unreliable. This method leads him to doubt all that can be questioned. This process develops the dreaming argument: How is it I can know that I am not dreaming now? A further question ensues from this one: How can I be certain that anything outside of my mind exists? </w:t>
      </w:r>
      <w:r w:rsidR="00BA21F4">
        <w:t xml:space="preserve">Descartes additionally questions the abstract propositions of mathematics; although these are immune, as they are objects which do not rely on existence to prove their truth. From here he calls in God, who could be the cause of misinformation and </w:t>
      </w:r>
      <w:r w:rsidR="00303F74">
        <w:t xml:space="preserve">deceit; and, from here he presents the argument of the ‘malicious demon’ who deceives our mind. The truth that I am, I exist is given as the Archimedean point of stability; from this </w:t>
      </w:r>
      <w:r w:rsidR="00976A7E">
        <w:t xml:space="preserve">secure foundation I can no longer doubt; </w:t>
      </w:r>
      <w:r w:rsidR="00976A7E" w:rsidRPr="00976A7E">
        <w:rPr>
          <w:i/>
          <w:iCs/>
        </w:rPr>
        <w:t>Cogito ergo sum</w:t>
      </w:r>
      <w:r w:rsidR="00976A7E">
        <w:t>, first principle come into being.</w:t>
      </w:r>
      <w:r w:rsidR="003514A1">
        <w:rPr>
          <w:rStyle w:val="FootnoteReference"/>
        </w:rPr>
        <w:footnoteReference w:id="31"/>
      </w:r>
    </w:p>
    <w:p w14:paraId="5C311D95" w14:textId="2CADB86C" w:rsidR="00295895" w:rsidRDefault="00976A7E" w:rsidP="00F402DB">
      <w:pPr>
        <w:spacing w:line="360" w:lineRule="auto"/>
        <w:jc w:val="both"/>
      </w:pPr>
      <w:r>
        <w:t>Sceptics are doubters</w:t>
      </w:r>
      <w:r w:rsidR="004E258F">
        <w:t xml:space="preserve">; </w:t>
      </w:r>
      <w:r>
        <w:t xml:space="preserve">from </w:t>
      </w:r>
      <w:r w:rsidR="004E258F">
        <w:t>his sceptical perspective, Descartes’ starting point is as a doubter and sceptic; all the knowledge he has gleaned through, or from, the senses ha</w:t>
      </w:r>
      <w:r w:rsidR="007E76C1">
        <w:t xml:space="preserve">ve </w:t>
      </w:r>
      <w:r w:rsidR="004E258F">
        <w:t>been from a doubter’s perspective</w:t>
      </w:r>
      <w:r w:rsidR="007E76C1">
        <w:t xml:space="preserve">. </w:t>
      </w:r>
      <w:r w:rsidR="007E76C1">
        <w:rPr>
          <w:rStyle w:val="FootnoteReference"/>
        </w:rPr>
        <w:footnoteReference w:id="32"/>
      </w:r>
      <w:r w:rsidR="007E76C1">
        <w:t>His quest for the truth begins from here, and this raises the</w:t>
      </w:r>
      <w:r w:rsidR="00B5579E">
        <w:t xml:space="preserve"> </w:t>
      </w:r>
      <w:r w:rsidR="007E76C1">
        <w:t>question: are we ever to know the certainty of a knowledgeable truth? Sceptics, it seem</w:t>
      </w:r>
      <w:r w:rsidR="00B5579E">
        <w:t>s, are to settle with the ideal that oscillating arguments and juxtaposing theories are seen as resolutions in</w:t>
      </w:r>
      <w:r w:rsidR="00FA4733">
        <w:t xml:space="preserve"> </w:t>
      </w:r>
      <w:r w:rsidR="00B5579E">
        <w:t>themselves</w:t>
      </w:r>
      <w:r w:rsidR="00FA4733">
        <w:t>, this in turn leads to the suspension of judgements</w:t>
      </w:r>
      <w:r w:rsidR="002C2956">
        <w:t>;</w:t>
      </w:r>
      <w:r w:rsidR="00FA4733">
        <w:t xml:space="preserve"> </w:t>
      </w:r>
      <w:r w:rsidR="002C2956">
        <w:t>as Michael</w:t>
      </w:r>
      <w:r w:rsidR="00FA4733">
        <w:t xml:space="preserve"> Williams in his essay </w:t>
      </w:r>
      <w:r w:rsidR="00FA4733" w:rsidRPr="002C2956">
        <w:rPr>
          <w:i/>
          <w:iCs/>
        </w:rPr>
        <w:t>Descartes and the Metaphysics of</w:t>
      </w:r>
      <w:r w:rsidR="00FA4733">
        <w:t xml:space="preserve"> </w:t>
      </w:r>
      <w:r w:rsidR="00FA4733" w:rsidRPr="002C2956">
        <w:rPr>
          <w:i/>
          <w:iCs/>
        </w:rPr>
        <w:t>Doubt</w:t>
      </w:r>
      <w:r w:rsidR="00FA4733">
        <w:t xml:space="preserve"> informs “[t]his is the point at which the sceptic finds tranquillity (</w:t>
      </w:r>
      <w:r w:rsidR="00FA4733" w:rsidRPr="00FA4733">
        <w:rPr>
          <w:i/>
          <w:iCs/>
        </w:rPr>
        <w:t>ataraxia</w:t>
      </w:r>
      <w:r w:rsidR="00FA4733">
        <w:t>) he has sought all along.”</w:t>
      </w:r>
      <w:r w:rsidR="00FA4733">
        <w:rPr>
          <w:rStyle w:val="FootnoteReference"/>
        </w:rPr>
        <w:footnoteReference w:id="33"/>
      </w:r>
      <w:r w:rsidR="00FA4733">
        <w:t xml:space="preserve">This sense of tranquillity </w:t>
      </w:r>
      <w:r w:rsidR="007512F2">
        <w:t xml:space="preserve">is demonstrated as Descartes sits at his fireside in his dressing gown </w:t>
      </w:r>
      <w:r w:rsidR="007512F2">
        <w:lastRenderedPageBreak/>
        <w:t>engaging in solipsism; no frantic emotional activity is expressed</w:t>
      </w:r>
      <w:r w:rsidR="00D612E1">
        <w:t xml:space="preserve">; a quiet cool mind examines the rejection of his previous held opinions </w:t>
      </w:r>
      <w:r w:rsidR="003514A1">
        <w:t>which</w:t>
      </w:r>
      <w:r w:rsidR="00D612E1">
        <w:t xml:space="preserve"> hold any doubt. However, this dismantling of his opinions </w:t>
      </w:r>
      <w:r w:rsidR="00D83AC0">
        <w:t>leads</w:t>
      </w:r>
      <w:r w:rsidR="00D612E1">
        <w:t xml:space="preserve"> him</w:t>
      </w:r>
      <w:r w:rsidR="00D83AC0">
        <w:t xml:space="preserve"> to</w:t>
      </w:r>
      <w:r w:rsidR="00D612E1">
        <w:t xml:space="preserve"> imagin</w:t>
      </w:r>
      <w:r w:rsidR="00D83AC0">
        <w:t>e</w:t>
      </w:r>
      <w:r w:rsidR="00D612E1">
        <w:t xml:space="preserve"> himself as a madman, “whose brains are so damaged by the vapours of melanchol</w:t>
      </w:r>
      <w:r w:rsidR="00D83AC0">
        <w:t>ia that they firmly maintain they are kings when they paupers.”</w:t>
      </w:r>
      <w:r w:rsidR="00D83AC0">
        <w:rPr>
          <w:rStyle w:val="FootnoteReference"/>
        </w:rPr>
        <w:footnoteReference w:id="34"/>
      </w:r>
      <w:r w:rsidR="00D83AC0">
        <w:t>Descartes explores the different voices from within his solipsism</w:t>
      </w:r>
      <w:r w:rsidR="003514A1">
        <w:t>:</w:t>
      </w:r>
      <w:r w:rsidR="00B133C9">
        <w:t xml:space="preserve"> </w:t>
      </w:r>
      <w:r w:rsidR="00D83AC0">
        <w:t xml:space="preserve">to hold with such madness is to create a false model of himself, he takes his sanity for granted, </w:t>
      </w:r>
      <w:r w:rsidR="00497D42">
        <w:tab/>
      </w:r>
      <w:r w:rsidR="00B133C9">
        <w:t>is it not a form of madness to doubt all that is known? It seems an unlikely thesis to base one’s knowing on. The irony of the invocation</w:t>
      </w:r>
      <w:r w:rsidR="00C201F3">
        <w:t xml:space="preserve"> of a madman is not lost, it is not the ravings of a madman expressed here; there is a flippancy </w:t>
      </w:r>
      <w:r w:rsidR="00AD34A4">
        <w:t xml:space="preserve">in Descartes’ account of madness: It seems a sober philosophical idea to doubt all one </w:t>
      </w:r>
      <w:r w:rsidR="00115351">
        <w:t>believes,</w:t>
      </w:r>
      <w:r w:rsidR="00AD34A4">
        <w:t xml:space="preserve"> and he backs this up with both his ‘dreaming’ and ‘malicious demon’ arguments. </w:t>
      </w:r>
      <w:r w:rsidR="00115351">
        <w:t>However, he cannot continue this line of enquiry if his strongest argument relies on whether he is, or isn’t, awake. “I see plainly that there are never any sure signs by means of which being awake can be distinguished from being asleep.”</w:t>
      </w:r>
      <w:r w:rsidR="00115351">
        <w:rPr>
          <w:rStyle w:val="FootnoteReference"/>
        </w:rPr>
        <w:footnoteReference w:id="35"/>
      </w:r>
      <w:r w:rsidR="00115351">
        <w:t xml:space="preserve"> </w:t>
      </w:r>
      <w:r w:rsidR="00783FB2">
        <w:t>When asleep and dreaming my state is such that I am unaware I am dreaming, the experience appears as a lived one, until I awake, and the reality of my world is revealed to me as it is. The following is a quote Williams presents from Cicero:</w:t>
      </w:r>
    </w:p>
    <w:p w14:paraId="19DED801" w14:textId="77777777" w:rsidR="00295895" w:rsidRDefault="00295895" w:rsidP="00295895">
      <w:pPr>
        <w:spacing w:line="360" w:lineRule="auto"/>
        <w:ind w:left="720"/>
        <w:jc w:val="both"/>
      </w:pPr>
      <w:r>
        <w:t>As if anyone would deny that a man that has woken up thinks that he has been dreaming, or that one whose madness has subsided thinks that the things he saw during his madness were not true.</w:t>
      </w:r>
      <w:r>
        <w:rPr>
          <w:rStyle w:val="FootnoteReference"/>
        </w:rPr>
        <w:footnoteReference w:id="36"/>
      </w:r>
    </w:p>
    <w:p w14:paraId="31B9E363" w14:textId="77777777" w:rsidR="00366B46" w:rsidRDefault="00946A3F" w:rsidP="00295895">
      <w:pPr>
        <w:spacing w:line="360" w:lineRule="auto"/>
        <w:jc w:val="both"/>
      </w:pPr>
      <w:r>
        <w:t>Henceforth, raising the question: why when Descartes is invoking his reason in a moment of wakefulness, is he in doubt as to whether he is dreaming or nay?  Juxtaposing our perceptions, as in wakefulness and dream state, is not useful to Descartes; these two states are made similar</w:t>
      </w:r>
      <w:r w:rsidR="008353B4">
        <w:t xml:space="preserve">, and this </w:t>
      </w:r>
      <w:r>
        <w:t>detach</w:t>
      </w:r>
      <w:r w:rsidR="008353B4">
        <w:t>es</w:t>
      </w:r>
      <w:r>
        <w:t xml:space="preserve"> them from a form of </w:t>
      </w:r>
      <w:r w:rsidR="008353B4">
        <w:t xml:space="preserve">madness. From here he ponders the idea that mathematical propositions are immune to doubt. Insight is found in the proposal Williams makes; that our potential to know is not influenced by whether knowledge is gained in </w:t>
      </w:r>
      <w:r w:rsidR="00161293">
        <w:t xml:space="preserve">either a </w:t>
      </w:r>
      <w:r w:rsidR="008353B4">
        <w:t>wakeful or dream state</w:t>
      </w:r>
      <w:r w:rsidR="00161293">
        <w:rPr>
          <w:rStyle w:val="FootnoteReference"/>
        </w:rPr>
        <w:footnoteReference w:id="37"/>
      </w:r>
      <w:r w:rsidR="00161293">
        <w:t>. Sobriety and sanity are not exclusive states to the acquiescence of knowledge.</w:t>
      </w:r>
      <w:r w:rsidR="00497D42">
        <w:tab/>
      </w:r>
      <w:r w:rsidR="00497D42">
        <w:tab/>
      </w:r>
    </w:p>
    <w:p w14:paraId="28EF1144" w14:textId="6C33C004" w:rsidR="007916BD" w:rsidRDefault="00161293" w:rsidP="00295895">
      <w:pPr>
        <w:spacing w:line="360" w:lineRule="auto"/>
        <w:jc w:val="both"/>
      </w:pPr>
      <w:r>
        <w:t>Descartes solipsism brings him to</w:t>
      </w:r>
      <w:r w:rsidR="00366B46">
        <w:t xml:space="preserve"> the</w:t>
      </w:r>
      <w:r>
        <w:t xml:space="preserve"> question</w:t>
      </w:r>
      <w:r w:rsidR="00366B46">
        <w:t xml:space="preserve"> of</w:t>
      </w:r>
      <w:r>
        <w:t xml:space="preserve"> God, he asks</w:t>
      </w:r>
      <w:r w:rsidR="00366B46">
        <w:t xml:space="preserve"> of</w:t>
      </w:r>
      <w:r>
        <w:t xml:space="preserve"> himself: how is it he can be certain that the external worl</w:t>
      </w:r>
      <w:r w:rsidR="00366B46">
        <w:t>d exists, and that God has not created this world within the mind alone?</w:t>
      </w:r>
      <w:r w:rsidR="00366B46">
        <w:rPr>
          <w:rStyle w:val="FootnoteReference"/>
        </w:rPr>
        <w:footnoteReference w:id="38"/>
      </w:r>
      <w:r w:rsidR="00932373">
        <w:t xml:space="preserve">He goes on to ask if he is not deceived in his reality by a malicious demon. </w:t>
      </w:r>
      <w:r w:rsidR="00536DB2">
        <w:t xml:space="preserve">I see a resemblance here to the questions raised by Hilary Putnam and his version of the evil demon, which is akin to the story </w:t>
      </w:r>
      <w:r w:rsidR="00536DB2">
        <w:lastRenderedPageBreak/>
        <w:t xml:space="preserve">narrated in the film </w:t>
      </w:r>
      <w:r w:rsidR="00536DB2" w:rsidRPr="00536DB2">
        <w:rPr>
          <w:i/>
          <w:iCs/>
        </w:rPr>
        <w:t>The Matrix</w:t>
      </w:r>
      <w:r w:rsidR="00536DB2">
        <w:rPr>
          <w:i/>
          <w:iCs/>
        </w:rPr>
        <w:t xml:space="preserve">. </w:t>
      </w:r>
      <w:r w:rsidR="00536DB2">
        <w:t xml:space="preserve">This can also be described as the Brain in a Vat thought experiment. Putnam asks us to </w:t>
      </w:r>
      <w:r w:rsidR="00F72F50">
        <w:t>imagine</w:t>
      </w:r>
      <w:r w:rsidR="00536DB2">
        <w:t xml:space="preserve"> ourselves as</w:t>
      </w:r>
      <w:r w:rsidR="00F72F50">
        <w:t xml:space="preserve"> </w:t>
      </w:r>
      <w:r w:rsidR="00536DB2">
        <w:t>a brain in a vat</w:t>
      </w:r>
      <w:r w:rsidR="00F72F50">
        <w:t xml:space="preserve"> with no body. The brain is kept alive by nutrients in the vat, whilst being hooked up to a machine </w:t>
      </w:r>
      <w:r w:rsidR="007916BD">
        <w:t>operated by an evil scientist who</w:t>
      </w:r>
      <w:r w:rsidR="00F72F50">
        <w:t xml:space="preserve"> downloads our experiences</w:t>
      </w:r>
      <w:r w:rsidR="007916BD">
        <w:t xml:space="preserve">: </w:t>
      </w:r>
      <w:r w:rsidR="00F72F50">
        <w:t xml:space="preserve"> </w:t>
      </w:r>
    </w:p>
    <w:p w14:paraId="3C7850EF" w14:textId="185A5A1C" w:rsidR="007916BD" w:rsidRDefault="007916BD" w:rsidP="007916BD">
      <w:pPr>
        <w:spacing w:line="360" w:lineRule="auto"/>
        <w:ind w:left="720"/>
        <w:jc w:val="both"/>
      </w:pPr>
      <w:r>
        <w:t>[</w:t>
      </w:r>
      <w:r w:rsidR="00F72F50" w:rsidRPr="005C3A3D">
        <w:t>t</w:t>
      </w:r>
      <w:r>
        <w:t>]</w:t>
      </w:r>
      <w:r w:rsidR="00F72F50" w:rsidRPr="005C3A3D">
        <w:t>he evil scientist can cause the victim to `experience’ (or hallucinate) any situation or environment the evil scientist wishes. He can also obliterate the memory of the brain operation, so that the victim will seem to himself to have always been in this environment</w:t>
      </w:r>
      <w:r>
        <w:rPr>
          <w:rStyle w:val="FootnoteReference"/>
        </w:rPr>
        <w:footnoteReference w:id="39"/>
      </w:r>
    </w:p>
    <w:p w14:paraId="4518F99F" w14:textId="521A2E4B" w:rsidR="003C4BF1" w:rsidRDefault="00824334" w:rsidP="00824334">
      <w:pPr>
        <w:spacing w:line="360" w:lineRule="auto"/>
        <w:jc w:val="both"/>
      </w:pPr>
      <w:r>
        <w:t xml:space="preserve">These are shocking imaginings and would shake the strongest resolve. However, Descartes carries on </w:t>
      </w:r>
      <w:r w:rsidR="006A7044">
        <w:t>t</w:t>
      </w:r>
      <w:r>
        <w:t>h</w:t>
      </w:r>
      <w:r w:rsidR="006A7044">
        <w:t>ese</w:t>
      </w:r>
      <w:r>
        <w:t xml:space="preserve"> discussions on the existence of God, his own doubts</w:t>
      </w:r>
      <w:r w:rsidR="00821716">
        <w:t>,</w:t>
      </w:r>
      <w:r>
        <w:t xml:space="preserve"> and the external forms of deception, which have been processed through </w:t>
      </w:r>
      <w:r w:rsidR="006A7044">
        <w:t xml:space="preserve">his rational thought processes, </w:t>
      </w:r>
      <w:r w:rsidR="00821716">
        <w:t xml:space="preserve">he concludes </w:t>
      </w:r>
      <w:r w:rsidR="006A7044">
        <w:t xml:space="preserve">that no conclusion is to be found in these theories. This being so he is not content to sit in the tranquillity of suspended judgement. </w:t>
      </w:r>
      <w:r w:rsidR="00964072">
        <w:t xml:space="preserve">Descartes refers to the probable opinions he holds, now consciously deciding to deceive himself into believing these opinions to be false, he purges his mind of the </w:t>
      </w:r>
      <w:r w:rsidR="000B64A7">
        <w:t>knowledge</w:t>
      </w:r>
      <w:r w:rsidR="00964072">
        <w:t xml:space="preserve"> already acquired</w:t>
      </w:r>
      <w:r w:rsidR="000B64A7">
        <w:t>, making his mind as a blank tablet (</w:t>
      </w:r>
      <w:r w:rsidR="000B64A7" w:rsidRPr="000B64A7">
        <w:rPr>
          <w:i/>
          <w:iCs/>
        </w:rPr>
        <w:t>tabula rasa</w:t>
      </w:r>
      <w:r w:rsidR="000B64A7">
        <w:t>); he now retorts to his malicious demon who is bent on deceiving him, that all things are delusions.</w:t>
      </w:r>
      <w:r w:rsidR="000B64A7">
        <w:rPr>
          <w:rStyle w:val="FootnoteReference"/>
        </w:rPr>
        <w:footnoteReference w:id="40"/>
      </w:r>
      <w:r w:rsidR="000B64A7">
        <w:t xml:space="preserve">This can be imagined as the  brain </w:t>
      </w:r>
      <w:r w:rsidR="00937B6F">
        <w:t>in the vat</w:t>
      </w:r>
      <w:r w:rsidR="000B64A7">
        <w:t xml:space="preserve"> , or Neo, the protagonist in the Matrix,</w:t>
      </w:r>
      <w:r w:rsidR="00937B6F">
        <w:t xml:space="preserve"> connected to the matrix. Descartes than becomes the brain in the vat, Neo plugged into the matrix; no acknowledgement is given to his own physical manifestation</w:t>
      </w:r>
      <w:r w:rsidR="00EB485D">
        <w:t xml:space="preserve"> or the manifestation of a physical world. Descartes continues his </w:t>
      </w:r>
      <w:r w:rsidR="003C4BF1">
        <w:t>soliloquy,</w:t>
      </w:r>
      <w:r w:rsidR="00EB485D">
        <w:t xml:space="preserve"> and the First Meditation concludes with an analogy to light and darkness, to sleep and wakefulness, to unplugged and </w:t>
      </w:r>
      <w:r w:rsidR="003C4BF1">
        <w:t>plugged-in</w:t>
      </w:r>
      <w:r w:rsidR="00EB485D">
        <w:t xml:space="preserve"> states, as his state of min</w:t>
      </w:r>
      <w:r w:rsidR="003C4BF1">
        <w:t xml:space="preserve">d, and his dread of being enlightened, </w:t>
      </w:r>
      <w:proofErr w:type="gramStart"/>
      <w:r w:rsidR="003C4BF1">
        <w:t>awake</w:t>
      </w:r>
      <w:proofErr w:type="gramEnd"/>
      <w:r w:rsidR="003C4BF1">
        <w:t xml:space="preserve"> or unplugged. Descartes sinks to the bottom of the Vat.</w:t>
      </w:r>
    </w:p>
    <w:p w14:paraId="5D3F9300" w14:textId="13D4696D" w:rsidR="00824334" w:rsidRPr="00590909" w:rsidRDefault="003C4BF1" w:rsidP="00824334">
      <w:pPr>
        <w:spacing w:line="360" w:lineRule="auto"/>
        <w:jc w:val="both"/>
      </w:pPr>
      <w:r>
        <w:t>In the beginning of the second meditation Descartes continues with his endeavours to find that Archimedean immovable point</w:t>
      </w:r>
      <w:r w:rsidR="00D73CD0">
        <w:t xml:space="preserve"> of certainty, from which the entire earth may be moved:  “I too can hope for great things if I can manage to find just one thing, however slight, that is certain and unshakable.”</w:t>
      </w:r>
      <w:r w:rsidR="00D73CD0">
        <w:rPr>
          <w:rStyle w:val="FootnoteReference"/>
        </w:rPr>
        <w:footnoteReference w:id="41"/>
      </w:r>
      <w:r w:rsidR="004E0277">
        <w:t>Descartes’ move from here is to ask questions related to his body and bodily senses, and how his existence is reliant on them alone. He now subtracts all that is physical and known through the senses and asks what is it that remains? He knows with assured certainty that he exists, that he is something</w:t>
      </w:r>
      <w:r w:rsidR="00590909">
        <w:t xml:space="preserve"> that thinks, that doubts</w:t>
      </w:r>
      <w:r w:rsidR="004E0277">
        <w:t>; therefore: I am, I exist,</w:t>
      </w:r>
      <w:r w:rsidR="004E0277">
        <w:rPr>
          <w:rStyle w:val="FootnoteReference"/>
        </w:rPr>
        <w:footnoteReference w:id="42"/>
      </w:r>
      <w:r w:rsidR="004E0277">
        <w:t xml:space="preserve"> </w:t>
      </w:r>
      <w:r w:rsidR="004E0277" w:rsidRPr="004E0277">
        <w:rPr>
          <w:i/>
          <w:iCs/>
        </w:rPr>
        <w:t>Cogito ergo sum</w:t>
      </w:r>
      <w:r w:rsidR="004E0277">
        <w:rPr>
          <w:i/>
          <w:iCs/>
        </w:rPr>
        <w:t>.</w:t>
      </w:r>
      <w:r w:rsidR="00590909">
        <w:rPr>
          <w:i/>
          <w:iCs/>
        </w:rPr>
        <w:t xml:space="preserve"> </w:t>
      </w:r>
      <w:r w:rsidR="00590909">
        <w:t xml:space="preserve">Concluding that the </w:t>
      </w:r>
      <w:r w:rsidR="00590909">
        <w:lastRenderedPageBreak/>
        <w:t xml:space="preserve">stance </w:t>
      </w:r>
      <w:r w:rsidR="00C942A6">
        <w:t>from which he bases</w:t>
      </w:r>
      <w:r w:rsidR="00590909">
        <w:t xml:space="preserve"> his argument is that of a brain/mind/soul in a vat</w:t>
      </w:r>
      <w:r w:rsidR="00C942A6">
        <w:t>, with no sense of a physically manifested existence.</w:t>
      </w:r>
    </w:p>
    <w:p w14:paraId="6197DA58" w14:textId="77777777" w:rsidR="00590909" w:rsidRDefault="00590909" w:rsidP="00824334">
      <w:pPr>
        <w:spacing w:line="360" w:lineRule="auto"/>
        <w:jc w:val="both"/>
      </w:pPr>
    </w:p>
    <w:p w14:paraId="0D359368" w14:textId="3B2CB068" w:rsidR="00735772" w:rsidRDefault="00497D42" w:rsidP="007916BD">
      <w:pPr>
        <w:spacing w:line="360" w:lineRule="auto"/>
        <w:jc w:val="both"/>
      </w:pPr>
      <w:r>
        <w:tab/>
      </w:r>
      <w:r>
        <w:tab/>
      </w:r>
      <w:r>
        <w:tab/>
      </w:r>
      <w:r>
        <w:tab/>
      </w:r>
      <w:r>
        <w:tab/>
      </w:r>
      <w:r>
        <w:tab/>
      </w:r>
      <w:r>
        <w:tab/>
      </w:r>
      <w:r>
        <w:tab/>
      </w:r>
      <w:r>
        <w:tab/>
      </w:r>
      <w:r>
        <w:tab/>
      </w:r>
      <w:r>
        <w:tab/>
      </w:r>
      <w:r>
        <w:tab/>
      </w:r>
      <w:r>
        <w:tab/>
      </w:r>
      <w:r>
        <w:tab/>
      </w:r>
      <w:r>
        <w:tab/>
      </w:r>
      <w:r>
        <w:tab/>
      </w:r>
      <w:r>
        <w:tab/>
      </w:r>
      <w:r>
        <w:tab/>
      </w:r>
      <w:r>
        <w:tab/>
      </w:r>
      <w:r>
        <w:tab/>
      </w:r>
      <w:r>
        <w:tab/>
      </w:r>
    </w:p>
    <w:p w14:paraId="54F95155" w14:textId="77777777" w:rsidR="00587279" w:rsidRDefault="00587279" w:rsidP="00F402DB">
      <w:pPr>
        <w:spacing w:line="360" w:lineRule="auto"/>
        <w:jc w:val="both"/>
      </w:pPr>
    </w:p>
    <w:p w14:paraId="1CF66DCC" w14:textId="77777777" w:rsidR="006D10AE" w:rsidRDefault="006D10AE" w:rsidP="00F402DB">
      <w:pPr>
        <w:spacing w:line="360" w:lineRule="auto"/>
        <w:jc w:val="both"/>
      </w:pPr>
    </w:p>
    <w:p w14:paraId="0E2E07E2" w14:textId="77777777" w:rsidR="006D10AE" w:rsidRPr="00835F76" w:rsidRDefault="006D10AE" w:rsidP="00F402DB">
      <w:pPr>
        <w:spacing w:line="360" w:lineRule="auto"/>
        <w:jc w:val="both"/>
      </w:pPr>
    </w:p>
    <w:sectPr w:rsidR="006D10AE" w:rsidRPr="00835F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8764DD" w14:textId="77777777" w:rsidR="00430CC7" w:rsidRDefault="00430CC7" w:rsidP="00BA020E">
      <w:pPr>
        <w:spacing w:after="0" w:line="240" w:lineRule="auto"/>
      </w:pPr>
      <w:r>
        <w:separator/>
      </w:r>
    </w:p>
  </w:endnote>
  <w:endnote w:type="continuationSeparator" w:id="0">
    <w:p w14:paraId="2BB8C226" w14:textId="77777777" w:rsidR="00430CC7" w:rsidRDefault="00430CC7" w:rsidP="00BA02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00E3C2" w14:textId="77777777" w:rsidR="00430CC7" w:rsidRDefault="00430CC7" w:rsidP="00BA020E">
      <w:pPr>
        <w:spacing w:after="0" w:line="240" w:lineRule="auto"/>
      </w:pPr>
      <w:r>
        <w:separator/>
      </w:r>
    </w:p>
  </w:footnote>
  <w:footnote w:type="continuationSeparator" w:id="0">
    <w:p w14:paraId="0B39E2D9" w14:textId="77777777" w:rsidR="00430CC7" w:rsidRDefault="00430CC7" w:rsidP="00BA020E">
      <w:pPr>
        <w:spacing w:after="0" w:line="240" w:lineRule="auto"/>
      </w:pPr>
      <w:r>
        <w:continuationSeparator/>
      </w:r>
    </w:p>
  </w:footnote>
  <w:footnote w:id="1">
    <w:p w14:paraId="05E6EA88" w14:textId="2CFD154F" w:rsidR="00BA020E" w:rsidRPr="00BA020E" w:rsidRDefault="00BA020E">
      <w:pPr>
        <w:pStyle w:val="FootnoteText"/>
      </w:pPr>
      <w:r>
        <w:rPr>
          <w:rStyle w:val="FootnoteReference"/>
        </w:rPr>
        <w:footnoteRef/>
      </w:r>
      <w:r>
        <w:t xml:space="preserve"> M. R. Wright </w:t>
      </w:r>
      <w:proofErr w:type="gramStart"/>
      <w:r>
        <w:rPr>
          <w:i/>
          <w:iCs/>
        </w:rPr>
        <w:t>The</w:t>
      </w:r>
      <w:proofErr w:type="gramEnd"/>
      <w:r>
        <w:rPr>
          <w:i/>
          <w:iCs/>
        </w:rPr>
        <w:t xml:space="preserve"> Oxford Handbook of Presocratic Philosophy </w:t>
      </w:r>
      <w:r>
        <w:t>Sep 2009 10.1093/</w:t>
      </w:r>
      <w:proofErr w:type="spellStart"/>
      <w:r>
        <w:t>oxfordhb</w:t>
      </w:r>
      <w:proofErr w:type="spellEnd"/>
      <w:r>
        <w:t>/9780195146875.003.0016 accessed 19/03/2019. P1</w:t>
      </w:r>
    </w:p>
  </w:footnote>
  <w:footnote w:id="2">
    <w:p w14:paraId="7960885F" w14:textId="07AD001C" w:rsidR="00CA58C5" w:rsidRDefault="00CA58C5">
      <w:pPr>
        <w:pStyle w:val="FootnoteText"/>
      </w:pPr>
      <w:r>
        <w:rPr>
          <w:rStyle w:val="FootnoteReference"/>
        </w:rPr>
        <w:footnoteRef/>
      </w:r>
      <w:r>
        <w:t xml:space="preserve"> ibid</w:t>
      </w:r>
    </w:p>
  </w:footnote>
  <w:footnote w:id="3">
    <w:p w14:paraId="6950B23D" w14:textId="7C54C4B2" w:rsidR="00D51F1A" w:rsidRDefault="00D51F1A">
      <w:pPr>
        <w:pStyle w:val="FootnoteText"/>
      </w:pPr>
      <w:r>
        <w:rPr>
          <w:rStyle w:val="FootnoteReference"/>
        </w:rPr>
        <w:footnoteRef/>
      </w:r>
      <w:r>
        <w:t xml:space="preserve"> Ibid p2</w:t>
      </w:r>
    </w:p>
  </w:footnote>
  <w:footnote w:id="4">
    <w:p w14:paraId="311C0E7D" w14:textId="658DFFBC" w:rsidR="00CA58C5" w:rsidRDefault="00CA58C5">
      <w:pPr>
        <w:pStyle w:val="FootnoteText"/>
      </w:pPr>
      <w:r>
        <w:rPr>
          <w:rStyle w:val="FootnoteReference"/>
        </w:rPr>
        <w:footnoteRef/>
      </w:r>
      <w:r>
        <w:t xml:space="preserve"> ibid</w:t>
      </w:r>
    </w:p>
  </w:footnote>
  <w:footnote w:id="5">
    <w:p w14:paraId="4B786A0A" w14:textId="50F598A6" w:rsidR="005955CF" w:rsidRDefault="005955CF">
      <w:pPr>
        <w:pStyle w:val="FootnoteText"/>
      </w:pPr>
      <w:r>
        <w:rPr>
          <w:rStyle w:val="FootnoteReference"/>
        </w:rPr>
        <w:footnoteRef/>
      </w:r>
      <w:r>
        <w:t xml:space="preserve"> Ibid p3</w:t>
      </w:r>
    </w:p>
  </w:footnote>
  <w:footnote w:id="6">
    <w:p w14:paraId="5D43D208" w14:textId="7A86B585" w:rsidR="005955CF" w:rsidRDefault="005955CF">
      <w:pPr>
        <w:pStyle w:val="FootnoteText"/>
      </w:pPr>
      <w:r>
        <w:rPr>
          <w:rStyle w:val="FootnoteReference"/>
        </w:rPr>
        <w:footnoteRef/>
      </w:r>
      <w:r>
        <w:t xml:space="preserve"> Ibid </w:t>
      </w:r>
    </w:p>
  </w:footnote>
  <w:footnote w:id="7">
    <w:p w14:paraId="096EEE7C" w14:textId="34DDC4BD" w:rsidR="005955CF" w:rsidRDefault="005955CF">
      <w:pPr>
        <w:pStyle w:val="FootnoteText"/>
      </w:pPr>
      <w:r>
        <w:rPr>
          <w:rStyle w:val="FootnoteReference"/>
        </w:rPr>
        <w:footnoteRef/>
      </w:r>
      <w:r>
        <w:t xml:space="preserve"> ibid</w:t>
      </w:r>
    </w:p>
  </w:footnote>
  <w:footnote w:id="8">
    <w:p w14:paraId="4E5B3A6D" w14:textId="3B5F8B5D" w:rsidR="00C50321" w:rsidRDefault="00C50321">
      <w:pPr>
        <w:pStyle w:val="FootnoteText"/>
      </w:pPr>
      <w:r>
        <w:rPr>
          <w:rStyle w:val="FootnoteReference"/>
        </w:rPr>
        <w:footnoteRef/>
      </w:r>
      <w:r>
        <w:t xml:space="preserve"> Thomas Nagel, Mortal Questions (Cambridge University Press: </w:t>
      </w:r>
      <w:r w:rsidR="00C42780">
        <w:t>1979) p5</w:t>
      </w:r>
    </w:p>
  </w:footnote>
  <w:footnote w:id="9">
    <w:p w14:paraId="1FED1D33" w14:textId="6688C468" w:rsidR="005955CF" w:rsidRDefault="005955CF">
      <w:pPr>
        <w:pStyle w:val="FootnoteText"/>
      </w:pPr>
      <w:r>
        <w:rPr>
          <w:rStyle w:val="FootnoteReference"/>
        </w:rPr>
        <w:footnoteRef/>
      </w:r>
      <w:r>
        <w:t xml:space="preserve"> ibid</w:t>
      </w:r>
    </w:p>
  </w:footnote>
  <w:footnote w:id="10">
    <w:p w14:paraId="08A0136E" w14:textId="0D412FB2" w:rsidR="00224F09" w:rsidRDefault="00224F09">
      <w:pPr>
        <w:pStyle w:val="FootnoteText"/>
      </w:pPr>
      <w:r>
        <w:rPr>
          <w:rStyle w:val="FootnoteReference"/>
        </w:rPr>
        <w:footnoteRef/>
      </w:r>
      <w:r>
        <w:t xml:space="preserve"> </w:t>
      </w:r>
      <w:r w:rsidR="005B006B">
        <w:t xml:space="preserve">Paul U. </w:t>
      </w:r>
      <w:proofErr w:type="spellStart"/>
      <w:r w:rsidR="005B006B">
        <w:t>Unschuld</w:t>
      </w:r>
      <w:proofErr w:type="spellEnd"/>
      <w:r w:rsidR="005B006B">
        <w:t xml:space="preserve">, </w:t>
      </w:r>
      <w:r w:rsidR="005B006B" w:rsidRPr="0094591E">
        <w:rPr>
          <w:i/>
          <w:iCs/>
        </w:rPr>
        <w:t>Medicine in China</w:t>
      </w:r>
      <w:r w:rsidR="005B006B">
        <w:t xml:space="preserve"> (University California Press, 1985) p59</w:t>
      </w:r>
      <w:r>
        <w:t>This comparison is a subject for an essay in itself; for the purpose of this piece of work I feel it is relevant to highlight the similarities</w:t>
      </w:r>
      <w:r w:rsidR="005B006B">
        <w:t xml:space="preserve"> within ancient Eastern and Western Philosophies,</w:t>
      </w:r>
      <w:r>
        <w:t xml:space="preserve"> not to add to the discussion of Wright’s work</w:t>
      </w:r>
      <w:r w:rsidR="005B006B">
        <w:t>.</w:t>
      </w:r>
    </w:p>
  </w:footnote>
  <w:footnote w:id="11">
    <w:p w14:paraId="14E4370A" w14:textId="241DCD62" w:rsidR="00224F09" w:rsidRDefault="00224F09">
      <w:pPr>
        <w:pStyle w:val="FootnoteText"/>
      </w:pPr>
      <w:r>
        <w:rPr>
          <w:rStyle w:val="FootnoteReference"/>
        </w:rPr>
        <w:footnoteRef/>
      </w:r>
      <w:r>
        <w:t xml:space="preserve"> </w:t>
      </w:r>
      <w:hyperlink r:id="rId1" w:history="1">
        <w:r>
          <w:rPr>
            <w:rStyle w:val="Hyperlink"/>
          </w:rPr>
          <w:t>The Five Elements (Taoism) | Modern Wushu Wiki | Fandom</w:t>
        </w:r>
      </w:hyperlink>
      <w:r>
        <w:t xml:space="preserve"> accessed 28.04.2021</w:t>
      </w:r>
    </w:p>
  </w:footnote>
  <w:footnote w:id="12">
    <w:p w14:paraId="6F0F0E2E" w14:textId="5E99FC59" w:rsidR="00BC0808" w:rsidRDefault="00BC0808">
      <w:pPr>
        <w:pStyle w:val="FootnoteText"/>
      </w:pPr>
      <w:r>
        <w:rPr>
          <w:rStyle w:val="FootnoteReference"/>
        </w:rPr>
        <w:footnoteRef/>
      </w:r>
      <w:r>
        <w:t xml:space="preserve"> Ibid p5</w:t>
      </w:r>
    </w:p>
  </w:footnote>
  <w:footnote w:id="13">
    <w:p w14:paraId="53BD5238" w14:textId="283245F3" w:rsidR="00BC0808" w:rsidRDefault="00BC0808">
      <w:pPr>
        <w:pStyle w:val="FootnoteText"/>
      </w:pPr>
      <w:r>
        <w:rPr>
          <w:rStyle w:val="FootnoteReference"/>
        </w:rPr>
        <w:footnoteRef/>
      </w:r>
      <w:r>
        <w:t xml:space="preserve"> ibid</w:t>
      </w:r>
    </w:p>
  </w:footnote>
  <w:footnote w:id="14">
    <w:p w14:paraId="50A5C0A3" w14:textId="18BCB3E2" w:rsidR="009152D3" w:rsidRDefault="009152D3">
      <w:pPr>
        <w:pStyle w:val="FootnoteText"/>
      </w:pPr>
      <w:r>
        <w:rPr>
          <w:rStyle w:val="FootnoteReference"/>
        </w:rPr>
        <w:footnoteRef/>
      </w:r>
      <w:r>
        <w:t xml:space="preserve"> Anne </w:t>
      </w:r>
      <w:r w:rsidR="00E41F6D">
        <w:t xml:space="preserve">Finch, </w:t>
      </w:r>
      <w:r w:rsidR="00E41F6D" w:rsidRPr="00E41F6D">
        <w:rPr>
          <w:i/>
          <w:iCs/>
        </w:rPr>
        <w:t xml:space="preserve">The Principles of the </w:t>
      </w:r>
      <w:r w:rsidR="00E41F6D">
        <w:rPr>
          <w:i/>
          <w:iCs/>
        </w:rPr>
        <w:t>M</w:t>
      </w:r>
      <w:r w:rsidR="00E41F6D" w:rsidRPr="00E41F6D">
        <w:rPr>
          <w:i/>
          <w:iCs/>
        </w:rPr>
        <w:t>ost Ancient and Modern Philosophy</w:t>
      </w:r>
      <w:r w:rsidR="00E41F6D">
        <w:t xml:space="preserve"> (London: Dodo Press, 1692) p 41</w:t>
      </w:r>
    </w:p>
  </w:footnote>
  <w:footnote w:id="15">
    <w:p w14:paraId="12DA0F71" w14:textId="0B509FDB" w:rsidR="008F5ACD" w:rsidRDefault="008F5ACD">
      <w:pPr>
        <w:pStyle w:val="FootnoteText"/>
      </w:pPr>
      <w:r>
        <w:rPr>
          <w:rStyle w:val="FootnoteReference"/>
        </w:rPr>
        <w:footnoteRef/>
      </w:r>
      <w:r>
        <w:t xml:space="preserve"> Wright p13</w:t>
      </w:r>
    </w:p>
  </w:footnote>
  <w:footnote w:id="16">
    <w:p w14:paraId="46FCCC1E" w14:textId="23F71D17" w:rsidR="00063E26" w:rsidRDefault="00063E26">
      <w:pPr>
        <w:pStyle w:val="FootnoteText"/>
      </w:pPr>
      <w:r>
        <w:rPr>
          <w:rStyle w:val="FootnoteReference"/>
        </w:rPr>
        <w:footnoteRef/>
      </w:r>
      <w:r>
        <w:t xml:space="preserve"> Ibid p14</w:t>
      </w:r>
    </w:p>
    <w:p w14:paraId="5A23BCEB" w14:textId="77777777" w:rsidR="00261747" w:rsidRDefault="00261747">
      <w:pPr>
        <w:pStyle w:val="FootnoteText"/>
      </w:pPr>
    </w:p>
  </w:footnote>
  <w:footnote w:id="17">
    <w:p w14:paraId="5B23B729" w14:textId="769C283A" w:rsidR="00835F76" w:rsidRDefault="00835F76">
      <w:pPr>
        <w:pStyle w:val="FootnoteText"/>
      </w:pPr>
      <w:r>
        <w:rPr>
          <w:rStyle w:val="FootnoteReference"/>
        </w:rPr>
        <w:footnoteRef/>
      </w:r>
      <w:r>
        <w:t xml:space="preserve"> Scott, p91</w:t>
      </w:r>
    </w:p>
  </w:footnote>
  <w:footnote w:id="18">
    <w:p w14:paraId="3BCD084B" w14:textId="36AB14A6" w:rsidR="00880670" w:rsidRDefault="00880670">
      <w:pPr>
        <w:pStyle w:val="FootnoteText"/>
      </w:pPr>
      <w:r>
        <w:rPr>
          <w:rStyle w:val="FootnoteReference"/>
        </w:rPr>
        <w:footnoteRef/>
      </w:r>
      <w:r>
        <w:t xml:space="preserve"> P92</w:t>
      </w:r>
    </w:p>
  </w:footnote>
  <w:footnote w:id="19">
    <w:p w14:paraId="029C7207" w14:textId="6794B846" w:rsidR="00261747" w:rsidRDefault="00261747">
      <w:pPr>
        <w:pStyle w:val="FootnoteText"/>
      </w:pPr>
      <w:r>
        <w:rPr>
          <w:rStyle w:val="FootnoteReference"/>
        </w:rPr>
        <w:footnoteRef/>
      </w:r>
      <w:r>
        <w:t xml:space="preserve"> P92</w:t>
      </w:r>
    </w:p>
  </w:footnote>
  <w:footnote w:id="20">
    <w:p w14:paraId="3EE565E0" w14:textId="743CE698" w:rsidR="00084237" w:rsidRDefault="00084237">
      <w:pPr>
        <w:pStyle w:val="FootnoteText"/>
      </w:pPr>
      <w:r>
        <w:rPr>
          <w:rStyle w:val="FootnoteReference"/>
        </w:rPr>
        <w:footnoteRef/>
      </w:r>
      <w:r>
        <w:t xml:space="preserve"> P93</w:t>
      </w:r>
    </w:p>
  </w:footnote>
  <w:footnote w:id="21">
    <w:p w14:paraId="7D66B056" w14:textId="770E0E80" w:rsidR="004B1DF5" w:rsidRDefault="004B1DF5">
      <w:pPr>
        <w:pStyle w:val="FootnoteText"/>
      </w:pPr>
      <w:r>
        <w:rPr>
          <w:rStyle w:val="FootnoteReference"/>
        </w:rPr>
        <w:footnoteRef/>
      </w:r>
      <w:r>
        <w:t xml:space="preserve"> P93</w:t>
      </w:r>
    </w:p>
  </w:footnote>
  <w:footnote w:id="22">
    <w:p w14:paraId="321846C7" w14:textId="551734FB" w:rsidR="00E47749" w:rsidRDefault="00E47749">
      <w:pPr>
        <w:pStyle w:val="FootnoteText"/>
      </w:pPr>
      <w:r>
        <w:rPr>
          <w:rStyle w:val="FootnoteReference"/>
        </w:rPr>
        <w:footnoteRef/>
      </w:r>
      <w:r>
        <w:t xml:space="preserve"> P94</w:t>
      </w:r>
    </w:p>
  </w:footnote>
  <w:footnote w:id="23">
    <w:p w14:paraId="5F1D4D61" w14:textId="0EA8328B" w:rsidR="00F971DC" w:rsidRDefault="00F971DC">
      <w:pPr>
        <w:pStyle w:val="FootnoteText"/>
      </w:pPr>
      <w:r>
        <w:rPr>
          <w:rStyle w:val="FootnoteReference"/>
        </w:rPr>
        <w:footnoteRef/>
      </w:r>
      <w:r>
        <w:t xml:space="preserve"> P97</w:t>
      </w:r>
    </w:p>
  </w:footnote>
  <w:footnote w:id="24">
    <w:p w14:paraId="4ED874F6" w14:textId="18FEAB0E" w:rsidR="007A1518" w:rsidRDefault="007A1518">
      <w:pPr>
        <w:pStyle w:val="FootnoteText"/>
      </w:pPr>
      <w:r>
        <w:rPr>
          <w:rStyle w:val="FootnoteReference"/>
        </w:rPr>
        <w:footnoteRef/>
      </w:r>
      <w:r>
        <w:t xml:space="preserve"> P98</w:t>
      </w:r>
    </w:p>
  </w:footnote>
  <w:footnote w:id="25">
    <w:p w14:paraId="3A308377" w14:textId="4BFE8372" w:rsidR="00EC7A12" w:rsidRDefault="00EC7A12">
      <w:pPr>
        <w:pStyle w:val="FootnoteText"/>
      </w:pPr>
      <w:r>
        <w:rPr>
          <w:rStyle w:val="FootnoteReference"/>
        </w:rPr>
        <w:footnoteRef/>
      </w:r>
      <w:r>
        <w:t xml:space="preserve"> P99</w:t>
      </w:r>
    </w:p>
  </w:footnote>
  <w:footnote w:id="26">
    <w:p w14:paraId="2C1199AF" w14:textId="0CBE9DEC" w:rsidR="008E7300" w:rsidRDefault="008E7300">
      <w:pPr>
        <w:pStyle w:val="FootnoteText"/>
      </w:pPr>
      <w:r>
        <w:rPr>
          <w:rStyle w:val="FootnoteReference"/>
        </w:rPr>
        <w:footnoteRef/>
      </w:r>
      <w:r>
        <w:t xml:space="preserve"> P100</w:t>
      </w:r>
    </w:p>
  </w:footnote>
  <w:footnote w:id="27">
    <w:p w14:paraId="670E229C" w14:textId="3EBA7C1B" w:rsidR="00E4101E" w:rsidRDefault="00E4101E">
      <w:pPr>
        <w:pStyle w:val="FootnoteText"/>
      </w:pPr>
      <w:r>
        <w:rPr>
          <w:rStyle w:val="FootnoteReference"/>
        </w:rPr>
        <w:footnoteRef/>
      </w:r>
      <w:r>
        <w:t xml:space="preserve"> P101</w:t>
      </w:r>
    </w:p>
  </w:footnote>
  <w:footnote w:id="28">
    <w:p w14:paraId="6B9A4873" w14:textId="1AD67361" w:rsidR="00D534B1" w:rsidRDefault="00D534B1">
      <w:pPr>
        <w:pStyle w:val="FootnoteText"/>
      </w:pPr>
      <w:r>
        <w:rPr>
          <w:rStyle w:val="FootnoteReference"/>
        </w:rPr>
        <w:footnoteRef/>
      </w:r>
      <w:r>
        <w:t xml:space="preserve"> P214</w:t>
      </w:r>
    </w:p>
  </w:footnote>
  <w:footnote w:id="29">
    <w:p w14:paraId="45F292C4" w14:textId="25ED8746" w:rsidR="00441D3E" w:rsidRDefault="00441D3E">
      <w:pPr>
        <w:pStyle w:val="FootnoteText"/>
      </w:pPr>
      <w:r>
        <w:rPr>
          <w:rStyle w:val="FootnoteReference"/>
        </w:rPr>
        <w:footnoteRef/>
      </w:r>
      <w:r>
        <w:t xml:space="preserve"> P101</w:t>
      </w:r>
    </w:p>
  </w:footnote>
  <w:footnote w:id="30">
    <w:p w14:paraId="3E57F981" w14:textId="02A95F56" w:rsidR="00C117BF" w:rsidRDefault="00C117BF">
      <w:pPr>
        <w:pStyle w:val="FootnoteText"/>
      </w:pPr>
      <w:r>
        <w:rPr>
          <w:rStyle w:val="FootnoteReference"/>
        </w:rPr>
        <w:footnoteRef/>
      </w:r>
      <w:r>
        <w:t xml:space="preserve"> </w:t>
      </w:r>
      <w:r w:rsidR="00F87653">
        <w:t xml:space="preserve">Cottingham </w:t>
      </w:r>
      <w:r>
        <w:t>P21</w:t>
      </w:r>
    </w:p>
  </w:footnote>
  <w:footnote w:id="31">
    <w:p w14:paraId="67AB38B2" w14:textId="202C79E4" w:rsidR="003514A1" w:rsidRDefault="003514A1">
      <w:pPr>
        <w:pStyle w:val="FootnoteText"/>
      </w:pPr>
      <w:r>
        <w:rPr>
          <w:rStyle w:val="FootnoteReference"/>
        </w:rPr>
        <w:footnoteRef/>
      </w:r>
      <w:r>
        <w:t xml:space="preserve"> P21-25</w:t>
      </w:r>
    </w:p>
  </w:footnote>
  <w:footnote w:id="32">
    <w:p w14:paraId="2B5D1366" w14:textId="3F01D984" w:rsidR="007E76C1" w:rsidRDefault="007E76C1">
      <w:pPr>
        <w:pStyle w:val="FootnoteText"/>
      </w:pPr>
      <w:r>
        <w:rPr>
          <w:rStyle w:val="FootnoteReference"/>
        </w:rPr>
        <w:footnoteRef/>
      </w:r>
      <w:r>
        <w:t xml:space="preserve">Amelie </w:t>
      </w:r>
      <w:proofErr w:type="spellStart"/>
      <w:r>
        <w:t>Oksenberg</w:t>
      </w:r>
      <w:proofErr w:type="spellEnd"/>
      <w:r>
        <w:t xml:space="preserve"> Rorty (Ed) </w:t>
      </w:r>
      <w:r w:rsidRPr="00B5579E">
        <w:rPr>
          <w:i/>
          <w:iCs/>
        </w:rPr>
        <w:t>Essays on Descartes’ Meditations</w:t>
      </w:r>
      <w:r>
        <w:t xml:space="preserve"> (</w:t>
      </w:r>
      <w:r w:rsidR="00B5579E">
        <w:t>University of California Press, 1984) p119</w:t>
      </w:r>
      <w:r>
        <w:t xml:space="preserve"> </w:t>
      </w:r>
    </w:p>
  </w:footnote>
  <w:footnote w:id="33">
    <w:p w14:paraId="76AB3442" w14:textId="2586BC10" w:rsidR="00FA4733" w:rsidRDefault="00FA4733">
      <w:pPr>
        <w:pStyle w:val="FootnoteText"/>
      </w:pPr>
      <w:r>
        <w:rPr>
          <w:rStyle w:val="FootnoteReference"/>
        </w:rPr>
        <w:footnoteRef/>
      </w:r>
      <w:r>
        <w:t xml:space="preserve"> ibid</w:t>
      </w:r>
    </w:p>
  </w:footnote>
  <w:footnote w:id="34">
    <w:p w14:paraId="596610BA" w14:textId="018F1BEE" w:rsidR="00D83AC0" w:rsidRDefault="00D83AC0">
      <w:pPr>
        <w:pStyle w:val="FootnoteText"/>
      </w:pPr>
      <w:r>
        <w:rPr>
          <w:rStyle w:val="FootnoteReference"/>
        </w:rPr>
        <w:footnoteRef/>
      </w:r>
      <w:r>
        <w:t xml:space="preserve"> Cottingham p22</w:t>
      </w:r>
    </w:p>
  </w:footnote>
  <w:footnote w:id="35">
    <w:p w14:paraId="5BD344DA" w14:textId="75E42D22" w:rsidR="00115351" w:rsidRDefault="00115351">
      <w:pPr>
        <w:pStyle w:val="FootnoteText"/>
      </w:pPr>
      <w:r>
        <w:rPr>
          <w:rStyle w:val="FootnoteReference"/>
        </w:rPr>
        <w:footnoteRef/>
      </w:r>
      <w:r>
        <w:t xml:space="preserve"> P23</w:t>
      </w:r>
    </w:p>
  </w:footnote>
  <w:footnote w:id="36">
    <w:p w14:paraId="07CC8360" w14:textId="679670C5" w:rsidR="00295895" w:rsidRDefault="00295895">
      <w:pPr>
        <w:pStyle w:val="FootnoteText"/>
      </w:pPr>
      <w:r>
        <w:rPr>
          <w:rStyle w:val="FootnoteReference"/>
        </w:rPr>
        <w:footnoteRef/>
      </w:r>
      <w:r>
        <w:t xml:space="preserve"> Rorty p128</w:t>
      </w:r>
    </w:p>
  </w:footnote>
  <w:footnote w:id="37">
    <w:p w14:paraId="48F013CF" w14:textId="3F73AB21" w:rsidR="00161293" w:rsidRDefault="00161293">
      <w:pPr>
        <w:pStyle w:val="FootnoteText"/>
      </w:pPr>
      <w:r>
        <w:rPr>
          <w:rStyle w:val="FootnoteReference"/>
        </w:rPr>
        <w:footnoteRef/>
      </w:r>
      <w:r>
        <w:t xml:space="preserve"> Ibid </w:t>
      </w:r>
    </w:p>
  </w:footnote>
  <w:footnote w:id="38">
    <w:p w14:paraId="74B6D444" w14:textId="0D4ADC1B" w:rsidR="00366B46" w:rsidRDefault="00366B46">
      <w:pPr>
        <w:pStyle w:val="FootnoteText"/>
      </w:pPr>
      <w:r>
        <w:rPr>
          <w:rStyle w:val="FootnoteReference"/>
        </w:rPr>
        <w:footnoteRef/>
      </w:r>
      <w:r>
        <w:t xml:space="preserve"> Cunningham p23</w:t>
      </w:r>
    </w:p>
  </w:footnote>
  <w:footnote w:id="39">
    <w:p w14:paraId="29A3F6B6" w14:textId="084C1640" w:rsidR="007916BD" w:rsidRDefault="007916BD" w:rsidP="000B64A7">
      <w:pPr>
        <w:spacing w:after="90"/>
        <w:jc w:val="both"/>
      </w:pPr>
      <w:r>
        <w:rPr>
          <w:rStyle w:val="FootnoteReference"/>
        </w:rPr>
        <w:footnoteRef/>
      </w:r>
      <w:r>
        <w:t xml:space="preserve"> </w:t>
      </w:r>
      <w:r w:rsidRPr="005C3A3D">
        <w:t xml:space="preserve">Hilary Putnam, </w:t>
      </w:r>
      <w:r w:rsidRPr="005C3A3D">
        <w:rPr>
          <w:i/>
        </w:rPr>
        <w:t xml:space="preserve">Reason, </w:t>
      </w:r>
      <w:proofErr w:type="gramStart"/>
      <w:r w:rsidRPr="005C3A3D">
        <w:rPr>
          <w:i/>
        </w:rPr>
        <w:t>Truth</w:t>
      </w:r>
      <w:proofErr w:type="gramEnd"/>
      <w:r w:rsidRPr="005C3A3D">
        <w:rPr>
          <w:i/>
        </w:rPr>
        <w:t xml:space="preserve"> and History</w:t>
      </w:r>
      <w:r w:rsidRPr="005C3A3D">
        <w:t xml:space="preserve">, </w:t>
      </w:r>
      <w:r>
        <w:t>(</w:t>
      </w:r>
      <w:r w:rsidRPr="005C3A3D">
        <w:t>Cambridge University Press 1981</w:t>
      </w:r>
      <w:r>
        <w:t>)</w:t>
      </w:r>
      <w:r w:rsidRPr="005C3A3D">
        <w:t xml:space="preserve"> pp. 5-6</w:t>
      </w:r>
    </w:p>
  </w:footnote>
  <w:footnote w:id="40">
    <w:p w14:paraId="29229B05" w14:textId="61B07DA8" w:rsidR="000B64A7" w:rsidRDefault="000B64A7">
      <w:pPr>
        <w:pStyle w:val="FootnoteText"/>
      </w:pPr>
      <w:r>
        <w:rPr>
          <w:rStyle w:val="FootnoteReference"/>
        </w:rPr>
        <w:footnoteRef/>
      </w:r>
      <w:r w:rsidR="00590909">
        <w:t>Cottingham</w:t>
      </w:r>
      <w:r>
        <w:t xml:space="preserve"> P24</w:t>
      </w:r>
    </w:p>
  </w:footnote>
  <w:footnote w:id="41">
    <w:p w14:paraId="65CDE1B9" w14:textId="68D84771" w:rsidR="00D73CD0" w:rsidRDefault="00D73CD0">
      <w:pPr>
        <w:pStyle w:val="FootnoteText"/>
      </w:pPr>
      <w:r>
        <w:rPr>
          <w:rStyle w:val="FootnoteReference"/>
        </w:rPr>
        <w:footnoteRef/>
      </w:r>
      <w:r>
        <w:t xml:space="preserve"> P25</w:t>
      </w:r>
    </w:p>
  </w:footnote>
  <w:footnote w:id="42">
    <w:p w14:paraId="61E5B08B" w14:textId="25CF0B9E" w:rsidR="004E0277" w:rsidRDefault="004E0277">
      <w:pPr>
        <w:pStyle w:val="FootnoteText"/>
      </w:pPr>
      <w:r>
        <w:rPr>
          <w:rStyle w:val="FootnoteReference"/>
        </w:rPr>
        <w:footnoteRef/>
      </w:r>
      <w:r>
        <w:t xml:space="preserve"> ibid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8DA"/>
    <w:rsid w:val="00005AAB"/>
    <w:rsid w:val="00011122"/>
    <w:rsid w:val="00012383"/>
    <w:rsid w:val="00016CC0"/>
    <w:rsid w:val="00063DC1"/>
    <w:rsid w:val="00063E26"/>
    <w:rsid w:val="00084237"/>
    <w:rsid w:val="000941D7"/>
    <w:rsid w:val="000B64A7"/>
    <w:rsid w:val="000E0E41"/>
    <w:rsid w:val="000E4980"/>
    <w:rsid w:val="000F6AA8"/>
    <w:rsid w:val="00103570"/>
    <w:rsid w:val="00115351"/>
    <w:rsid w:val="001302B1"/>
    <w:rsid w:val="00161293"/>
    <w:rsid w:val="00187581"/>
    <w:rsid w:val="001A08A7"/>
    <w:rsid w:val="001A2169"/>
    <w:rsid w:val="001C2C04"/>
    <w:rsid w:val="001C3AD4"/>
    <w:rsid w:val="001D7CE2"/>
    <w:rsid w:val="001E180C"/>
    <w:rsid w:val="001E316B"/>
    <w:rsid w:val="001E40C5"/>
    <w:rsid w:val="002214FE"/>
    <w:rsid w:val="00224F09"/>
    <w:rsid w:val="00242252"/>
    <w:rsid w:val="00256428"/>
    <w:rsid w:val="002604E5"/>
    <w:rsid w:val="00261747"/>
    <w:rsid w:val="002641D3"/>
    <w:rsid w:val="00277012"/>
    <w:rsid w:val="002816BC"/>
    <w:rsid w:val="00295895"/>
    <w:rsid w:val="002C2956"/>
    <w:rsid w:val="002C7FE4"/>
    <w:rsid w:val="002F5507"/>
    <w:rsid w:val="003003AB"/>
    <w:rsid w:val="00303F74"/>
    <w:rsid w:val="00327AD1"/>
    <w:rsid w:val="00331C87"/>
    <w:rsid w:val="00331CDC"/>
    <w:rsid w:val="003514A1"/>
    <w:rsid w:val="00351893"/>
    <w:rsid w:val="00366B46"/>
    <w:rsid w:val="003A4023"/>
    <w:rsid w:val="003A5846"/>
    <w:rsid w:val="003C4BF1"/>
    <w:rsid w:val="003C4C03"/>
    <w:rsid w:val="003C709B"/>
    <w:rsid w:val="00422FE8"/>
    <w:rsid w:val="00430CC7"/>
    <w:rsid w:val="00441D3E"/>
    <w:rsid w:val="00446EA4"/>
    <w:rsid w:val="00461432"/>
    <w:rsid w:val="00486292"/>
    <w:rsid w:val="00497D42"/>
    <w:rsid w:val="004A4997"/>
    <w:rsid w:val="004B1DF5"/>
    <w:rsid w:val="004B579A"/>
    <w:rsid w:val="004C2758"/>
    <w:rsid w:val="004E0277"/>
    <w:rsid w:val="004E258F"/>
    <w:rsid w:val="004E626C"/>
    <w:rsid w:val="004F60F0"/>
    <w:rsid w:val="00506E58"/>
    <w:rsid w:val="0050792C"/>
    <w:rsid w:val="00520DFD"/>
    <w:rsid w:val="00531010"/>
    <w:rsid w:val="00532361"/>
    <w:rsid w:val="00536DB2"/>
    <w:rsid w:val="00542B2E"/>
    <w:rsid w:val="0054352A"/>
    <w:rsid w:val="00554C90"/>
    <w:rsid w:val="00575359"/>
    <w:rsid w:val="005810AA"/>
    <w:rsid w:val="00587279"/>
    <w:rsid w:val="00590909"/>
    <w:rsid w:val="005955CF"/>
    <w:rsid w:val="005B006B"/>
    <w:rsid w:val="005B4F90"/>
    <w:rsid w:val="005C32C6"/>
    <w:rsid w:val="005C59D6"/>
    <w:rsid w:val="005C6FDF"/>
    <w:rsid w:val="005E1711"/>
    <w:rsid w:val="005E1F02"/>
    <w:rsid w:val="006060FD"/>
    <w:rsid w:val="006217BA"/>
    <w:rsid w:val="00626297"/>
    <w:rsid w:val="00630D6A"/>
    <w:rsid w:val="00636586"/>
    <w:rsid w:val="006855D3"/>
    <w:rsid w:val="006A0C45"/>
    <w:rsid w:val="006A7044"/>
    <w:rsid w:val="006C1E06"/>
    <w:rsid w:val="006C38DA"/>
    <w:rsid w:val="006D10AE"/>
    <w:rsid w:val="006D7CA7"/>
    <w:rsid w:val="00735772"/>
    <w:rsid w:val="0074068D"/>
    <w:rsid w:val="007477F4"/>
    <w:rsid w:val="007512F2"/>
    <w:rsid w:val="007563AC"/>
    <w:rsid w:val="00757F3F"/>
    <w:rsid w:val="007641FD"/>
    <w:rsid w:val="00772325"/>
    <w:rsid w:val="00775A24"/>
    <w:rsid w:val="00783FB2"/>
    <w:rsid w:val="007916BD"/>
    <w:rsid w:val="0079219C"/>
    <w:rsid w:val="0079371D"/>
    <w:rsid w:val="007A12CF"/>
    <w:rsid w:val="007A1518"/>
    <w:rsid w:val="007B54BC"/>
    <w:rsid w:val="007C0B61"/>
    <w:rsid w:val="007E76C1"/>
    <w:rsid w:val="00803B47"/>
    <w:rsid w:val="00812439"/>
    <w:rsid w:val="00821716"/>
    <w:rsid w:val="00824334"/>
    <w:rsid w:val="00834280"/>
    <w:rsid w:val="008353B4"/>
    <w:rsid w:val="00835F76"/>
    <w:rsid w:val="0084666C"/>
    <w:rsid w:val="00854C99"/>
    <w:rsid w:val="00871518"/>
    <w:rsid w:val="008736FA"/>
    <w:rsid w:val="00880670"/>
    <w:rsid w:val="008820E5"/>
    <w:rsid w:val="008C7770"/>
    <w:rsid w:val="008E7300"/>
    <w:rsid w:val="008F0620"/>
    <w:rsid w:val="008F5ACD"/>
    <w:rsid w:val="00900854"/>
    <w:rsid w:val="009135E8"/>
    <w:rsid w:val="009152D3"/>
    <w:rsid w:val="00932373"/>
    <w:rsid w:val="00935746"/>
    <w:rsid w:val="00935E49"/>
    <w:rsid w:val="0093635A"/>
    <w:rsid w:val="00937B6F"/>
    <w:rsid w:val="0094133E"/>
    <w:rsid w:val="00946A3F"/>
    <w:rsid w:val="00964072"/>
    <w:rsid w:val="00976A7E"/>
    <w:rsid w:val="0098244C"/>
    <w:rsid w:val="009A2115"/>
    <w:rsid w:val="009A27E7"/>
    <w:rsid w:val="009B01E8"/>
    <w:rsid w:val="009B68BC"/>
    <w:rsid w:val="009C26D5"/>
    <w:rsid w:val="009E4EF5"/>
    <w:rsid w:val="00A17646"/>
    <w:rsid w:val="00A511B5"/>
    <w:rsid w:val="00A520FC"/>
    <w:rsid w:val="00A8379A"/>
    <w:rsid w:val="00A8753A"/>
    <w:rsid w:val="00AA3D3D"/>
    <w:rsid w:val="00AC6C7A"/>
    <w:rsid w:val="00AD34A4"/>
    <w:rsid w:val="00AE0A53"/>
    <w:rsid w:val="00B044A4"/>
    <w:rsid w:val="00B133C9"/>
    <w:rsid w:val="00B15B73"/>
    <w:rsid w:val="00B166BD"/>
    <w:rsid w:val="00B35A41"/>
    <w:rsid w:val="00B53C88"/>
    <w:rsid w:val="00B5579E"/>
    <w:rsid w:val="00B626EC"/>
    <w:rsid w:val="00BA020E"/>
    <w:rsid w:val="00BA21F4"/>
    <w:rsid w:val="00BA7DF5"/>
    <w:rsid w:val="00BC0808"/>
    <w:rsid w:val="00C02DE5"/>
    <w:rsid w:val="00C10419"/>
    <w:rsid w:val="00C117BF"/>
    <w:rsid w:val="00C201F3"/>
    <w:rsid w:val="00C25A81"/>
    <w:rsid w:val="00C30814"/>
    <w:rsid w:val="00C42780"/>
    <w:rsid w:val="00C50321"/>
    <w:rsid w:val="00C70825"/>
    <w:rsid w:val="00C83F38"/>
    <w:rsid w:val="00C942A6"/>
    <w:rsid w:val="00CA0F48"/>
    <w:rsid w:val="00CA58C5"/>
    <w:rsid w:val="00CB0708"/>
    <w:rsid w:val="00CE24E4"/>
    <w:rsid w:val="00D007BB"/>
    <w:rsid w:val="00D12784"/>
    <w:rsid w:val="00D14544"/>
    <w:rsid w:val="00D36D7A"/>
    <w:rsid w:val="00D51F1A"/>
    <w:rsid w:val="00D534B1"/>
    <w:rsid w:val="00D612E1"/>
    <w:rsid w:val="00D64025"/>
    <w:rsid w:val="00D73CD0"/>
    <w:rsid w:val="00D83AC0"/>
    <w:rsid w:val="00D94D62"/>
    <w:rsid w:val="00D96929"/>
    <w:rsid w:val="00DB03B4"/>
    <w:rsid w:val="00DB23BD"/>
    <w:rsid w:val="00DB3D25"/>
    <w:rsid w:val="00DC624F"/>
    <w:rsid w:val="00DF36E8"/>
    <w:rsid w:val="00E15D7A"/>
    <w:rsid w:val="00E4101E"/>
    <w:rsid w:val="00E41F6D"/>
    <w:rsid w:val="00E47749"/>
    <w:rsid w:val="00E53653"/>
    <w:rsid w:val="00E76536"/>
    <w:rsid w:val="00E83421"/>
    <w:rsid w:val="00E92911"/>
    <w:rsid w:val="00EB485D"/>
    <w:rsid w:val="00EB6C7D"/>
    <w:rsid w:val="00EC5DD0"/>
    <w:rsid w:val="00EC7A12"/>
    <w:rsid w:val="00F049D5"/>
    <w:rsid w:val="00F13ABD"/>
    <w:rsid w:val="00F1692A"/>
    <w:rsid w:val="00F402DB"/>
    <w:rsid w:val="00F61BAD"/>
    <w:rsid w:val="00F72F50"/>
    <w:rsid w:val="00F81132"/>
    <w:rsid w:val="00F87653"/>
    <w:rsid w:val="00F95781"/>
    <w:rsid w:val="00F971DC"/>
    <w:rsid w:val="00FA4733"/>
    <w:rsid w:val="00FA6310"/>
    <w:rsid w:val="00FB1795"/>
    <w:rsid w:val="00FC4488"/>
    <w:rsid w:val="00FD752E"/>
    <w:rsid w:val="00FF30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D9F03"/>
  <w15:chartTrackingRefBased/>
  <w15:docId w15:val="{7CE3D840-3DE1-481A-AFC3-76C016675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A020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020E"/>
    <w:rPr>
      <w:sz w:val="20"/>
      <w:szCs w:val="20"/>
    </w:rPr>
  </w:style>
  <w:style w:type="character" w:styleId="FootnoteReference">
    <w:name w:val="footnote reference"/>
    <w:basedOn w:val="DefaultParagraphFont"/>
    <w:uiPriority w:val="99"/>
    <w:semiHidden/>
    <w:unhideWhenUsed/>
    <w:rsid w:val="00BA020E"/>
    <w:rPr>
      <w:vertAlign w:val="superscript"/>
    </w:rPr>
  </w:style>
  <w:style w:type="character" w:styleId="Hyperlink">
    <w:name w:val="Hyperlink"/>
    <w:basedOn w:val="DefaultParagraphFont"/>
    <w:uiPriority w:val="99"/>
    <w:unhideWhenUsed/>
    <w:rsid w:val="003C4BF1"/>
    <w:rPr>
      <w:color w:val="0563C1" w:themeColor="hyperlink"/>
      <w:u w:val="single"/>
    </w:rPr>
  </w:style>
  <w:style w:type="character" w:styleId="UnresolvedMention">
    <w:name w:val="Unresolved Mention"/>
    <w:basedOn w:val="DefaultParagraphFont"/>
    <w:uiPriority w:val="99"/>
    <w:semiHidden/>
    <w:unhideWhenUsed/>
    <w:rsid w:val="003C4B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modern-wushu.fandom.com/wiki/The_Five_Elements_(Taoism)?file=FiveElementsCycleBalanceImbalance.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5A8A2C-8E89-44DC-A6E3-4FEBFD9ADE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3896</Words>
  <Characters>22208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Wendie Kosek (1710841)</dc:creator>
  <cp:keywords/>
  <dc:description/>
  <cp:lastModifiedBy>Wendie Kosek (1710841)</cp:lastModifiedBy>
  <cp:revision>2</cp:revision>
  <dcterms:created xsi:type="dcterms:W3CDTF">2022-04-08T11:55:00Z</dcterms:created>
  <dcterms:modified xsi:type="dcterms:W3CDTF">2022-04-08T11:55:00Z</dcterms:modified>
</cp:coreProperties>
</file>