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40777505"/>
    <w:p w14:paraId="1200F2BE" w14:textId="77777777" w:rsidR="002179F7" w:rsidRPr="003D53EE" w:rsidRDefault="002179F7" w:rsidP="002179F7">
      <w:pPr>
        <w:pStyle w:val="Title"/>
      </w:pPr>
      <w:r>
        <w:fldChar w:fldCharType="begin"/>
      </w:r>
      <w:r>
        <w:instrText xml:space="preserve"> TITLE   \* MERGEFORMAT </w:instrText>
      </w:r>
      <w:r>
        <w:fldChar w:fldCharType="separate"/>
      </w:r>
      <w:r>
        <w:t xml:space="preserve"> Risk Assessment Form </w:t>
      </w:r>
      <w:r>
        <w:fldChar w:fldCharType="end"/>
      </w:r>
      <w:r w:rsidRPr="00D6286F">
        <w:rPr>
          <w:rFonts w:asciiTheme="minorHAnsi" w:hAnsiTheme="minorHAnsi" w:cstheme="minorHAnsi"/>
          <w:szCs w:val="22"/>
        </w:rPr>
        <w:t xml:space="preserve"> </w:t>
      </w:r>
    </w:p>
    <w:p w14:paraId="496D1620" w14:textId="77777777" w:rsidR="002179F7" w:rsidRDefault="002179F7" w:rsidP="002179F7">
      <w:pPr>
        <w:pStyle w:val="Heading1"/>
      </w:pPr>
      <w:r w:rsidRPr="00427341">
        <w:t>Purpose</w:t>
      </w:r>
    </w:p>
    <w:p w14:paraId="78F69ED1" w14:textId="77777777" w:rsidR="002179F7" w:rsidRDefault="002179F7" w:rsidP="002179F7">
      <w:r>
        <w:t xml:space="preserve">This form is to be used by trained Risk Assessors to record the identification and mitigation of risk(s) prior to undertaking the task being assessed. </w:t>
      </w:r>
    </w:p>
    <w:p w14:paraId="2837A5EC" w14:textId="77777777" w:rsidR="002179F7" w:rsidRPr="00B815FF" w:rsidRDefault="002179F7" w:rsidP="002179F7">
      <w:pPr>
        <w:rPr>
          <w:rFonts w:asciiTheme="minorHAnsi" w:eastAsia="Times New Roman" w:hAnsiTheme="minorHAnsi" w:cstheme="minorHAnsi"/>
          <w:bCs/>
          <w:i/>
          <w:iCs/>
          <w:vanish/>
          <w:color w:val="00B0F0"/>
          <w:szCs w:val="22"/>
        </w:rPr>
      </w:pPr>
      <w:r w:rsidRPr="00B815FF">
        <w:rPr>
          <w:rFonts w:asciiTheme="minorHAnsi" w:eastAsia="Times New Roman" w:hAnsiTheme="minorHAnsi" w:cstheme="minorHAnsi"/>
          <w:bCs/>
          <w:i/>
          <w:iCs/>
          <w:vanish/>
          <w:color w:val="00B0F0"/>
          <w:szCs w:val="22"/>
        </w:rPr>
        <w:t>This form contains guidance in</w:t>
      </w:r>
      <w:r>
        <w:rPr>
          <w:rFonts w:asciiTheme="minorHAnsi" w:eastAsia="Times New Roman" w:hAnsiTheme="minorHAnsi" w:cstheme="minorHAnsi"/>
          <w:bCs/>
          <w:i/>
          <w:iCs/>
          <w:vanish/>
          <w:color w:val="00B0F0"/>
          <w:szCs w:val="22"/>
        </w:rPr>
        <w:t xml:space="preserve"> blue</w:t>
      </w:r>
      <w:r w:rsidRPr="00B815FF">
        <w:rPr>
          <w:rFonts w:asciiTheme="minorHAnsi" w:eastAsia="Times New Roman" w:hAnsiTheme="minorHAnsi" w:cstheme="minorHAnsi"/>
          <w:bCs/>
          <w:i/>
          <w:iCs/>
          <w:vanish/>
          <w:color w:val="00B0F0"/>
          <w:szCs w:val="22"/>
        </w:rPr>
        <w:t xml:space="preserve"> “no-print notes”, which will not show when printed, or can be deleted before saving</w:t>
      </w:r>
      <w:r>
        <w:rPr>
          <w:rFonts w:asciiTheme="minorHAnsi" w:eastAsia="Times New Roman" w:hAnsiTheme="minorHAnsi" w:cstheme="minorHAnsi"/>
          <w:bCs/>
          <w:i/>
          <w:iCs/>
          <w:vanish/>
          <w:color w:val="00B0F0"/>
          <w:szCs w:val="22"/>
        </w:rPr>
        <w:t xml:space="preserve"> electronicaly</w:t>
      </w:r>
      <w:r w:rsidRPr="00B815FF">
        <w:rPr>
          <w:rFonts w:asciiTheme="minorHAnsi" w:eastAsia="Times New Roman" w:hAnsiTheme="minorHAnsi" w:cstheme="minorHAnsi"/>
          <w:bCs/>
          <w:i/>
          <w:iCs/>
          <w:vanish/>
          <w:color w:val="00B0F0"/>
          <w:szCs w:val="22"/>
        </w:rPr>
        <w:t xml:space="preserve"> after completion.</w:t>
      </w:r>
    </w:p>
    <w:tbl>
      <w:tblPr>
        <w:tblW w:w="152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3336"/>
        <w:gridCol w:w="1396"/>
        <w:gridCol w:w="1927"/>
        <w:gridCol w:w="1418"/>
        <w:gridCol w:w="1048"/>
        <w:gridCol w:w="511"/>
        <w:gridCol w:w="1334"/>
        <w:gridCol w:w="44"/>
        <w:gridCol w:w="1184"/>
        <w:gridCol w:w="1033"/>
        <w:gridCol w:w="2035"/>
      </w:tblGrid>
      <w:tr w:rsidR="002179F7" w:rsidRPr="00116E51" w14:paraId="2E583DB9" w14:textId="77777777" w:rsidTr="00622670">
        <w:trPr>
          <w:trHeight w:val="567"/>
          <w:jc w:val="center"/>
        </w:trPr>
        <w:tc>
          <w:tcPr>
            <w:tcW w:w="3336" w:type="dxa"/>
            <w:shd w:val="clear" w:color="auto" w:fill="D9D9D9" w:themeFill="background1" w:themeFillShade="D9"/>
          </w:tcPr>
          <w:p w14:paraId="79E51B15" w14:textId="77777777" w:rsidR="002179F7" w:rsidRPr="00546E9A" w:rsidRDefault="002179F7" w:rsidP="00622670">
            <w:pPr>
              <w:rPr>
                <w:rFonts w:asciiTheme="minorHAnsi" w:eastAsia="Times New Roman" w:hAnsiTheme="minorHAnsi" w:cstheme="minorHAnsi"/>
                <w:bCs/>
                <w:iCs/>
                <w:szCs w:val="22"/>
              </w:rPr>
            </w:pPr>
            <w:r w:rsidRPr="00546E9A">
              <w:rPr>
                <w:rFonts w:asciiTheme="minorHAnsi" w:eastAsia="Times New Roman" w:hAnsiTheme="minorHAnsi" w:cstheme="minorHAnsi"/>
                <w:bCs/>
                <w:iCs/>
                <w:szCs w:val="22"/>
              </w:rPr>
              <w:t>Reference Number</w:t>
            </w:r>
          </w:p>
        </w:tc>
        <w:tc>
          <w:tcPr>
            <w:tcW w:w="1396" w:type="dxa"/>
            <w:shd w:val="clear" w:color="auto" w:fill="FFFFFF" w:themeFill="background1"/>
          </w:tcPr>
          <w:p w14:paraId="654CF85A" w14:textId="77777777" w:rsidR="002179F7" w:rsidRDefault="002179F7" w:rsidP="00622670">
            <w:pPr>
              <w:rPr>
                <w:rFonts w:asciiTheme="minorHAnsi" w:eastAsia="Times New Roman" w:hAnsiTheme="minorHAnsi" w:cstheme="minorHAnsi"/>
                <w:bCs/>
                <w:iCs/>
                <w:szCs w:val="22"/>
              </w:rPr>
            </w:pPr>
            <w:r w:rsidRPr="00546E9A">
              <w:rPr>
                <w:rFonts w:asciiTheme="minorHAnsi" w:eastAsia="Times New Roman" w:hAnsiTheme="minorHAnsi" w:cstheme="minorHAnsi"/>
                <w:bCs/>
                <w:iCs/>
                <w:szCs w:val="22"/>
              </w:rPr>
              <w:t>DOC/</w:t>
            </w:r>
            <w:r>
              <w:rPr>
                <w:rFonts w:asciiTheme="minorHAnsi" w:eastAsia="Times New Roman" w:hAnsiTheme="minorHAnsi" w:cstheme="minorHAnsi"/>
                <w:bCs/>
                <w:iCs/>
                <w:szCs w:val="22"/>
              </w:rPr>
              <w:t>41702</w:t>
            </w:r>
          </w:p>
          <w:p w14:paraId="54E07B1F" w14:textId="77777777" w:rsidR="002179F7" w:rsidRPr="00546E9A" w:rsidRDefault="002179F7" w:rsidP="00622670">
            <w:pPr>
              <w:rPr>
                <w:rFonts w:asciiTheme="minorHAnsi" w:eastAsia="Times New Roman" w:hAnsiTheme="minorHAnsi" w:cstheme="minorHAnsi"/>
                <w:bCs/>
                <w:iCs/>
                <w:szCs w:val="22"/>
              </w:rPr>
            </w:pPr>
            <w:r>
              <w:rPr>
                <w:rFonts w:asciiTheme="minorHAnsi" w:eastAsia="Times New Roman" w:hAnsiTheme="minorHAnsi" w:cstheme="minorHAnsi"/>
                <w:bCs/>
                <w:iCs/>
                <w:szCs w:val="22"/>
              </w:rPr>
              <w:t>ISSUE 3.0</w:t>
            </w:r>
          </w:p>
        </w:tc>
        <w:tc>
          <w:tcPr>
            <w:tcW w:w="4393" w:type="dxa"/>
            <w:gridSpan w:val="3"/>
            <w:shd w:val="clear" w:color="auto" w:fill="D9D9D9" w:themeFill="background1" w:themeFillShade="D9"/>
          </w:tcPr>
          <w:p w14:paraId="42E039B7" w14:textId="77777777" w:rsidR="002179F7" w:rsidRPr="00546E9A" w:rsidRDefault="002179F7" w:rsidP="00622670">
            <w:pPr>
              <w:rPr>
                <w:rFonts w:asciiTheme="minorHAnsi" w:eastAsia="Times New Roman" w:hAnsiTheme="minorHAnsi" w:cstheme="minorHAnsi"/>
                <w:bCs/>
                <w:iCs/>
                <w:szCs w:val="22"/>
              </w:rPr>
            </w:pPr>
            <w:r w:rsidRPr="00546E9A">
              <w:rPr>
                <w:rFonts w:asciiTheme="minorHAnsi" w:eastAsia="Times New Roman" w:hAnsiTheme="minorHAnsi" w:cstheme="minorHAnsi"/>
                <w:bCs/>
                <w:iCs/>
                <w:szCs w:val="22"/>
              </w:rPr>
              <w:t>Risk Assessor</w:t>
            </w:r>
          </w:p>
          <w:p w14:paraId="2F12F913" w14:textId="77777777" w:rsidR="002179F7" w:rsidRPr="00546E9A" w:rsidRDefault="002179F7" w:rsidP="00622670">
            <w:pPr>
              <w:rPr>
                <w:rFonts w:asciiTheme="minorHAnsi" w:eastAsia="Times New Roman" w:hAnsiTheme="minorHAnsi" w:cstheme="minorHAnsi"/>
                <w:bCs/>
                <w:iCs/>
                <w:szCs w:val="22"/>
              </w:rPr>
            </w:pPr>
            <w:r w:rsidRPr="00546E9A">
              <w:rPr>
                <w:rFonts w:asciiTheme="minorHAnsi" w:eastAsia="Times New Roman" w:hAnsiTheme="minorHAnsi" w:cstheme="minorHAnsi"/>
                <w:bCs/>
                <w:iCs/>
                <w:szCs w:val="22"/>
              </w:rPr>
              <w:t>(</w:t>
            </w:r>
            <w:proofErr w:type="gramStart"/>
            <w:r w:rsidRPr="00546E9A">
              <w:rPr>
                <w:rFonts w:asciiTheme="minorHAnsi" w:eastAsia="Times New Roman" w:hAnsiTheme="minorHAnsi" w:cstheme="minorHAnsi"/>
                <w:bCs/>
                <w:iCs/>
                <w:szCs w:val="22"/>
              </w:rPr>
              <w:t>print</w:t>
            </w:r>
            <w:proofErr w:type="gramEnd"/>
            <w:r w:rsidRPr="00546E9A">
              <w:rPr>
                <w:rFonts w:asciiTheme="minorHAnsi" w:eastAsia="Times New Roman" w:hAnsiTheme="minorHAnsi" w:cstheme="minorHAnsi"/>
                <w:bCs/>
                <w:iCs/>
                <w:szCs w:val="22"/>
              </w:rPr>
              <w:t xml:space="preserve"> name)</w:t>
            </w:r>
          </w:p>
        </w:tc>
        <w:tc>
          <w:tcPr>
            <w:tcW w:w="1845" w:type="dxa"/>
            <w:gridSpan w:val="2"/>
            <w:shd w:val="clear" w:color="auto" w:fill="FFFFFF" w:themeFill="background1"/>
          </w:tcPr>
          <w:p w14:paraId="05EA0E58" w14:textId="77777777" w:rsidR="002179F7" w:rsidRPr="00546E9A" w:rsidRDefault="002179F7" w:rsidP="00622670">
            <w:pPr>
              <w:rPr>
                <w:rFonts w:asciiTheme="minorHAnsi" w:eastAsia="Times New Roman" w:hAnsiTheme="minorHAnsi" w:cstheme="minorHAnsi"/>
                <w:bCs/>
                <w:iCs/>
                <w:szCs w:val="22"/>
              </w:rPr>
            </w:pPr>
            <w:r>
              <w:rPr>
                <w:rFonts w:asciiTheme="minorHAnsi" w:eastAsia="Times New Roman" w:hAnsiTheme="minorHAnsi" w:cstheme="minorHAnsi"/>
                <w:bCs/>
                <w:iCs/>
                <w:szCs w:val="22"/>
              </w:rPr>
              <w:t>Joshua Ede</w:t>
            </w:r>
          </w:p>
        </w:tc>
        <w:tc>
          <w:tcPr>
            <w:tcW w:w="1228" w:type="dxa"/>
            <w:gridSpan w:val="2"/>
            <w:shd w:val="clear" w:color="auto" w:fill="D9D9D9" w:themeFill="background1" w:themeFillShade="D9"/>
          </w:tcPr>
          <w:p w14:paraId="7F350189" w14:textId="77777777" w:rsidR="002179F7" w:rsidRPr="00546E9A" w:rsidRDefault="002179F7" w:rsidP="00622670">
            <w:pPr>
              <w:rPr>
                <w:rFonts w:asciiTheme="minorHAnsi" w:eastAsia="Times New Roman" w:hAnsiTheme="minorHAnsi" w:cstheme="minorHAnsi"/>
                <w:bCs/>
                <w:iCs/>
                <w:szCs w:val="22"/>
              </w:rPr>
            </w:pPr>
            <w:r w:rsidRPr="00546E9A">
              <w:rPr>
                <w:rFonts w:asciiTheme="minorHAnsi" w:eastAsia="Times New Roman" w:hAnsiTheme="minorHAnsi" w:cstheme="minorHAnsi"/>
                <w:bCs/>
                <w:iCs/>
                <w:szCs w:val="22"/>
              </w:rPr>
              <w:t>Signature</w:t>
            </w:r>
            <w:r>
              <w:rPr>
                <w:rFonts w:asciiTheme="minorHAnsi" w:eastAsia="Times New Roman" w:hAnsiTheme="minorHAnsi" w:cstheme="minorHAnsi"/>
                <w:bCs/>
                <w:iCs/>
                <w:szCs w:val="22"/>
              </w:rPr>
              <w:t>:</w:t>
            </w:r>
          </w:p>
        </w:tc>
        <w:tc>
          <w:tcPr>
            <w:tcW w:w="3068" w:type="dxa"/>
            <w:gridSpan w:val="2"/>
            <w:shd w:val="clear" w:color="auto" w:fill="FFFFFF" w:themeFill="background1"/>
          </w:tcPr>
          <w:p w14:paraId="2F88CE1F" w14:textId="1B1ABF43" w:rsidR="002179F7" w:rsidRPr="00546E9A" w:rsidRDefault="00E272FA" w:rsidP="00622670">
            <w:pPr>
              <w:rPr>
                <w:rFonts w:asciiTheme="minorHAnsi" w:eastAsia="Times New Roman" w:hAnsiTheme="minorHAnsi" w:cstheme="minorHAnsi"/>
                <w:bCs/>
                <w:iCs/>
                <w:szCs w:val="22"/>
              </w:rPr>
            </w:pPr>
            <w:r>
              <w:rPr>
                <w:rFonts w:asciiTheme="minorHAnsi" w:eastAsia="Times New Roman" w:hAnsiTheme="minorHAnsi" w:cstheme="minorHAnsi"/>
                <w:bCs/>
                <w:iCs/>
                <w:szCs w:val="22"/>
              </w:rPr>
              <w:t>J. Ede</w:t>
            </w:r>
          </w:p>
        </w:tc>
      </w:tr>
      <w:tr w:rsidR="002179F7" w:rsidRPr="00B84567" w14:paraId="17CF75D9" w14:textId="77777777" w:rsidTr="00622670">
        <w:trPr>
          <w:trHeight w:val="567"/>
          <w:jc w:val="center"/>
        </w:trPr>
        <w:tc>
          <w:tcPr>
            <w:tcW w:w="3336" w:type="dxa"/>
            <w:shd w:val="clear" w:color="auto" w:fill="D9D9D9" w:themeFill="background1" w:themeFillShade="D9"/>
          </w:tcPr>
          <w:p w14:paraId="0A44C078" w14:textId="77777777" w:rsidR="002179F7" w:rsidRPr="00546E9A" w:rsidRDefault="002179F7" w:rsidP="00622670">
            <w:pPr>
              <w:rPr>
                <w:rFonts w:asciiTheme="minorHAnsi" w:eastAsia="Times New Roman" w:hAnsiTheme="minorHAnsi" w:cstheme="minorHAnsi"/>
                <w:bCs/>
                <w:iCs/>
                <w:szCs w:val="22"/>
              </w:rPr>
            </w:pPr>
            <w:r w:rsidRPr="00546E9A">
              <w:rPr>
                <w:rFonts w:asciiTheme="minorHAnsi" w:eastAsia="Times New Roman" w:hAnsiTheme="minorHAnsi" w:cstheme="minorHAnsi"/>
                <w:bCs/>
                <w:iCs/>
                <w:szCs w:val="22"/>
              </w:rPr>
              <w:t>Title</w:t>
            </w:r>
          </w:p>
        </w:tc>
        <w:sdt>
          <w:sdtPr>
            <w:rPr>
              <w:rFonts w:asciiTheme="minorHAnsi" w:eastAsia="Times New Roman" w:hAnsiTheme="minorHAnsi" w:cstheme="minorHAnsi"/>
              <w:b/>
              <w:iCs/>
              <w:szCs w:val="22"/>
            </w:rPr>
            <w:id w:val="136005509"/>
            <w:placeholder>
              <w:docPart w:val="4A1DBE281EBE4D5EA265AB0BDD09D80C"/>
            </w:placeholder>
          </w:sdtPr>
          <w:sdtContent>
            <w:tc>
              <w:tcPr>
                <w:tcW w:w="11930" w:type="dxa"/>
                <w:gridSpan w:val="10"/>
                <w:shd w:val="clear" w:color="auto" w:fill="FFFFFF" w:themeFill="background1"/>
              </w:tcPr>
              <w:p w14:paraId="0A988268" w14:textId="77777777" w:rsidR="002179F7" w:rsidRPr="009E08EE" w:rsidRDefault="002179F7" w:rsidP="00622670">
                <w:pPr>
                  <w:rPr>
                    <w:rFonts w:asciiTheme="minorHAnsi" w:eastAsia="Times New Roman" w:hAnsiTheme="minorHAnsi" w:cstheme="minorHAnsi"/>
                    <w:b/>
                    <w:iCs/>
                    <w:szCs w:val="22"/>
                  </w:rPr>
                </w:pPr>
                <w:r w:rsidRPr="009E08EE">
                  <w:rPr>
                    <w:rFonts w:asciiTheme="minorHAnsi" w:eastAsia="Times New Roman" w:hAnsiTheme="minorHAnsi" w:cstheme="minorHAnsi"/>
                    <w:b/>
                    <w:iCs/>
                    <w:szCs w:val="22"/>
                  </w:rPr>
                  <w:t xml:space="preserve">Replenishing </w:t>
                </w:r>
                <w:r>
                  <w:rPr>
                    <w:rFonts w:asciiTheme="minorHAnsi" w:eastAsia="Times New Roman" w:hAnsiTheme="minorHAnsi" w:cstheme="minorHAnsi"/>
                    <w:b/>
                    <w:iCs/>
                    <w:szCs w:val="22"/>
                  </w:rPr>
                  <w:t xml:space="preserve">Sea </w:t>
                </w:r>
                <w:proofErr w:type="spellStart"/>
                <w:r>
                  <w:rPr>
                    <w:rFonts w:asciiTheme="minorHAnsi" w:eastAsia="Times New Roman" w:hAnsiTheme="minorHAnsi" w:cstheme="minorHAnsi"/>
                    <w:b/>
                    <w:iCs/>
                    <w:szCs w:val="22"/>
                  </w:rPr>
                  <w:t>Ceptor</w:t>
                </w:r>
                <w:proofErr w:type="spellEnd"/>
              </w:p>
            </w:tc>
          </w:sdtContent>
        </w:sdt>
      </w:tr>
      <w:tr w:rsidR="002179F7" w:rsidRPr="00B84567" w14:paraId="4EA08ACF" w14:textId="77777777" w:rsidTr="00622670">
        <w:trPr>
          <w:trHeight w:val="872"/>
          <w:jc w:val="center"/>
        </w:trPr>
        <w:tc>
          <w:tcPr>
            <w:tcW w:w="3336" w:type="dxa"/>
            <w:shd w:val="clear" w:color="auto" w:fill="D9D9D9" w:themeFill="background1" w:themeFillShade="D9"/>
          </w:tcPr>
          <w:p w14:paraId="0CE8C3CD" w14:textId="77777777" w:rsidR="002179F7" w:rsidRPr="00546E9A" w:rsidRDefault="002179F7" w:rsidP="00622670">
            <w:pPr>
              <w:rPr>
                <w:rFonts w:asciiTheme="minorHAnsi" w:eastAsia="Times New Roman" w:hAnsiTheme="minorHAnsi" w:cstheme="minorHAnsi"/>
                <w:bCs/>
                <w:iCs/>
                <w:szCs w:val="22"/>
              </w:rPr>
            </w:pPr>
            <w:r>
              <w:rPr>
                <w:rFonts w:asciiTheme="minorHAnsi" w:eastAsia="Times New Roman" w:hAnsiTheme="minorHAnsi" w:cstheme="minorHAnsi"/>
                <w:bCs/>
                <w:iCs/>
                <w:szCs w:val="22"/>
              </w:rPr>
              <w:t>Residual Risk deemed to be below risk threshold?</w:t>
            </w:r>
          </w:p>
        </w:tc>
        <w:tc>
          <w:tcPr>
            <w:tcW w:w="1396" w:type="dxa"/>
            <w:shd w:val="clear" w:color="auto" w:fill="FFFFFF" w:themeFill="background1"/>
          </w:tcPr>
          <w:p w14:paraId="58AC4B44" w14:textId="77777777" w:rsidR="002179F7" w:rsidRPr="00D6286F" w:rsidRDefault="002179F7" w:rsidP="00622670">
            <w:pPr>
              <w:rPr>
                <w:rFonts w:asciiTheme="minorHAnsi" w:eastAsia="Times New Roman" w:hAnsiTheme="minorHAnsi" w:cstheme="minorHAnsi"/>
                <w:b/>
                <w:iCs/>
                <w:color w:val="000000" w:themeColor="text1"/>
                <w:sz w:val="32"/>
                <w:szCs w:val="32"/>
              </w:rPr>
            </w:pPr>
            <w:r w:rsidRPr="00D6286F">
              <w:rPr>
                <w:rFonts w:asciiTheme="minorHAnsi" w:eastAsia="Times New Roman" w:hAnsiTheme="minorHAnsi" w:cstheme="minorHAnsi"/>
                <w:bCs/>
                <w:iCs/>
                <w:szCs w:val="22"/>
              </w:rPr>
              <w:t>Yes</w:t>
            </w:r>
          </w:p>
        </w:tc>
        <w:tc>
          <w:tcPr>
            <w:tcW w:w="1927" w:type="dxa"/>
            <w:shd w:val="clear" w:color="auto" w:fill="D9D9D9" w:themeFill="background1" w:themeFillShade="D9"/>
          </w:tcPr>
          <w:p w14:paraId="64D04798" w14:textId="77777777" w:rsidR="002179F7" w:rsidRPr="00546E9A" w:rsidRDefault="002179F7" w:rsidP="00622670">
            <w:pPr>
              <w:rPr>
                <w:rFonts w:asciiTheme="minorHAnsi" w:eastAsia="Times New Roman" w:hAnsiTheme="minorHAnsi" w:cstheme="minorHAnsi"/>
                <w:bCs/>
                <w:iCs/>
                <w:szCs w:val="22"/>
              </w:rPr>
            </w:pPr>
            <w:r>
              <w:rPr>
                <w:rFonts w:asciiTheme="minorHAnsi" w:eastAsia="Times New Roman" w:hAnsiTheme="minorHAnsi" w:cstheme="minorHAnsi"/>
                <w:bCs/>
                <w:iCs/>
                <w:szCs w:val="22"/>
              </w:rPr>
              <w:t>Date of Issue:</w:t>
            </w:r>
          </w:p>
        </w:tc>
        <w:tc>
          <w:tcPr>
            <w:tcW w:w="1418" w:type="dxa"/>
            <w:shd w:val="clear" w:color="auto" w:fill="FFFFFF" w:themeFill="background1"/>
          </w:tcPr>
          <w:p w14:paraId="25576E88" w14:textId="77777777" w:rsidR="002179F7" w:rsidRPr="00546E9A" w:rsidRDefault="002179F7" w:rsidP="00622670">
            <w:pPr>
              <w:rPr>
                <w:rFonts w:asciiTheme="minorHAnsi" w:eastAsia="Times New Roman" w:hAnsiTheme="minorHAnsi" w:cstheme="minorHAnsi"/>
                <w:bCs/>
                <w:iCs/>
                <w:szCs w:val="22"/>
              </w:rPr>
            </w:pPr>
            <w:r>
              <w:rPr>
                <w:rFonts w:asciiTheme="minorHAnsi" w:eastAsia="Times New Roman" w:hAnsiTheme="minorHAnsi" w:cstheme="minorHAnsi"/>
                <w:bCs/>
                <w:iCs/>
                <w:szCs w:val="22"/>
              </w:rPr>
              <w:t>21/07/2023</w:t>
            </w:r>
          </w:p>
        </w:tc>
        <w:tc>
          <w:tcPr>
            <w:tcW w:w="1559" w:type="dxa"/>
            <w:gridSpan w:val="2"/>
            <w:shd w:val="clear" w:color="auto" w:fill="D9D9D9" w:themeFill="background1" w:themeFillShade="D9"/>
          </w:tcPr>
          <w:p w14:paraId="263828DB" w14:textId="77777777" w:rsidR="002179F7" w:rsidRPr="00546E9A" w:rsidRDefault="002179F7" w:rsidP="00622670">
            <w:pPr>
              <w:rPr>
                <w:rFonts w:asciiTheme="minorHAnsi" w:eastAsia="Times New Roman" w:hAnsiTheme="minorHAnsi" w:cstheme="minorHAnsi"/>
                <w:bCs/>
                <w:iCs/>
                <w:szCs w:val="22"/>
              </w:rPr>
            </w:pPr>
            <w:r>
              <w:rPr>
                <w:rFonts w:asciiTheme="minorHAnsi" w:eastAsia="Times New Roman" w:hAnsiTheme="minorHAnsi" w:cstheme="minorHAnsi"/>
                <w:bCs/>
                <w:iCs/>
                <w:szCs w:val="22"/>
              </w:rPr>
              <w:t>Review Date:</w:t>
            </w:r>
          </w:p>
        </w:tc>
        <w:tc>
          <w:tcPr>
            <w:tcW w:w="1378" w:type="dxa"/>
            <w:gridSpan w:val="2"/>
            <w:shd w:val="clear" w:color="auto" w:fill="FFFFFF" w:themeFill="background1"/>
          </w:tcPr>
          <w:p w14:paraId="53841E0B" w14:textId="77777777" w:rsidR="002179F7" w:rsidRPr="00546E9A" w:rsidRDefault="002179F7" w:rsidP="00622670">
            <w:pPr>
              <w:rPr>
                <w:rFonts w:asciiTheme="minorHAnsi" w:eastAsia="Times New Roman" w:hAnsiTheme="minorHAnsi" w:cstheme="minorHAnsi"/>
                <w:bCs/>
                <w:iCs/>
                <w:szCs w:val="22"/>
              </w:rPr>
            </w:pPr>
            <w:r>
              <w:rPr>
                <w:rFonts w:asciiTheme="minorHAnsi" w:eastAsia="Times New Roman" w:hAnsiTheme="minorHAnsi" w:cstheme="minorHAnsi"/>
                <w:bCs/>
                <w:iCs/>
                <w:szCs w:val="22"/>
              </w:rPr>
              <w:t>21/06/2024</w:t>
            </w:r>
          </w:p>
        </w:tc>
        <w:tc>
          <w:tcPr>
            <w:tcW w:w="2217" w:type="dxa"/>
            <w:gridSpan w:val="2"/>
            <w:shd w:val="clear" w:color="auto" w:fill="D9D9D9" w:themeFill="background1" w:themeFillShade="D9"/>
          </w:tcPr>
          <w:p w14:paraId="0E816696" w14:textId="77777777" w:rsidR="002179F7" w:rsidRDefault="002179F7" w:rsidP="00622670">
            <w:pPr>
              <w:rPr>
                <w:rFonts w:asciiTheme="minorHAnsi" w:eastAsia="Times New Roman" w:hAnsiTheme="minorHAnsi" w:cstheme="minorHAnsi"/>
                <w:bCs/>
                <w:iCs/>
                <w:szCs w:val="22"/>
              </w:rPr>
            </w:pPr>
            <w:r>
              <w:rPr>
                <w:rFonts w:asciiTheme="minorHAnsi" w:eastAsia="Times New Roman" w:hAnsiTheme="minorHAnsi" w:cstheme="minorHAnsi"/>
                <w:bCs/>
                <w:iCs/>
                <w:szCs w:val="22"/>
              </w:rPr>
              <w:t>Location:</w:t>
            </w:r>
          </w:p>
          <w:p w14:paraId="15495320" w14:textId="77777777" w:rsidR="002179F7" w:rsidRDefault="002179F7" w:rsidP="00622670">
            <w:pPr>
              <w:rPr>
                <w:rFonts w:asciiTheme="minorHAnsi" w:eastAsia="Times New Roman" w:hAnsiTheme="minorHAnsi" w:cstheme="minorHAnsi"/>
                <w:bCs/>
                <w:iCs/>
                <w:szCs w:val="22"/>
              </w:rPr>
            </w:pPr>
            <w:r>
              <w:rPr>
                <w:rFonts w:asciiTheme="minorHAnsi" w:eastAsia="Times New Roman" w:hAnsiTheme="minorHAnsi" w:cstheme="minorHAnsi"/>
                <w:bCs/>
                <w:iCs/>
                <w:szCs w:val="22"/>
              </w:rPr>
              <w:t>Site, Building, etc.</w:t>
            </w:r>
          </w:p>
        </w:tc>
        <w:tc>
          <w:tcPr>
            <w:tcW w:w="2035" w:type="dxa"/>
            <w:shd w:val="clear" w:color="auto" w:fill="FFFFFF" w:themeFill="background1"/>
          </w:tcPr>
          <w:p w14:paraId="3906A2CE" w14:textId="77777777" w:rsidR="002179F7" w:rsidRPr="009E08EE" w:rsidRDefault="002179F7" w:rsidP="00622670">
            <w:pPr>
              <w:rPr>
                <w:rFonts w:asciiTheme="minorHAnsi" w:eastAsia="Times New Roman" w:hAnsiTheme="minorHAnsi" w:cstheme="minorHAnsi"/>
                <w:bCs/>
                <w:iCs/>
                <w:szCs w:val="22"/>
              </w:rPr>
            </w:pPr>
            <w:r w:rsidRPr="009E08EE">
              <w:rPr>
                <w:rFonts w:asciiTheme="minorHAnsi" w:eastAsia="Times New Roman" w:hAnsiTheme="minorHAnsi" w:cstheme="minorHAnsi"/>
                <w:bCs/>
                <w:iCs/>
                <w:szCs w:val="22"/>
              </w:rPr>
              <w:t>Royal Navy Dockyard (Portsmouth) – Type 23 Frigate</w:t>
            </w:r>
          </w:p>
        </w:tc>
      </w:tr>
      <w:tr w:rsidR="002179F7" w:rsidRPr="00B84567" w14:paraId="7AFE19F7" w14:textId="77777777" w:rsidTr="00622670">
        <w:trPr>
          <w:trHeight w:val="2670"/>
          <w:jc w:val="center"/>
        </w:trPr>
        <w:tc>
          <w:tcPr>
            <w:tcW w:w="3336" w:type="dxa"/>
            <w:shd w:val="clear" w:color="auto" w:fill="D9D9D9" w:themeFill="background1" w:themeFillShade="D9"/>
          </w:tcPr>
          <w:p w14:paraId="7FF9F618" w14:textId="77777777" w:rsidR="002179F7" w:rsidRPr="00B84567" w:rsidRDefault="002179F7" w:rsidP="00622670">
            <w:pPr>
              <w:rPr>
                <w:rFonts w:eastAsia="Times New Roman"/>
                <w:bCs/>
                <w:iCs/>
                <w:sz w:val="20"/>
                <w:szCs w:val="20"/>
              </w:rPr>
            </w:pPr>
            <w:r w:rsidRPr="00546E9A">
              <w:rPr>
                <w:rStyle w:val="Strong"/>
              </w:rPr>
              <w:t>Brief</w:t>
            </w:r>
            <w:r>
              <w:rPr>
                <w:rFonts w:eastAsia="Times New Roman"/>
                <w:bCs/>
                <w:iCs/>
                <w:sz w:val="20"/>
                <w:szCs w:val="20"/>
              </w:rPr>
              <w:t xml:space="preserve"> </w:t>
            </w:r>
            <w:r w:rsidRPr="00546E9A">
              <w:t>Description of Task (include sufficient details to make the scope of the RA clear)</w:t>
            </w:r>
          </w:p>
        </w:tc>
        <w:tc>
          <w:tcPr>
            <w:tcW w:w="11930" w:type="dxa"/>
            <w:gridSpan w:val="10"/>
          </w:tcPr>
          <w:sdt>
            <w:sdtPr>
              <w:rPr>
                <w:rFonts w:eastAsia="Times New Roman"/>
                <w:bCs/>
                <w:iCs/>
                <w:sz w:val="20"/>
                <w:szCs w:val="20"/>
              </w:rPr>
              <w:id w:val="-287202178"/>
              <w:placeholder>
                <w:docPart w:val="A2124F94512D4C62AB4C994ED1B0EFA4"/>
              </w:placeholder>
            </w:sdtPr>
            <w:sdtContent>
              <w:p w14:paraId="33630130" w14:textId="74578F34" w:rsidR="002179F7" w:rsidRDefault="002179F7" w:rsidP="00622670">
                <w:pPr>
                  <w:rPr>
                    <w:rFonts w:eastAsia="Times New Roman"/>
                    <w:bCs/>
                    <w:iCs/>
                    <w:sz w:val="20"/>
                    <w:szCs w:val="20"/>
                  </w:rPr>
                </w:pPr>
                <w:r>
                  <w:rPr>
                    <w:rFonts w:eastAsia="Times New Roman"/>
                    <w:bCs/>
                    <w:iCs/>
                    <w:sz w:val="20"/>
                    <w:szCs w:val="20"/>
                  </w:rPr>
                  <w:t xml:space="preserve">This risk assessment covers the procedure for replenishing Sea </w:t>
                </w:r>
                <w:proofErr w:type="spellStart"/>
                <w:r>
                  <w:rPr>
                    <w:rFonts w:eastAsia="Times New Roman"/>
                    <w:bCs/>
                    <w:iCs/>
                    <w:sz w:val="20"/>
                    <w:szCs w:val="20"/>
                  </w:rPr>
                  <w:t>Ceptor</w:t>
                </w:r>
                <w:proofErr w:type="spellEnd"/>
                <w:r>
                  <w:rPr>
                    <w:rFonts w:eastAsia="Times New Roman"/>
                    <w:bCs/>
                    <w:iCs/>
                    <w:sz w:val="20"/>
                    <w:szCs w:val="20"/>
                  </w:rPr>
                  <w:t xml:space="preserve"> ship borne missile system on board a Type 23 Frigate, whilst docked. The scope of the risk assessment is from the dock movement of the missile cannister from a designated area by crane to on- board installation. It does not cover the transport of the missile to the designated area or to the dock itself, this risk assessment is therefore to be read in conjunction with the </w:t>
                </w:r>
                <w:hyperlink r:id="rId12" w:history="1">
                  <w:r w:rsidRPr="0011138E">
                    <w:rPr>
                      <w:rStyle w:val="Hyperlink"/>
                      <w:rFonts w:eastAsia="Times New Roman"/>
                      <w:bCs/>
                      <w:iCs/>
                      <w:sz w:val="20"/>
                      <w:szCs w:val="20"/>
                    </w:rPr>
                    <w:t>ADR</w:t>
                  </w:r>
                </w:hyperlink>
                <w:r>
                  <w:rPr>
                    <w:rFonts w:eastAsia="Times New Roman"/>
                    <w:bCs/>
                    <w:iCs/>
                    <w:sz w:val="20"/>
                    <w:szCs w:val="20"/>
                  </w:rPr>
                  <w:t xml:space="preserve"> </w:t>
                </w:r>
                <w:sdt>
                  <w:sdtPr>
                    <w:rPr>
                      <w:rFonts w:eastAsia="Times New Roman"/>
                      <w:bCs/>
                      <w:iCs/>
                      <w:sz w:val="20"/>
                      <w:szCs w:val="20"/>
                    </w:rPr>
                    <w:id w:val="-303706818"/>
                    <w:citation/>
                  </w:sdtPr>
                  <w:sdtContent>
                    <w:r>
                      <w:rPr>
                        <w:rFonts w:eastAsia="Times New Roman"/>
                        <w:bCs/>
                        <w:iCs/>
                        <w:sz w:val="20"/>
                        <w:szCs w:val="20"/>
                      </w:rPr>
                      <w:fldChar w:fldCharType="begin"/>
                    </w:r>
                    <w:r>
                      <w:rPr>
                        <w:rFonts w:eastAsia="Times New Roman"/>
                        <w:bCs/>
                        <w:iCs/>
                        <w:sz w:val="20"/>
                        <w:szCs w:val="20"/>
                      </w:rPr>
                      <w:instrText xml:space="preserve"> CITATION Eco171 \l 2057 </w:instrText>
                    </w:r>
                    <w:r>
                      <w:rPr>
                        <w:rFonts w:eastAsia="Times New Roman"/>
                        <w:bCs/>
                        <w:iCs/>
                        <w:sz w:val="20"/>
                        <w:szCs w:val="20"/>
                      </w:rPr>
                      <w:fldChar w:fldCharType="separate"/>
                    </w:r>
                    <w:r w:rsidRPr="00F160C3">
                      <w:rPr>
                        <w:rFonts w:eastAsia="Times New Roman"/>
                        <w:noProof/>
                        <w:sz w:val="20"/>
                        <w:szCs w:val="20"/>
                      </w:rPr>
                      <w:t>[1]</w:t>
                    </w:r>
                    <w:r>
                      <w:rPr>
                        <w:rFonts w:eastAsia="Times New Roman"/>
                        <w:bCs/>
                        <w:iCs/>
                        <w:sz w:val="20"/>
                        <w:szCs w:val="20"/>
                      </w:rPr>
                      <w:fldChar w:fldCharType="end"/>
                    </w:r>
                  </w:sdtContent>
                </w:sdt>
                <w:r>
                  <w:rPr>
                    <w:rFonts w:eastAsia="Times New Roman"/>
                    <w:bCs/>
                    <w:iCs/>
                    <w:sz w:val="20"/>
                    <w:szCs w:val="20"/>
                  </w:rPr>
                  <w:t xml:space="preserve">for transporting dangerous goods by road, but does not provide mitigations or an assessment for this part of the process. The </w:t>
                </w:r>
                <w:hyperlink r:id="rId13" w:anchor=":~:text=The%20IMDG%20Code%20was%20developed,prevent%20pollution%20to%20the%20environment." w:history="1">
                  <w:r w:rsidRPr="00F657A3">
                    <w:rPr>
                      <w:rStyle w:val="Hyperlink"/>
                      <w:rFonts w:eastAsia="Times New Roman"/>
                      <w:bCs/>
                      <w:iCs/>
                      <w:sz w:val="20"/>
                      <w:szCs w:val="20"/>
                    </w:rPr>
                    <w:t>IMDG</w:t>
                  </w:r>
                </w:hyperlink>
                <w:r>
                  <w:rPr>
                    <w:rFonts w:eastAsia="Times New Roman"/>
                    <w:bCs/>
                    <w:iCs/>
                    <w:sz w:val="20"/>
                    <w:szCs w:val="20"/>
                  </w:rPr>
                  <w:t xml:space="preserve"> </w:t>
                </w:r>
                <w:sdt>
                  <w:sdtPr>
                    <w:rPr>
                      <w:rFonts w:eastAsia="Times New Roman"/>
                      <w:bCs/>
                      <w:iCs/>
                      <w:sz w:val="20"/>
                      <w:szCs w:val="20"/>
                    </w:rPr>
                    <w:id w:val="1710837428"/>
                    <w:citation/>
                  </w:sdtPr>
                  <w:sdtContent>
                    <w:r>
                      <w:rPr>
                        <w:rFonts w:eastAsia="Times New Roman"/>
                        <w:bCs/>
                        <w:iCs/>
                        <w:sz w:val="20"/>
                        <w:szCs w:val="20"/>
                      </w:rPr>
                      <w:fldChar w:fldCharType="begin"/>
                    </w:r>
                    <w:r>
                      <w:rPr>
                        <w:rFonts w:eastAsia="Times New Roman"/>
                        <w:bCs/>
                        <w:iCs/>
                        <w:sz w:val="20"/>
                        <w:szCs w:val="20"/>
                      </w:rPr>
                      <w:instrText xml:space="preserve"> CITATION Int19 \l 2057 </w:instrText>
                    </w:r>
                    <w:r>
                      <w:rPr>
                        <w:rFonts w:eastAsia="Times New Roman"/>
                        <w:bCs/>
                        <w:iCs/>
                        <w:sz w:val="20"/>
                        <w:szCs w:val="20"/>
                      </w:rPr>
                      <w:fldChar w:fldCharType="separate"/>
                    </w:r>
                    <w:r w:rsidRPr="00F160C3">
                      <w:rPr>
                        <w:rFonts w:eastAsia="Times New Roman"/>
                        <w:noProof/>
                        <w:sz w:val="20"/>
                        <w:szCs w:val="20"/>
                      </w:rPr>
                      <w:t>[2]</w:t>
                    </w:r>
                    <w:r>
                      <w:rPr>
                        <w:rFonts w:eastAsia="Times New Roman"/>
                        <w:bCs/>
                        <w:iCs/>
                        <w:sz w:val="20"/>
                        <w:szCs w:val="20"/>
                      </w:rPr>
                      <w:fldChar w:fldCharType="end"/>
                    </w:r>
                  </w:sdtContent>
                </w:sdt>
                <w:r>
                  <w:rPr>
                    <w:rFonts w:eastAsia="Times New Roman"/>
                    <w:bCs/>
                    <w:iCs/>
                    <w:sz w:val="20"/>
                    <w:szCs w:val="20"/>
                  </w:rPr>
                  <w:t xml:space="preserve"> shall also be consulted to ensure safe packaging, loading and unloading and all personnel shall be required to follow the </w:t>
                </w:r>
                <w:hyperlink r:id="rId14" w:history="1">
                  <w:r w:rsidRPr="00766CC0">
                    <w:rPr>
                      <w:rStyle w:val="Hyperlink"/>
                      <w:rFonts w:eastAsia="Times New Roman"/>
                      <w:bCs/>
                      <w:iCs/>
                      <w:sz w:val="20"/>
                      <w:szCs w:val="20"/>
                    </w:rPr>
                    <w:t>Dangerous Substances in the Harbour Areas Regulations 1987</w:t>
                  </w:r>
                </w:hyperlink>
                <w:r>
                  <w:rPr>
                    <w:rFonts w:eastAsia="Times New Roman"/>
                    <w:bCs/>
                    <w:iCs/>
                    <w:sz w:val="20"/>
                    <w:szCs w:val="20"/>
                  </w:rPr>
                  <w:t xml:space="preserve"> </w:t>
                </w:r>
                <w:sdt>
                  <w:sdtPr>
                    <w:rPr>
                      <w:rFonts w:eastAsia="Times New Roman"/>
                      <w:bCs/>
                      <w:iCs/>
                      <w:sz w:val="20"/>
                      <w:szCs w:val="20"/>
                    </w:rPr>
                    <w:id w:val="-1693606112"/>
                    <w:citation/>
                  </w:sdtPr>
                  <w:sdtContent>
                    <w:r>
                      <w:rPr>
                        <w:rFonts w:eastAsia="Times New Roman"/>
                        <w:bCs/>
                        <w:iCs/>
                        <w:sz w:val="20"/>
                        <w:szCs w:val="20"/>
                      </w:rPr>
                      <w:fldChar w:fldCharType="begin"/>
                    </w:r>
                    <w:r>
                      <w:rPr>
                        <w:rFonts w:eastAsia="Times New Roman"/>
                        <w:bCs/>
                        <w:iCs/>
                        <w:sz w:val="20"/>
                        <w:szCs w:val="20"/>
                      </w:rPr>
                      <w:instrText xml:space="preserve">CITATION Placeholder3 \l 2057 </w:instrText>
                    </w:r>
                    <w:r>
                      <w:rPr>
                        <w:rFonts w:eastAsia="Times New Roman"/>
                        <w:bCs/>
                        <w:iCs/>
                        <w:sz w:val="20"/>
                        <w:szCs w:val="20"/>
                      </w:rPr>
                      <w:fldChar w:fldCharType="separate"/>
                    </w:r>
                    <w:r w:rsidRPr="002179F7">
                      <w:rPr>
                        <w:rFonts w:eastAsia="Times New Roman"/>
                        <w:noProof/>
                        <w:sz w:val="20"/>
                        <w:szCs w:val="20"/>
                      </w:rPr>
                      <w:t>[3]</w:t>
                    </w:r>
                    <w:r>
                      <w:rPr>
                        <w:rFonts w:eastAsia="Times New Roman"/>
                        <w:bCs/>
                        <w:iCs/>
                        <w:sz w:val="20"/>
                        <w:szCs w:val="20"/>
                      </w:rPr>
                      <w:fldChar w:fldCharType="end"/>
                    </w:r>
                  </w:sdtContent>
                </w:sdt>
                <w:r>
                  <w:rPr>
                    <w:rFonts w:eastAsia="Times New Roman"/>
                    <w:bCs/>
                    <w:iCs/>
                    <w:sz w:val="20"/>
                    <w:szCs w:val="20"/>
                  </w:rPr>
                  <w:t xml:space="preserve"> in order to comply with existing </w:t>
                </w:r>
                <w:proofErr w:type="spellStart"/>
                <w:r>
                  <w:rPr>
                    <w:rFonts w:eastAsia="Times New Roman"/>
                    <w:bCs/>
                    <w:iCs/>
                    <w:sz w:val="20"/>
                    <w:szCs w:val="20"/>
                  </w:rPr>
                  <w:t>Uk</w:t>
                </w:r>
                <w:proofErr w:type="spellEnd"/>
                <w:r>
                  <w:rPr>
                    <w:rFonts w:eastAsia="Times New Roman"/>
                    <w:bCs/>
                    <w:iCs/>
                    <w:sz w:val="20"/>
                    <w:szCs w:val="20"/>
                  </w:rPr>
                  <w:t xml:space="preserve"> laws. </w:t>
                </w:r>
              </w:p>
              <w:p w14:paraId="78315BAF" w14:textId="77777777" w:rsidR="002179F7" w:rsidRDefault="002179F7" w:rsidP="00622670">
                <w:pPr>
                  <w:rPr>
                    <w:rFonts w:eastAsia="Times New Roman"/>
                    <w:bCs/>
                    <w:iCs/>
                    <w:sz w:val="20"/>
                    <w:szCs w:val="20"/>
                  </w:rPr>
                </w:pPr>
                <w:r>
                  <w:rPr>
                    <w:rFonts w:eastAsia="Times New Roman"/>
                    <w:bCs/>
                    <w:iCs/>
                    <w:sz w:val="20"/>
                    <w:szCs w:val="20"/>
                  </w:rPr>
                  <w:lastRenderedPageBreak/>
                  <w:t>The specific task process is for the following:</w:t>
                </w:r>
              </w:p>
              <w:p w14:paraId="18975332" w14:textId="77777777" w:rsidR="002179F7" w:rsidRPr="005021FE" w:rsidRDefault="002179F7" w:rsidP="00622670">
                <w:pPr>
                  <w:pStyle w:val="ListParagraph"/>
                  <w:numPr>
                    <w:ilvl w:val="0"/>
                    <w:numId w:val="13"/>
                  </w:numPr>
                  <w:rPr>
                    <w:rFonts w:eastAsia="Times New Roman"/>
                    <w:bCs/>
                    <w:iCs/>
                    <w:sz w:val="20"/>
                    <w:szCs w:val="20"/>
                  </w:rPr>
                </w:pPr>
                <w:r w:rsidRPr="00F611C9">
                  <w:rPr>
                    <w:rFonts w:eastAsia="Times New Roman"/>
                    <w:bCs/>
                    <w:iCs/>
                    <w:sz w:val="20"/>
                    <w:szCs w:val="20"/>
                  </w:rPr>
                  <w:t xml:space="preserve">Connecting a dockside crane to the </w:t>
                </w:r>
                <w:r>
                  <w:rPr>
                    <w:rFonts w:eastAsia="Times New Roman"/>
                    <w:bCs/>
                    <w:iCs/>
                    <w:sz w:val="20"/>
                    <w:szCs w:val="20"/>
                  </w:rPr>
                  <w:t xml:space="preserve">Sea </w:t>
                </w:r>
                <w:proofErr w:type="spellStart"/>
                <w:r>
                  <w:rPr>
                    <w:rFonts w:eastAsia="Times New Roman"/>
                    <w:bCs/>
                    <w:iCs/>
                    <w:sz w:val="20"/>
                    <w:szCs w:val="20"/>
                  </w:rPr>
                  <w:t>Ceptor</w:t>
                </w:r>
                <w:proofErr w:type="spellEnd"/>
                <w:r w:rsidRPr="00F611C9">
                  <w:rPr>
                    <w:rFonts w:eastAsia="Times New Roman"/>
                    <w:bCs/>
                    <w:iCs/>
                    <w:sz w:val="20"/>
                    <w:szCs w:val="20"/>
                  </w:rPr>
                  <w:t xml:space="preserve"> missile </w:t>
                </w:r>
                <w:r>
                  <w:rPr>
                    <w:rFonts w:eastAsia="Times New Roman"/>
                    <w:bCs/>
                    <w:iCs/>
                    <w:sz w:val="20"/>
                    <w:szCs w:val="20"/>
                  </w:rPr>
                  <w:t>cannister.</w:t>
                </w:r>
              </w:p>
              <w:p w14:paraId="005F5A25" w14:textId="77777777" w:rsidR="002179F7" w:rsidRDefault="002179F7" w:rsidP="00622670">
                <w:pPr>
                  <w:pStyle w:val="ListParagraph"/>
                  <w:numPr>
                    <w:ilvl w:val="0"/>
                    <w:numId w:val="13"/>
                  </w:numPr>
                  <w:rPr>
                    <w:rFonts w:eastAsia="Times New Roman"/>
                    <w:bCs/>
                    <w:iCs/>
                    <w:sz w:val="20"/>
                    <w:szCs w:val="20"/>
                  </w:rPr>
                </w:pPr>
                <w:r>
                  <w:rPr>
                    <w:rFonts w:eastAsia="Times New Roman"/>
                    <w:bCs/>
                    <w:iCs/>
                    <w:sz w:val="20"/>
                    <w:szCs w:val="20"/>
                  </w:rPr>
                  <w:t>Manoeuvring the cannister onto the deck of the Type 23 Frigate.</w:t>
                </w:r>
              </w:p>
              <w:p w14:paraId="6511DAA9" w14:textId="77777777" w:rsidR="002179F7" w:rsidRDefault="002179F7" w:rsidP="00622670">
                <w:pPr>
                  <w:rPr>
                    <w:rFonts w:eastAsia="Times New Roman"/>
                    <w:bCs/>
                    <w:iCs/>
                    <w:sz w:val="20"/>
                    <w:szCs w:val="20"/>
                  </w:rPr>
                </w:pPr>
                <w:r>
                  <w:rPr>
                    <w:rFonts w:eastAsia="Times New Roman"/>
                    <w:bCs/>
                    <w:iCs/>
                    <w:sz w:val="20"/>
                    <w:szCs w:val="20"/>
                  </w:rPr>
                  <w:t xml:space="preserve">A Sea </w:t>
                </w:r>
                <w:proofErr w:type="spellStart"/>
                <w:r>
                  <w:rPr>
                    <w:rFonts w:eastAsia="Times New Roman"/>
                    <w:bCs/>
                    <w:iCs/>
                    <w:sz w:val="20"/>
                    <w:szCs w:val="20"/>
                  </w:rPr>
                  <w:t>Ceptor</w:t>
                </w:r>
                <w:proofErr w:type="spellEnd"/>
                <w:r>
                  <w:rPr>
                    <w:rFonts w:eastAsia="Times New Roman"/>
                    <w:bCs/>
                    <w:iCs/>
                    <w:sz w:val="20"/>
                    <w:szCs w:val="20"/>
                  </w:rPr>
                  <w:t xml:space="preserve"> missile has the following technical specifications:</w:t>
                </w:r>
              </w:p>
              <w:p w14:paraId="78FE7F73" w14:textId="77777777" w:rsidR="002179F7" w:rsidRPr="00E12FAB" w:rsidRDefault="002179F7" w:rsidP="00622670">
                <w:pPr>
                  <w:rPr>
                    <w:rFonts w:eastAsia="Times New Roman"/>
                    <w:bCs/>
                    <w:iCs/>
                    <w:sz w:val="18"/>
                    <w:szCs w:val="18"/>
                  </w:rPr>
                </w:pPr>
                <w:r w:rsidRPr="00E12FAB">
                  <w:rPr>
                    <w:sz w:val="20"/>
                    <w:szCs w:val="22"/>
                  </w:rPr>
                  <w:t>Weight: 99kg Length: 3.2m</w:t>
                </w:r>
                <w:sdt>
                  <w:sdtPr>
                    <w:rPr>
                      <w:sz w:val="20"/>
                      <w:szCs w:val="22"/>
                    </w:rPr>
                    <w:id w:val="-1883935450"/>
                    <w:citation/>
                  </w:sdtPr>
                  <w:sdtContent>
                    <w:r w:rsidRPr="00E12FAB">
                      <w:rPr>
                        <w:sz w:val="20"/>
                        <w:szCs w:val="22"/>
                      </w:rPr>
                      <w:fldChar w:fldCharType="begin"/>
                    </w:r>
                    <w:r w:rsidRPr="00E12FAB">
                      <w:rPr>
                        <w:sz w:val="20"/>
                        <w:szCs w:val="22"/>
                      </w:rPr>
                      <w:instrText xml:space="preserve"> CITATION MBD23 \l 2057 </w:instrText>
                    </w:r>
                    <w:r w:rsidRPr="00E12FAB">
                      <w:rPr>
                        <w:sz w:val="20"/>
                        <w:szCs w:val="22"/>
                      </w:rPr>
                      <w:fldChar w:fldCharType="separate"/>
                    </w:r>
                    <w:r>
                      <w:rPr>
                        <w:noProof/>
                        <w:sz w:val="20"/>
                        <w:szCs w:val="22"/>
                      </w:rPr>
                      <w:t xml:space="preserve"> </w:t>
                    </w:r>
                    <w:r w:rsidRPr="00F160C3">
                      <w:rPr>
                        <w:noProof/>
                        <w:sz w:val="20"/>
                        <w:szCs w:val="22"/>
                      </w:rPr>
                      <w:t>[4]</w:t>
                    </w:r>
                    <w:r w:rsidRPr="00E12FAB">
                      <w:rPr>
                        <w:sz w:val="20"/>
                        <w:szCs w:val="22"/>
                      </w:rPr>
                      <w:fldChar w:fldCharType="end"/>
                    </w:r>
                  </w:sdtContent>
                </w:sdt>
              </w:p>
              <w:p w14:paraId="566C693E" w14:textId="33C03B7F" w:rsidR="002179F7" w:rsidRDefault="002179F7" w:rsidP="00622670">
                <w:pPr>
                  <w:rPr>
                    <w:rFonts w:eastAsia="Times New Roman"/>
                    <w:bCs/>
                    <w:iCs/>
                    <w:sz w:val="20"/>
                    <w:szCs w:val="20"/>
                  </w:rPr>
                </w:pPr>
                <w:r>
                  <w:rPr>
                    <w:rFonts w:eastAsia="Times New Roman"/>
                    <w:bCs/>
                    <w:iCs/>
                    <w:sz w:val="20"/>
                    <w:szCs w:val="20"/>
                  </w:rPr>
                  <w:t xml:space="preserve">And contains a 14kg high explosive warhead and therefore is also subject to the </w:t>
                </w:r>
                <w:hyperlink r:id="rId15" w:history="1">
                  <w:r w:rsidRPr="00E12FAB">
                    <w:rPr>
                      <w:rStyle w:val="Hyperlink"/>
                      <w:rFonts w:eastAsia="Times New Roman"/>
                      <w:bCs/>
                      <w:iCs/>
                      <w:sz w:val="20"/>
                      <w:szCs w:val="20"/>
                    </w:rPr>
                    <w:t>Explosive Safety Regulations 2014</w:t>
                  </w:r>
                </w:hyperlink>
                <w:sdt>
                  <w:sdtPr>
                    <w:rPr>
                      <w:rFonts w:eastAsia="Times New Roman"/>
                      <w:bCs/>
                      <w:iCs/>
                      <w:sz w:val="20"/>
                      <w:szCs w:val="20"/>
                    </w:rPr>
                    <w:id w:val="1331479627"/>
                    <w:citation/>
                  </w:sdtPr>
                  <w:sdtContent>
                    <w:r>
                      <w:rPr>
                        <w:rFonts w:eastAsia="Times New Roman"/>
                        <w:bCs/>
                        <w:iCs/>
                        <w:sz w:val="20"/>
                        <w:szCs w:val="20"/>
                      </w:rPr>
                      <w:fldChar w:fldCharType="begin"/>
                    </w:r>
                    <w:r>
                      <w:rPr>
                        <w:rFonts w:eastAsia="Times New Roman"/>
                        <w:bCs/>
                        <w:iCs/>
                        <w:sz w:val="20"/>
                        <w:szCs w:val="20"/>
                      </w:rPr>
                      <w:instrText xml:space="preserve">CITATION Placeholder4 \l 2057 </w:instrText>
                    </w:r>
                    <w:r>
                      <w:rPr>
                        <w:rFonts w:eastAsia="Times New Roman"/>
                        <w:bCs/>
                        <w:iCs/>
                        <w:sz w:val="20"/>
                        <w:szCs w:val="20"/>
                      </w:rPr>
                      <w:fldChar w:fldCharType="separate"/>
                    </w:r>
                    <w:r>
                      <w:rPr>
                        <w:rFonts w:eastAsia="Times New Roman"/>
                        <w:bCs/>
                        <w:iCs/>
                        <w:noProof/>
                        <w:sz w:val="20"/>
                        <w:szCs w:val="20"/>
                      </w:rPr>
                      <w:t xml:space="preserve"> </w:t>
                    </w:r>
                    <w:r w:rsidRPr="002179F7">
                      <w:rPr>
                        <w:rFonts w:eastAsia="Times New Roman"/>
                        <w:noProof/>
                        <w:sz w:val="20"/>
                        <w:szCs w:val="20"/>
                      </w:rPr>
                      <w:t>[5]</w:t>
                    </w:r>
                    <w:r>
                      <w:rPr>
                        <w:rFonts w:eastAsia="Times New Roman"/>
                        <w:bCs/>
                        <w:iCs/>
                        <w:sz w:val="20"/>
                        <w:szCs w:val="20"/>
                      </w:rPr>
                      <w:fldChar w:fldCharType="end"/>
                    </w:r>
                  </w:sdtContent>
                </w:sdt>
                <w:r>
                  <w:rPr>
                    <w:rFonts w:eastAsia="Times New Roman"/>
                    <w:bCs/>
                    <w:iCs/>
                    <w:sz w:val="20"/>
                    <w:szCs w:val="20"/>
                  </w:rPr>
                  <w:t xml:space="preserve"> </w:t>
                </w:r>
                <w:sdt>
                  <w:sdtPr>
                    <w:rPr>
                      <w:rFonts w:eastAsia="Times New Roman"/>
                      <w:bCs/>
                      <w:iCs/>
                      <w:sz w:val="20"/>
                      <w:szCs w:val="20"/>
                    </w:rPr>
                    <w:id w:val="939493617"/>
                    <w:citation/>
                  </w:sdtPr>
                  <w:sdtContent>
                    <w:r>
                      <w:rPr>
                        <w:rFonts w:eastAsia="Times New Roman"/>
                        <w:bCs/>
                        <w:iCs/>
                        <w:sz w:val="20"/>
                        <w:szCs w:val="20"/>
                      </w:rPr>
                      <w:fldChar w:fldCharType="begin"/>
                    </w:r>
                    <w:r>
                      <w:rPr>
                        <w:rFonts w:eastAsia="Times New Roman"/>
                        <w:bCs/>
                        <w:iCs/>
                        <w:sz w:val="20"/>
                        <w:szCs w:val="20"/>
                      </w:rPr>
                      <w:instrText xml:space="preserve"> CITATION Nav19 \l 2057 </w:instrText>
                    </w:r>
                    <w:r>
                      <w:rPr>
                        <w:rFonts w:eastAsia="Times New Roman"/>
                        <w:bCs/>
                        <w:iCs/>
                        <w:sz w:val="20"/>
                        <w:szCs w:val="20"/>
                      </w:rPr>
                      <w:fldChar w:fldCharType="separate"/>
                    </w:r>
                    <w:r w:rsidRPr="00F160C3">
                      <w:rPr>
                        <w:rFonts w:eastAsia="Times New Roman"/>
                        <w:noProof/>
                        <w:sz w:val="20"/>
                        <w:szCs w:val="20"/>
                      </w:rPr>
                      <w:t>[6]</w:t>
                    </w:r>
                    <w:r>
                      <w:rPr>
                        <w:rFonts w:eastAsia="Times New Roman"/>
                        <w:bCs/>
                        <w:iCs/>
                        <w:sz w:val="20"/>
                        <w:szCs w:val="20"/>
                      </w:rPr>
                      <w:fldChar w:fldCharType="end"/>
                    </w:r>
                  </w:sdtContent>
                </w:sdt>
                <w:r w:rsidR="00522F9A">
                  <w:rPr>
                    <w:rFonts w:eastAsia="Times New Roman"/>
                    <w:bCs/>
                    <w:iCs/>
                    <w:sz w:val="20"/>
                    <w:szCs w:val="20"/>
                  </w:rPr>
                  <w:t>.</w:t>
                </w:r>
              </w:p>
            </w:sdtContent>
          </w:sdt>
          <w:p w14:paraId="180E6324" w14:textId="77777777" w:rsidR="002179F7" w:rsidRPr="00B84567" w:rsidRDefault="002179F7" w:rsidP="00622670">
            <w:pPr>
              <w:rPr>
                <w:rFonts w:eastAsia="Times New Roman"/>
                <w:bCs/>
                <w:iCs/>
                <w:sz w:val="20"/>
                <w:szCs w:val="20"/>
              </w:rPr>
            </w:pPr>
          </w:p>
        </w:tc>
      </w:tr>
    </w:tbl>
    <w:p w14:paraId="01371A49" w14:textId="77777777" w:rsidR="002179F7" w:rsidRDefault="002179F7" w:rsidP="002179F7">
      <w:pPr>
        <w:rPr>
          <w:rFonts w:asciiTheme="majorHAnsi" w:hAnsiTheme="majorHAnsi" w:cs="Arial"/>
          <w:color w:val="4F81BD" w:themeColor="accent1"/>
          <w:kern w:val="32"/>
          <w:sz w:val="28"/>
          <w:szCs w:val="32"/>
        </w:rPr>
      </w:pPr>
    </w:p>
    <w:tbl>
      <w:tblPr>
        <w:tblW w:w="155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3"/>
        <w:gridCol w:w="1559"/>
        <w:gridCol w:w="2977"/>
        <w:gridCol w:w="1701"/>
        <w:gridCol w:w="8647"/>
      </w:tblGrid>
      <w:tr w:rsidR="002179F7" w:rsidRPr="00304BA2" w14:paraId="6AF69A3C" w14:textId="77777777" w:rsidTr="00622670">
        <w:trPr>
          <w:trHeight w:val="567"/>
          <w:jc w:val="center"/>
        </w:trPr>
        <w:tc>
          <w:tcPr>
            <w:tcW w:w="623" w:type="dxa"/>
            <w:vMerge w:val="restart"/>
          </w:tcPr>
          <w:p w14:paraId="39F8183E" w14:textId="77777777" w:rsidR="002179F7" w:rsidRPr="00420243" w:rsidRDefault="002179F7" w:rsidP="00622670">
            <w:pPr>
              <w:rPr>
                <w:rStyle w:val="Strong"/>
              </w:rPr>
            </w:pPr>
            <w:r w:rsidRPr="00420243">
              <w:rPr>
                <w:rStyle w:val="Strong"/>
              </w:rPr>
              <w:t>No</w:t>
            </w:r>
          </w:p>
        </w:tc>
        <w:tc>
          <w:tcPr>
            <w:tcW w:w="1559" w:type="dxa"/>
            <w:vMerge w:val="restart"/>
          </w:tcPr>
          <w:p w14:paraId="7DC6E56D" w14:textId="77777777" w:rsidR="002179F7" w:rsidRPr="00420243" w:rsidRDefault="002179F7" w:rsidP="00622670">
            <w:pPr>
              <w:rPr>
                <w:rStyle w:val="Strong"/>
              </w:rPr>
            </w:pPr>
            <w:r w:rsidRPr="00420243">
              <w:rPr>
                <w:rStyle w:val="Strong"/>
              </w:rPr>
              <w:t xml:space="preserve">Hazard Description </w:t>
            </w:r>
          </w:p>
        </w:tc>
        <w:tc>
          <w:tcPr>
            <w:tcW w:w="2977" w:type="dxa"/>
            <w:vMerge w:val="restart"/>
          </w:tcPr>
          <w:p w14:paraId="525C8946" w14:textId="77777777" w:rsidR="002179F7" w:rsidRPr="00420243" w:rsidRDefault="002179F7" w:rsidP="00622670">
            <w:pPr>
              <w:rPr>
                <w:rStyle w:val="Strong"/>
              </w:rPr>
            </w:pPr>
            <w:r w:rsidRPr="00420243">
              <w:rPr>
                <w:rStyle w:val="Strong"/>
              </w:rPr>
              <w:t>How could ha</w:t>
            </w:r>
            <w:r>
              <w:rPr>
                <w:rStyle w:val="Strong"/>
              </w:rPr>
              <w:t>zard</w:t>
            </w:r>
            <w:r w:rsidRPr="00420243">
              <w:rPr>
                <w:rStyle w:val="Strong"/>
              </w:rPr>
              <w:t xml:space="preserve"> occur? </w:t>
            </w:r>
          </w:p>
        </w:tc>
        <w:tc>
          <w:tcPr>
            <w:tcW w:w="1701" w:type="dxa"/>
            <w:vMerge w:val="restart"/>
          </w:tcPr>
          <w:p w14:paraId="430B13E0" w14:textId="77777777" w:rsidR="002179F7" w:rsidRPr="00420243" w:rsidRDefault="002179F7" w:rsidP="00622670">
            <w:pPr>
              <w:rPr>
                <w:rStyle w:val="Strong"/>
              </w:rPr>
            </w:pPr>
            <w:r w:rsidRPr="00420243">
              <w:rPr>
                <w:rStyle w:val="Strong"/>
              </w:rPr>
              <w:t>Who</w:t>
            </w:r>
            <w:r>
              <w:rPr>
                <w:rStyle w:val="Strong"/>
              </w:rPr>
              <w:t xml:space="preserve"> </w:t>
            </w:r>
            <w:r w:rsidRPr="00420243">
              <w:rPr>
                <w:rStyle w:val="Strong"/>
              </w:rPr>
              <w:t>/</w:t>
            </w:r>
            <w:r>
              <w:rPr>
                <w:rStyle w:val="Strong"/>
              </w:rPr>
              <w:t xml:space="preserve"> </w:t>
            </w:r>
            <w:r w:rsidRPr="00420243">
              <w:rPr>
                <w:rStyle w:val="Strong"/>
              </w:rPr>
              <w:t xml:space="preserve">what could be harmed </w:t>
            </w:r>
          </w:p>
        </w:tc>
        <w:tc>
          <w:tcPr>
            <w:tcW w:w="8647" w:type="dxa"/>
            <w:vMerge w:val="restart"/>
          </w:tcPr>
          <w:p w14:paraId="1B06633A" w14:textId="77777777" w:rsidR="002179F7" w:rsidRPr="00420243" w:rsidRDefault="002179F7" w:rsidP="00622670">
            <w:pPr>
              <w:rPr>
                <w:rStyle w:val="Strong"/>
              </w:rPr>
            </w:pPr>
            <w:r w:rsidRPr="00420243">
              <w:rPr>
                <w:rStyle w:val="Strong"/>
              </w:rPr>
              <w:t>Control Measures</w:t>
            </w:r>
          </w:p>
          <w:p w14:paraId="5F195C4B" w14:textId="77777777" w:rsidR="002179F7" w:rsidRPr="00420243" w:rsidRDefault="002179F7" w:rsidP="00622670">
            <w:pPr>
              <w:rPr>
                <w:rStyle w:val="Strong"/>
              </w:rPr>
            </w:pPr>
          </w:p>
        </w:tc>
      </w:tr>
      <w:tr w:rsidR="002179F7" w:rsidRPr="00304BA2" w14:paraId="21827C7E" w14:textId="77777777" w:rsidTr="00622670">
        <w:trPr>
          <w:trHeight w:val="619"/>
          <w:jc w:val="center"/>
        </w:trPr>
        <w:tc>
          <w:tcPr>
            <w:tcW w:w="623" w:type="dxa"/>
            <w:vMerge/>
          </w:tcPr>
          <w:p w14:paraId="1187ECB5" w14:textId="77777777" w:rsidR="002179F7" w:rsidRPr="00304BA2" w:rsidRDefault="002179F7" w:rsidP="00622670">
            <w:pPr>
              <w:rPr>
                <w:rFonts w:asciiTheme="minorHAnsi" w:eastAsia="Times New Roman" w:hAnsiTheme="minorHAnsi" w:cstheme="minorHAnsi"/>
                <w:iCs/>
                <w:szCs w:val="22"/>
              </w:rPr>
            </w:pPr>
          </w:p>
        </w:tc>
        <w:tc>
          <w:tcPr>
            <w:tcW w:w="1559" w:type="dxa"/>
            <w:vMerge/>
          </w:tcPr>
          <w:p w14:paraId="26908770" w14:textId="77777777" w:rsidR="002179F7" w:rsidRPr="00304BA2" w:rsidRDefault="002179F7" w:rsidP="00622670">
            <w:pPr>
              <w:rPr>
                <w:rFonts w:asciiTheme="minorHAnsi" w:eastAsia="Times New Roman" w:hAnsiTheme="minorHAnsi" w:cstheme="minorHAnsi"/>
                <w:iCs/>
                <w:szCs w:val="22"/>
              </w:rPr>
            </w:pPr>
          </w:p>
        </w:tc>
        <w:tc>
          <w:tcPr>
            <w:tcW w:w="2977" w:type="dxa"/>
            <w:vMerge/>
          </w:tcPr>
          <w:p w14:paraId="11A8A98F" w14:textId="77777777" w:rsidR="002179F7" w:rsidRPr="00304BA2" w:rsidRDefault="002179F7" w:rsidP="00622670">
            <w:pPr>
              <w:rPr>
                <w:rFonts w:asciiTheme="minorHAnsi" w:eastAsia="Times New Roman" w:hAnsiTheme="minorHAnsi" w:cstheme="minorHAnsi"/>
                <w:iCs/>
                <w:szCs w:val="22"/>
              </w:rPr>
            </w:pPr>
          </w:p>
        </w:tc>
        <w:tc>
          <w:tcPr>
            <w:tcW w:w="1701" w:type="dxa"/>
            <w:vMerge/>
          </w:tcPr>
          <w:p w14:paraId="0E7D8C93" w14:textId="77777777" w:rsidR="002179F7" w:rsidRPr="00304BA2" w:rsidRDefault="002179F7" w:rsidP="00622670">
            <w:pPr>
              <w:rPr>
                <w:rFonts w:asciiTheme="minorHAnsi" w:eastAsia="Times New Roman" w:hAnsiTheme="minorHAnsi" w:cstheme="minorHAnsi"/>
                <w:iCs/>
                <w:szCs w:val="22"/>
              </w:rPr>
            </w:pPr>
          </w:p>
        </w:tc>
        <w:tc>
          <w:tcPr>
            <w:tcW w:w="8647" w:type="dxa"/>
            <w:vMerge/>
          </w:tcPr>
          <w:p w14:paraId="01868AAB" w14:textId="77777777" w:rsidR="002179F7" w:rsidRPr="00304BA2" w:rsidRDefault="002179F7" w:rsidP="00622670">
            <w:pPr>
              <w:rPr>
                <w:rFonts w:asciiTheme="minorHAnsi" w:eastAsia="Times New Roman" w:hAnsiTheme="minorHAnsi" w:cstheme="minorHAnsi"/>
                <w:iCs/>
                <w:szCs w:val="22"/>
              </w:rPr>
            </w:pPr>
          </w:p>
        </w:tc>
      </w:tr>
      <w:tr w:rsidR="002179F7" w:rsidRPr="00304BA2" w14:paraId="55DA2E23" w14:textId="77777777" w:rsidTr="00622670">
        <w:trPr>
          <w:trHeight w:val="685"/>
          <w:jc w:val="center"/>
        </w:trPr>
        <w:tc>
          <w:tcPr>
            <w:tcW w:w="623" w:type="dxa"/>
          </w:tcPr>
          <w:p w14:paraId="25EEB45C" w14:textId="77777777" w:rsidR="002179F7" w:rsidRPr="00304BA2" w:rsidRDefault="002179F7" w:rsidP="00622670">
            <w:pPr>
              <w:rPr>
                <w:rFonts w:asciiTheme="minorHAnsi" w:eastAsia="Times New Roman" w:hAnsiTheme="minorHAnsi" w:cstheme="minorHAnsi"/>
                <w:iCs/>
                <w:szCs w:val="22"/>
              </w:rPr>
            </w:pPr>
          </w:p>
          <w:p w14:paraId="5189F072" w14:textId="77777777" w:rsidR="002179F7" w:rsidRPr="00304BA2" w:rsidRDefault="002179F7" w:rsidP="00622670">
            <w:pPr>
              <w:rPr>
                <w:rFonts w:asciiTheme="minorHAnsi" w:eastAsia="Times New Roman" w:hAnsiTheme="minorHAnsi" w:cstheme="minorHAnsi"/>
                <w:iCs/>
                <w:szCs w:val="22"/>
              </w:rPr>
            </w:pPr>
            <w:r w:rsidRPr="00304BA2">
              <w:rPr>
                <w:rFonts w:asciiTheme="minorHAnsi" w:eastAsia="Times New Roman" w:hAnsiTheme="minorHAnsi" w:cstheme="minorHAnsi"/>
                <w:iCs/>
                <w:szCs w:val="22"/>
              </w:rPr>
              <w:t>1</w:t>
            </w:r>
          </w:p>
          <w:p w14:paraId="33DA1E64" w14:textId="77777777" w:rsidR="002179F7" w:rsidRPr="00304BA2" w:rsidRDefault="002179F7" w:rsidP="00622670">
            <w:pPr>
              <w:rPr>
                <w:rFonts w:asciiTheme="minorHAnsi" w:eastAsia="Times New Roman" w:hAnsiTheme="minorHAnsi" w:cstheme="minorHAnsi"/>
                <w:iCs/>
                <w:szCs w:val="22"/>
              </w:rPr>
            </w:pPr>
          </w:p>
          <w:p w14:paraId="51CCC3BC" w14:textId="77777777" w:rsidR="002179F7" w:rsidRPr="00304BA2" w:rsidRDefault="002179F7" w:rsidP="00622670">
            <w:pPr>
              <w:rPr>
                <w:rFonts w:asciiTheme="minorHAnsi" w:eastAsia="Times New Roman" w:hAnsiTheme="minorHAnsi" w:cstheme="minorHAnsi"/>
                <w:iCs/>
                <w:szCs w:val="22"/>
              </w:rPr>
            </w:pPr>
          </w:p>
        </w:tc>
        <w:tc>
          <w:tcPr>
            <w:tcW w:w="1559" w:type="dxa"/>
          </w:tcPr>
          <w:p w14:paraId="377DE23B" w14:textId="77777777" w:rsidR="002179F7" w:rsidRPr="00833D9E" w:rsidRDefault="002179F7" w:rsidP="00622670">
            <w:pPr>
              <w:rPr>
                <w:rStyle w:val="Emphasis"/>
                <w:i w:val="0"/>
              </w:rPr>
            </w:pPr>
            <w:r>
              <w:rPr>
                <w:rStyle w:val="Emphasis"/>
                <w:i w:val="0"/>
              </w:rPr>
              <w:t>Inadvertent initiation of warhead</w:t>
            </w:r>
          </w:p>
        </w:tc>
        <w:tc>
          <w:tcPr>
            <w:tcW w:w="2977" w:type="dxa"/>
          </w:tcPr>
          <w:p w14:paraId="735CD097" w14:textId="77777777" w:rsidR="002179F7" w:rsidRDefault="002179F7" w:rsidP="00622670">
            <w:pPr>
              <w:rPr>
                <w:rFonts w:asciiTheme="minorHAnsi" w:hAnsiTheme="minorHAnsi" w:cstheme="minorHAnsi"/>
                <w:sz w:val="20"/>
                <w:szCs w:val="18"/>
              </w:rPr>
            </w:pPr>
            <w:r>
              <w:rPr>
                <w:rFonts w:asciiTheme="minorHAnsi" w:hAnsiTheme="minorHAnsi" w:cstheme="minorHAnsi"/>
                <w:sz w:val="20"/>
                <w:szCs w:val="18"/>
              </w:rPr>
              <w:t>Physical shock:</w:t>
            </w:r>
          </w:p>
          <w:p w14:paraId="4ABB24EB" w14:textId="77777777" w:rsidR="002179F7" w:rsidRDefault="002179F7" w:rsidP="00622670">
            <w:pPr>
              <w:pStyle w:val="ListParagraph"/>
              <w:numPr>
                <w:ilvl w:val="0"/>
                <w:numId w:val="15"/>
              </w:numPr>
              <w:rPr>
                <w:rFonts w:cstheme="minorHAnsi"/>
                <w:sz w:val="20"/>
                <w:szCs w:val="18"/>
              </w:rPr>
            </w:pPr>
            <w:r>
              <w:rPr>
                <w:rFonts w:cstheme="minorHAnsi"/>
                <w:sz w:val="20"/>
                <w:szCs w:val="18"/>
              </w:rPr>
              <w:t>The crane could impact the missile cannister with force.</w:t>
            </w:r>
          </w:p>
          <w:p w14:paraId="08843327" w14:textId="77777777" w:rsidR="002179F7" w:rsidRDefault="002179F7" w:rsidP="00622670">
            <w:pPr>
              <w:pStyle w:val="ListParagraph"/>
              <w:numPr>
                <w:ilvl w:val="0"/>
                <w:numId w:val="15"/>
              </w:numPr>
              <w:rPr>
                <w:rFonts w:cstheme="minorHAnsi"/>
                <w:sz w:val="20"/>
                <w:szCs w:val="18"/>
              </w:rPr>
            </w:pPr>
            <w:r>
              <w:rPr>
                <w:rFonts w:cstheme="minorHAnsi"/>
                <w:sz w:val="20"/>
                <w:szCs w:val="18"/>
              </w:rPr>
              <w:t>The missile cannister may be dropped from height.</w:t>
            </w:r>
          </w:p>
          <w:p w14:paraId="52AB023C" w14:textId="77777777" w:rsidR="002179F7" w:rsidRDefault="002179F7" w:rsidP="00622670">
            <w:pPr>
              <w:pStyle w:val="ListParagraph"/>
              <w:numPr>
                <w:ilvl w:val="0"/>
                <w:numId w:val="15"/>
              </w:numPr>
              <w:rPr>
                <w:rFonts w:cstheme="minorHAnsi"/>
                <w:sz w:val="20"/>
                <w:szCs w:val="18"/>
              </w:rPr>
            </w:pPr>
            <w:r>
              <w:rPr>
                <w:rFonts w:cstheme="minorHAnsi"/>
                <w:sz w:val="20"/>
                <w:szCs w:val="18"/>
              </w:rPr>
              <w:t xml:space="preserve">The missile cannister may collide with surfaces </w:t>
            </w:r>
            <w:r>
              <w:rPr>
                <w:rFonts w:cstheme="minorHAnsi"/>
                <w:sz w:val="20"/>
                <w:szCs w:val="18"/>
              </w:rPr>
              <w:lastRenderedPageBreak/>
              <w:t>during manoeuvring.</w:t>
            </w:r>
          </w:p>
          <w:p w14:paraId="058191F1" w14:textId="77777777" w:rsidR="002179F7" w:rsidRDefault="002179F7" w:rsidP="00622670">
            <w:pPr>
              <w:rPr>
                <w:rFonts w:cstheme="minorHAnsi"/>
                <w:sz w:val="20"/>
                <w:szCs w:val="18"/>
              </w:rPr>
            </w:pPr>
            <w:r>
              <w:rPr>
                <w:rFonts w:cstheme="minorHAnsi"/>
                <w:sz w:val="20"/>
                <w:szCs w:val="18"/>
              </w:rPr>
              <w:t>Electrical shock:</w:t>
            </w:r>
          </w:p>
          <w:p w14:paraId="56C86B5E" w14:textId="77777777" w:rsidR="002179F7" w:rsidRDefault="002179F7" w:rsidP="00622670">
            <w:pPr>
              <w:pStyle w:val="ListParagraph"/>
              <w:numPr>
                <w:ilvl w:val="0"/>
                <w:numId w:val="17"/>
              </w:numPr>
              <w:rPr>
                <w:rFonts w:cstheme="minorHAnsi"/>
                <w:sz w:val="20"/>
                <w:szCs w:val="18"/>
              </w:rPr>
            </w:pPr>
            <w:r>
              <w:rPr>
                <w:rFonts w:cstheme="minorHAnsi"/>
                <w:sz w:val="20"/>
                <w:szCs w:val="18"/>
              </w:rPr>
              <w:t xml:space="preserve">A build of static could discharge into Sea </w:t>
            </w:r>
            <w:proofErr w:type="spellStart"/>
            <w:r>
              <w:rPr>
                <w:rFonts w:cstheme="minorHAnsi"/>
                <w:sz w:val="20"/>
                <w:szCs w:val="18"/>
              </w:rPr>
              <w:t>Ceptor</w:t>
            </w:r>
            <w:proofErr w:type="spellEnd"/>
            <w:r>
              <w:rPr>
                <w:rFonts w:cstheme="minorHAnsi"/>
                <w:sz w:val="20"/>
                <w:szCs w:val="18"/>
              </w:rPr>
              <w:t xml:space="preserve"> missile cannister.</w:t>
            </w:r>
          </w:p>
          <w:p w14:paraId="61CBE46A" w14:textId="77777777" w:rsidR="002179F7" w:rsidRDefault="002179F7" w:rsidP="00622670">
            <w:pPr>
              <w:pStyle w:val="ListParagraph"/>
              <w:numPr>
                <w:ilvl w:val="0"/>
                <w:numId w:val="17"/>
              </w:numPr>
              <w:rPr>
                <w:rFonts w:cstheme="minorHAnsi"/>
                <w:sz w:val="20"/>
                <w:szCs w:val="18"/>
              </w:rPr>
            </w:pPr>
            <w:r>
              <w:rPr>
                <w:rFonts w:cstheme="minorHAnsi"/>
                <w:sz w:val="20"/>
                <w:szCs w:val="18"/>
              </w:rPr>
              <w:t xml:space="preserve">The RF signals of loading equipment could interfere with Sea </w:t>
            </w:r>
            <w:proofErr w:type="spellStart"/>
            <w:r>
              <w:rPr>
                <w:rFonts w:cstheme="minorHAnsi"/>
                <w:sz w:val="20"/>
                <w:szCs w:val="18"/>
              </w:rPr>
              <w:t>Ceptor</w:t>
            </w:r>
            <w:proofErr w:type="spellEnd"/>
            <w:r>
              <w:rPr>
                <w:rFonts w:cstheme="minorHAnsi"/>
                <w:sz w:val="20"/>
                <w:szCs w:val="18"/>
              </w:rPr>
              <w:t xml:space="preserve"> thereby triggering an inadvertent initiation.</w:t>
            </w:r>
          </w:p>
          <w:p w14:paraId="6606AC98" w14:textId="77777777" w:rsidR="002179F7" w:rsidRDefault="002179F7" w:rsidP="00622670">
            <w:pPr>
              <w:rPr>
                <w:rFonts w:cstheme="minorHAnsi"/>
                <w:sz w:val="20"/>
                <w:szCs w:val="18"/>
              </w:rPr>
            </w:pPr>
            <w:r>
              <w:rPr>
                <w:rFonts w:cstheme="minorHAnsi"/>
                <w:sz w:val="20"/>
                <w:szCs w:val="18"/>
              </w:rPr>
              <w:t>Environmental conditions:</w:t>
            </w:r>
          </w:p>
          <w:p w14:paraId="29182740" w14:textId="77777777" w:rsidR="002179F7" w:rsidRDefault="002179F7" w:rsidP="00622670">
            <w:pPr>
              <w:pStyle w:val="ListParagraph"/>
              <w:numPr>
                <w:ilvl w:val="0"/>
                <w:numId w:val="18"/>
              </w:numPr>
              <w:rPr>
                <w:rFonts w:cstheme="minorHAnsi"/>
                <w:sz w:val="20"/>
                <w:szCs w:val="18"/>
              </w:rPr>
            </w:pPr>
            <w:r>
              <w:rPr>
                <w:rFonts w:cstheme="minorHAnsi"/>
                <w:sz w:val="20"/>
                <w:szCs w:val="18"/>
              </w:rPr>
              <w:t>Incorrect storage at the dock may cause sensitisation and inadvertent initiation during replenishment.</w:t>
            </w:r>
          </w:p>
          <w:p w14:paraId="1EA68889" w14:textId="77777777" w:rsidR="002179F7" w:rsidRDefault="002179F7" w:rsidP="00622670">
            <w:pPr>
              <w:pStyle w:val="ListParagraph"/>
              <w:numPr>
                <w:ilvl w:val="0"/>
                <w:numId w:val="18"/>
              </w:numPr>
              <w:rPr>
                <w:rFonts w:cstheme="minorHAnsi"/>
                <w:sz w:val="20"/>
                <w:szCs w:val="18"/>
              </w:rPr>
            </w:pPr>
            <w:r>
              <w:rPr>
                <w:rFonts w:cstheme="minorHAnsi"/>
                <w:sz w:val="20"/>
                <w:szCs w:val="18"/>
              </w:rPr>
              <w:t xml:space="preserve">Weather conditions at the dock may increase the likelihood of other hazards, e.g., </w:t>
            </w:r>
            <w:proofErr w:type="gramStart"/>
            <w:r>
              <w:rPr>
                <w:rFonts w:cstheme="minorHAnsi"/>
                <w:sz w:val="20"/>
                <w:szCs w:val="18"/>
              </w:rPr>
              <w:t>lightening</w:t>
            </w:r>
            <w:proofErr w:type="gramEnd"/>
            <w:r>
              <w:rPr>
                <w:rFonts w:cstheme="minorHAnsi"/>
                <w:sz w:val="20"/>
                <w:szCs w:val="18"/>
              </w:rPr>
              <w:t xml:space="preserve"> and electrical shock or rough seas and physical shock.</w:t>
            </w:r>
          </w:p>
          <w:p w14:paraId="75D0B1C7" w14:textId="77777777" w:rsidR="002179F7" w:rsidRDefault="002179F7" w:rsidP="00622670">
            <w:pPr>
              <w:rPr>
                <w:rFonts w:cstheme="minorHAnsi"/>
                <w:sz w:val="20"/>
                <w:szCs w:val="18"/>
              </w:rPr>
            </w:pPr>
            <w:r>
              <w:rPr>
                <w:rFonts w:cstheme="minorHAnsi"/>
                <w:sz w:val="20"/>
                <w:szCs w:val="18"/>
              </w:rPr>
              <w:lastRenderedPageBreak/>
              <w:t>Transportation considerations:</w:t>
            </w:r>
          </w:p>
          <w:p w14:paraId="62412078" w14:textId="77777777" w:rsidR="002179F7" w:rsidRPr="00006B05" w:rsidRDefault="002179F7" w:rsidP="00622670">
            <w:pPr>
              <w:pStyle w:val="ListParagraph"/>
              <w:numPr>
                <w:ilvl w:val="0"/>
                <w:numId w:val="18"/>
              </w:numPr>
              <w:rPr>
                <w:rFonts w:cstheme="minorHAnsi"/>
                <w:sz w:val="20"/>
                <w:szCs w:val="18"/>
              </w:rPr>
            </w:pPr>
            <w:r>
              <w:rPr>
                <w:rFonts w:cstheme="minorHAnsi"/>
                <w:sz w:val="20"/>
                <w:szCs w:val="18"/>
              </w:rPr>
              <w:t>Incorrect transport and handling of the missile cannister to the dock may lead to sensitisation and inadvertent initiation during replenishment.</w:t>
            </w:r>
          </w:p>
        </w:tc>
        <w:tc>
          <w:tcPr>
            <w:tcW w:w="1701" w:type="dxa"/>
          </w:tcPr>
          <w:p w14:paraId="77877B20" w14:textId="77777777" w:rsidR="002179F7" w:rsidRDefault="002179F7" w:rsidP="00622670">
            <w:pPr>
              <w:rPr>
                <w:rFonts w:asciiTheme="minorHAnsi" w:hAnsiTheme="minorHAnsi" w:cstheme="minorHAnsi"/>
                <w:sz w:val="20"/>
                <w:szCs w:val="18"/>
              </w:rPr>
            </w:pPr>
            <w:r>
              <w:rPr>
                <w:rFonts w:asciiTheme="minorHAnsi" w:hAnsiTheme="minorHAnsi" w:cstheme="minorHAnsi"/>
                <w:sz w:val="20"/>
                <w:szCs w:val="18"/>
              </w:rPr>
              <w:lastRenderedPageBreak/>
              <w:t>Staff operating near and around the dock crane.</w:t>
            </w:r>
          </w:p>
          <w:p w14:paraId="238B6B2B" w14:textId="77777777" w:rsidR="002179F7" w:rsidRDefault="002179F7" w:rsidP="00622670">
            <w:pPr>
              <w:rPr>
                <w:rFonts w:asciiTheme="minorHAnsi" w:hAnsiTheme="minorHAnsi" w:cstheme="minorHAnsi"/>
                <w:sz w:val="20"/>
                <w:szCs w:val="18"/>
              </w:rPr>
            </w:pPr>
            <w:r>
              <w:rPr>
                <w:rFonts w:asciiTheme="minorHAnsi" w:hAnsiTheme="minorHAnsi" w:cstheme="minorHAnsi"/>
                <w:sz w:val="20"/>
                <w:szCs w:val="18"/>
              </w:rPr>
              <w:t>Staff operating near and around the deck area of the VLS.</w:t>
            </w:r>
          </w:p>
          <w:p w14:paraId="369B23DE" w14:textId="77777777" w:rsidR="002179F7" w:rsidRDefault="002179F7" w:rsidP="00622670">
            <w:pPr>
              <w:rPr>
                <w:rFonts w:asciiTheme="minorHAnsi" w:hAnsiTheme="minorHAnsi" w:cstheme="minorHAnsi"/>
                <w:sz w:val="20"/>
                <w:szCs w:val="18"/>
              </w:rPr>
            </w:pPr>
            <w:r>
              <w:rPr>
                <w:rFonts w:asciiTheme="minorHAnsi" w:hAnsiTheme="minorHAnsi" w:cstheme="minorHAnsi"/>
                <w:sz w:val="20"/>
                <w:szCs w:val="18"/>
              </w:rPr>
              <w:t xml:space="preserve">Staff otherwise </w:t>
            </w:r>
            <w:r>
              <w:rPr>
                <w:rFonts w:asciiTheme="minorHAnsi" w:hAnsiTheme="minorHAnsi" w:cstheme="minorHAnsi"/>
                <w:sz w:val="20"/>
                <w:szCs w:val="18"/>
              </w:rPr>
              <w:lastRenderedPageBreak/>
              <w:t>not engaged in the procedure, but onboard the vessel in the case of a large energetic event.</w:t>
            </w:r>
          </w:p>
          <w:p w14:paraId="78BBCDEB" w14:textId="77777777" w:rsidR="002179F7" w:rsidRPr="00362DAF" w:rsidRDefault="002179F7" w:rsidP="00622670">
            <w:pPr>
              <w:rPr>
                <w:rFonts w:asciiTheme="minorHAnsi" w:hAnsiTheme="minorHAnsi" w:cstheme="minorHAnsi"/>
                <w:sz w:val="20"/>
                <w:szCs w:val="18"/>
              </w:rPr>
            </w:pPr>
            <w:r w:rsidRPr="00362DAF">
              <w:rPr>
                <w:rFonts w:asciiTheme="minorHAnsi" w:hAnsiTheme="minorHAnsi" w:cstheme="minorHAnsi"/>
                <w:sz w:val="20"/>
                <w:szCs w:val="18"/>
              </w:rPr>
              <w:t xml:space="preserve">The </w:t>
            </w:r>
            <w:r>
              <w:rPr>
                <w:rFonts w:asciiTheme="minorHAnsi" w:hAnsiTheme="minorHAnsi" w:cstheme="minorHAnsi"/>
                <w:sz w:val="20"/>
                <w:szCs w:val="18"/>
              </w:rPr>
              <w:t>Type 23 Frigate.</w:t>
            </w:r>
          </w:p>
          <w:p w14:paraId="57D79B25" w14:textId="77777777" w:rsidR="002179F7" w:rsidRDefault="002179F7" w:rsidP="00622670">
            <w:pPr>
              <w:rPr>
                <w:rFonts w:asciiTheme="minorHAnsi" w:hAnsiTheme="minorHAnsi" w:cstheme="minorHAnsi"/>
                <w:sz w:val="20"/>
                <w:szCs w:val="18"/>
              </w:rPr>
            </w:pPr>
            <w:r>
              <w:rPr>
                <w:rFonts w:asciiTheme="minorHAnsi" w:hAnsiTheme="minorHAnsi" w:cstheme="minorHAnsi"/>
                <w:sz w:val="20"/>
                <w:szCs w:val="18"/>
              </w:rPr>
              <w:t>The dock infrastructure including but limited to the crane, the moorings and transport links to the water’s edge.</w:t>
            </w:r>
          </w:p>
          <w:p w14:paraId="0567AE24" w14:textId="77777777" w:rsidR="002179F7" w:rsidRPr="00F82222" w:rsidRDefault="002179F7" w:rsidP="00622670">
            <w:pPr>
              <w:rPr>
                <w:rFonts w:asciiTheme="minorHAnsi" w:hAnsiTheme="minorHAnsi" w:cstheme="minorHAnsi"/>
                <w:sz w:val="20"/>
                <w:szCs w:val="18"/>
              </w:rPr>
            </w:pPr>
            <w:r>
              <w:rPr>
                <w:rFonts w:asciiTheme="minorHAnsi" w:hAnsiTheme="minorHAnsi" w:cstheme="minorHAnsi"/>
                <w:sz w:val="20"/>
                <w:szCs w:val="18"/>
              </w:rPr>
              <w:t xml:space="preserve">The missile cannister and Sea </w:t>
            </w:r>
            <w:proofErr w:type="spellStart"/>
            <w:r>
              <w:rPr>
                <w:rFonts w:asciiTheme="minorHAnsi" w:hAnsiTheme="minorHAnsi" w:cstheme="minorHAnsi"/>
                <w:sz w:val="20"/>
                <w:szCs w:val="18"/>
              </w:rPr>
              <w:t>Ceptor</w:t>
            </w:r>
            <w:proofErr w:type="spellEnd"/>
            <w:r>
              <w:rPr>
                <w:rFonts w:asciiTheme="minorHAnsi" w:hAnsiTheme="minorHAnsi" w:cstheme="minorHAnsi"/>
                <w:sz w:val="20"/>
                <w:szCs w:val="18"/>
              </w:rPr>
              <w:t xml:space="preserve"> itself.</w:t>
            </w:r>
          </w:p>
        </w:tc>
        <w:tc>
          <w:tcPr>
            <w:tcW w:w="8647" w:type="dxa"/>
          </w:tcPr>
          <w:p w14:paraId="75904A6E" w14:textId="77777777" w:rsidR="002179F7" w:rsidRDefault="002179F7" w:rsidP="00622670">
            <w:pPr>
              <w:pStyle w:val="ListParagraph"/>
              <w:spacing w:after="0"/>
              <w:ind w:left="0"/>
              <w:rPr>
                <w:sz w:val="20"/>
              </w:rPr>
            </w:pPr>
            <w:r>
              <w:rPr>
                <w:sz w:val="20"/>
              </w:rPr>
              <w:lastRenderedPageBreak/>
              <w:t>Physical shock:</w:t>
            </w:r>
          </w:p>
          <w:p w14:paraId="3B84565F" w14:textId="77777777" w:rsidR="002179F7" w:rsidRDefault="002179F7" w:rsidP="00622670">
            <w:pPr>
              <w:pStyle w:val="ListParagraph"/>
              <w:numPr>
                <w:ilvl w:val="0"/>
                <w:numId w:val="18"/>
              </w:numPr>
              <w:spacing w:after="0"/>
              <w:rPr>
                <w:sz w:val="20"/>
              </w:rPr>
            </w:pPr>
            <w:r>
              <w:rPr>
                <w:sz w:val="20"/>
              </w:rPr>
              <w:t>The crane shall have speed limiters as part of its design. Therefore, movements shall not exceed 5 miles per hour.</w:t>
            </w:r>
          </w:p>
          <w:p w14:paraId="5EF25074" w14:textId="77777777" w:rsidR="002179F7" w:rsidRDefault="002179F7" w:rsidP="00622670">
            <w:pPr>
              <w:pStyle w:val="ListParagraph"/>
              <w:numPr>
                <w:ilvl w:val="0"/>
                <w:numId w:val="18"/>
              </w:numPr>
              <w:spacing w:after="0"/>
              <w:rPr>
                <w:sz w:val="20"/>
              </w:rPr>
            </w:pPr>
            <w:r>
              <w:rPr>
                <w:sz w:val="20"/>
              </w:rPr>
              <w:t xml:space="preserve">Crane should be inspected before use by a competent individual to ensure functionality and against the standards set out in </w:t>
            </w:r>
            <w:r w:rsidRPr="00CB12E5">
              <w:rPr>
                <w:sz w:val="20"/>
              </w:rPr>
              <w:t>BS7121:1</w:t>
            </w:r>
            <w:sdt>
              <w:sdtPr>
                <w:rPr>
                  <w:sz w:val="20"/>
                </w:rPr>
                <w:id w:val="645244196"/>
                <w:citation/>
              </w:sdtPr>
              <w:sdtContent>
                <w:r w:rsidRPr="00CB12E5">
                  <w:rPr>
                    <w:sz w:val="20"/>
                  </w:rPr>
                  <w:fldChar w:fldCharType="begin"/>
                </w:r>
                <w:r w:rsidRPr="00CB12E5">
                  <w:rPr>
                    <w:sz w:val="20"/>
                  </w:rPr>
                  <w:instrText xml:space="preserve"> CITATION Bri16 \l 2057 </w:instrText>
                </w:r>
                <w:r w:rsidRPr="00CB12E5">
                  <w:rPr>
                    <w:sz w:val="20"/>
                  </w:rPr>
                  <w:fldChar w:fldCharType="separate"/>
                </w:r>
                <w:r>
                  <w:rPr>
                    <w:noProof/>
                    <w:sz w:val="20"/>
                  </w:rPr>
                  <w:t xml:space="preserve"> </w:t>
                </w:r>
                <w:r w:rsidRPr="00F160C3">
                  <w:rPr>
                    <w:noProof/>
                    <w:sz w:val="20"/>
                  </w:rPr>
                  <w:t>[7]</w:t>
                </w:r>
                <w:r w:rsidRPr="00CB12E5">
                  <w:rPr>
                    <w:sz w:val="20"/>
                  </w:rPr>
                  <w:fldChar w:fldCharType="end"/>
                </w:r>
              </w:sdtContent>
            </w:sdt>
            <w:r>
              <w:rPr>
                <w:sz w:val="20"/>
              </w:rPr>
              <w:t xml:space="preserve"> and </w:t>
            </w:r>
            <w:sdt>
              <w:sdtPr>
                <w:rPr>
                  <w:sz w:val="20"/>
                </w:rPr>
                <w:id w:val="1698426263"/>
                <w:citation/>
              </w:sdtPr>
              <w:sdtContent>
                <w:r>
                  <w:rPr>
                    <w:sz w:val="20"/>
                  </w:rPr>
                  <w:fldChar w:fldCharType="begin"/>
                </w:r>
                <w:r>
                  <w:rPr>
                    <w:sz w:val="20"/>
                  </w:rPr>
                  <w:instrText xml:space="preserve"> CITATION Bri121 \l 2057 </w:instrText>
                </w:r>
                <w:r>
                  <w:rPr>
                    <w:sz w:val="20"/>
                  </w:rPr>
                  <w:fldChar w:fldCharType="separate"/>
                </w:r>
                <w:r w:rsidRPr="00F160C3">
                  <w:rPr>
                    <w:noProof/>
                    <w:sz w:val="20"/>
                  </w:rPr>
                  <w:t>[8]</w:t>
                </w:r>
                <w:r>
                  <w:rPr>
                    <w:sz w:val="20"/>
                  </w:rPr>
                  <w:fldChar w:fldCharType="end"/>
                </w:r>
              </w:sdtContent>
            </w:sdt>
            <w:r>
              <w:rPr>
                <w:sz w:val="20"/>
              </w:rPr>
              <w:t>.</w:t>
            </w:r>
          </w:p>
          <w:p w14:paraId="11055918" w14:textId="77777777" w:rsidR="002179F7" w:rsidRPr="00020840" w:rsidRDefault="002179F7" w:rsidP="00622670">
            <w:pPr>
              <w:pStyle w:val="ListParagraph"/>
              <w:numPr>
                <w:ilvl w:val="0"/>
                <w:numId w:val="18"/>
              </w:numPr>
              <w:spacing w:after="0"/>
              <w:rPr>
                <w:sz w:val="20"/>
              </w:rPr>
            </w:pPr>
            <w:r>
              <w:rPr>
                <w:sz w:val="20"/>
              </w:rPr>
              <w:t xml:space="preserve">The carrying capacity of the crane shall </w:t>
            </w:r>
            <w:r>
              <w:rPr>
                <w:b/>
                <w:bCs/>
                <w:sz w:val="20"/>
                <w:u w:val="single"/>
              </w:rPr>
              <w:t>never</w:t>
            </w:r>
            <w:r>
              <w:rPr>
                <w:sz w:val="20"/>
              </w:rPr>
              <w:t xml:space="preserve"> be exceeded and must be checked prior to any planned operation.</w:t>
            </w:r>
          </w:p>
          <w:p w14:paraId="1537B73A" w14:textId="77777777" w:rsidR="002179F7" w:rsidRPr="00020840" w:rsidRDefault="002179F7" w:rsidP="00622670">
            <w:pPr>
              <w:pStyle w:val="ListParagraph"/>
              <w:numPr>
                <w:ilvl w:val="0"/>
                <w:numId w:val="18"/>
              </w:numPr>
              <w:spacing w:after="0"/>
              <w:rPr>
                <w:sz w:val="20"/>
              </w:rPr>
            </w:pPr>
            <w:r>
              <w:rPr>
                <w:sz w:val="20"/>
              </w:rPr>
              <w:t>Crane should only be operated by ONE trained and competent individual.</w:t>
            </w:r>
          </w:p>
          <w:p w14:paraId="157CE6D1" w14:textId="77777777" w:rsidR="002179F7" w:rsidRDefault="002179F7" w:rsidP="00622670">
            <w:pPr>
              <w:pStyle w:val="ListParagraph"/>
              <w:numPr>
                <w:ilvl w:val="0"/>
                <w:numId w:val="18"/>
              </w:numPr>
              <w:spacing w:after="0"/>
              <w:rPr>
                <w:sz w:val="20"/>
              </w:rPr>
            </w:pPr>
            <w:r>
              <w:rPr>
                <w:sz w:val="20"/>
              </w:rPr>
              <w:t xml:space="preserve">The missile cannister should be secured using approved and tested methods, such as </w:t>
            </w:r>
            <w:r>
              <w:rPr>
                <w:sz w:val="20"/>
              </w:rPr>
              <w:lastRenderedPageBreak/>
              <w:t xml:space="preserve">ratchet straps and pallets. All equipment is to be checked and approved by the lift supervisor prior to use, </w:t>
            </w:r>
          </w:p>
          <w:p w14:paraId="73AFA2FC" w14:textId="77777777" w:rsidR="002179F7" w:rsidRDefault="002179F7" w:rsidP="00622670">
            <w:pPr>
              <w:pStyle w:val="ListParagraph"/>
              <w:numPr>
                <w:ilvl w:val="0"/>
                <w:numId w:val="18"/>
              </w:numPr>
              <w:spacing w:after="0"/>
              <w:rPr>
                <w:sz w:val="20"/>
              </w:rPr>
            </w:pPr>
            <w:r>
              <w:rPr>
                <w:sz w:val="20"/>
              </w:rPr>
              <w:t>A planned walk through is to take place no later than 24hours prior to the operation and will not involve energetic components but will raise inert similarly weighted materials using the crane to a height of 50cm to test securing method and equipment.</w:t>
            </w:r>
          </w:p>
          <w:p w14:paraId="340C8D31" w14:textId="77777777" w:rsidR="002179F7" w:rsidRDefault="002179F7" w:rsidP="00622670">
            <w:pPr>
              <w:pStyle w:val="ListParagraph"/>
              <w:numPr>
                <w:ilvl w:val="0"/>
                <w:numId w:val="18"/>
              </w:numPr>
              <w:spacing w:after="0"/>
              <w:rPr>
                <w:sz w:val="20"/>
              </w:rPr>
            </w:pPr>
            <w:r>
              <w:rPr>
                <w:sz w:val="20"/>
              </w:rPr>
              <w:t>The crane operator must maintain line-of-sight with TWO spotters and always have direct communications with them during the manoeuvre. A lift supervisor will have overall control of the operation and should maintain direct communications with the crane operator, dock spotter and deck spotter, as well as communications with staff responsible for the overall management of both the vessel and dock e.g., captain and dock manager.</w:t>
            </w:r>
          </w:p>
          <w:p w14:paraId="60915D27" w14:textId="77777777" w:rsidR="002179F7" w:rsidRPr="00BC64A5" w:rsidRDefault="002179F7" w:rsidP="00622670">
            <w:pPr>
              <w:pStyle w:val="ListParagraph"/>
              <w:numPr>
                <w:ilvl w:val="0"/>
                <w:numId w:val="18"/>
              </w:numPr>
              <w:spacing w:after="0"/>
              <w:rPr>
                <w:sz w:val="20"/>
              </w:rPr>
            </w:pPr>
            <w:r>
              <w:rPr>
                <w:sz w:val="20"/>
              </w:rPr>
              <w:t>No other staff may be within the area of operation of the crane on the dock after the load is secured and the manoeuvre has begun. A crane alarm and flashing amber light will alert of this and is activated automatically before movement.</w:t>
            </w:r>
          </w:p>
          <w:p w14:paraId="43AF7E87" w14:textId="77777777" w:rsidR="002179F7" w:rsidRDefault="002179F7" w:rsidP="00622670">
            <w:pPr>
              <w:pStyle w:val="ListParagraph"/>
              <w:numPr>
                <w:ilvl w:val="0"/>
                <w:numId w:val="18"/>
              </w:numPr>
              <w:spacing w:after="0"/>
              <w:rPr>
                <w:sz w:val="20"/>
              </w:rPr>
            </w:pPr>
            <w:r>
              <w:rPr>
                <w:sz w:val="20"/>
              </w:rPr>
              <w:t>The dock spotter will observe and advise the crane operator during the move.</w:t>
            </w:r>
          </w:p>
          <w:p w14:paraId="3E95E752" w14:textId="77777777" w:rsidR="002179F7" w:rsidRDefault="002179F7" w:rsidP="00622670">
            <w:pPr>
              <w:pStyle w:val="ListParagraph"/>
              <w:numPr>
                <w:ilvl w:val="0"/>
                <w:numId w:val="18"/>
              </w:numPr>
              <w:spacing w:after="0"/>
              <w:rPr>
                <w:sz w:val="20"/>
              </w:rPr>
            </w:pPr>
            <w:r>
              <w:rPr>
                <w:sz w:val="20"/>
              </w:rPr>
              <w:t xml:space="preserve">The deck spotter will supervise the detachment of the crane and its movement back to the dock. </w:t>
            </w:r>
          </w:p>
          <w:p w14:paraId="17D80C4F" w14:textId="77777777" w:rsidR="002179F7" w:rsidRDefault="002179F7" w:rsidP="00622670">
            <w:pPr>
              <w:pStyle w:val="ListParagraph"/>
              <w:numPr>
                <w:ilvl w:val="0"/>
                <w:numId w:val="18"/>
              </w:numPr>
              <w:spacing w:after="0"/>
              <w:rPr>
                <w:sz w:val="20"/>
              </w:rPr>
            </w:pPr>
            <w:r>
              <w:rPr>
                <w:sz w:val="20"/>
              </w:rPr>
              <w:t xml:space="preserve">The deck spotter will only begin to detach Sea </w:t>
            </w:r>
            <w:proofErr w:type="spellStart"/>
            <w:r>
              <w:rPr>
                <w:sz w:val="20"/>
              </w:rPr>
              <w:t>Ceptor</w:t>
            </w:r>
            <w:proofErr w:type="spellEnd"/>
            <w:r>
              <w:rPr>
                <w:sz w:val="20"/>
              </w:rPr>
              <w:t xml:space="preserve"> when they are happy to do so and once given a clear signal from the lift supervisor, signalling that the movement operation is complete.</w:t>
            </w:r>
          </w:p>
          <w:p w14:paraId="565CEC2B" w14:textId="77777777" w:rsidR="002179F7" w:rsidRDefault="002179F7" w:rsidP="00622670">
            <w:pPr>
              <w:pStyle w:val="ListParagraph"/>
              <w:numPr>
                <w:ilvl w:val="0"/>
                <w:numId w:val="18"/>
              </w:numPr>
              <w:spacing w:after="0"/>
              <w:rPr>
                <w:sz w:val="20"/>
              </w:rPr>
            </w:pPr>
            <w:r>
              <w:rPr>
                <w:sz w:val="20"/>
              </w:rPr>
              <w:t>Staff assisting in the detachment should only proceed to the unloading deck area with the clear permission of the deck spotter and still should not exceed FIVE members of staff.</w:t>
            </w:r>
          </w:p>
          <w:p w14:paraId="45DD13AC" w14:textId="6E7DD294" w:rsidR="002179F7" w:rsidRDefault="002179F7" w:rsidP="00622670">
            <w:pPr>
              <w:pStyle w:val="ListParagraph"/>
              <w:numPr>
                <w:ilvl w:val="0"/>
                <w:numId w:val="18"/>
              </w:numPr>
              <w:spacing w:after="0"/>
              <w:rPr>
                <w:sz w:val="20"/>
              </w:rPr>
            </w:pPr>
            <w:r>
              <w:rPr>
                <w:sz w:val="20"/>
              </w:rPr>
              <w:t xml:space="preserve">All staff involved in the operation will be trained and deemed competent according to </w:t>
            </w:r>
            <w:hyperlink r:id="rId16" w:history="1">
              <w:r w:rsidRPr="00F160C3">
                <w:rPr>
                  <w:rStyle w:val="Hyperlink"/>
                  <w:sz w:val="20"/>
                </w:rPr>
                <w:t>Explosive Regulations 2014 Safety Provisions</w:t>
              </w:r>
            </w:hyperlink>
            <w:r>
              <w:rPr>
                <w:sz w:val="20"/>
              </w:rPr>
              <w:t xml:space="preserve"> </w:t>
            </w:r>
            <w:sdt>
              <w:sdtPr>
                <w:rPr>
                  <w:sz w:val="20"/>
                </w:rPr>
                <w:id w:val="137927807"/>
                <w:citation/>
              </w:sdtPr>
              <w:sdtContent>
                <w:r>
                  <w:rPr>
                    <w:sz w:val="20"/>
                  </w:rPr>
                  <w:fldChar w:fldCharType="begin"/>
                </w:r>
                <w:r>
                  <w:rPr>
                    <w:sz w:val="20"/>
                  </w:rPr>
                  <w:instrText xml:space="preserve">CITATION Placeholder5 \l 2057 </w:instrText>
                </w:r>
                <w:r>
                  <w:rPr>
                    <w:sz w:val="20"/>
                  </w:rPr>
                  <w:fldChar w:fldCharType="separate"/>
                </w:r>
                <w:r w:rsidRPr="002179F7">
                  <w:rPr>
                    <w:noProof/>
                    <w:sz w:val="20"/>
                  </w:rPr>
                  <w:t>[9]</w:t>
                </w:r>
                <w:r>
                  <w:rPr>
                    <w:sz w:val="20"/>
                  </w:rPr>
                  <w:fldChar w:fldCharType="end"/>
                </w:r>
              </w:sdtContent>
            </w:sdt>
            <w:r>
              <w:rPr>
                <w:sz w:val="20"/>
              </w:rPr>
              <w:t>.</w:t>
            </w:r>
          </w:p>
          <w:p w14:paraId="4D489675" w14:textId="77777777" w:rsidR="002179F7" w:rsidRDefault="002179F7" w:rsidP="00622670">
            <w:pPr>
              <w:spacing w:after="0"/>
              <w:rPr>
                <w:sz w:val="20"/>
              </w:rPr>
            </w:pPr>
            <w:r>
              <w:rPr>
                <w:sz w:val="20"/>
              </w:rPr>
              <w:t>Electrical shock:</w:t>
            </w:r>
          </w:p>
          <w:p w14:paraId="74C0F2B3" w14:textId="77777777" w:rsidR="002179F7" w:rsidRDefault="002179F7" w:rsidP="00622670">
            <w:pPr>
              <w:pStyle w:val="ListParagraph"/>
              <w:numPr>
                <w:ilvl w:val="0"/>
                <w:numId w:val="19"/>
              </w:numPr>
              <w:spacing w:after="0"/>
              <w:rPr>
                <w:sz w:val="20"/>
              </w:rPr>
            </w:pPr>
            <w:r>
              <w:rPr>
                <w:sz w:val="20"/>
              </w:rPr>
              <w:lastRenderedPageBreak/>
              <w:t>The crane shall be earthed.</w:t>
            </w:r>
          </w:p>
          <w:p w14:paraId="292BA1F5" w14:textId="77777777" w:rsidR="002179F7" w:rsidRDefault="002179F7" w:rsidP="00622670">
            <w:pPr>
              <w:pStyle w:val="ListParagraph"/>
              <w:numPr>
                <w:ilvl w:val="0"/>
                <w:numId w:val="19"/>
              </w:numPr>
              <w:spacing w:after="0"/>
              <w:rPr>
                <w:sz w:val="20"/>
              </w:rPr>
            </w:pPr>
            <w:r>
              <w:rPr>
                <w:sz w:val="20"/>
              </w:rPr>
              <w:t>The pallet containing the missile cannister will be earthed at the dock with the cable only to be removed once the crane is securely attached.</w:t>
            </w:r>
          </w:p>
          <w:p w14:paraId="09F10142" w14:textId="77777777" w:rsidR="002179F7" w:rsidRDefault="002179F7" w:rsidP="00622670">
            <w:pPr>
              <w:pStyle w:val="ListParagraph"/>
              <w:numPr>
                <w:ilvl w:val="0"/>
                <w:numId w:val="19"/>
              </w:numPr>
              <w:spacing w:after="0"/>
              <w:rPr>
                <w:sz w:val="20"/>
              </w:rPr>
            </w:pPr>
            <w:r>
              <w:rPr>
                <w:sz w:val="20"/>
              </w:rPr>
              <w:t>Prior to movement the RF outputs of the crane are to be assessed by a competent and trained individual to ensure compatibility in working with explosives.</w:t>
            </w:r>
          </w:p>
          <w:p w14:paraId="7DC9FEDD" w14:textId="77777777" w:rsidR="002179F7" w:rsidRDefault="002179F7" w:rsidP="00622670">
            <w:pPr>
              <w:spacing w:after="0"/>
              <w:rPr>
                <w:sz w:val="20"/>
              </w:rPr>
            </w:pPr>
            <w:r>
              <w:rPr>
                <w:sz w:val="20"/>
              </w:rPr>
              <w:t>Environmental conditions:</w:t>
            </w:r>
          </w:p>
          <w:p w14:paraId="494365D6" w14:textId="77777777" w:rsidR="002179F7" w:rsidRDefault="002179F7" w:rsidP="00622670">
            <w:pPr>
              <w:pStyle w:val="ListParagraph"/>
              <w:numPr>
                <w:ilvl w:val="0"/>
                <w:numId w:val="20"/>
              </w:numPr>
              <w:spacing w:after="0"/>
              <w:rPr>
                <w:sz w:val="20"/>
              </w:rPr>
            </w:pPr>
            <w:r>
              <w:rPr>
                <w:sz w:val="20"/>
              </w:rPr>
              <w:t>Before any loading operation is to be conducted the missile cannister is to be visually examined by a competent and trained member of staff to ensure that no environmental degradation has occurred prior to loading.</w:t>
            </w:r>
          </w:p>
          <w:p w14:paraId="39A69ED4" w14:textId="77777777" w:rsidR="002179F7" w:rsidRDefault="002179F7" w:rsidP="00622670">
            <w:pPr>
              <w:pStyle w:val="ListParagraph"/>
              <w:numPr>
                <w:ilvl w:val="0"/>
                <w:numId w:val="20"/>
              </w:numPr>
              <w:spacing w:after="0"/>
              <w:rPr>
                <w:sz w:val="20"/>
              </w:rPr>
            </w:pPr>
            <w:r>
              <w:rPr>
                <w:sz w:val="20"/>
              </w:rPr>
              <w:t xml:space="preserve">Prior to any operation the lift supervisor is to monitor any weather reports detailing conditions during the proposed lift time. A final check is to be conducted 1hr prior to the move and if adverse conditions are identified at this time, then operation is to be halted immediately and rescheduled. </w:t>
            </w:r>
          </w:p>
          <w:p w14:paraId="48280DEC" w14:textId="77777777" w:rsidR="002179F7" w:rsidRDefault="002179F7" w:rsidP="00622670">
            <w:pPr>
              <w:spacing w:after="0"/>
              <w:rPr>
                <w:sz w:val="20"/>
              </w:rPr>
            </w:pPr>
            <w:r>
              <w:rPr>
                <w:sz w:val="20"/>
              </w:rPr>
              <w:t>Transport considerations:</w:t>
            </w:r>
          </w:p>
          <w:p w14:paraId="43AAE795" w14:textId="77777777" w:rsidR="002179F7" w:rsidRDefault="002179F7" w:rsidP="00622670">
            <w:pPr>
              <w:pStyle w:val="ListParagraph"/>
              <w:numPr>
                <w:ilvl w:val="0"/>
                <w:numId w:val="21"/>
              </w:numPr>
              <w:spacing w:after="0"/>
              <w:rPr>
                <w:sz w:val="20"/>
              </w:rPr>
            </w:pPr>
            <w:r>
              <w:rPr>
                <w:sz w:val="20"/>
              </w:rPr>
              <w:t xml:space="preserve">The lift supervisor must check all paperwork prior to the move from dock to ship. The paperwork needs to be compliant with the ADR with a consignee and consignor clearly identified. </w:t>
            </w:r>
          </w:p>
          <w:p w14:paraId="0E831899" w14:textId="77777777" w:rsidR="002179F7" w:rsidRDefault="002179F7" w:rsidP="00622670">
            <w:pPr>
              <w:pStyle w:val="ListParagraph"/>
              <w:numPr>
                <w:ilvl w:val="0"/>
                <w:numId w:val="21"/>
              </w:numPr>
              <w:spacing w:after="0"/>
              <w:rPr>
                <w:sz w:val="20"/>
              </w:rPr>
            </w:pPr>
            <w:r>
              <w:rPr>
                <w:sz w:val="20"/>
              </w:rPr>
              <w:t xml:space="preserve">The missile cannister packaging is to be inspected to make sure it is compliant with ADR and correctly displays the explosive markings and categories for Sea </w:t>
            </w:r>
            <w:proofErr w:type="spellStart"/>
            <w:r>
              <w:rPr>
                <w:sz w:val="20"/>
              </w:rPr>
              <w:t>Ceptor</w:t>
            </w:r>
            <w:proofErr w:type="spellEnd"/>
            <w:r>
              <w:rPr>
                <w:sz w:val="20"/>
              </w:rPr>
              <w:t xml:space="preserve"> – should these not be displayed the consignee should be located immediately and the movement operation halted.</w:t>
            </w:r>
          </w:p>
          <w:p w14:paraId="56535469" w14:textId="77777777" w:rsidR="002179F7" w:rsidRPr="007B4D71" w:rsidRDefault="002179F7" w:rsidP="00622670">
            <w:pPr>
              <w:pStyle w:val="ListParagraph"/>
              <w:numPr>
                <w:ilvl w:val="0"/>
                <w:numId w:val="21"/>
              </w:numPr>
              <w:spacing w:after="0"/>
              <w:rPr>
                <w:sz w:val="20"/>
              </w:rPr>
            </w:pPr>
            <w:r>
              <w:rPr>
                <w:sz w:val="20"/>
              </w:rPr>
              <w:t xml:space="preserve">Should all paperwork be appropriate and accounted for the missile cannister is also to be </w:t>
            </w:r>
            <w:r>
              <w:rPr>
                <w:sz w:val="20"/>
              </w:rPr>
              <w:lastRenderedPageBreak/>
              <w:t>finally inspected by suitably competent members of the lift team to ensure there is no damage to the cannister. Should damage be displayed the operation is to be halted and the lift supervisor is to contact the consignee and investigate with the transport team in coordination with the dock manager to ensure proper handling of the item.</w:t>
            </w:r>
          </w:p>
        </w:tc>
      </w:tr>
      <w:tr w:rsidR="002179F7" w:rsidRPr="00304BA2" w14:paraId="6E380D03" w14:textId="77777777" w:rsidTr="00622670">
        <w:trPr>
          <w:trHeight w:val="402"/>
          <w:jc w:val="center"/>
        </w:trPr>
        <w:tc>
          <w:tcPr>
            <w:tcW w:w="623" w:type="dxa"/>
          </w:tcPr>
          <w:p w14:paraId="2E28E76E" w14:textId="77777777" w:rsidR="002179F7" w:rsidRPr="00304BA2" w:rsidRDefault="002179F7" w:rsidP="00622670">
            <w:pPr>
              <w:rPr>
                <w:rFonts w:asciiTheme="minorHAnsi" w:eastAsia="Times New Roman" w:hAnsiTheme="minorHAnsi" w:cstheme="minorHAnsi"/>
                <w:iCs/>
                <w:szCs w:val="22"/>
              </w:rPr>
            </w:pPr>
            <w:r>
              <w:rPr>
                <w:rFonts w:asciiTheme="minorHAnsi" w:eastAsia="Times New Roman" w:hAnsiTheme="minorHAnsi" w:cstheme="minorHAnsi"/>
                <w:iCs/>
                <w:szCs w:val="22"/>
              </w:rPr>
              <w:lastRenderedPageBreak/>
              <w:t>2</w:t>
            </w:r>
          </w:p>
        </w:tc>
        <w:tc>
          <w:tcPr>
            <w:tcW w:w="1559" w:type="dxa"/>
          </w:tcPr>
          <w:p w14:paraId="72434452" w14:textId="77777777" w:rsidR="002179F7" w:rsidRPr="00F82222" w:rsidRDefault="002179F7" w:rsidP="00622670">
            <w:pPr>
              <w:rPr>
                <w:sz w:val="20"/>
              </w:rPr>
            </w:pPr>
            <w:r>
              <w:rPr>
                <w:sz w:val="20"/>
              </w:rPr>
              <w:t>Sharp and protruding edges.</w:t>
            </w:r>
          </w:p>
        </w:tc>
        <w:tc>
          <w:tcPr>
            <w:tcW w:w="2977" w:type="dxa"/>
          </w:tcPr>
          <w:p w14:paraId="19A0E412" w14:textId="77777777" w:rsidR="002179F7" w:rsidRDefault="002179F7" w:rsidP="00622670">
            <w:pPr>
              <w:spacing w:before="0" w:line="240" w:lineRule="auto"/>
              <w:rPr>
                <w:rFonts w:asciiTheme="minorHAnsi" w:hAnsiTheme="minorHAnsi" w:cstheme="minorHAnsi"/>
                <w:sz w:val="20"/>
                <w:szCs w:val="18"/>
              </w:rPr>
            </w:pPr>
            <w:r>
              <w:rPr>
                <w:rFonts w:asciiTheme="minorHAnsi" w:hAnsiTheme="minorHAnsi" w:cstheme="minorHAnsi"/>
                <w:sz w:val="20"/>
                <w:szCs w:val="18"/>
              </w:rPr>
              <w:t>Physical:</w:t>
            </w:r>
          </w:p>
          <w:p w14:paraId="4C5A37C4" w14:textId="77777777" w:rsidR="002179F7" w:rsidRDefault="002179F7" w:rsidP="00622670">
            <w:pPr>
              <w:spacing w:before="0" w:line="240" w:lineRule="auto"/>
              <w:rPr>
                <w:rFonts w:asciiTheme="minorHAnsi" w:hAnsiTheme="minorHAnsi" w:cstheme="minorHAnsi"/>
                <w:sz w:val="20"/>
                <w:szCs w:val="18"/>
              </w:rPr>
            </w:pPr>
            <w:r>
              <w:rPr>
                <w:rFonts w:asciiTheme="minorHAnsi" w:hAnsiTheme="minorHAnsi" w:cstheme="minorHAnsi"/>
                <w:sz w:val="20"/>
                <w:szCs w:val="18"/>
              </w:rPr>
              <w:t>Missile cannister:</w:t>
            </w:r>
          </w:p>
          <w:p w14:paraId="3C1A4101" w14:textId="77777777" w:rsidR="002179F7" w:rsidRDefault="002179F7" w:rsidP="00622670">
            <w:pPr>
              <w:spacing w:before="0" w:line="240" w:lineRule="auto"/>
              <w:rPr>
                <w:rFonts w:asciiTheme="minorHAnsi" w:hAnsiTheme="minorHAnsi" w:cstheme="minorHAnsi"/>
                <w:sz w:val="20"/>
                <w:szCs w:val="18"/>
              </w:rPr>
            </w:pPr>
            <w:r>
              <w:rPr>
                <w:rFonts w:asciiTheme="minorHAnsi" w:hAnsiTheme="minorHAnsi" w:cstheme="minorHAnsi"/>
                <w:sz w:val="20"/>
                <w:szCs w:val="18"/>
              </w:rPr>
              <w:t>Cannister could impact on a sharp or protruding edge during movement from dock to vessel.</w:t>
            </w:r>
          </w:p>
          <w:p w14:paraId="563CA54B" w14:textId="77777777" w:rsidR="002179F7" w:rsidRDefault="002179F7" w:rsidP="00622670">
            <w:pPr>
              <w:spacing w:before="0" w:line="240" w:lineRule="auto"/>
              <w:rPr>
                <w:rFonts w:asciiTheme="minorHAnsi" w:hAnsiTheme="minorHAnsi" w:cstheme="minorHAnsi"/>
                <w:sz w:val="20"/>
                <w:szCs w:val="18"/>
              </w:rPr>
            </w:pPr>
            <w:r>
              <w:rPr>
                <w:rFonts w:asciiTheme="minorHAnsi" w:hAnsiTheme="minorHAnsi" w:cstheme="minorHAnsi"/>
                <w:sz w:val="20"/>
                <w:szCs w:val="18"/>
              </w:rPr>
              <w:t>Cannister could impact on a sharp or protruding edge during loading.</w:t>
            </w:r>
          </w:p>
          <w:p w14:paraId="6F9E1798" w14:textId="77777777" w:rsidR="002179F7" w:rsidRDefault="002179F7" w:rsidP="00622670">
            <w:pPr>
              <w:spacing w:before="0" w:line="240" w:lineRule="auto"/>
              <w:rPr>
                <w:rFonts w:asciiTheme="minorHAnsi" w:hAnsiTheme="minorHAnsi" w:cstheme="minorHAnsi"/>
                <w:sz w:val="20"/>
                <w:szCs w:val="18"/>
              </w:rPr>
            </w:pPr>
            <w:r>
              <w:rPr>
                <w:rFonts w:asciiTheme="minorHAnsi" w:hAnsiTheme="minorHAnsi" w:cstheme="minorHAnsi"/>
                <w:sz w:val="20"/>
                <w:szCs w:val="18"/>
              </w:rPr>
              <w:t>Cannister could impact on a sharp or protruding edge when placed into storage.</w:t>
            </w:r>
          </w:p>
          <w:p w14:paraId="1EFC0AE5" w14:textId="77777777" w:rsidR="002179F7" w:rsidRDefault="002179F7" w:rsidP="00622670">
            <w:pPr>
              <w:spacing w:before="0" w:line="240" w:lineRule="auto"/>
              <w:rPr>
                <w:rFonts w:asciiTheme="minorHAnsi" w:hAnsiTheme="minorHAnsi" w:cstheme="minorHAnsi"/>
                <w:sz w:val="20"/>
                <w:szCs w:val="18"/>
              </w:rPr>
            </w:pPr>
            <w:r>
              <w:rPr>
                <w:rFonts w:asciiTheme="minorHAnsi" w:hAnsiTheme="minorHAnsi" w:cstheme="minorHAnsi"/>
                <w:sz w:val="20"/>
                <w:szCs w:val="18"/>
              </w:rPr>
              <w:t>Staff:</w:t>
            </w:r>
          </w:p>
          <w:p w14:paraId="463AC397" w14:textId="77777777" w:rsidR="002179F7" w:rsidRDefault="002179F7" w:rsidP="00622670">
            <w:pPr>
              <w:spacing w:before="0" w:line="240" w:lineRule="auto"/>
              <w:rPr>
                <w:rFonts w:asciiTheme="minorHAnsi" w:hAnsiTheme="minorHAnsi" w:cstheme="minorHAnsi"/>
                <w:sz w:val="20"/>
                <w:szCs w:val="18"/>
              </w:rPr>
            </w:pPr>
            <w:r>
              <w:rPr>
                <w:rFonts w:asciiTheme="minorHAnsi" w:hAnsiTheme="minorHAnsi" w:cstheme="minorHAnsi"/>
                <w:sz w:val="20"/>
                <w:szCs w:val="18"/>
              </w:rPr>
              <w:t>Staff could injure themselves on sharp or protruding edges whilst performing the above operations.</w:t>
            </w:r>
          </w:p>
          <w:p w14:paraId="576E4DDF" w14:textId="77777777" w:rsidR="002179F7" w:rsidRDefault="002179F7" w:rsidP="00622670">
            <w:pPr>
              <w:pStyle w:val="ListParagraph"/>
              <w:numPr>
                <w:ilvl w:val="0"/>
                <w:numId w:val="22"/>
              </w:numPr>
              <w:spacing w:before="0" w:line="240" w:lineRule="auto"/>
              <w:rPr>
                <w:rFonts w:cstheme="minorHAnsi"/>
                <w:sz w:val="20"/>
                <w:szCs w:val="18"/>
              </w:rPr>
            </w:pPr>
            <w:proofErr w:type="gramStart"/>
            <w:r>
              <w:rPr>
                <w:rFonts w:cstheme="minorHAnsi"/>
                <w:sz w:val="20"/>
                <w:szCs w:val="18"/>
              </w:rPr>
              <w:t>Particular considerations</w:t>
            </w:r>
            <w:proofErr w:type="gramEnd"/>
            <w:r>
              <w:rPr>
                <w:rFonts w:cstheme="minorHAnsi"/>
                <w:sz w:val="20"/>
                <w:szCs w:val="18"/>
              </w:rPr>
              <w:t xml:space="preserve"> should be the likelihood of head injuries.</w:t>
            </w:r>
            <w:r w:rsidRPr="005A0A08">
              <w:rPr>
                <w:rFonts w:cstheme="minorHAnsi"/>
                <w:sz w:val="20"/>
                <w:szCs w:val="18"/>
              </w:rPr>
              <w:t xml:space="preserve"> </w:t>
            </w:r>
          </w:p>
          <w:p w14:paraId="3DAE51EF" w14:textId="77777777" w:rsidR="002179F7" w:rsidRDefault="002179F7" w:rsidP="00622670">
            <w:pPr>
              <w:spacing w:before="0" w:line="240" w:lineRule="auto"/>
              <w:rPr>
                <w:rFonts w:cstheme="minorHAnsi"/>
                <w:sz w:val="20"/>
                <w:szCs w:val="18"/>
              </w:rPr>
            </w:pPr>
            <w:r>
              <w:rPr>
                <w:rFonts w:cstheme="minorHAnsi"/>
                <w:sz w:val="20"/>
                <w:szCs w:val="18"/>
              </w:rPr>
              <w:t>Environmental:</w:t>
            </w:r>
          </w:p>
          <w:p w14:paraId="638A0335" w14:textId="77777777" w:rsidR="002179F7" w:rsidRPr="00E94059" w:rsidRDefault="002179F7" w:rsidP="00622670">
            <w:pPr>
              <w:spacing w:before="0" w:line="240" w:lineRule="auto"/>
              <w:rPr>
                <w:rFonts w:cstheme="minorHAnsi"/>
                <w:sz w:val="20"/>
                <w:szCs w:val="18"/>
              </w:rPr>
            </w:pPr>
            <w:r>
              <w:rPr>
                <w:rFonts w:cstheme="minorHAnsi"/>
                <w:sz w:val="20"/>
                <w:szCs w:val="18"/>
              </w:rPr>
              <w:t>Weather increasing the instability of the vessel</w:t>
            </w:r>
          </w:p>
        </w:tc>
        <w:tc>
          <w:tcPr>
            <w:tcW w:w="1701" w:type="dxa"/>
          </w:tcPr>
          <w:p w14:paraId="40A9E9BC" w14:textId="77777777" w:rsidR="002179F7" w:rsidRDefault="002179F7" w:rsidP="00622670">
            <w:pPr>
              <w:spacing w:before="0" w:line="240" w:lineRule="auto"/>
              <w:rPr>
                <w:rFonts w:asciiTheme="minorHAnsi" w:hAnsiTheme="minorHAnsi" w:cstheme="minorHAnsi"/>
                <w:sz w:val="20"/>
                <w:szCs w:val="18"/>
              </w:rPr>
            </w:pPr>
            <w:r>
              <w:rPr>
                <w:rFonts w:asciiTheme="minorHAnsi" w:hAnsiTheme="minorHAnsi" w:cstheme="minorHAnsi"/>
                <w:sz w:val="20"/>
                <w:szCs w:val="18"/>
              </w:rPr>
              <w:t>Staff involved in the operation.</w:t>
            </w:r>
          </w:p>
          <w:p w14:paraId="5178B733" w14:textId="77777777" w:rsidR="002179F7" w:rsidRDefault="002179F7" w:rsidP="00622670">
            <w:pPr>
              <w:spacing w:before="0" w:line="240" w:lineRule="auto"/>
              <w:rPr>
                <w:rFonts w:asciiTheme="minorHAnsi" w:hAnsiTheme="minorHAnsi" w:cstheme="minorHAnsi"/>
                <w:sz w:val="20"/>
                <w:szCs w:val="18"/>
              </w:rPr>
            </w:pPr>
            <w:r>
              <w:rPr>
                <w:rFonts w:asciiTheme="minorHAnsi" w:hAnsiTheme="minorHAnsi" w:cstheme="minorHAnsi"/>
                <w:sz w:val="20"/>
                <w:szCs w:val="18"/>
              </w:rPr>
              <w:t>Staff otherwise in the vicinity of the operation.</w:t>
            </w:r>
          </w:p>
          <w:p w14:paraId="1F18FA91" w14:textId="77777777" w:rsidR="002179F7" w:rsidRDefault="002179F7" w:rsidP="00622670">
            <w:pPr>
              <w:spacing w:before="0" w:line="240" w:lineRule="auto"/>
              <w:rPr>
                <w:rFonts w:asciiTheme="minorHAnsi" w:hAnsiTheme="minorHAnsi" w:cstheme="minorHAnsi"/>
                <w:sz w:val="20"/>
                <w:szCs w:val="18"/>
              </w:rPr>
            </w:pPr>
            <w:r>
              <w:rPr>
                <w:rFonts w:asciiTheme="minorHAnsi" w:hAnsiTheme="minorHAnsi" w:cstheme="minorHAnsi"/>
                <w:sz w:val="20"/>
                <w:szCs w:val="18"/>
              </w:rPr>
              <w:t xml:space="preserve">The Sea </w:t>
            </w:r>
            <w:proofErr w:type="spellStart"/>
            <w:r>
              <w:rPr>
                <w:rFonts w:asciiTheme="minorHAnsi" w:hAnsiTheme="minorHAnsi" w:cstheme="minorHAnsi"/>
                <w:sz w:val="20"/>
                <w:szCs w:val="18"/>
              </w:rPr>
              <w:t>Ceptor</w:t>
            </w:r>
            <w:proofErr w:type="spellEnd"/>
            <w:r>
              <w:rPr>
                <w:rFonts w:asciiTheme="minorHAnsi" w:hAnsiTheme="minorHAnsi" w:cstheme="minorHAnsi"/>
                <w:sz w:val="20"/>
                <w:szCs w:val="18"/>
              </w:rPr>
              <w:t xml:space="preserve"> missile.</w:t>
            </w:r>
          </w:p>
          <w:p w14:paraId="1C515AC1" w14:textId="77777777" w:rsidR="002179F7" w:rsidRDefault="002179F7" w:rsidP="00622670">
            <w:pPr>
              <w:spacing w:before="0" w:line="240" w:lineRule="auto"/>
              <w:rPr>
                <w:rFonts w:asciiTheme="minorHAnsi" w:hAnsiTheme="minorHAnsi" w:cstheme="minorHAnsi"/>
                <w:sz w:val="20"/>
                <w:szCs w:val="18"/>
              </w:rPr>
            </w:pPr>
            <w:r>
              <w:rPr>
                <w:rFonts w:asciiTheme="minorHAnsi" w:hAnsiTheme="minorHAnsi" w:cstheme="minorHAnsi"/>
                <w:sz w:val="20"/>
                <w:szCs w:val="18"/>
              </w:rPr>
              <w:t>The Type 23 vessel.</w:t>
            </w:r>
          </w:p>
          <w:p w14:paraId="78135BED" w14:textId="77777777" w:rsidR="002179F7" w:rsidRPr="00F82222" w:rsidRDefault="002179F7" w:rsidP="00622670">
            <w:pPr>
              <w:spacing w:before="0" w:line="240" w:lineRule="auto"/>
              <w:rPr>
                <w:rFonts w:asciiTheme="minorHAnsi" w:hAnsiTheme="minorHAnsi" w:cstheme="minorHAnsi"/>
                <w:sz w:val="20"/>
                <w:szCs w:val="18"/>
              </w:rPr>
            </w:pPr>
          </w:p>
        </w:tc>
        <w:tc>
          <w:tcPr>
            <w:tcW w:w="8647" w:type="dxa"/>
          </w:tcPr>
          <w:p w14:paraId="19BA8DAF" w14:textId="77777777" w:rsidR="002179F7" w:rsidRDefault="002179F7" w:rsidP="00622670">
            <w:pPr>
              <w:pStyle w:val="ListParagraph"/>
              <w:spacing w:after="0"/>
              <w:ind w:left="0"/>
              <w:rPr>
                <w:rFonts w:cstheme="minorHAnsi"/>
                <w:sz w:val="20"/>
                <w:szCs w:val="18"/>
              </w:rPr>
            </w:pPr>
            <w:r>
              <w:rPr>
                <w:rFonts w:cstheme="minorHAnsi"/>
                <w:sz w:val="20"/>
                <w:szCs w:val="18"/>
              </w:rPr>
              <w:t>Missile Cannister:</w:t>
            </w:r>
          </w:p>
          <w:p w14:paraId="24DA2C59" w14:textId="77777777" w:rsidR="002179F7" w:rsidRDefault="002179F7" w:rsidP="00622670">
            <w:pPr>
              <w:pStyle w:val="ListParagraph"/>
              <w:numPr>
                <w:ilvl w:val="0"/>
                <w:numId w:val="22"/>
              </w:numPr>
              <w:spacing w:after="0"/>
              <w:rPr>
                <w:rFonts w:cstheme="minorHAnsi"/>
                <w:sz w:val="20"/>
                <w:szCs w:val="18"/>
              </w:rPr>
            </w:pPr>
            <w:r>
              <w:rPr>
                <w:rFonts w:cstheme="minorHAnsi"/>
                <w:sz w:val="20"/>
                <w:szCs w:val="18"/>
              </w:rPr>
              <w:t>Prior to movement the operation shall be subject to a dry walk-through with all staff to be involved in the operation. Areas where there is the potential for impact between the missile cannister and the vessel shall be identified, and the lift supervisor will work with the engineering team to provide temporary solutions ahead of the lift operation.</w:t>
            </w:r>
          </w:p>
          <w:p w14:paraId="60E40788" w14:textId="77777777" w:rsidR="002179F7" w:rsidRDefault="002179F7" w:rsidP="00622670">
            <w:pPr>
              <w:pStyle w:val="ListParagraph"/>
              <w:numPr>
                <w:ilvl w:val="0"/>
                <w:numId w:val="22"/>
              </w:numPr>
              <w:spacing w:after="0"/>
              <w:rPr>
                <w:rFonts w:cstheme="minorHAnsi"/>
                <w:sz w:val="20"/>
                <w:szCs w:val="18"/>
              </w:rPr>
            </w:pPr>
            <w:r>
              <w:rPr>
                <w:rFonts w:cstheme="minorHAnsi"/>
                <w:sz w:val="20"/>
                <w:szCs w:val="18"/>
              </w:rPr>
              <w:t>The lift supervisor shall, with the identified lift team, cordon the area of the move. Staff not involved in the operation will not be permitted to cross the deck area reserved for the move during the operation and until all clear is provided by the lift supervisor.</w:t>
            </w:r>
          </w:p>
          <w:p w14:paraId="2701C4E6" w14:textId="77777777" w:rsidR="002179F7" w:rsidRPr="001B1417" w:rsidRDefault="002179F7" w:rsidP="00622670">
            <w:pPr>
              <w:pStyle w:val="ListParagraph"/>
              <w:numPr>
                <w:ilvl w:val="0"/>
                <w:numId w:val="22"/>
              </w:numPr>
              <w:spacing w:after="0"/>
              <w:rPr>
                <w:rFonts w:cstheme="minorHAnsi"/>
                <w:sz w:val="20"/>
                <w:szCs w:val="18"/>
              </w:rPr>
            </w:pPr>
            <w:r>
              <w:rPr>
                <w:rFonts w:cstheme="minorHAnsi"/>
                <w:sz w:val="20"/>
                <w:szCs w:val="18"/>
              </w:rPr>
              <w:t>The cordoned area shall be clearly demarcated with appropriate signage. Any deck crews shall be notified of the procedure prior to any commencement so alternative movement plans may be planned accordingly.</w:t>
            </w:r>
          </w:p>
          <w:p w14:paraId="09EB72E4" w14:textId="77777777" w:rsidR="002179F7" w:rsidRDefault="002179F7" w:rsidP="00622670">
            <w:pPr>
              <w:pStyle w:val="ListParagraph"/>
              <w:numPr>
                <w:ilvl w:val="0"/>
                <w:numId w:val="22"/>
              </w:numPr>
              <w:spacing w:after="0"/>
              <w:rPr>
                <w:rFonts w:cstheme="minorHAnsi"/>
                <w:sz w:val="20"/>
                <w:szCs w:val="18"/>
              </w:rPr>
            </w:pPr>
            <w:r>
              <w:rPr>
                <w:rFonts w:cstheme="minorHAnsi"/>
                <w:sz w:val="20"/>
                <w:szCs w:val="18"/>
              </w:rPr>
              <w:t>During the movement operation if an impact does occur an appropriate member of the team, dock spotter, deck spotter or crane operator, is to contact the lift supervisor immediately and an assessment is to be made on whether the operation can continue. If the operation cannot continue the missile is to be made safe and is subject to a separate movement or disposal procedure.</w:t>
            </w:r>
          </w:p>
          <w:p w14:paraId="28A3454F" w14:textId="77777777" w:rsidR="002179F7" w:rsidRDefault="002179F7" w:rsidP="00622670">
            <w:pPr>
              <w:pStyle w:val="ListParagraph"/>
              <w:numPr>
                <w:ilvl w:val="0"/>
                <w:numId w:val="22"/>
              </w:numPr>
              <w:spacing w:after="0"/>
              <w:rPr>
                <w:rFonts w:cstheme="minorHAnsi"/>
                <w:sz w:val="20"/>
                <w:szCs w:val="18"/>
              </w:rPr>
            </w:pPr>
            <w:r>
              <w:rPr>
                <w:rFonts w:cstheme="minorHAnsi"/>
                <w:sz w:val="20"/>
                <w:szCs w:val="18"/>
              </w:rPr>
              <w:t xml:space="preserve">Staff involved in the lift itself shall be fully competent and trained in the procedure and shall wear appropriate PPE: </w:t>
            </w:r>
            <w:r w:rsidRPr="00BB3302">
              <w:rPr>
                <w:sz w:val="20"/>
                <w:szCs w:val="20"/>
              </w:rPr>
              <w:t>Protective footwear to EN ISO 20345:20</w:t>
            </w:r>
            <w:r>
              <w:rPr>
                <w:sz w:val="20"/>
                <w:szCs w:val="20"/>
              </w:rPr>
              <w:t>21</w:t>
            </w:r>
            <w:sdt>
              <w:sdtPr>
                <w:rPr>
                  <w:sz w:val="20"/>
                  <w:szCs w:val="20"/>
                </w:rPr>
                <w:id w:val="-909074884"/>
                <w:citation/>
              </w:sdtPr>
              <w:sdtContent>
                <w:r>
                  <w:rPr>
                    <w:sz w:val="20"/>
                    <w:szCs w:val="20"/>
                  </w:rPr>
                  <w:fldChar w:fldCharType="begin"/>
                </w:r>
                <w:r>
                  <w:rPr>
                    <w:sz w:val="20"/>
                    <w:szCs w:val="20"/>
                  </w:rPr>
                  <w:instrText xml:space="preserve"> CITATION ISO21 \l 2057 </w:instrText>
                </w:r>
                <w:r>
                  <w:rPr>
                    <w:sz w:val="20"/>
                    <w:szCs w:val="20"/>
                  </w:rPr>
                  <w:fldChar w:fldCharType="separate"/>
                </w:r>
                <w:r>
                  <w:rPr>
                    <w:noProof/>
                    <w:sz w:val="20"/>
                    <w:szCs w:val="20"/>
                  </w:rPr>
                  <w:t xml:space="preserve"> </w:t>
                </w:r>
                <w:r w:rsidRPr="00F160C3">
                  <w:rPr>
                    <w:noProof/>
                    <w:sz w:val="20"/>
                    <w:szCs w:val="20"/>
                  </w:rPr>
                  <w:t>[10]</w:t>
                </w:r>
                <w:r>
                  <w:rPr>
                    <w:sz w:val="20"/>
                    <w:szCs w:val="20"/>
                  </w:rPr>
                  <w:fldChar w:fldCharType="end"/>
                </w:r>
              </w:sdtContent>
            </w:sdt>
            <w:r w:rsidRPr="00BB3302">
              <w:rPr>
                <w:sz w:val="20"/>
                <w:szCs w:val="20"/>
              </w:rPr>
              <w:t xml:space="preserve"> standard, gloves to EN 388:2003</w:t>
            </w:r>
            <w:sdt>
              <w:sdtPr>
                <w:rPr>
                  <w:sz w:val="20"/>
                  <w:szCs w:val="20"/>
                </w:rPr>
                <w:id w:val="1757941162"/>
                <w:citation/>
              </w:sdtPr>
              <w:sdtContent>
                <w:r>
                  <w:rPr>
                    <w:sz w:val="20"/>
                    <w:szCs w:val="20"/>
                  </w:rPr>
                  <w:fldChar w:fldCharType="begin"/>
                </w:r>
                <w:r>
                  <w:rPr>
                    <w:sz w:val="20"/>
                    <w:szCs w:val="20"/>
                  </w:rPr>
                  <w:instrText xml:space="preserve"> CITATION Bri19 \l 2057 </w:instrText>
                </w:r>
                <w:r>
                  <w:rPr>
                    <w:sz w:val="20"/>
                    <w:szCs w:val="20"/>
                  </w:rPr>
                  <w:fldChar w:fldCharType="separate"/>
                </w:r>
                <w:r>
                  <w:rPr>
                    <w:noProof/>
                    <w:sz w:val="20"/>
                    <w:szCs w:val="20"/>
                  </w:rPr>
                  <w:t xml:space="preserve"> </w:t>
                </w:r>
                <w:r w:rsidRPr="00F160C3">
                  <w:rPr>
                    <w:noProof/>
                    <w:sz w:val="20"/>
                    <w:szCs w:val="20"/>
                  </w:rPr>
                  <w:t>[11]</w:t>
                </w:r>
                <w:r>
                  <w:rPr>
                    <w:sz w:val="20"/>
                    <w:szCs w:val="20"/>
                  </w:rPr>
                  <w:fldChar w:fldCharType="end"/>
                </w:r>
              </w:sdtContent>
            </w:sdt>
            <w:r w:rsidRPr="00BB3302">
              <w:rPr>
                <w:sz w:val="20"/>
                <w:szCs w:val="20"/>
              </w:rPr>
              <w:t xml:space="preserve"> standard and hard hats BS EN 397</w:t>
            </w:r>
            <w:sdt>
              <w:sdtPr>
                <w:rPr>
                  <w:sz w:val="20"/>
                  <w:szCs w:val="20"/>
                </w:rPr>
                <w:id w:val="1621963464"/>
                <w:citation/>
              </w:sdtPr>
              <w:sdtContent>
                <w:r>
                  <w:rPr>
                    <w:sz w:val="20"/>
                    <w:szCs w:val="20"/>
                  </w:rPr>
                  <w:fldChar w:fldCharType="begin"/>
                </w:r>
                <w:r>
                  <w:rPr>
                    <w:sz w:val="20"/>
                    <w:szCs w:val="20"/>
                  </w:rPr>
                  <w:instrText xml:space="preserve"> CITATION Bri12 \l 2057 </w:instrText>
                </w:r>
                <w:r>
                  <w:rPr>
                    <w:sz w:val="20"/>
                    <w:szCs w:val="20"/>
                  </w:rPr>
                  <w:fldChar w:fldCharType="separate"/>
                </w:r>
                <w:r>
                  <w:rPr>
                    <w:noProof/>
                    <w:sz w:val="20"/>
                    <w:szCs w:val="20"/>
                  </w:rPr>
                  <w:t xml:space="preserve"> </w:t>
                </w:r>
                <w:r w:rsidRPr="00F160C3">
                  <w:rPr>
                    <w:noProof/>
                    <w:sz w:val="20"/>
                    <w:szCs w:val="20"/>
                  </w:rPr>
                  <w:t>[12]</w:t>
                </w:r>
                <w:r>
                  <w:rPr>
                    <w:sz w:val="20"/>
                    <w:szCs w:val="20"/>
                  </w:rPr>
                  <w:fldChar w:fldCharType="end"/>
                </w:r>
              </w:sdtContent>
            </w:sdt>
            <w:r>
              <w:rPr>
                <w:sz w:val="20"/>
                <w:szCs w:val="20"/>
              </w:rPr>
              <w:t>.</w:t>
            </w:r>
            <w:r>
              <w:rPr>
                <w:rFonts w:cstheme="minorHAnsi"/>
                <w:sz w:val="20"/>
                <w:szCs w:val="18"/>
              </w:rPr>
              <w:t xml:space="preserve"> </w:t>
            </w:r>
          </w:p>
          <w:p w14:paraId="1AA6AF2F" w14:textId="77777777" w:rsidR="002179F7" w:rsidRDefault="002179F7" w:rsidP="00622670">
            <w:pPr>
              <w:spacing w:after="0"/>
              <w:rPr>
                <w:rFonts w:cstheme="minorHAnsi"/>
                <w:sz w:val="20"/>
                <w:szCs w:val="18"/>
              </w:rPr>
            </w:pPr>
            <w:r>
              <w:rPr>
                <w:rFonts w:cstheme="minorHAnsi"/>
                <w:sz w:val="20"/>
                <w:szCs w:val="18"/>
              </w:rPr>
              <w:t>Environmental:</w:t>
            </w:r>
          </w:p>
          <w:p w14:paraId="079B5C7E" w14:textId="7767F172" w:rsidR="002179F7" w:rsidRPr="00E94059" w:rsidRDefault="002179F7" w:rsidP="00622670">
            <w:pPr>
              <w:pStyle w:val="ListParagraph"/>
              <w:numPr>
                <w:ilvl w:val="0"/>
                <w:numId w:val="23"/>
              </w:numPr>
              <w:spacing w:after="0"/>
              <w:rPr>
                <w:rFonts w:cstheme="minorHAnsi"/>
                <w:sz w:val="20"/>
                <w:szCs w:val="18"/>
              </w:rPr>
            </w:pPr>
            <w:r>
              <w:rPr>
                <w:rFonts w:cstheme="minorHAnsi"/>
                <w:sz w:val="20"/>
                <w:szCs w:val="18"/>
              </w:rPr>
              <w:lastRenderedPageBreak/>
              <w:t xml:space="preserve">Weather reports to be monitored prior to the move and a final decision on </w:t>
            </w:r>
            <w:proofErr w:type="spellStart"/>
            <w:r>
              <w:rPr>
                <w:rFonts w:cstheme="minorHAnsi"/>
                <w:sz w:val="20"/>
                <w:szCs w:val="18"/>
              </w:rPr>
              <w:t>weather</w:t>
            </w:r>
            <w:proofErr w:type="spellEnd"/>
            <w:r>
              <w:rPr>
                <w:rFonts w:cstheme="minorHAnsi"/>
                <w:sz w:val="20"/>
                <w:szCs w:val="18"/>
              </w:rPr>
              <w:t xml:space="preserve"> the operation can go ahead with respect to HSE Safety in Docks guidance</w:t>
            </w:r>
            <w:sdt>
              <w:sdtPr>
                <w:rPr>
                  <w:rFonts w:cstheme="minorHAnsi"/>
                  <w:sz w:val="20"/>
                  <w:szCs w:val="18"/>
                </w:rPr>
                <w:id w:val="1353225203"/>
                <w:citation/>
              </w:sdtPr>
              <w:sdtContent>
                <w:r>
                  <w:rPr>
                    <w:rFonts w:cstheme="minorHAnsi"/>
                    <w:sz w:val="20"/>
                    <w:szCs w:val="18"/>
                  </w:rPr>
                  <w:fldChar w:fldCharType="begin"/>
                </w:r>
                <w:r>
                  <w:rPr>
                    <w:rFonts w:cstheme="minorHAnsi"/>
                    <w:sz w:val="20"/>
                    <w:szCs w:val="18"/>
                  </w:rPr>
                  <w:instrText xml:space="preserve">CITATION Placeholder6 \l 2057 </w:instrText>
                </w:r>
                <w:r>
                  <w:rPr>
                    <w:rFonts w:cstheme="minorHAnsi"/>
                    <w:sz w:val="20"/>
                    <w:szCs w:val="18"/>
                  </w:rPr>
                  <w:fldChar w:fldCharType="separate"/>
                </w:r>
                <w:r>
                  <w:rPr>
                    <w:rFonts w:cstheme="minorHAnsi"/>
                    <w:noProof/>
                    <w:sz w:val="20"/>
                    <w:szCs w:val="18"/>
                  </w:rPr>
                  <w:t xml:space="preserve"> </w:t>
                </w:r>
                <w:r w:rsidRPr="002179F7">
                  <w:rPr>
                    <w:rFonts w:cstheme="minorHAnsi"/>
                    <w:noProof/>
                    <w:sz w:val="20"/>
                    <w:szCs w:val="18"/>
                  </w:rPr>
                  <w:t>[13]</w:t>
                </w:r>
                <w:r>
                  <w:rPr>
                    <w:rFonts w:cstheme="minorHAnsi"/>
                    <w:sz w:val="20"/>
                    <w:szCs w:val="18"/>
                  </w:rPr>
                  <w:fldChar w:fldCharType="end"/>
                </w:r>
              </w:sdtContent>
            </w:sdt>
            <w:r>
              <w:rPr>
                <w:rFonts w:cstheme="minorHAnsi"/>
                <w:sz w:val="20"/>
                <w:szCs w:val="18"/>
              </w:rPr>
              <w:t xml:space="preserve">. </w:t>
            </w:r>
          </w:p>
        </w:tc>
      </w:tr>
      <w:tr w:rsidR="002179F7" w:rsidRPr="00304BA2" w14:paraId="5BC89FF9" w14:textId="77777777" w:rsidTr="00622670">
        <w:trPr>
          <w:trHeight w:val="4938"/>
          <w:jc w:val="center"/>
        </w:trPr>
        <w:tc>
          <w:tcPr>
            <w:tcW w:w="623" w:type="dxa"/>
          </w:tcPr>
          <w:p w14:paraId="7758119D" w14:textId="77777777" w:rsidR="002179F7" w:rsidRPr="00304BA2" w:rsidRDefault="002179F7" w:rsidP="00622670">
            <w:pPr>
              <w:rPr>
                <w:rFonts w:asciiTheme="minorHAnsi" w:eastAsia="Times New Roman" w:hAnsiTheme="minorHAnsi" w:cstheme="minorHAnsi"/>
                <w:iCs/>
                <w:szCs w:val="22"/>
              </w:rPr>
            </w:pPr>
            <w:r>
              <w:rPr>
                <w:rFonts w:asciiTheme="minorHAnsi" w:eastAsia="Times New Roman" w:hAnsiTheme="minorHAnsi" w:cstheme="minorHAnsi"/>
                <w:iCs/>
                <w:szCs w:val="22"/>
              </w:rPr>
              <w:lastRenderedPageBreak/>
              <w:t>3</w:t>
            </w:r>
          </w:p>
        </w:tc>
        <w:tc>
          <w:tcPr>
            <w:tcW w:w="1559" w:type="dxa"/>
          </w:tcPr>
          <w:p w14:paraId="08A8B909" w14:textId="77777777" w:rsidR="002179F7" w:rsidRPr="00F82222" w:rsidRDefault="002179F7" w:rsidP="00622670">
            <w:pPr>
              <w:rPr>
                <w:rFonts w:asciiTheme="minorHAnsi" w:hAnsiTheme="minorHAnsi" w:cstheme="minorHAnsi"/>
                <w:sz w:val="20"/>
                <w:szCs w:val="18"/>
              </w:rPr>
            </w:pPr>
            <w:r>
              <w:rPr>
                <w:rFonts w:asciiTheme="minorHAnsi" w:hAnsiTheme="minorHAnsi" w:cstheme="minorHAnsi"/>
                <w:sz w:val="20"/>
                <w:szCs w:val="18"/>
              </w:rPr>
              <w:t>Manual handling</w:t>
            </w:r>
          </w:p>
          <w:p w14:paraId="4BCF51A1" w14:textId="77777777" w:rsidR="002179F7" w:rsidRPr="00F82222" w:rsidRDefault="002179F7" w:rsidP="00622670">
            <w:pPr>
              <w:rPr>
                <w:sz w:val="20"/>
              </w:rPr>
            </w:pPr>
          </w:p>
        </w:tc>
        <w:tc>
          <w:tcPr>
            <w:tcW w:w="2977" w:type="dxa"/>
          </w:tcPr>
          <w:p w14:paraId="6B7B72A4" w14:textId="77777777" w:rsidR="002179F7" w:rsidRDefault="002179F7" w:rsidP="00622670">
            <w:pPr>
              <w:rPr>
                <w:rFonts w:asciiTheme="minorHAnsi" w:hAnsiTheme="minorHAnsi" w:cstheme="minorHAnsi"/>
                <w:sz w:val="20"/>
                <w:szCs w:val="18"/>
              </w:rPr>
            </w:pPr>
            <w:r>
              <w:rPr>
                <w:rFonts w:asciiTheme="minorHAnsi" w:hAnsiTheme="minorHAnsi" w:cstheme="minorHAnsi"/>
                <w:sz w:val="20"/>
                <w:szCs w:val="18"/>
              </w:rPr>
              <w:t>Physical:</w:t>
            </w:r>
          </w:p>
          <w:p w14:paraId="79E9DFA8" w14:textId="77777777" w:rsidR="002179F7" w:rsidRDefault="002179F7" w:rsidP="00622670">
            <w:r w:rsidRPr="00F82222">
              <w:t xml:space="preserve">Inappropriate handling of heavy items or poor lifting techniques leading to injury </w:t>
            </w:r>
            <w:proofErr w:type="gramStart"/>
            <w:r w:rsidRPr="00F82222">
              <w:t>e.g.</w:t>
            </w:r>
            <w:proofErr w:type="gramEnd"/>
            <w:r w:rsidRPr="00F82222">
              <w:t xml:space="preserve"> stretching to place lifting chains.</w:t>
            </w:r>
          </w:p>
          <w:p w14:paraId="1C362765" w14:textId="77777777" w:rsidR="002179F7" w:rsidRPr="00F82222" w:rsidRDefault="002179F7" w:rsidP="00622670">
            <w:pPr>
              <w:rPr>
                <w:rFonts w:asciiTheme="minorHAnsi" w:hAnsiTheme="minorHAnsi" w:cstheme="minorHAnsi"/>
                <w:sz w:val="20"/>
                <w:szCs w:val="18"/>
              </w:rPr>
            </w:pPr>
            <w:r>
              <w:rPr>
                <w:rFonts w:asciiTheme="minorHAnsi" w:hAnsiTheme="minorHAnsi" w:cstheme="minorHAnsi"/>
                <w:sz w:val="20"/>
                <w:szCs w:val="18"/>
              </w:rPr>
              <w:t>Loss of concentration/rule or knowledge-based mistake leading to loss of load, crush injury or unintended initiation</w:t>
            </w:r>
          </w:p>
          <w:p w14:paraId="64920ECD" w14:textId="77777777" w:rsidR="002179F7" w:rsidRPr="00F82222" w:rsidRDefault="002179F7" w:rsidP="00622670">
            <w:pPr>
              <w:rPr>
                <w:rFonts w:asciiTheme="minorHAnsi" w:hAnsiTheme="minorHAnsi" w:cstheme="minorHAnsi"/>
                <w:sz w:val="20"/>
                <w:szCs w:val="18"/>
              </w:rPr>
            </w:pPr>
          </w:p>
          <w:p w14:paraId="524EC8C1" w14:textId="77777777" w:rsidR="002179F7" w:rsidRPr="00F82222" w:rsidRDefault="002179F7" w:rsidP="00622670">
            <w:pPr>
              <w:rPr>
                <w:rFonts w:asciiTheme="minorHAnsi" w:hAnsiTheme="minorHAnsi" w:cstheme="minorHAnsi"/>
                <w:sz w:val="20"/>
                <w:szCs w:val="18"/>
              </w:rPr>
            </w:pPr>
          </w:p>
        </w:tc>
        <w:tc>
          <w:tcPr>
            <w:tcW w:w="1701" w:type="dxa"/>
          </w:tcPr>
          <w:p w14:paraId="33787EBD" w14:textId="77777777" w:rsidR="002179F7" w:rsidRDefault="002179F7" w:rsidP="00622670">
            <w:pPr>
              <w:rPr>
                <w:rFonts w:asciiTheme="minorHAnsi" w:hAnsiTheme="minorHAnsi" w:cstheme="minorHAnsi"/>
                <w:sz w:val="20"/>
                <w:szCs w:val="18"/>
              </w:rPr>
            </w:pPr>
            <w:r>
              <w:rPr>
                <w:rFonts w:asciiTheme="minorHAnsi" w:hAnsiTheme="minorHAnsi" w:cstheme="minorHAnsi"/>
                <w:sz w:val="20"/>
                <w:szCs w:val="18"/>
              </w:rPr>
              <w:t>Staff involved in the operation.</w:t>
            </w:r>
          </w:p>
          <w:p w14:paraId="30A2DE58" w14:textId="77777777" w:rsidR="002179F7" w:rsidRPr="00F82222" w:rsidRDefault="002179F7" w:rsidP="00622670">
            <w:pPr>
              <w:rPr>
                <w:rFonts w:asciiTheme="minorHAnsi" w:hAnsiTheme="minorHAnsi" w:cstheme="minorHAnsi"/>
                <w:sz w:val="20"/>
                <w:szCs w:val="18"/>
              </w:rPr>
            </w:pPr>
          </w:p>
        </w:tc>
        <w:tc>
          <w:tcPr>
            <w:tcW w:w="8647" w:type="dxa"/>
          </w:tcPr>
          <w:p w14:paraId="7338ACF5" w14:textId="77777777" w:rsidR="002179F7" w:rsidRPr="00BB3302" w:rsidRDefault="002179F7" w:rsidP="00622670">
            <w:pPr>
              <w:pStyle w:val="ListParagraph"/>
              <w:numPr>
                <w:ilvl w:val="0"/>
                <w:numId w:val="10"/>
              </w:numPr>
              <w:spacing w:after="0"/>
              <w:rPr>
                <w:sz w:val="20"/>
                <w:szCs w:val="20"/>
              </w:rPr>
            </w:pPr>
            <w:r w:rsidRPr="00BB3302">
              <w:rPr>
                <w:sz w:val="20"/>
                <w:szCs w:val="20"/>
              </w:rPr>
              <w:t>Any specialist equipment must be checked for condition and inspection/test dates by the user before use.</w:t>
            </w:r>
          </w:p>
          <w:p w14:paraId="60502EC9" w14:textId="77777777" w:rsidR="002179F7" w:rsidRPr="00BB3302" w:rsidRDefault="002179F7" w:rsidP="00622670">
            <w:pPr>
              <w:pStyle w:val="ListParagraph"/>
              <w:numPr>
                <w:ilvl w:val="0"/>
                <w:numId w:val="10"/>
              </w:numPr>
              <w:spacing w:after="0"/>
              <w:rPr>
                <w:sz w:val="20"/>
                <w:szCs w:val="20"/>
              </w:rPr>
            </w:pPr>
            <w:r w:rsidRPr="00BB3302">
              <w:rPr>
                <w:sz w:val="20"/>
                <w:szCs w:val="20"/>
              </w:rPr>
              <w:t xml:space="preserve">All staff must attend </w:t>
            </w:r>
            <w:r>
              <w:rPr>
                <w:sz w:val="20"/>
                <w:szCs w:val="20"/>
              </w:rPr>
              <w:t>a</w:t>
            </w:r>
            <w:r w:rsidRPr="00BB3302">
              <w:rPr>
                <w:sz w:val="20"/>
                <w:szCs w:val="20"/>
              </w:rPr>
              <w:t xml:space="preserve"> practical Manual Handling training at least once every three years.</w:t>
            </w:r>
          </w:p>
          <w:p w14:paraId="7F1FB18D" w14:textId="77777777" w:rsidR="002179F7" w:rsidRPr="00BB3302" w:rsidRDefault="002179F7" w:rsidP="00622670">
            <w:pPr>
              <w:pStyle w:val="ListParagraph"/>
              <w:numPr>
                <w:ilvl w:val="0"/>
                <w:numId w:val="10"/>
              </w:numPr>
              <w:spacing w:after="0"/>
              <w:rPr>
                <w:sz w:val="20"/>
                <w:szCs w:val="20"/>
              </w:rPr>
            </w:pPr>
            <w:r w:rsidRPr="00BB3302">
              <w:rPr>
                <w:sz w:val="20"/>
                <w:szCs w:val="20"/>
              </w:rPr>
              <w:t xml:space="preserve">Mechanical lifting devices and aids should be used where possible (with the relevant training). </w:t>
            </w:r>
          </w:p>
          <w:p w14:paraId="7DEB7AEF" w14:textId="77777777" w:rsidR="002179F7" w:rsidRPr="00BB3302" w:rsidRDefault="002179F7" w:rsidP="00622670">
            <w:pPr>
              <w:pStyle w:val="NoNumber"/>
              <w:numPr>
                <w:ilvl w:val="0"/>
                <w:numId w:val="10"/>
              </w:numPr>
              <w:spacing w:before="120" w:after="0" w:line="360" w:lineRule="auto"/>
              <w:jc w:val="left"/>
              <w:rPr>
                <w:rFonts w:asciiTheme="minorHAnsi" w:eastAsia="MS Mincho" w:hAnsiTheme="minorHAnsi"/>
                <w:sz w:val="20"/>
              </w:rPr>
            </w:pPr>
            <w:r w:rsidRPr="00BB3302">
              <w:rPr>
                <w:rFonts w:asciiTheme="minorHAnsi" w:eastAsia="MS Mincho" w:hAnsiTheme="minorHAnsi"/>
                <w:sz w:val="20"/>
              </w:rPr>
              <w:t xml:space="preserve">Any staff that have a pre-existing condition that may affect their ability to lift or move </w:t>
            </w:r>
            <w:r>
              <w:rPr>
                <w:rFonts w:asciiTheme="minorHAnsi" w:eastAsia="MS Mincho" w:hAnsiTheme="minorHAnsi"/>
                <w:sz w:val="20"/>
              </w:rPr>
              <w:t xml:space="preserve">the missile cannister </w:t>
            </w:r>
            <w:r w:rsidRPr="00BB3302">
              <w:rPr>
                <w:rFonts w:asciiTheme="minorHAnsi" w:eastAsia="MS Mincho" w:hAnsiTheme="minorHAnsi"/>
                <w:sz w:val="20"/>
              </w:rPr>
              <w:t>MUST inform line management</w:t>
            </w:r>
            <w:r>
              <w:rPr>
                <w:rFonts w:asciiTheme="minorHAnsi" w:eastAsia="MS Mincho" w:hAnsiTheme="minorHAnsi"/>
                <w:sz w:val="20"/>
              </w:rPr>
              <w:t xml:space="preserve"> prior to taking part in the operation. If there are changes in condition after the lifting team has been identified and selected any staff member MUST inform their line management at the earliest opportunity.</w:t>
            </w:r>
          </w:p>
          <w:p w14:paraId="4DD827D2" w14:textId="77777777" w:rsidR="002179F7" w:rsidRDefault="002179F7" w:rsidP="00622670">
            <w:pPr>
              <w:pStyle w:val="NoNumber"/>
              <w:numPr>
                <w:ilvl w:val="0"/>
                <w:numId w:val="10"/>
              </w:numPr>
              <w:spacing w:before="120" w:after="0" w:line="360" w:lineRule="auto"/>
              <w:jc w:val="left"/>
              <w:rPr>
                <w:rFonts w:asciiTheme="minorHAnsi" w:eastAsia="MS Mincho" w:hAnsiTheme="minorHAnsi"/>
                <w:sz w:val="20"/>
              </w:rPr>
            </w:pPr>
            <w:r w:rsidRPr="00BB3302">
              <w:rPr>
                <w:rFonts w:asciiTheme="minorHAnsi" w:eastAsia="MS Mincho" w:hAnsiTheme="minorHAnsi"/>
                <w:sz w:val="20"/>
              </w:rPr>
              <w:t>Equipment / loads should be stored in such a way that it may be picked up without undue risk.</w:t>
            </w:r>
          </w:p>
          <w:p w14:paraId="787C8D02" w14:textId="77777777" w:rsidR="002179F7" w:rsidRDefault="002179F7" w:rsidP="00622670">
            <w:pPr>
              <w:pStyle w:val="ListParagraph"/>
              <w:numPr>
                <w:ilvl w:val="0"/>
                <w:numId w:val="10"/>
              </w:numPr>
              <w:spacing w:after="0"/>
              <w:rPr>
                <w:rFonts w:cstheme="minorHAnsi"/>
                <w:sz w:val="20"/>
                <w:szCs w:val="18"/>
              </w:rPr>
            </w:pPr>
            <w:r>
              <w:rPr>
                <w:rFonts w:cstheme="minorHAnsi"/>
                <w:sz w:val="20"/>
                <w:szCs w:val="18"/>
              </w:rPr>
              <w:t xml:space="preserve">Staff involved in the lift itself shall be fully competent and trained in the procedure and shall wear appropriate PPE: </w:t>
            </w:r>
            <w:r w:rsidRPr="00BB3302">
              <w:rPr>
                <w:sz w:val="20"/>
                <w:szCs w:val="20"/>
              </w:rPr>
              <w:t>Protective footwear to EN ISO 20345:20</w:t>
            </w:r>
            <w:r>
              <w:rPr>
                <w:sz w:val="20"/>
                <w:szCs w:val="20"/>
              </w:rPr>
              <w:t>21</w:t>
            </w:r>
            <w:sdt>
              <w:sdtPr>
                <w:rPr>
                  <w:sz w:val="20"/>
                  <w:szCs w:val="20"/>
                </w:rPr>
                <w:id w:val="-1639248897"/>
                <w:citation/>
              </w:sdtPr>
              <w:sdtContent>
                <w:r>
                  <w:rPr>
                    <w:sz w:val="20"/>
                    <w:szCs w:val="20"/>
                  </w:rPr>
                  <w:fldChar w:fldCharType="begin"/>
                </w:r>
                <w:r>
                  <w:rPr>
                    <w:sz w:val="20"/>
                    <w:szCs w:val="20"/>
                  </w:rPr>
                  <w:instrText xml:space="preserve"> CITATION ISO21 \l 2057 </w:instrText>
                </w:r>
                <w:r>
                  <w:rPr>
                    <w:sz w:val="20"/>
                    <w:szCs w:val="20"/>
                  </w:rPr>
                  <w:fldChar w:fldCharType="separate"/>
                </w:r>
                <w:r>
                  <w:rPr>
                    <w:noProof/>
                    <w:sz w:val="20"/>
                    <w:szCs w:val="20"/>
                  </w:rPr>
                  <w:t xml:space="preserve"> </w:t>
                </w:r>
                <w:r w:rsidRPr="00F160C3">
                  <w:rPr>
                    <w:noProof/>
                    <w:sz w:val="20"/>
                    <w:szCs w:val="20"/>
                  </w:rPr>
                  <w:t>[10]</w:t>
                </w:r>
                <w:r>
                  <w:rPr>
                    <w:sz w:val="20"/>
                    <w:szCs w:val="20"/>
                  </w:rPr>
                  <w:fldChar w:fldCharType="end"/>
                </w:r>
              </w:sdtContent>
            </w:sdt>
            <w:r w:rsidRPr="00BB3302">
              <w:rPr>
                <w:sz w:val="20"/>
                <w:szCs w:val="20"/>
              </w:rPr>
              <w:t xml:space="preserve"> standard, gloves to EN 388:2003</w:t>
            </w:r>
            <w:sdt>
              <w:sdtPr>
                <w:rPr>
                  <w:sz w:val="20"/>
                  <w:szCs w:val="20"/>
                </w:rPr>
                <w:id w:val="1951663876"/>
                <w:citation/>
              </w:sdtPr>
              <w:sdtContent>
                <w:r>
                  <w:rPr>
                    <w:sz w:val="20"/>
                    <w:szCs w:val="20"/>
                  </w:rPr>
                  <w:fldChar w:fldCharType="begin"/>
                </w:r>
                <w:r>
                  <w:rPr>
                    <w:sz w:val="20"/>
                    <w:szCs w:val="20"/>
                  </w:rPr>
                  <w:instrText xml:space="preserve"> CITATION Bri19 \l 2057 </w:instrText>
                </w:r>
                <w:r>
                  <w:rPr>
                    <w:sz w:val="20"/>
                    <w:szCs w:val="20"/>
                  </w:rPr>
                  <w:fldChar w:fldCharType="separate"/>
                </w:r>
                <w:r>
                  <w:rPr>
                    <w:noProof/>
                    <w:sz w:val="20"/>
                    <w:szCs w:val="20"/>
                  </w:rPr>
                  <w:t xml:space="preserve"> </w:t>
                </w:r>
                <w:r w:rsidRPr="00F160C3">
                  <w:rPr>
                    <w:noProof/>
                    <w:sz w:val="20"/>
                    <w:szCs w:val="20"/>
                  </w:rPr>
                  <w:t>[11]</w:t>
                </w:r>
                <w:r>
                  <w:rPr>
                    <w:sz w:val="20"/>
                    <w:szCs w:val="20"/>
                  </w:rPr>
                  <w:fldChar w:fldCharType="end"/>
                </w:r>
              </w:sdtContent>
            </w:sdt>
            <w:r w:rsidRPr="00BB3302">
              <w:rPr>
                <w:sz w:val="20"/>
                <w:szCs w:val="20"/>
              </w:rPr>
              <w:t xml:space="preserve"> standard and hard hats BS EN 397</w:t>
            </w:r>
            <w:sdt>
              <w:sdtPr>
                <w:rPr>
                  <w:sz w:val="20"/>
                  <w:szCs w:val="20"/>
                </w:rPr>
                <w:id w:val="-2129455217"/>
                <w:citation/>
              </w:sdtPr>
              <w:sdtContent>
                <w:r>
                  <w:rPr>
                    <w:sz w:val="20"/>
                    <w:szCs w:val="20"/>
                  </w:rPr>
                  <w:fldChar w:fldCharType="begin"/>
                </w:r>
                <w:r>
                  <w:rPr>
                    <w:sz w:val="20"/>
                    <w:szCs w:val="20"/>
                  </w:rPr>
                  <w:instrText xml:space="preserve"> CITATION Bri12 \l 2057 </w:instrText>
                </w:r>
                <w:r>
                  <w:rPr>
                    <w:sz w:val="20"/>
                    <w:szCs w:val="20"/>
                  </w:rPr>
                  <w:fldChar w:fldCharType="separate"/>
                </w:r>
                <w:r>
                  <w:rPr>
                    <w:noProof/>
                    <w:sz w:val="20"/>
                    <w:szCs w:val="20"/>
                  </w:rPr>
                  <w:t xml:space="preserve"> </w:t>
                </w:r>
                <w:r w:rsidRPr="00F160C3">
                  <w:rPr>
                    <w:noProof/>
                    <w:sz w:val="20"/>
                    <w:szCs w:val="20"/>
                  </w:rPr>
                  <w:t>[12]</w:t>
                </w:r>
                <w:r>
                  <w:rPr>
                    <w:sz w:val="20"/>
                    <w:szCs w:val="20"/>
                  </w:rPr>
                  <w:fldChar w:fldCharType="end"/>
                </w:r>
              </w:sdtContent>
            </w:sdt>
            <w:r>
              <w:rPr>
                <w:sz w:val="20"/>
                <w:szCs w:val="20"/>
              </w:rPr>
              <w:t>.</w:t>
            </w:r>
            <w:r>
              <w:rPr>
                <w:rFonts w:cstheme="minorHAnsi"/>
                <w:sz w:val="20"/>
                <w:szCs w:val="18"/>
              </w:rPr>
              <w:t xml:space="preserve"> </w:t>
            </w:r>
          </w:p>
          <w:p w14:paraId="5D3A913E" w14:textId="77777777" w:rsidR="002179F7" w:rsidRPr="00BB3302" w:rsidRDefault="002179F7" w:rsidP="00622670">
            <w:pPr>
              <w:pStyle w:val="NoNumber"/>
              <w:spacing w:before="120" w:after="0" w:line="360" w:lineRule="auto"/>
              <w:ind w:left="720"/>
              <w:jc w:val="left"/>
              <w:rPr>
                <w:rFonts w:asciiTheme="minorHAnsi" w:eastAsia="MS Mincho" w:hAnsiTheme="minorHAnsi"/>
                <w:sz w:val="20"/>
              </w:rPr>
            </w:pPr>
          </w:p>
          <w:p w14:paraId="2AE2D9C2" w14:textId="77777777" w:rsidR="002179F7" w:rsidRPr="00C31FCA" w:rsidRDefault="002179F7" w:rsidP="00622670">
            <w:pPr>
              <w:spacing w:after="0"/>
              <w:rPr>
                <w:rFonts w:cstheme="minorHAnsi"/>
                <w:sz w:val="18"/>
                <w:szCs w:val="18"/>
              </w:rPr>
            </w:pPr>
          </w:p>
        </w:tc>
      </w:tr>
    </w:tbl>
    <w:p w14:paraId="3AADEBA6" w14:textId="77777777" w:rsidR="002179F7" w:rsidRDefault="002179F7" w:rsidP="002179F7">
      <w:pPr>
        <w:spacing w:before="0" w:after="0" w:line="240" w:lineRule="auto"/>
      </w:pPr>
    </w:p>
    <w:p w14:paraId="3D361120" w14:textId="77777777" w:rsidR="002179F7" w:rsidRDefault="002179F7" w:rsidP="002179F7">
      <w:pPr>
        <w:spacing w:before="0" w:after="0" w:line="240" w:lineRule="auto"/>
      </w:pPr>
      <w:r>
        <w:br w:type="page"/>
      </w:r>
    </w:p>
    <w:sdt>
      <w:sdtPr>
        <w:rPr>
          <w:rFonts w:ascii="Arial" w:hAnsi="Arial" w:cs="Times New Roman"/>
          <w:b w:val="0"/>
          <w:bCs w:val="0"/>
          <w:color w:val="auto"/>
          <w:kern w:val="0"/>
          <w:sz w:val="22"/>
          <w:szCs w:val="24"/>
        </w:rPr>
        <w:id w:val="1154954169"/>
        <w:docPartObj>
          <w:docPartGallery w:val="Bibliographies"/>
          <w:docPartUnique/>
        </w:docPartObj>
      </w:sdtPr>
      <w:sdtContent>
        <w:p w14:paraId="5E3BDFF3" w14:textId="77777777" w:rsidR="002179F7" w:rsidRDefault="002179F7" w:rsidP="002179F7">
          <w:pPr>
            <w:pStyle w:val="Heading1"/>
          </w:pPr>
          <w:r>
            <w:t>Bibliography</w:t>
          </w:r>
        </w:p>
        <w:sdt>
          <w:sdtPr>
            <w:id w:val="-1722508141"/>
            <w:bibliography/>
          </w:sdtPr>
          <w:sdtContent>
            <w:p w14:paraId="3A0B59A0" w14:textId="77777777" w:rsidR="002179F7" w:rsidRDefault="002179F7" w:rsidP="002179F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14333"/>
              </w:tblGrid>
              <w:tr w:rsidR="002179F7" w14:paraId="7C507144" w14:textId="77777777" w:rsidTr="00622670">
                <w:trPr>
                  <w:tblCellSpacing w:w="15" w:type="dxa"/>
                </w:trPr>
                <w:tc>
                  <w:tcPr>
                    <w:tcW w:w="50" w:type="pct"/>
                    <w:hideMark/>
                  </w:tcPr>
                  <w:p w14:paraId="607A1BA0" w14:textId="77777777" w:rsidR="002179F7" w:rsidRDefault="002179F7" w:rsidP="00622670">
                    <w:pPr>
                      <w:pStyle w:val="Bibliography"/>
                      <w:rPr>
                        <w:noProof/>
                        <w:sz w:val="24"/>
                      </w:rPr>
                    </w:pPr>
                    <w:r>
                      <w:rPr>
                        <w:noProof/>
                      </w:rPr>
                      <w:t xml:space="preserve">[1] </w:t>
                    </w:r>
                  </w:p>
                </w:tc>
                <w:tc>
                  <w:tcPr>
                    <w:tcW w:w="0" w:type="auto"/>
                    <w:hideMark/>
                  </w:tcPr>
                  <w:p w14:paraId="4782B46C" w14:textId="77777777" w:rsidR="002179F7" w:rsidRDefault="002179F7" w:rsidP="00622670">
                    <w:pPr>
                      <w:pStyle w:val="Bibliography"/>
                      <w:rPr>
                        <w:noProof/>
                      </w:rPr>
                    </w:pPr>
                    <w:r>
                      <w:rPr>
                        <w:noProof/>
                      </w:rPr>
                      <w:t>Economic Commission for Europe Inland Transport Committee, “ADR,” United Nations, Geneva, 2017.</w:t>
                    </w:r>
                  </w:p>
                </w:tc>
              </w:tr>
              <w:tr w:rsidR="002179F7" w14:paraId="1C568012" w14:textId="77777777" w:rsidTr="00622670">
                <w:trPr>
                  <w:tblCellSpacing w:w="15" w:type="dxa"/>
                </w:trPr>
                <w:tc>
                  <w:tcPr>
                    <w:tcW w:w="50" w:type="pct"/>
                    <w:hideMark/>
                  </w:tcPr>
                  <w:p w14:paraId="35163C55" w14:textId="77777777" w:rsidR="002179F7" w:rsidRDefault="002179F7" w:rsidP="00622670">
                    <w:pPr>
                      <w:pStyle w:val="Bibliography"/>
                      <w:rPr>
                        <w:noProof/>
                      </w:rPr>
                    </w:pPr>
                    <w:r>
                      <w:rPr>
                        <w:noProof/>
                      </w:rPr>
                      <w:t xml:space="preserve">[2] </w:t>
                    </w:r>
                  </w:p>
                </w:tc>
                <w:tc>
                  <w:tcPr>
                    <w:tcW w:w="0" w:type="auto"/>
                    <w:hideMark/>
                  </w:tcPr>
                  <w:p w14:paraId="311561D2" w14:textId="77777777" w:rsidR="002179F7" w:rsidRDefault="002179F7" w:rsidP="00622670">
                    <w:pPr>
                      <w:pStyle w:val="Bibliography"/>
                      <w:rPr>
                        <w:noProof/>
                      </w:rPr>
                    </w:pPr>
                    <w:r>
                      <w:rPr>
                        <w:noProof/>
                      </w:rPr>
                      <w:t>International Maritime Organisation, “The International Maritime Dangerous Goods (IMDG) Code,” Internatinal Maritime Organisation, 2019. [Online]. Available: https://www.imo.org/en/OurWork/Safety/Pages/DangerousGoods-default.aspx#:~:text=The%20IMDG%20Code%20was%20developed,prevent%20pollution%20to%20the%20environment.. [Accessed 05 07 2023].</w:t>
                    </w:r>
                  </w:p>
                </w:tc>
              </w:tr>
              <w:tr w:rsidR="002179F7" w14:paraId="70F7D67C" w14:textId="77777777" w:rsidTr="00622670">
                <w:trPr>
                  <w:tblCellSpacing w:w="15" w:type="dxa"/>
                </w:trPr>
                <w:tc>
                  <w:tcPr>
                    <w:tcW w:w="50" w:type="pct"/>
                    <w:hideMark/>
                  </w:tcPr>
                  <w:p w14:paraId="3D7BF0A8" w14:textId="77777777" w:rsidR="002179F7" w:rsidRDefault="002179F7" w:rsidP="00622670">
                    <w:pPr>
                      <w:pStyle w:val="Bibliography"/>
                      <w:rPr>
                        <w:noProof/>
                      </w:rPr>
                    </w:pPr>
                    <w:r>
                      <w:rPr>
                        <w:noProof/>
                      </w:rPr>
                      <w:t xml:space="preserve">[3] </w:t>
                    </w:r>
                  </w:p>
                </w:tc>
                <w:tc>
                  <w:tcPr>
                    <w:tcW w:w="0" w:type="auto"/>
                    <w:hideMark/>
                  </w:tcPr>
                  <w:p w14:paraId="56CC26C2" w14:textId="77777777" w:rsidR="002179F7" w:rsidRDefault="002179F7" w:rsidP="00622670">
                    <w:pPr>
                      <w:pStyle w:val="Bibliography"/>
                      <w:rPr>
                        <w:noProof/>
                      </w:rPr>
                    </w:pPr>
                    <w:r>
                      <w:rPr>
                        <w:noProof/>
                      </w:rPr>
                      <w:t>The Dangerous Substances in Harbour Regulations 1987,[Online]. Available: https://www.legislation.gov.uk/uksi/1987/37/contents/made. [Accessed 05 07 2023].</w:t>
                    </w:r>
                  </w:p>
                </w:tc>
              </w:tr>
              <w:tr w:rsidR="002179F7" w14:paraId="4971B33D" w14:textId="77777777" w:rsidTr="00622670">
                <w:trPr>
                  <w:tblCellSpacing w:w="15" w:type="dxa"/>
                </w:trPr>
                <w:tc>
                  <w:tcPr>
                    <w:tcW w:w="50" w:type="pct"/>
                    <w:hideMark/>
                  </w:tcPr>
                  <w:p w14:paraId="6EEC5678" w14:textId="77777777" w:rsidR="002179F7" w:rsidRDefault="002179F7" w:rsidP="00622670">
                    <w:pPr>
                      <w:pStyle w:val="Bibliography"/>
                      <w:rPr>
                        <w:noProof/>
                      </w:rPr>
                    </w:pPr>
                    <w:r>
                      <w:rPr>
                        <w:noProof/>
                      </w:rPr>
                      <w:t xml:space="preserve">[4] </w:t>
                    </w:r>
                  </w:p>
                </w:tc>
                <w:tc>
                  <w:tcPr>
                    <w:tcW w:w="0" w:type="auto"/>
                    <w:hideMark/>
                  </w:tcPr>
                  <w:p w14:paraId="7BBE2A82" w14:textId="77777777" w:rsidR="002179F7" w:rsidRDefault="002179F7" w:rsidP="00622670">
                    <w:pPr>
                      <w:pStyle w:val="Bibliography"/>
                      <w:rPr>
                        <w:noProof/>
                      </w:rPr>
                    </w:pPr>
                    <w:r>
                      <w:rPr>
                        <w:noProof/>
                      </w:rPr>
                      <w:t>MBDA, “Sea Ceptor,” 07 07 2023. [Online]. Available: https://www.mbda-systems.com/product/sea-ceptor/.</w:t>
                    </w:r>
                  </w:p>
                </w:tc>
              </w:tr>
              <w:tr w:rsidR="002179F7" w14:paraId="18C9AD11" w14:textId="77777777" w:rsidTr="00622670">
                <w:trPr>
                  <w:tblCellSpacing w:w="15" w:type="dxa"/>
                </w:trPr>
                <w:tc>
                  <w:tcPr>
                    <w:tcW w:w="50" w:type="pct"/>
                    <w:hideMark/>
                  </w:tcPr>
                  <w:p w14:paraId="29F6084C" w14:textId="77777777" w:rsidR="002179F7" w:rsidRDefault="002179F7" w:rsidP="00622670">
                    <w:pPr>
                      <w:pStyle w:val="Bibliography"/>
                      <w:rPr>
                        <w:noProof/>
                      </w:rPr>
                    </w:pPr>
                    <w:r>
                      <w:rPr>
                        <w:noProof/>
                      </w:rPr>
                      <w:t xml:space="preserve">[5] </w:t>
                    </w:r>
                  </w:p>
                </w:tc>
                <w:tc>
                  <w:tcPr>
                    <w:tcW w:w="0" w:type="auto"/>
                    <w:hideMark/>
                  </w:tcPr>
                  <w:p w14:paraId="5EA91CFB" w14:textId="77777777" w:rsidR="002179F7" w:rsidRPr="007E59C2" w:rsidRDefault="002179F7" w:rsidP="00622670">
                    <w:pPr>
                      <w:pStyle w:val="Bibliography"/>
                      <w:rPr>
                        <w:noProof/>
                      </w:rPr>
                    </w:pPr>
                    <w:r w:rsidRPr="007E59C2">
                      <w:rPr>
                        <w:noProof/>
                      </w:rPr>
                      <w:t xml:space="preserve">The Explosive Regulations 2014, SI No. 1638. </w:t>
                    </w:r>
                  </w:p>
                </w:tc>
              </w:tr>
              <w:tr w:rsidR="002179F7" w14:paraId="395E15E4" w14:textId="77777777" w:rsidTr="00622670">
                <w:trPr>
                  <w:tblCellSpacing w:w="15" w:type="dxa"/>
                </w:trPr>
                <w:tc>
                  <w:tcPr>
                    <w:tcW w:w="50" w:type="pct"/>
                    <w:hideMark/>
                  </w:tcPr>
                  <w:p w14:paraId="0C011D86" w14:textId="77777777" w:rsidR="002179F7" w:rsidRDefault="002179F7" w:rsidP="00622670">
                    <w:pPr>
                      <w:pStyle w:val="Bibliography"/>
                      <w:rPr>
                        <w:noProof/>
                      </w:rPr>
                    </w:pPr>
                    <w:r>
                      <w:rPr>
                        <w:noProof/>
                      </w:rPr>
                      <w:t xml:space="preserve">[6] </w:t>
                    </w:r>
                  </w:p>
                </w:tc>
                <w:tc>
                  <w:tcPr>
                    <w:tcW w:w="0" w:type="auto"/>
                    <w:hideMark/>
                  </w:tcPr>
                  <w:p w14:paraId="21D667F0" w14:textId="77777777" w:rsidR="002179F7" w:rsidRDefault="002179F7" w:rsidP="00622670">
                    <w:pPr>
                      <w:pStyle w:val="Bibliography"/>
                      <w:rPr>
                        <w:noProof/>
                      </w:rPr>
                    </w:pPr>
                    <w:r>
                      <w:rPr>
                        <w:noProof/>
                      </w:rPr>
                      <w:t>Navy Lookout, “From Sea Wolf to Sea Ceptor – the Royal Navy’s defensive shield,” Navy Lookout, 4 June 2019. [Online]. Available: https://www.navylookout.com/from-sea-wolf-to-sea-ceptor-the-royal-navys-defensive-shield/. [Accessed 08 07 2023].</w:t>
                    </w:r>
                  </w:p>
                </w:tc>
              </w:tr>
              <w:tr w:rsidR="002179F7" w14:paraId="52F36887" w14:textId="77777777" w:rsidTr="00622670">
                <w:trPr>
                  <w:tblCellSpacing w:w="15" w:type="dxa"/>
                </w:trPr>
                <w:tc>
                  <w:tcPr>
                    <w:tcW w:w="50" w:type="pct"/>
                    <w:hideMark/>
                  </w:tcPr>
                  <w:p w14:paraId="697A8C0A" w14:textId="77777777" w:rsidR="002179F7" w:rsidRDefault="002179F7" w:rsidP="00622670">
                    <w:pPr>
                      <w:pStyle w:val="Bibliography"/>
                      <w:rPr>
                        <w:noProof/>
                      </w:rPr>
                    </w:pPr>
                    <w:r>
                      <w:rPr>
                        <w:noProof/>
                      </w:rPr>
                      <w:t xml:space="preserve">[7] </w:t>
                    </w:r>
                  </w:p>
                </w:tc>
                <w:tc>
                  <w:tcPr>
                    <w:tcW w:w="0" w:type="auto"/>
                    <w:hideMark/>
                  </w:tcPr>
                  <w:p w14:paraId="1D5B4F06" w14:textId="77777777" w:rsidR="002179F7" w:rsidRDefault="002179F7" w:rsidP="00622670">
                    <w:pPr>
                      <w:pStyle w:val="Bibliography"/>
                      <w:rPr>
                        <w:noProof/>
                      </w:rPr>
                    </w:pPr>
                    <w:r>
                      <w:rPr>
                        <w:noProof/>
                      </w:rPr>
                      <w:t>British Standards Institution, “Code of practice for safe use of cranes - part 1,” BSI, London, 2016.</w:t>
                    </w:r>
                  </w:p>
                </w:tc>
              </w:tr>
              <w:tr w:rsidR="002179F7" w14:paraId="622D864F" w14:textId="77777777" w:rsidTr="00622670">
                <w:trPr>
                  <w:tblCellSpacing w:w="15" w:type="dxa"/>
                </w:trPr>
                <w:tc>
                  <w:tcPr>
                    <w:tcW w:w="50" w:type="pct"/>
                    <w:hideMark/>
                  </w:tcPr>
                  <w:p w14:paraId="5EFDEA98" w14:textId="77777777" w:rsidR="002179F7" w:rsidRDefault="002179F7" w:rsidP="00622670">
                    <w:pPr>
                      <w:pStyle w:val="Bibliography"/>
                      <w:rPr>
                        <w:noProof/>
                      </w:rPr>
                    </w:pPr>
                    <w:r>
                      <w:rPr>
                        <w:noProof/>
                      </w:rPr>
                      <w:t xml:space="preserve">[8] </w:t>
                    </w:r>
                  </w:p>
                </w:tc>
                <w:tc>
                  <w:tcPr>
                    <w:tcW w:w="0" w:type="auto"/>
                    <w:hideMark/>
                  </w:tcPr>
                  <w:p w14:paraId="4E1DA41B" w14:textId="77777777" w:rsidR="002179F7" w:rsidRDefault="002179F7" w:rsidP="00622670">
                    <w:pPr>
                      <w:pStyle w:val="Bibliography"/>
                      <w:rPr>
                        <w:noProof/>
                      </w:rPr>
                    </w:pPr>
                    <w:r>
                      <w:rPr>
                        <w:noProof/>
                      </w:rPr>
                      <w:t>British Standards Institution, “Code of practice for safe use of cranes. Inspection, maintenance and thorough examination - General,” BSI, London, 2012.</w:t>
                    </w:r>
                  </w:p>
                </w:tc>
              </w:tr>
              <w:tr w:rsidR="002179F7" w14:paraId="014D3E1D" w14:textId="77777777" w:rsidTr="00622670">
                <w:trPr>
                  <w:tblCellSpacing w:w="15" w:type="dxa"/>
                </w:trPr>
                <w:tc>
                  <w:tcPr>
                    <w:tcW w:w="50" w:type="pct"/>
                    <w:hideMark/>
                  </w:tcPr>
                  <w:p w14:paraId="07867120" w14:textId="77777777" w:rsidR="002179F7" w:rsidRDefault="002179F7" w:rsidP="00622670">
                    <w:pPr>
                      <w:pStyle w:val="Bibliography"/>
                      <w:rPr>
                        <w:noProof/>
                      </w:rPr>
                    </w:pPr>
                    <w:r>
                      <w:rPr>
                        <w:noProof/>
                      </w:rPr>
                      <w:lastRenderedPageBreak/>
                      <w:t xml:space="preserve">[9] </w:t>
                    </w:r>
                  </w:p>
                </w:tc>
                <w:tc>
                  <w:tcPr>
                    <w:tcW w:w="0" w:type="auto"/>
                    <w:hideMark/>
                  </w:tcPr>
                  <w:p w14:paraId="4BAE85BB" w14:textId="77777777" w:rsidR="002179F7" w:rsidRDefault="002179F7" w:rsidP="00622670">
                    <w:pPr>
                      <w:pStyle w:val="Bibliography"/>
                      <w:rPr>
                        <w:noProof/>
                      </w:rPr>
                    </w:pPr>
                    <w:r>
                      <w:rPr>
                        <w:noProof/>
                      </w:rPr>
                      <w:t>Health and Safety Executive, “Explosive Regulations Safety Provisions,” Crown Copyright, London, 2014.</w:t>
                    </w:r>
                  </w:p>
                </w:tc>
              </w:tr>
              <w:tr w:rsidR="002179F7" w14:paraId="710BAF0F" w14:textId="77777777" w:rsidTr="00622670">
                <w:trPr>
                  <w:tblCellSpacing w:w="15" w:type="dxa"/>
                </w:trPr>
                <w:tc>
                  <w:tcPr>
                    <w:tcW w:w="50" w:type="pct"/>
                    <w:hideMark/>
                  </w:tcPr>
                  <w:p w14:paraId="0B549696" w14:textId="77777777" w:rsidR="002179F7" w:rsidRDefault="002179F7" w:rsidP="00622670">
                    <w:pPr>
                      <w:pStyle w:val="Bibliography"/>
                      <w:rPr>
                        <w:noProof/>
                      </w:rPr>
                    </w:pPr>
                    <w:r>
                      <w:rPr>
                        <w:noProof/>
                      </w:rPr>
                      <w:t xml:space="preserve">[10] </w:t>
                    </w:r>
                  </w:p>
                </w:tc>
                <w:tc>
                  <w:tcPr>
                    <w:tcW w:w="0" w:type="auto"/>
                    <w:hideMark/>
                  </w:tcPr>
                  <w:p w14:paraId="4721A6E0" w14:textId="77777777" w:rsidR="002179F7" w:rsidRDefault="002179F7" w:rsidP="00622670">
                    <w:pPr>
                      <w:pStyle w:val="Bibliography"/>
                      <w:rPr>
                        <w:noProof/>
                      </w:rPr>
                    </w:pPr>
                    <w:r>
                      <w:rPr>
                        <w:noProof/>
                      </w:rPr>
                      <w:t>ISO, “Personal protective equipment - footwear,” ISO, 2021. [Online]. Available: https://www.iso.org/obp/ui/en/#iso:std:iso:20345:ed-3:v1:en. [Accessed 07 07 2023].</w:t>
                    </w:r>
                  </w:p>
                </w:tc>
              </w:tr>
              <w:tr w:rsidR="002179F7" w14:paraId="3A682941" w14:textId="77777777" w:rsidTr="00622670">
                <w:trPr>
                  <w:tblCellSpacing w:w="15" w:type="dxa"/>
                </w:trPr>
                <w:tc>
                  <w:tcPr>
                    <w:tcW w:w="50" w:type="pct"/>
                    <w:hideMark/>
                  </w:tcPr>
                  <w:p w14:paraId="6847C623" w14:textId="77777777" w:rsidR="002179F7" w:rsidRDefault="002179F7" w:rsidP="00622670">
                    <w:pPr>
                      <w:pStyle w:val="Bibliography"/>
                      <w:rPr>
                        <w:noProof/>
                      </w:rPr>
                    </w:pPr>
                    <w:r>
                      <w:rPr>
                        <w:noProof/>
                      </w:rPr>
                      <w:t xml:space="preserve">[11] </w:t>
                    </w:r>
                  </w:p>
                </w:tc>
                <w:tc>
                  <w:tcPr>
                    <w:tcW w:w="0" w:type="auto"/>
                    <w:hideMark/>
                  </w:tcPr>
                  <w:p w14:paraId="248917F0" w14:textId="77777777" w:rsidR="002179F7" w:rsidRDefault="002179F7" w:rsidP="00622670">
                    <w:pPr>
                      <w:pStyle w:val="Bibliography"/>
                      <w:rPr>
                        <w:noProof/>
                      </w:rPr>
                    </w:pPr>
                    <w:r>
                      <w:rPr>
                        <w:noProof/>
                      </w:rPr>
                      <w:t>British Standard Institution, “BS EN 388:2016 Protective gloves against mechanical risks,” NBS, 2019. [Online]. Available: BS EN 388:2016 Protective gloves against mechanical risks (+A1:2018) (Incorporating corrigendum January 2019). [Accessed 09 07 2023].</w:t>
                    </w:r>
                  </w:p>
                </w:tc>
              </w:tr>
              <w:tr w:rsidR="002179F7" w14:paraId="0058F83D" w14:textId="77777777" w:rsidTr="00622670">
                <w:trPr>
                  <w:tblCellSpacing w:w="15" w:type="dxa"/>
                </w:trPr>
                <w:tc>
                  <w:tcPr>
                    <w:tcW w:w="50" w:type="pct"/>
                    <w:hideMark/>
                  </w:tcPr>
                  <w:p w14:paraId="49037F00" w14:textId="77777777" w:rsidR="002179F7" w:rsidRDefault="002179F7" w:rsidP="00622670">
                    <w:pPr>
                      <w:pStyle w:val="Bibliography"/>
                      <w:rPr>
                        <w:noProof/>
                      </w:rPr>
                    </w:pPr>
                    <w:r>
                      <w:rPr>
                        <w:noProof/>
                      </w:rPr>
                      <w:t xml:space="preserve">[12] </w:t>
                    </w:r>
                  </w:p>
                </w:tc>
                <w:tc>
                  <w:tcPr>
                    <w:tcW w:w="0" w:type="auto"/>
                    <w:hideMark/>
                  </w:tcPr>
                  <w:p w14:paraId="262BFB6B" w14:textId="77777777" w:rsidR="002179F7" w:rsidRDefault="002179F7" w:rsidP="00622670">
                    <w:pPr>
                      <w:pStyle w:val="Bibliography"/>
                      <w:rPr>
                        <w:noProof/>
                      </w:rPr>
                    </w:pPr>
                    <w:r>
                      <w:rPr>
                        <w:noProof/>
                      </w:rPr>
                      <w:t>British Standards Institution, “Industrial Safety Helmets,” BSI, 2012. [Online]. Available: https://knowledge.bsigroup.com/products/industrial-safety-helmets/standard. [Accessed 09 07 2023].</w:t>
                    </w:r>
                  </w:p>
                </w:tc>
              </w:tr>
              <w:tr w:rsidR="002179F7" w14:paraId="2D684DAD" w14:textId="77777777" w:rsidTr="00622670">
                <w:trPr>
                  <w:tblCellSpacing w:w="15" w:type="dxa"/>
                </w:trPr>
                <w:tc>
                  <w:tcPr>
                    <w:tcW w:w="50" w:type="pct"/>
                    <w:hideMark/>
                  </w:tcPr>
                  <w:p w14:paraId="7037F0C2" w14:textId="77777777" w:rsidR="002179F7" w:rsidRDefault="002179F7" w:rsidP="00622670">
                    <w:pPr>
                      <w:pStyle w:val="Bibliography"/>
                      <w:rPr>
                        <w:noProof/>
                      </w:rPr>
                    </w:pPr>
                    <w:r>
                      <w:rPr>
                        <w:noProof/>
                      </w:rPr>
                      <w:t xml:space="preserve">[13] </w:t>
                    </w:r>
                  </w:p>
                </w:tc>
                <w:tc>
                  <w:tcPr>
                    <w:tcW w:w="0" w:type="auto"/>
                    <w:hideMark/>
                  </w:tcPr>
                  <w:p w14:paraId="2D1C2FF3" w14:textId="77777777" w:rsidR="002179F7" w:rsidRDefault="002179F7" w:rsidP="00622670">
                    <w:pPr>
                      <w:pStyle w:val="Bibliography"/>
                      <w:rPr>
                        <w:noProof/>
                      </w:rPr>
                    </w:pPr>
                    <w:r>
                      <w:rPr>
                        <w:noProof/>
                      </w:rPr>
                      <w:t>Health and Safety Executive, “Safety in docks,” Crown Copyright, London, 2014.</w:t>
                    </w:r>
                  </w:p>
                </w:tc>
              </w:tr>
            </w:tbl>
            <w:p w14:paraId="1578BBDE" w14:textId="77777777" w:rsidR="002179F7" w:rsidRDefault="002179F7" w:rsidP="002179F7">
              <w:pPr>
                <w:rPr>
                  <w:rFonts w:eastAsia="Times New Roman"/>
                  <w:noProof/>
                </w:rPr>
              </w:pPr>
            </w:p>
            <w:p w14:paraId="53CBFB34" w14:textId="77777777" w:rsidR="002179F7" w:rsidRDefault="002179F7" w:rsidP="002179F7">
              <w:r>
                <w:rPr>
                  <w:b/>
                  <w:bCs/>
                  <w:noProof/>
                </w:rPr>
                <w:fldChar w:fldCharType="end"/>
              </w:r>
            </w:p>
          </w:sdtContent>
        </w:sdt>
        <w:bookmarkEnd w:id="0" w:displacedByCustomXml="next"/>
      </w:sdtContent>
    </w:sdt>
    <w:p w14:paraId="5370E5A3" w14:textId="77777777" w:rsidR="002179F7" w:rsidRDefault="002179F7" w:rsidP="002179F7">
      <w:pPr>
        <w:spacing w:before="0" w:after="0" w:line="240" w:lineRule="auto"/>
      </w:pPr>
    </w:p>
    <w:p w14:paraId="2D267FB3" w14:textId="77777777" w:rsidR="002179F7" w:rsidRDefault="002179F7" w:rsidP="002179F7">
      <w:pPr>
        <w:spacing w:before="0" w:after="0" w:line="240" w:lineRule="auto"/>
      </w:pPr>
      <w:r>
        <w:br w:type="page"/>
      </w:r>
    </w:p>
    <w:p w14:paraId="38FDB591" w14:textId="77777777" w:rsidR="002179F7" w:rsidRDefault="002179F7" w:rsidP="002179F7">
      <w:pPr>
        <w:pStyle w:val="Heading1"/>
      </w:pPr>
      <w:r>
        <w:lastRenderedPageBreak/>
        <w:t>ANNEX:</w:t>
      </w:r>
    </w:p>
    <w:p w14:paraId="782B56B6" w14:textId="77777777" w:rsidR="002179F7" w:rsidRDefault="002179F7" w:rsidP="002179F7">
      <w:r>
        <w:t>Risk Matrix</w:t>
      </w:r>
    </w:p>
    <w:p w14:paraId="31AA788F" w14:textId="77777777" w:rsidR="002179F7" w:rsidRDefault="002179F7" w:rsidP="002179F7">
      <w:r w:rsidRPr="001A4160">
        <w:rPr>
          <w:noProof/>
        </w:rPr>
        <w:drawing>
          <wp:inline distT="0" distB="0" distL="0" distR="0" wp14:anchorId="73DFC3E9" wp14:editId="6A6BCA29">
            <wp:extent cx="9785363" cy="3657600"/>
            <wp:effectExtent l="0" t="0" r="0" b="0"/>
            <wp:docPr id="726215784" name="Picture 72621578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847279" name="Picture 1" descr="A screenshot of a computer&#10;&#10;Description automatically generated"/>
                    <pic:cNvPicPr/>
                  </pic:nvPicPr>
                  <pic:blipFill>
                    <a:blip r:embed="rId17"/>
                    <a:stretch>
                      <a:fillRect/>
                    </a:stretch>
                  </pic:blipFill>
                  <pic:spPr>
                    <a:xfrm>
                      <a:off x="0" y="0"/>
                      <a:ext cx="9793117" cy="3660498"/>
                    </a:xfrm>
                    <a:prstGeom prst="rect">
                      <a:avLst/>
                    </a:prstGeom>
                  </pic:spPr>
                </pic:pic>
              </a:graphicData>
            </a:graphic>
          </wp:inline>
        </w:drawing>
      </w:r>
    </w:p>
    <w:p w14:paraId="7523769D" w14:textId="09948980" w:rsidR="00DB2869" w:rsidRDefault="00B36F61" w:rsidP="00B36F61">
      <w:r>
        <w:t xml:space="preserve"> </w:t>
      </w:r>
    </w:p>
    <w:p w14:paraId="21CEAF9B" w14:textId="783B7249" w:rsidR="00DB2869" w:rsidRDefault="00DB2869">
      <w:pPr>
        <w:spacing w:before="0" w:after="0" w:line="240" w:lineRule="auto"/>
      </w:pPr>
    </w:p>
    <w:p w14:paraId="146AB853" w14:textId="36ED66F0" w:rsidR="00CF58F2" w:rsidRDefault="00DB2869">
      <w:pPr>
        <w:spacing w:before="0" w:after="0" w:line="240" w:lineRule="auto"/>
      </w:pPr>
      <w:r>
        <w:br w:type="page"/>
      </w:r>
    </w:p>
    <w:p w14:paraId="7FC6925C" w14:textId="77777777" w:rsidR="00A52DF8" w:rsidRDefault="00A52DF8" w:rsidP="00A52DF8">
      <w:pPr>
        <w:spacing w:before="0" w:after="0" w:line="240" w:lineRule="auto"/>
        <w:jc w:val="center"/>
        <w:rPr>
          <w:rFonts w:ascii="Calibri" w:hAnsi="Calibri" w:cs="Calibri"/>
          <w:sz w:val="52"/>
          <w:szCs w:val="52"/>
        </w:rPr>
      </w:pPr>
    </w:p>
    <w:p w14:paraId="4845F46C" w14:textId="77777777" w:rsidR="00A52DF8" w:rsidRDefault="00A52DF8" w:rsidP="00A52DF8">
      <w:pPr>
        <w:spacing w:before="0" w:after="0" w:line="240" w:lineRule="auto"/>
        <w:jc w:val="center"/>
        <w:rPr>
          <w:rFonts w:ascii="Calibri" w:hAnsi="Calibri" w:cs="Calibri"/>
          <w:sz w:val="52"/>
          <w:szCs w:val="52"/>
        </w:rPr>
      </w:pPr>
    </w:p>
    <w:p w14:paraId="36A8E50E" w14:textId="77777777" w:rsidR="00A52DF8" w:rsidRDefault="00A52DF8" w:rsidP="00A52DF8">
      <w:pPr>
        <w:spacing w:before="0" w:after="0" w:line="240" w:lineRule="auto"/>
        <w:jc w:val="center"/>
        <w:rPr>
          <w:rFonts w:ascii="Calibri" w:hAnsi="Calibri" w:cs="Calibri"/>
          <w:sz w:val="52"/>
          <w:szCs w:val="52"/>
        </w:rPr>
      </w:pPr>
    </w:p>
    <w:p w14:paraId="1C2064D4" w14:textId="77777777" w:rsidR="00A52DF8" w:rsidRDefault="00A52DF8" w:rsidP="00A52DF8">
      <w:pPr>
        <w:spacing w:before="0" w:after="0" w:line="240" w:lineRule="auto"/>
        <w:jc w:val="center"/>
        <w:rPr>
          <w:rFonts w:ascii="Calibri" w:hAnsi="Calibri" w:cs="Calibri"/>
          <w:sz w:val="52"/>
          <w:szCs w:val="52"/>
        </w:rPr>
      </w:pPr>
    </w:p>
    <w:p w14:paraId="2F2BD184" w14:textId="77777777" w:rsidR="00A52DF8" w:rsidRDefault="00A52DF8" w:rsidP="00A52DF8">
      <w:pPr>
        <w:spacing w:before="0" w:after="0" w:line="240" w:lineRule="auto"/>
        <w:jc w:val="center"/>
        <w:rPr>
          <w:rFonts w:ascii="Calibri" w:hAnsi="Calibri" w:cs="Calibri"/>
          <w:sz w:val="52"/>
          <w:szCs w:val="52"/>
        </w:rPr>
      </w:pPr>
    </w:p>
    <w:p w14:paraId="406957BE" w14:textId="21C8CB4B" w:rsidR="00A52DF8" w:rsidRPr="00A52DF8" w:rsidRDefault="00A52DF8" w:rsidP="00A52DF8">
      <w:pPr>
        <w:spacing w:before="0" w:after="0" w:line="240" w:lineRule="auto"/>
        <w:jc w:val="center"/>
        <w:rPr>
          <w:rFonts w:ascii="Calibri" w:hAnsi="Calibri" w:cs="Calibri"/>
          <w:sz w:val="52"/>
          <w:szCs w:val="52"/>
        </w:rPr>
      </w:pPr>
      <w:r>
        <w:rPr>
          <w:rFonts w:ascii="Calibri" w:hAnsi="Calibri" w:cs="Calibri"/>
          <w:sz w:val="52"/>
          <w:szCs w:val="52"/>
        </w:rPr>
        <w:t>PAGE INTENTIONALLY LEFT BLANK</w:t>
      </w:r>
    </w:p>
    <w:p w14:paraId="20899A3E" w14:textId="77777777" w:rsidR="00CF58F2" w:rsidRDefault="00CF58F2" w:rsidP="00833D9E"/>
    <w:p w14:paraId="3E29854B" w14:textId="77777777" w:rsidR="00A52DF8" w:rsidRDefault="00A52DF8" w:rsidP="00833D9E"/>
    <w:p w14:paraId="36FF25EC" w14:textId="77777777" w:rsidR="00A52DF8" w:rsidRDefault="00A52DF8" w:rsidP="00833D9E"/>
    <w:p w14:paraId="42A4C758" w14:textId="77777777" w:rsidR="00A52DF8" w:rsidRDefault="00A52DF8" w:rsidP="00833D9E">
      <w:pPr>
        <w:sectPr w:rsidR="00A52DF8" w:rsidSect="00CF58F2">
          <w:headerReference w:type="even" r:id="rId18"/>
          <w:headerReference w:type="default" r:id="rId19"/>
          <w:footerReference w:type="default" r:id="rId20"/>
          <w:headerReference w:type="first" r:id="rId21"/>
          <w:type w:val="continuous"/>
          <w:pgSz w:w="16839" w:h="11907" w:orient="landscape" w:code="9"/>
          <w:pgMar w:top="1440" w:right="1077" w:bottom="1440" w:left="1077" w:header="709" w:footer="709" w:gutter="0"/>
          <w:pgBorders w:offsetFrom="page">
            <w:top w:val="single" w:sz="48" w:space="12" w:color="339966"/>
          </w:pgBorders>
          <w:cols w:space="708"/>
          <w:docGrid w:linePitch="360"/>
        </w:sectPr>
      </w:pPr>
    </w:p>
    <w:sdt>
      <w:sdtPr>
        <w:id w:val="1627667930"/>
        <w:docPartObj>
          <w:docPartGallery w:val="Cover Pages"/>
          <w:docPartUnique/>
        </w:docPartObj>
      </w:sdtPr>
      <w:sdtContent>
        <w:p w14:paraId="2A8EB3B5" w14:textId="77777777" w:rsidR="00C713A4" w:rsidRDefault="00C713A4" w:rsidP="00C713A4"/>
        <w:p w14:paraId="3F90E22C" w14:textId="68787F35" w:rsidR="00C713A4" w:rsidRDefault="00C713A4" w:rsidP="00C713A4">
          <w:r>
            <w:rPr>
              <w:noProof/>
            </w:rPr>
            <w:pict w14:anchorId="5B5A7E2D">
              <v:rect id="Rectangle 3" o:spid="_x0000_s2059" style="position:absolute;margin-left:-24.75pt;margin-top:20.8pt;width:476.05pt;height:52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" strokecolor="white [3212]"/>
            </w:pict>
          </w:r>
          <w:r w:rsidRPr="00D445B1">
            <w:rPr>
              <w:rFonts w:ascii="Lucida Bright" w:hAnsi="Lucida Bright"/>
              <w:noProof/>
            </w:rPr>
            <w:drawing>
              <wp:anchor distT="0" distB="0" distL="114300" distR="114300" simplePos="0" relativeHeight="251660288" behindDoc="0" locked="0" layoutInCell="1" allowOverlap="1" wp14:anchorId="58DD49B9" wp14:editId="3C62174C">
                <wp:simplePos x="0" y="0"/>
                <wp:positionH relativeFrom="column">
                  <wp:posOffset>559558</wp:posOffset>
                </wp:positionH>
                <wp:positionV relativeFrom="paragraph">
                  <wp:posOffset>724185</wp:posOffset>
                </wp:positionV>
                <wp:extent cx="3993392" cy="5048250"/>
                <wp:effectExtent l="0" t="0" r="7620" b="0"/>
                <wp:wrapNone/>
                <wp:docPr id="207323906" name="Picture 207323906"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text, clipar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3993392" cy="5048250"/>
                        </a:xfrm>
                        <a:prstGeom prst="rect">
                          <a:avLst/>
                        </a:prstGeom>
                      </pic:spPr>
                    </pic:pic>
                  </a:graphicData>
                </a:graphic>
                <wp14:sizeRelH relativeFrom="page">
                  <wp14:pctWidth>0</wp14:pctWidth>
                </wp14:sizeRelH>
                <wp14:sizeRelV relativeFrom="page">
                  <wp14:pctHeight>0</wp14:pctHeight>
                </wp14:sizeRelV>
              </wp:anchor>
            </w:drawing>
          </w:r>
          <w:r>
            <w:rPr>
              <w:noProof/>
            </w:rPr>
            <w:pict w14:anchorId="256153A5">
              <v:shapetype id="_x0000_t202" coordsize="21600,21600" o:spt="202" path="m,l,21600r21600,l21600,xe">
                <v:stroke joinstyle="miter"/>
                <v:path gradientshapeok="t" o:connecttype="rect"/>
              </v:shapetype>
              <v:shape id="Text Box 2" o:spid="_x0000_s2058" type="#_x0000_t202" style="position:absolute;margin-left:15.4pt;margin-top:0;width:356.35pt;height:111.7pt;z-index:251662336;visibility:visible;mso-wrap-style:square;mso-width-percent:790;mso-height-percent:350;mso-wrap-distance-left:14.4pt;mso-wrap-distance-top:0;mso-wrap-distance-right:14.4pt;mso-wrap-distance-bottom:0;mso-position-horizontal:absolute;mso-position-horizontal-relative:margin;mso-position-vertical:bottom;mso-position-vertical-relative:margin;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" filled="f" stroked="f" strokeweight=".5pt">
                <v:textbox style="mso-fit-shape-to-text:t" inset="0,0,0,0">
                  <w:txbxContent>
                    <w:p w14:paraId="08B8872E" w14:textId="55AEC109" w:rsidR="00C713A4" w:rsidRPr="001102DC" w:rsidRDefault="00C713A4" w:rsidP="00C713A4">
                      <w:pPr>
                        <w:pStyle w:val="NoSpacing"/>
                        <w:spacing w:before="40" w:after="560" w:line="216" w:lineRule="auto"/>
                        <w:rPr>
                          <w:rFonts w:ascii="Calibri" w:hAnsi="Calibri" w:cs="Calibri"/>
                          <w:color w:val="244061" w:themeColor="accent1" w:themeShade="80"/>
                          <w:sz w:val="200"/>
                          <w:szCs w:val="200"/>
                        </w:rPr>
                      </w:pPr>
                      <w:sdt>
                        <w:sdtPr>
                          <w:rPr>
                            <w:rFonts w:ascii="Calibri" w:eastAsiaTheme="minorHAnsi" w:hAnsi="Calibri" w:cs="Calibri"/>
                            <w:color w:val="244061" w:themeColor="accent1" w:themeShade="80"/>
                            <w:sz w:val="40"/>
                            <w:szCs w:val="40"/>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rFonts w:ascii="Calibri" w:eastAsiaTheme="minorHAnsi" w:hAnsi="Calibri" w:cs="Calibri"/>
                              <w:color w:val="244061" w:themeColor="accent1" w:themeShade="80"/>
                              <w:sz w:val="40"/>
                              <w:szCs w:val="40"/>
                            </w:rPr>
                            <w:t xml:space="preserve">ALARP justification: Inadvertent </w:t>
                          </w:r>
                          <w:r w:rsidR="00827569">
                            <w:rPr>
                              <w:rFonts w:ascii="Calibri" w:eastAsiaTheme="minorHAnsi" w:hAnsi="Calibri" w:cs="Calibri"/>
                              <w:color w:val="244061" w:themeColor="accent1" w:themeShade="80"/>
                              <w:sz w:val="40"/>
                              <w:szCs w:val="40"/>
                            </w:rPr>
                            <w:t>I</w:t>
                          </w:r>
                          <w:r>
                            <w:rPr>
                              <w:rFonts w:ascii="Calibri" w:eastAsiaTheme="minorHAnsi" w:hAnsi="Calibri" w:cs="Calibri"/>
                              <w:color w:val="244061" w:themeColor="accent1" w:themeShade="80"/>
                              <w:sz w:val="40"/>
                              <w:szCs w:val="40"/>
                            </w:rPr>
                            <w:t xml:space="preserve">nitiation of Sea </w:t>
                          </w:r>
                          <w:proofErr w:type="spellStart"/>
                          <w:r>
                            <w:rPr>
                              <w:rFonts w:ascii="Calibri" w:eastAsiaTheme="minorHAnsi" w:hAnsi="Calibri" w:cs="Calibri"/>
                              <w:color w:val="244061" w:themeColor="accent1" w:themeShade="80"/>
                              <w:sz w:val="40"/>
                              <w:szCs w:val="40"/>
                            </w:rPr>
                            <w:t>Ceptor</w:t>
                          </w:r>
                          <w:proofErr w:type="spellEnd"/>
                        </w:sdtContent>
                      </w:sdt>
                    </w:p>
                    <w:sdt>
                      <w:sdtPr>
                        <w:rPr>
                          <w:rFonts w:ascii="Calibri" w:hAnsi="Calibri" w:cs="Calibri"/>
                          <w:caps/>
                          <w:color w:val="215868"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2A26B7F2" w14:textId="4FC45272" w:rsidR="00C713A4" w:rsidRPr="001102DC" w:rsidRDefault="00C713A4" w:rsidP="00C713A4">
                          <w:pPr>
                            <w:pStyle w:val="NoSpacing"/>
                            <w:spacing w:before="40" w:after="40"/>
                            <w:rPr>
                              <w:rFonts w:ascii="Calibri" w:hAnsi="Calibri" w:cs="Calibri"/>
                              <w:caps/>
                              <w:color w:val="215868" w:themeColor="accent5" w:themeShade="80"/>
                              <w:sz w:val="28"/>
                              <w:szCs w:val="28"/>
                            </w:rPr>
                          </w:pPr>
                          <w:r>
                            <w:rPr>
                              <w:rFonts w:ascii="Calibri" w:hAnsi="Calibri" w:cs="Calibri"/>
                              <w:caps/>
                              <w:color w:val="215868" w:themeColor="accent5" w:themeShade="80"/>
                              <w:sz w:val="28"/>
                              <w:szCs w:val="28"/>
                            </w:rPr>
                            <w:t>WORD COUNT: 1455</w:t>
                          </w:r>
                        </w:p>
                      </w:sdtContent>
                    </w:sdt>
                    <w:sdt>
                      <w:sdtPr>
                        <w:rPr>
                          <w:rFonts w:ascii="Calibri" w:hAnsi="Calibri" w:cs="Calibri"/>
                          <w:caps/>
                          <w:color w:val="4BACC6" w:themeColor="accent5"/>
                          <w:sz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2A6B764A" w14:textId="5EDB67BE" w:rsidR="00C713A4" w:rsidRPr="001102DC" w:rsidRDefault="00C713A4" w:rsidP="00C713A4">
                          <w:pPr>
                            <w:pStyle w:val="NoSpacing"/>
                            <w:spacing w:before="80" w:after="40"/>
                            <w:rPr>
                              <w:rFonts w:ascii="Calibri" w:hAnsi="Calibri" w:cs="Calibri"/>
                              <w:caps/>
                              <w:color w:val="4BACC6" w:themeColor="accent5"/>
                              <w:sz w:val="24"/>
                              <w:szCs w:val="24"/>
                            </w:rPr>
                          </w:pPr>
                          <w:r>
                            <w:rPr>
                              <w:rFonts w:ascii="Calibri" w:hAnsi="Calibri" w:cs="Calibri"/>
                              <w:caps/>
                              <w:color w:val="4BACC6" w:themeColor="accent5"/>
                              <w:sz w:val="24"/>
                            </w:rPr>
                            <w:t>JOSHUA EDE (2023302)</w:t>
                          </w:r>
                        </w:p>
                      </w:sdtContent>
                    </w:sdt>
                  </w:txbxContent>
                </v:textbox>
                <w10:wrap type="square" anchorx="margin" anchory="margin"/>
              </v:shape>
            </w:pict>
          </w:r>
          <w:r>
            <w:rPr>
              <w:noProof/>
            </w:rPr>
            <w:pict w14:anchorId="555294BC">
              <v:rect id="Rectangle 1" o:spid="_x0000_s2057" style="position:absolute;margin-left:-5.95pt;margin-top:0;width:45.25pt;height:82.35pt;z-index:251661312;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" fillcolor="#4f81bd [3204]" stroked="f" strokeweight="2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77A5B146" w14:textId="3FC5D50C" w:rsidR="00C713A4" w:rsidRDefault="00C713A4" w:rsidP="00C713A4">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w:r>
          <w:r>
            <w:br w:type="page"/>
          </w:r>
        </w:p>
      </w:sdtContent>
    </w:sdt>
    <w:p w14:paraId="34418D66" w14:textId="77777777" w:rsidR="00C713A4" w:rsidRDefault="00C713A4" w:rsidP="00C713A4"/>
    <w:sdt>
      <w:sdtPr>
        <w:rPr>
          <w:rFonts w:asciiTheme="minorHAnsi" w:eastAsiaTheme="minorHAnsi" w:hAnsiTheme="minorHAnsi" w:cstheme="minorBidi"/>
          <w:color w:val="auto"/>
          <w:kern w:val="2"/>
          <w:sz w:val="22"/>
          <w:szCs w:val="22"/>
          <w:lang w:val="en-GB" w:eastAsia="en-GB"/>
        </w:rPr>
        <w:id w:val="-605415200"/>
        <w:docPartObj>
          <w:docPartGallery w:val="Table of Contents"/>
          <w:docPartUnique/>
        </w:docPartObj>
      </w:sdtPr>
      <w:sdtEndPr>
        <w:rPr>
          <w:rFonts w:ascii="Arial" w:eastAsia="MS Mincho" w:hAnsi="Arial" w:cs="Times New Roman"/>
          <w:b/>
          <w:bCs/>
          <w:noProof/>
          <w:kern w:val="0"/>
          <w:szCs w:val="24"/>
        </w:rPr>
      </w:sdtEndPr>
      <w:sdtContent>
        <w:p w14:paraId="51DA4C9C" w14:textId="77777777" w:rsidR="00C713A4" w:rsidRPr="002B7911" w:rsidRDefault="00C713A4" w:rsidP="00C713A4">
          <w:pPr>
            <w:pStyle w:val="TOCHeading"/>
            <w:rPr>
              <w:rFonts w:ascii="Calibri" w:hAnsi="Calibri" w:cs="Calibri"/>
            </w:rPr>
          </w:pPr>
          <w:r w:rsidRPr="002B7911">
            <w:rPr>
              <w:rFonts w:ascii="Calibri" w:hAnsi="Calibri" w:cs="Calibri"/>
            </w:rPr>
            <w:t>Contents</w:t>
          </w:r>
        </w:p>
        <w:p w14:paraId="3EB9CC3F" w14:textId="210F0EEE" w:rsidR="00C713A4" w:rsidRPr="00BD1CBB" w:rsidRDefault="00C713A4" w:rsidP="00C713A4">
          <w:pPr>
            <w:pStyle w:val="TOC1"/>
            <w:tabs>
              <w:tab w:val="left" w:pos="440"/>
              <w:tab w:val="right" w:leader="dot" w:pos="9016"/>
            </w:tabs>
            <w:rPr>
              <w:rFonts w:ascii="Calibri" w:eastAsiaTheme="minorEastAsia" w:hAnsi="Calibri" w:cs="Calibri"/>
              <w:noProof/>
              <w:lang w:eastAsia="en-GB"/>
            </w:rPr>
          </w:pPr>
          <w:r w:rsidRPr="002B7911">
            <w:rPr>
              <w:rFonts w:ascii="Calibri" w:hAnsi="Calibri" w:cs="Calibri"/>
            </w:rPr>
            <w:fldChar w:fldCharType="begin"/>
          </w:r>
          <w:r w:rsidRPr="002B7911">
            <w:rPr>
              <w:rFonts w:ascii="Calibri" w:hAnsi="Calibri" w:cs="Calibri"/>
            </w:rPr>
            <w:instrText xml:space="preserve"> TOC \o "1-3" \h \z \u </w:instrText>
          </w:r>
          <w:r w:rsidRPr="002B7911">
            <w:rPr>
              <w:rFonts w:ascii="Calibri" w:hAnsi="Calibri" w:cs="Calibri"/>
            </w:rPr>
            <w:fldChar w:fldCharType="separate"/>
          </w:r>
          <w:hyperlink w:anchor="_Toc140778915" w:history="1">
            <w:r w:rsidRPr="00BD1CBB">
              <w:rPr>
                <w:rStyle w:val="Hyperlink"/>
                <w:rFonts w:ascii="Calibri" w:hAnsi="Calibri" w:cs="Calibri"/>
                <w:noProof/>
              </w:rPr>
              <w:t>1.</w:t>
            </w:r>
            <w:r w:rsidRPr="00BD1CBB">
              <w:rPr>
                <w:rFonts w:ascii="Calibri" w:eastAsiaTheme="minorEastAsia" w:hAnsi="Calibri" w:cs="Calibri"/>
                <w:noProof/>
                <w:lang w:eastAsia="en-GB"/>
              </w:rPr>
              <w:tab/>
            </w:r>
            <w:r w:rsidRPr="00BD1CBB">
              <w:rPr>
                <w:rStyle w:val="Hyperlink"/>
                <w:rFonts w:ascii="Calibri" w:hAnsi="Calibri" w:cs="Calibri"/>
                <w:noProof/>
              </w:rPr>
              <w:t>Introduction:</w:t>
            </w:r>
            <w:r w:rsidRPr="00BD1CBB">
              <w:rPr>
                <w:rFonts w:ascii="Calibri" w:hAnsi="Calibri" w:cs="Calibri"/>
                <w:noProof/>
                <w:webHidden/>
              </w:rPr>
              <w:tab/>
            </w:r>
            <w:r w:rsidRPr="00BD1CBB">
              <w:rPr>
                <w:rFonts w:ascii="Calibri" w:hAnsi="Calibri" w:cs="Calibri"/>
                <w:noProof/>
                <w:webHidden/>
              </w:rPr>
              <w:fldChar w:fldCharType="begin"/>
            </w:r>
            <w:r w:rsidRPr="00BD1CBB">
              <w:rPr>
                <w:rFonts w:ascii="Calibri" w:hAnsi="Calibri" w:cs="Calibri"/>
                <w:noProof/>
                <w:webHidden/>
              </w:rPr>
              <w:instrText xml:space="preserve"> PAGEREF _Toc140778915 \h </w:instrText>
            </w:r>
            <w:r w:rsidRPr="00BD1CBB">
              <w:rPr>
                <w:rFonts w:ascii="Calibri" w:hAnsi="Calibri" w:cs="Calibri"/>
                <w:noProof/>
                <w:webHidden/>
              </w:rPr>
            </w:r>
            <w:r w:rsidRPr="00BD1CBB">
              <w:rPr>
                <w:rFonts w:ascii="Calibri" w:hAnsi="Calibri" w:cs="Calibri"/>
                <w:noProof/>
                <w:webHidden/>
              </w:rPr>
              <w:fldChar w:fldCharType="separate"/>
            </w:r>
            <w:r w:rsidR="00522F9A">
              <w:rPr>
                <w:rFonts w:ascii="Calibri" w:hAnsi="Calibri" w:cs="Calibri"/>
                <w:noProof/>
                <w:webHidden/>
              </w:rPr>
              <w:t>2</w:t>
            </w:r>
            <w:r w:rsidRPr="00BD1CBB">
              <w:rPr>
                <w:rFonts w:ascii="Calibri" w:hAnsi="Calibri" w:cs="Calibri"/>
                <w:noProof/>
                <w:webHidden/>
              </w:rPr>
              <w:fldChar w:fldCharType="end"/>
            </w:r>
          </w:hyperlink>
        </w:p>
        <w:p w14:paraId="78DD62FA" w14:textId="2F608CC9" w:rsidR="00C713A4" w:rsidRPr="00BD1CBB" w:rsidRDefault="00C713A4" w:rsidP="00C713A4">
          <w:pPr>
            <w:pStyle w:val="TOC1"/>
            <w:tabs>
              <w:tab w:val="left" w:pos="440"/>
              <w:tab w:val="right" w:leader="dot" w:pos="9016"/>
            </w:tabs>
            <w:rPr>
              <w:rFonts w:ascii="Calibri" w:eastAsiaTheme="minorEastAsia" w:hAnsi="Calibri" w:cs="Calibri"/>
              <w:noProof/>
              <w:lang w:eastAsia="en-GB"/>
            </w:rPr>
          </w:pPr>
          <w:hyperlink w:anchor="_Toc140778916" w:history="1">
            <w:r w:rsidRPr="00BD1CBB">
              <w:rPr>
                <w:rStyle w:val="Hyperlink"/>
                <w:rFonts w:ascii="Calibri" w:hAnsi="Calibri" w:cs="Calibri"/>
                <w:noProof/>
              </w:rPr>
              <w:t>2.</w:t>
            </w:r>
            <w:r w:rsidRPr="00BD1CBB">
              <w:rPr>
                <w:rFonts w:ascii="Calibri" w:eastAsiaTheme="minorEastAsia" w:hAnsi="Calibri" w:cs="Calibri"/>
                <w:noProof/>
                <w:lang w:eastAsia="en-GB"/>
              </w:rPr>
              <w:tab/>
            </w:r>
            <w:r w:rsidRPr="00BD1CBB">
              <w:rPr>
                <w:rStyle w:val="Hyperlink"/>
                <w:rFonts w:ascii="Calibri" w:hAnsi="Calibri" w:cs="Calibri"/>
                <w:noProof/>
              </w:rPr>
              <w:t>Classifying the severity of warhead initiation</w:t>
            </w:r>
            <w:r w:rsidRPr="00BD1CBB">
              <w:rPr>
                <w:rFonts w:ascii="Calibri" w:hAnsi="Calibri" w:cs="Calibri"/>
                <w:noProof/>
                <w:webHidden/>
              </w:rPr>
              <w:tab/>
            </w:r>
            <w:r w:rsidRPr="00BD1CBB">
              <w:rPr>
                <w:rFonts w:ascii="Calibri" w:hAnsi="Calibri" w:cs="Calibri"/>
                <w:noProof/>
                <w:webHidden/>
              </w:rPr>
              <w:fldChar w:fldCharType="begin"/>
            </w:r>
            <w:r w:rsidRPr="00BD1CBB">
              <w:rPr>
                <w:rFonts w:ascii="Calibri" w:hAnsi="Calibri" w:cs="Calibri"/>
                <w:noProof/>
                <w:webHidden/>
              </w:rPr>
              <w:instrText xml:space="preserve"> PAGEREF _Toc140778916 \h </w:instrText>
            </w:r>
            <w:r w:rsidRPr="00BD1CBB">
              <w:rPr>
                <w:rFonts w:ascii="Calibri" w:hAnsi="Calibri" w:cs="Calibri"/>
                <w:noProof/>
                <w:webHidden/>
              </w:rPr>
            </w:r>
            <w:r w:rsidRPr="00BD1CBB">
              <w:rPr>
                <w:rFonts w:ascii="Calibri" w:hAnsi="Calibri" w:cs="Calibri"/>
                <w:noProof/>
                <w:webHidden/>
              </w:rPr>
              <w:fldChar w:fldCharType="separate"/>
            </w:r>
            <w:r w:rsidR="00522F9A">
              <w:rPr>
                <w:rFonts w:ascii="Calibri" w:hAnsi="Calibri" w:cs="Calibri"/>
                <w:noProof/>
                <w:webHidden/>
              </w:rPr>
              <w:t>2</w:t>
            </w:r>
            <w:r w:rsidRPr="00BD1CBB">
              <w:rPr>
                <w:rFonts w:ascii="Calibri" w:hAnsi="Calibri" w:cs="Calibri"/>
                <w:noProof/>
                <w:webHidden/>
              </w:rPr>
              <w:fldChar w:fldCharType="end"/>
            </w:r>
          </w:hyperlink>
        </w:p>
        <w:p w14:paraId="602B05B5" w14:textId="46B5C543" w:rsidR="00C713A4" w:rsidRPr="00BD1CBB" w:rsidRDefault="00C713A4" w:rsidP="00C713A4">
          <w:pPr>
            <w:pStyle w:val="TOC1"/>
            <w:tabs>
              <w:tab w:val="left" w:pos="440"/>
              <w:tab w:val="right" w:leader="dot" w:pos="9016"/>
            </w:tabs>
            <w:rPr>
              <w:rFonts w:ascii="Calibri" w:eastAsiaTheme="minorEastAsia" w:hAnsi="Calibri" w:cs="Calibri"/>
              <w:noProof/>
              <w:lang w:eastAsia="en-GB"/>
            </w:rPr>
          </w:pPr>
          <w:hyperlink w:anchor="_Toc140778917" w:history="1">
            <w:r w:rsidRPr="00BD1CBB">
              <w:rPr>
                <w:rStyle w:val="Hyperlink"/>
                <w:rFonts w:ascii="Calibri" w:hAnsi="Calibri" w:cs="Calibri"/>
                <w:noProof/>
              </w:rPr>
              <w:t>3.</w:t>
            </w:r>
            <w:r w:rsidRPr="00BD1CBB">
              <w:rPr>
                <w:rFonts w:ascii="Calibri" w:eastAsiaTheme="minorEastAsia" w:hAnsi="Calibri" w:cs="Calibri"/>
                <w:noProof/>
                <w:lang w:eastAsia="en-GB"/>
              </w:rPr>
              <w:tab/>
            </w:r>
            <w:r w:rsidRPr="00BD1CBB">
              <w:rPr>
                <w:rStyle w:val="Hyperlink"/>
                <w:rFonts w:ascii="Calibri" w:hAnsi="Calibri" w:cs="Calibri"/>
                <w:noProof/>
              </w:rPr>
              <w:t>Cost Benefit Analysis based on Health and Safety Executive (HSE) Calculations</w:t>
            </w:r>
            <w:r w:rsidRPr="00BD1CBB">
              <w:rPr>
                <w:rFonts w:ascii="Calibri" w:hAnsi="Calibri" w:cs="Calibri"/>
                <w:noProof/>
                <w:webHidden/>
              </w:rPr>
              <w:tab/>
            </w:r>
            <w:r w:rsidRPr="00BD1CBB">
              <w:rPr>
                <w:rFonts w:ascii="Calibri" w:hAnsi="Calibri" w:cs="Calibri"/>
                <w:noProof/>
                <w:webHidden/>
              </w:rPr>
              <w:fldChar w:fldCharType="begin"/>
            </w:r>
            <w:r w:rsidRPr="00BD1CBB">
              <w:rPr>
                <w:rFonts w:ascii="Calibri" w:hAnsi="Calibri" w:cs="Calibri"/>
                <w:noProof/>
                <w:webHidden/>
              </w:rPr>
              <w:instrText xml:space="preserve"> PAGEREF _Toc140778917 \h </w:instrText>
            </w:r>
            <w:r w:rsidRPr="00BD1CBB">
              <w:rPr>
                <w:rFonts w:ascii="Calibri" w:hAnsi="Calibri" w:cs="Calibri"/>
                <w:noProof/>
                <w:webHidden/>
              </w:rPr>
            </w:r>
            <w:r w:rsidRPr="00BD1CBB">
              <w:rPr>
                <w:rFonts w:ascii="Calibri" w:hAnsi="Calibri" w:cs="Calibri"/>
                <w:noProof/>
                <w:webHidden/>
              </w:rPr>
              <w:fldChar w:fldCharType="separate"/>
            </w:r>
            <w:r w:rsidR="00522F9A">
              <w:rPr>
                <w:rFonts w:ascii="Calibri" w:hAnsi="Calibri" w:cs="Calibri"/>
                <w:noProof/>
                <w:webHidden/>
              </w:rPr>
              <w:t>3</w:t>
            </w:r>
            <w:r w:rsidRPr="00BD1CBB">
              <w:rPr>
                <w:rFonts w:ascii="Calibri" w:hAnsi="Calibri" w:cs="Calibri"/>
                <w:noProof/>
                <w:webHidden/>
              </w:rPr>
              <w:fldChar w:fldCharType="end"/>
            </w:r>
          </w:hyperlink>
        </w:p>
        <w:p w14:paraId="6D86D861" w14:textId="085CEECB" w:rsidR="00C713A4" w:rsidRPr="00BD1CBB" w:rsidRDefault="00C713A4" w:rsidP="00C713A4">
          <w:pPr>
            <w:pStyle w:val="TOC1"/>
            <w:tabs>
              <w:tab w:val="left" w:pos="440"/>
              <w:tab w:val="right" w:leader="dot" w:pos="9016"/>
            </w:tabs>
            <w:rPr>
              <w:rFonts w:ascii="Calibri" w:eastAsiaTheme="minorEastAsia" w:hAnsi="Calibri" w:cs="Calibri"/>
              <w:noProof/>
              <w:lang w:eastAsia="en-GB"/>
            </w:rPr>
          </w:pPr>
          <w:hyperlink w:anchor="_Toc140778918" w:history="1">
            <w:r w:rsidRPr="00BD1CBB">
              <w:rPr>
                <w:rStyle w:val="Hyperlink"/>
                <w:rFonts w:ascii="Calibri" w:hAnsi="Calibri" w:cs="Calibri"/>
                <w:noProof/>
              </w:rPr>
              <w:t>4.</w:t>
            </w:r>
            <w:r w:rsidRPr="00BD1CBB">
              <w:rPr>
                <w:rFonts w:ascii="Calibri" w:eastAsiaTheme="minorEastAsia" w:hAnsi="Calibri" w:cs="Calibri"/>
                <w:noProof/>
                <w:lang w:eastAsia="en-GB"/>
              </w:rPr>
              <w:tab/>
            </w:r>
            <w:r w:rsidRPr="00BD1CBB">
              <w:rPr>
                <w:rStyle w:val="Hyperlink"/>
                <w:rFonts w:ascii="Calibri" w:hAnsi="Calibri" w:cs="Calibri"/>
                <w:noProof/>
              </w:rPr>
              <w:t>Controls</w:t>
            </w:r>
            <w:r w:rsidRPr="00BD1CBB">
              <w:rPr>
                <w:rFonts w:ascii="Calibri" w:hAnsi="Calibri" w:cs="Calibri"/>
                <w:noProof/>
                <w:webHidden/>
              </w:rPr>
              <w:tab/>
            </w:r>
            <w:r w:rsidRPr="00BD1CBB">
              <w:rPr>
                <w:rFonts w:ascii="Calibri" w:hAnsi="Calibri" w:cs="Calibri"/>
                <w:noProof/>
                <w:webHidden/>
              </w:rPr>
              <w:fldChar w:fldCharType="begin"/>
            </w:r>
            <w:r w:rsidRPr="00BD1CBB">
              <w:rPr>
                <w:rFonts w:ascii="Calibri" w:hAnsi="Calibri" w:cs="Calibri"/>
                <w:noProof/>
                <w:webHidden/>
              </w:rPr>
              <w:instrText xml:space="preserve"> PAGEREF _Toc140778918 \h </w:instrText>
            </w:r>
            <w:r w:rsidRPr="00BD1CBB">
              <w:rPr>
                <w:rFonts w:ascii="Calibri" w:hAnsi="Calibri" w:cs="Calibri"/>
                <w:noProof/>
                <w:webHidden/>
              </w:rPr>
            </w:r>
            <w:r w:rsidRPr="00BD1CBB">
              <w:rPr>
                <w:rFonts w:ascii="Calibri" w:hAnsi="Calibri" w:cs="Calibri"/>
                <w:noProof/>
                <w:webHidden/>
              </w:rPr>
              <w:fldChar w:fldCharType="separate"/>
            </w:r>
            <w:r w:rsidR="00522F9A">
              <w:rPr>
                <w:rFonts w:ascii="Calibri" w:hAnsi="Calibri" w:cs="Calibri"/>
                <w:noProof/>
                <w:webHidden/>
              </w:rPr>
              <w:t>4</w:t>
            </w:r>
            <w:r w:rsidRPr="00BD1CBB">
              <w:rPr>
                <w:rFonts w:ascii="Calibri" w:hAnsi="Calibri" w:cs="Calibri"/>
                <w:noProof/>
                <w:webHidden/>
              </w:rPr>
              <w:fldChar w:fldCharType="end"/>
            </w:r>
          </w:hyperlink>
        </w:p>
        <w:p w14:paraId="6927E318" w14:textId="2181C0CD" w:rsidR="00C713A4" w:rsidRPr="00BD1CBB" w:rsidRDefault="00C713A4" w:rsidP="00C713A4">
          <w:pPr>
            <w:pStyle w:val="TOC2"/>
            <w:tabs>
              <w:tab w:val="right" w:leader="dot" w:pos="9016"/>
            </w:tabs>
            <w:rPr>
              <w:rFonts w:ascii="Calibri" w:eastAsiaTheme="minorEastAsia" w:hAnsi="Calibri" w:cs="Calibri"/>
              <w:noProof/>
              <w:lang w:eastAsia="en-GB"/>
            </w:rPr>
          </w:pPr>
          <w:hyperlink w:anchor="_Toc140778919" w:history="1">
            <w:r w:rsidRPr="00BD1CBB">
              <w:rPr>
                <w:rStyle w:val="Hyperlink"/>
                <w:rFonts w:ascii="Calibri" w:hAnsi="Calibri" w:cs="Calibri"/>
                <w:noProof/>
              </w:rPr>
              <w:t>3.1. Engineering Controls</w:t>
            </w:r>
            <w:r w:rsidRPr="00BD1CBB">
              <w:rPr>
                <w:rFonts w:ascii="Calibri" w:hAnsi="Calibri" w:cs="Calibri"/>
                <w:noProof/>
                <w:webHidden/>
              </w:rPr>
              <w:tab/>
            </w:r>
            <w:r w:rsidRPr="00BD1CBB">
              <w:rPr>
                <w:rFonts w:ascii="Calibri" w:hAnsi="Calibri" w:cs="Calibri"/>
                <w:noProof/>
                <w:webHidden/>
              </w:rPr>
              <w:fldChar w:fldCharType="begin"/>
            </w:r>
            <w:r w:rsidRPr="00BD1CBB">
              <w:rPr>
                <w:rFonts w:ascii="Calibri" w:hAnsi="Calibri" w:cs="Calibri"/>
                <w:noProof/>
                <w:webHidden/>
              </w:rPr>
              <w:instrText xml:space="preserve"> PAGEREF _Toc140778919 \h </w:instrText>
            </w:r>
            <w:r w:rsidRPr="00BD1CBB">
              <w:rPr>
                <w:rFonts w:ascii="Calibri" w:hAnsi="Calibri" w:cs="Calibri"/>
                <w:noProof/>
                <w:webHidden/>
              </w:rPr>
            </w:r>
            <w:r w:rsidRPr="00BD1CBB">
              <w:rPr>
                <w:rFonts w:ascii="Calibri" w:hAnsi="Calibri" w:cs="Calibri"/>
                <w:noProof/>
                <w:webHidden/>
              </w:rPr>
              <w:fldChar w:fldCharType="separate"/>
            </w:r>
            <w:r w:rsidR="00522F9A">
              <w:rPr>
                <w:rFonts w:ascii="Calibri" w:hAnsi="Calibri" w:cs="Calibri"/>
                <w:noProof/>
                <w:webHidden/>
              </w:rPr>
              <w:t>4</w:t>
            </w:r>
            <w:r w:rsidRPr="00BD1CBB">
              <w:rPr>
                <w:rFonts w:ascii="Calibri" w:hAnsi="Calibri" w:cs="Calibri"/>
                <w:noProof/>
                <w:webHidden/>
              </w:rPr>
              <w:fldChar w:fldCharType="end"/>
            </w:r>
          </w:hyperlink>
        </w:p>
        <w:p w14:paraId="3A3FF240" w14:textId="46E8CA65" w:rsidR="00C713A4" w:rsidRPr="00BD1CBB" w:rsidRDefault="00C713A4" w:rsidP="00C713A4">
          <w:pPr>
            <w:pStyle w:val="TOC2"/>
            <w:tabs>
              <w:tab w:val="right" w:leader="dot" w:pos="9016"/>
            </w:tabs>
            <w:rPr>
              <w:rFonts w:ascii="Calibri" w:eastAsiaTheme="minorEastAsia" w:hAnsi="Calibri" w:cs="Calibri"/>
              <w:noProof/>
              <w:lang w:eastAsia="en-GB"/>
            </w:rPr>
          </w:pPr>
          <w:hyperlink w:anchor="_Toc140778920" w:history="1">
            <w:r w:rsidRPr="00BD1CBB">
              <w:rPr>
                <w:rStyle w:val="Hyperlink"/>
                <w:rFonts w:ascii="Calibri" w:hAnsi="Calibri" w:cs="Calibri"/>
                <w:noProof/>
              </w:rPr>
              <w:t>3.2 Administrative Controls</w:t>
            </w:r>
            <w:r w:rsidRPr="00BD1CBB">
              <w:rPr>
                <w:rFonts w:ascii="Calibri" w:hAnsi="Calibri" w:cs="Calibri"/>
                <w:noProof/>
                <w:webHidden/>
              </w:rPr>
              <w:tab/>
            </w:r>
            <w:r w:rsidRPr="00BD1CBB">
              <w:rPr>
                <w:rFonts w:ascii="Calibri" w:hAnsi="Calibri" w:cs="Calibri"/>
                <w:noProof/>
                <w:webHidden/>
              </w:rPr>
              <w:fldChar w:fldCharType="begin"/>
            </w:r>
            <w:r w:rsidRPr="00BD1CBB">
              <w:rPr>
                <w:rFonts w:ascii="Calibri" w:hAnsi="Calibri" w:cs="Calibri"/>
                <w:noProof/>
                <w:webHidden/>
              </w:rPr>
              <w:instrText xml:space="preserve"> PAGEREF _Toc140778920 \h </w:instrText>
            </w:r>
            <w:r w:rsidRPr="00BD1CBB">
              <w:rPr>
                <w:rFonts w:ascii="Calibri" w:hAnsi="Calibri" w:cs="Calibri"/>
                <w:noProof/>
                <w:webHidden/>
              </w:rPr>
            </w:r>
            <w:r w:rsidRPr="00BD1CBB">
              <w:rPr>
                <w:rFonts w:ascii="Calibri" w:hAnsi="Calibri" w:cs="Calibri"/>
                <w:noProof/>
                <w:webHidden/>
              </w:rPr>
              <w:fldChar w:fldCharType="separate"/>
            </w:r>
            <w:r w:rsidR="00522F9A">
              <w:rPr>
                <w:rFonts w:ascii="Calibri" w:hAnsi="Calibri" w:cs="Calibri"/>
                <w:noProof/>
                <w:webHidden/>
              </w:rPr>
              <w:t>5</w:t>
            </w:r>
            <w:r w:rsidRPr="00BD1CBB">
              <w:rPr>
                <w:rFonts w:ascii="Calibri" w:hAnsi="Calibri" w:cs="Calibri"/>
                <w:noProof/>
                <w:webHidden/>
              </w:rPr>
              <w:fldChar w:fldCharType="end"/>
            </w:r>
          </w:hyperlink>
        </w:p>
        <w:p w14:paraId="423D559F" w14:textId="5CFB094D" w:rsidR="00C713A4" w:rsidRPr="00BD1CBB" w:rsidRDefault="00C713A4" w:rsidP="00C713A4">
          <w:pPr>
            <w:pStyle w:val="TOC1"/>
            <w:tabs>
              <w:tab w:val="left" w:pos="440"/>
              <w:tab w:val="right" w:leader="dot" w:pos="9016"/>
            </w:tabs>
            <w:rPr>
              <w:rFonts w:ascii="Calibri" w:eastAsiaTheme="minorEastAsia" w:hAnsi="Calibri" w:cs="Calibri"/>
              <w:noProof/>
              <w:lang w:eastAsia="en-GB"/>
            </w:rPr>
          </w:pPr>
          <w:hyperlink w:anchor="_Toc140778921" w:history="1">
            <w:r w:rsidRPr="00BD1CBB">
              <w:rPr>
                <w:rStyle w:val="Hyperlink"/>
                <w:rFonts w:ascii="Calibri" w:hAnsi="Calibri" w:cs="Calibri"/>
                <w:noProof/>
              </w:rPr>
              <w:t>5.</w:t>
            </w:r>
            <w:r w:rsidRPr="00BD1CBB">
              <w:rPr>
                <w:rFonts w:ascii="Calibri" w:eastAsiaTheme="minorEastAsia" w:hAnsi="Calibri" w:cs="Calibri"/>
                <w:noProof/>
                <w:lang w:eastAsia="en-GB"/>
              </w:rPr>
              <w:tab/>
            </w:r>
            <w:r w:rsidRPr="00BD1CBB">
              <w:rPr>
                <w:rStyle w:val="Hyperlink"/>
                <w:rFonts w:ascii="Calibri" w:hAnsi="Calibri" w:cs="Calibri"/>
                <w:noProof/>
              </w:rPr>
              <w:t>Conclusion</w:t>
            </w:r>
            <w:r w:rsidRPr="00BD1CBB">
              <w:rPr>
                <w:rFonts w:ascii="Calibri" w:hAnsi="Calibri" w:cs="Calibri"/>
                <w:noProof/>
                <w:webHidden/>
              </w:rPr>
              <w:tab/>
            </w:r>
            <w:r w:rsidRPr="00BD1CBB">
              <w:rPr>
                <w:rFonts w:ascii="Calibri" w:hAnsi="Calibri" w:cs="Calibri"/>
                <w:noProof/>
                <w:webHidden/>
              </w:rPr>
              <w:fldChar w:fldCharType="begin"/>
            </w:r>
            <w:r w:rsidRPr="00BD1CBB">
              <w:rPr>
                <w:rFonts w:ascii="Calibri" w:hAnsi="Calibri" w:cs="Calibri"/>
                <w:noProof/>
                <w:webHidden/>
              </w:rPr>
              <w:instrText xml:space="preserve"> PAGEREF _Toc140778921 \h </w:instrText>
            </w:r>
            <w:r w:rsidRPr="00BD1CBB">
              <w:rPr>
                <w:rFonts w:ascii="Calibri" w:hAnsi="Calibri" w:cs="Calibri"/>
                <w:noProof/>
                <w:webHidden/>
              </w:rPr>
            </w:r>
            <w:r w:rsidRPr="00BD1CBB">
              <w:rPr>
                <w:rFonts w:ascii="Calibri" w:hAnsi="Calibri" w:cs="Calibri"/>
                <w:noProof/>
                <w:webHidden/>
              </w:rPr>
              <w:fldChar w:fldCharType="separate"/>
            </w:r>
            <w:r w:rsidR="00522F9A">
              <w:rPr>
                <w:rFonts w:ascii="Calibri" w:hAnsi="Calibri" w:cs="Calibri"/>
                <w:noProof/>
                <w:webHidden/>
              </w:rPr>
              <w:t>6</w:t>
            </w:r>
            <w:r w:rsidRPr="00BD1CBB">
              <w:rPr>
                <w:rFonts w:ascii="Calibri" w:hAnsi="Calibri" w:cs="Calibri"/>
                <w:noProof/>
                <w:webHidden/>
              </w:rPr>
              <w:fldChar w:fldCharType="end"/>
            </w:r>
          </w:hyperlink>
        </w:p>
        <w:p w14:paraId="460A7C78" w14:textId="1ECC8CFF" w:rsidR="00C713A4" w:rsidRPr="00C713A4" w:rsidRDefault="00C713A4" w:rsidP="00C713A4">
          <w:pPr>
            <w:pStyle w:val="TOC1"/>
            <w:tabs>
              <w:tab w:val="right" w:leader="dot" w:pos="9016"/>
            </w:tabs>
            <w:rPr>
              <w:rFonts w:ascii="Calibri" w:eastAsiaTheme="minorEastAsia" w:hAnsi="Calibri" w:cs="Calibri"/>
              <w:noProof/>
              <w:lang w:eastAsia="en-GB"/>
            </w:rPr>
          </w:pPr>
          <w:hyperlink w:anchor="_Toc140778922" w:history="1">
            <w:r w:rsidRPr="00C713A4">
              <w:rPr>
                <w:rStyle w:val="Hyperlink"/>
                <w:rFonts w:ascii="Calibri" w:hAnsi="Calibri" w:cs="Calibri"/>
                <w:noProof/>
              </w:rPr>
              <w:t>Bibliography</w:t>
            </w:r>
            <w:r w:rsidRPr="00C713A4">
              <w:rPr>
                <w:rFonts w:ascii="Calibri" w:hAnsi="Calibri" w:cs="Calibri"/>
                <w:noProof/>
                <w:webHidden/>
              </w:rPr>
              <w:tab/>
            </w:r>
            <w:r w:rsidRPr="00C713A4">
              <w:rPr>
                <w:rFonts w:ascii="Calibri" w:hAnsi="Calibri" w:cs="Calibri"/>
                <w:noProof/>
                <w:webHidden/>
              </w:rPr>
              <w:fldChar w:fldCharType="begin"/>
            </w:r>
            <w:r w:rsidRPr="00C713A4">
              <w:rPr>
                <w:rFonts w:ascii="Calibri" w:hAnsi="Calibri" w:cs="Calibri"/>
                <w:noProof/>
                <w:webHidden/>
              </w:rPr>
              <w:instrText xml:space="preserve"> PAGEREF _Toc140778922 \h </w:instrText>
            </w:r>
            <w:r w:rsidRPr="00C713A4">
              <w:rPr>
                <w:rFonts w:ascii="Calibri" w:hAnsi="Calibri" w:cs="Calibri"/>
                <w:noProof/>
                <w:webHidden/>
              </w:rPr>
            </w:r>
            <w:r w:rsidRPr="00C713A4">
              <w:rPr>
                <w:rFonts w:ascii="Calibri" w:hAnsi="Calibri" w:cs="Calibri"/>
                <w:noProof/>
                <w:webHidden/>
              </w:rPr>
              <w:fldChar w:fldCharType="separate"/>
            </w:r>
            <w:r w:rsidR="00522F9A">
              <w:rPr>
                <w:rFonts w:ascii="Calibri" w:hAnsi="Calibri" w:cs="Calibri"/>
                <w:noProof/>
                <w:webHidden/>
              </w:rPr>
              <w:t>7</w:t>
            </w:r>
            <w:r w:rsidRPr="00C713A4">
              <w:rPr>
                <w:rFonts w:ascii="Calibri" w:hAnsi="Calibri" w:cs="Calibri"/>
                <w:noProof/>
                <w:webHidden/>
              </w:rPr>
              <w:fldChar w:fldCharType="end"/>
            </w:r>
          </w:hyperlink>
        </w:p>
        <w:p w14:paraId="1B55DAEB" w14:textId="77777777" w:rsidR="00C713A4" w:rsidRDefault="00C713A4" w:rsidP="00C713A4">
          <w:r w:rsidRPr="002B7911">
            <w:rPr>
              <w:rFonts w:ascii="Calibri" w:hAnsi="Calibri" w:cs="Calibri"/>
              <w:b/>
              <w:bCs/>
              <w:noProof/>
            </w:rPr>
            <w:fldChar w:fldCharType="end"/>
          </w:r>
        </w:p>
      </w:sdtContent>
    </w:sdt>
    <w:p w14:paraId="47BC1C3F" w14:textId="77777777" w:rsidR="00C713A4" w:rsidRDefault="00C713A4" w:rsidP="00C713A4">
      <w:r>
        <w:br w:type="page"/>
      </w:r>
    </w:p>
    <w:p w14:paraId="1694838B" w14:textId="77777777" w:rsidR="00C713A4" w:rsidRPr="002B7911" w:rsidRDefault="00C713A4" w:rsidP="00C713A4">
      <w:pPr>
        <w:pStyle w:val="Heading1"/>
        <w:numPr>
          <w:ilvl w:val="0"/>
          <w:numId w:val="25"/>
        </w:numPr>
        <w:tabs>
          <w:tab w:val="num" w:pos="360"/>
        </w:tabs>
        <w:ind w:left="0" w:firstLine="0"/>
        <w:rPr>
          <w:rFonts w:ascii="Calibri" w:hAnsi="Calibri" w:cs="Calibri"/>
          <w:sz w:val="32"/>
          <w:szCs w:val="36"/>
        </w:rPr>
      </w:pPr>
      <w:bookmarkStart w:id="1" w:name="_Toc140778915"/>
      <w:r w:rsidRPr="002B7911">
        <w:rPr>
          <w:rFonts w:ascii="Calibri" w:hAnsi="Calibri" w:cs="Calibri"/>
          <w:sz w:val="32"/>
          <w:szCs w:val="36"/>
        </w:rPr>
        <w:lastRenderedPageBreak/>
        <w:t>Introduction:</w:t>
      </w:r>
      <w:bookmarkEnd w:id="1"/>
    </w:p>
    <w:p w14:paraId="5A871920" w14:textId="77777777" w:rsidR="00C713A4" w:rsidRPr="002B7911" w:rsidRDefault="00C713A4" w:rsidP="00C713A4">
      <w:pPr>
        <w:rPr>
          <w:rFonts w:ascii="Calibri" w:hAnsi="Calibri" w:cs="Calibri"/>
        </w:rPr>
      </w:pPr>
    </w:p>
    <w:p w14:paraId="0BDBD238" w14:textId="77777777" w:rsidR="00C713A4" w:rsidRPr="002B7911" w:rsidRDefault="00C713A4" w:rsidP="00C713A4">
      <w:pPr>
        <w:rPr>
          <w:rFonts w:ascii="Calibri" w:hAnsi="Calibri" w:cs="Calibri"/>
        </w:rPr>
      </w:pPr>
      <w:r w:rsidRPr="002B7911">
        <w:rPr>
          <w:rFonts w:ascii="Calibri" w:hAnsi="Calibri" w:cs="Calibri"/>
        </w:rPr>
        <w:t xml:space="preserve">It is clear from the risk assessment and hazard identification that the most severe risk that could occur during the replenishing of the Sea </w:t>
      </w:r>
      <w:proofErr w:type="spellStart"/>
      <w:r w:rsidRPr="002B7911">
        <w:rPr>
          <w:rFonts w:ascii="Calibri" w:hAnsi="Calibri" w:cs="Calibri"/>
        </w:rPr>
        <w:t>Ceptor</w:t>
      </w:r>
      <w:proofErr w:type="spellEnd"/>
      <w:r w:rsidRPr="002B7911">
        <w:rPr>
          <w:rFonts w:ascii="Calibri" w:hAnsi="Calibri" w:cs="Calibri"/>
        </w:rPr>
        <w:t xml:space="preserve"> missile system to a Type 23 Frigate is an inadvertent initiation. Despite the risk posed by the operation, Sea </w:t>
      </w:r>
      <w:proofErr w:type="spellStart"/>
      <w:r w:rsidRPr="002B7911">
        <w:rPr>
          <w:rFonts w:ascii="Calibri" w:hAnsi="Calibri" w:cs="Calibri"/>
        </w:rPr>
        <w:t>Ceptor</w:t>
      </w:r>
      <w:proofErr w:type="spellEnd"/>
      <w:r w:rsidRPr="002B7911">
        <w:rPr>
          <w:rFonts w:ascii="Calibri" w:hAnsi="Calibri" w:cs="Calibri"/>
        </w:rPr>
        <w:t xml:space="preserve"> </w:t>
      </w:r>
      <w:r>
        <w:rPr>
          <w:rFonts w:ascii="Calibri" w:hAnsi="Calibri" w:cs="Calibri"/>
        </w:rPr>
        <w:t xml:space="preserve">is </w:t>
      </w:r>
      <w:r w:rsidRPr="002B7911">
        <w:rPr>
          <w:rFonts w:ascii="Calibri" w:hAnsi="Calibri" w:cs="Calibri"/>
        </w:rPr>
        <w:t>still</w:t>
      </w:r>
      <w:r>
        <w:rPr>
          <w:rFonts w:ascii="Calibri" w:hAnsi="Calibri" w:cs="Calibri"/>
        </w:rPr>
        <w:t xml:space="preserve"> a</w:t>
      </w:r>
      <w:r w:rsidRPr="002B7911">
        <w:rPr>
          <w:rFonts w:ascii="Calibri" w:hAnsi="Calibri" w:cs="Calibri"/>
        </w:rPr>
        <w:t xml:space="preserve"> critical</w:t>
      </w:r>
      <w:r>
        <w:rPr>
          <w:rFonts w:ascii="Calibri" w:hAnsi="Calibri" w:cs="Calibri"/>
        </w:rPr>
        <w:t xml:space="preserve"> system</w:t>
      </w:r>
      <w:r w:rsidRPr="002B7911">
        <w:rPr>
          <w:rFonts w:ascii="Calibri" w:hAnsi="Calibri" w:cs="Calibri"/>
        </w:rPr>
        <w:t xml:space="preserve"> for the defence of the Type 23 providing their main Common Anti-Air Missile (CAMM) system </w:t>
      </w:r>
      <w:sdt>
        <w:sdtPr>
          <w:rPr>
            <w:rFonts w:ascii="Calibri" w:hAnsi="Calibri" w:cs="Calibri"/>
          </w:rPr>
          <w:id w:val="-1133243552"/>
          <w:citation/>
        </w:sdtPr>
        <w:sdtContent>
          <w:r w:rsidRPr="002B7911">
            <w:rPr>
              <w:rFonts w:ascii="Calibri" w:hAnsi="Calibri" w:cs="Calibri"/>
            </w:rPr>
            <w:fldChar w:fldCharType="begin"/>
          </w:r>
          <w:r w:rsidRPr="002B7911">
            <w:rPr>
              <w:rFonts w:ascii="Calibri" w:hAnsi="Calibri" w:cs="Calibri"/>
            </w:rPr>
            <w:instrText xml:space="preserve"> CITATION Roy19 \l 2057 </w:instrText>
          </w:r>
          <w:r w:rsidRPr="002B7911">
            <w:rPr>
              <w:rFonts w:ascii="Calibri" w:hAnsi="Calibri" w:cs="Calibri"/>
            </w:rPr>
            <w:fldChar w:fldCharType="separate"/>
          </w:r>
          <w:r w:rsidRPr="005470C6">
            <w:rPr>
              <w:rFonts w:ascii="Calibri" w:hAnsi="Calibri" w:cs="Calibri"/>
              <w:noProof/>
            </w:rPr>
            <w:t>[1]</w:t>
          </w:r>
          <w:r w:rsidRPr="002B7911">
            <w:rPr>
              <w:rFonts w:ascii="Calibri" w:hAnsi="Calibri" w:cs="Calibri"/>
            </w:rPr>
            <w:fldChar w:fldCharType="end"/>
          </w:r>
        </w:sdtContent>
      </w:sdt>
      <w:sdt>
        <w:sdtPr>
          <w:rPr>
            <w:rFonts w:ascii="Calibri" w:hAnsi="Calibri" w:cs="Calibri"/>
          </w:rPr>
          <w:id w:val="301117547"/>
          <w:citation/>
        </w:sdtPr>
        <w:sdtContent>
          <w:r w:rsidRPr="002B7911">
            <w:rPr>
              <w:rFonts w:ascii="Calibri" w:hAnsi="Calibri" w:cs="Calibri"/>
            </w:rPr>
            <w:fldChar w:fldCharType="begin"/>
          </w:r>
          <w:r w:rsidRPr="002B7911">
            <w:rPr>
              <w:rFonts w:ascii="Calibri" w:hAnsi="Calibri" w:cs="Calibri"/>
            </w:rPr>
            <w:instrText xml:space="preserve"> CITATION MBD23 \l 2057 </w:instrText>
          </w:r>
          <w:r w:rsidRPr="002B7911">
            <w:rPr>
              <w:rFonts w:ascii="Calibri" w:hAnsi="Calibri" w:cs="Calibri"/>
            </w:rPr>
            <w:fldChar w:fldCharType="separate"/>
          </w:r>
          <w:r>
            <w:rPr>
              <w:rFonts w:ascii="Calibri" w:hAnsi="Calibri" w:cs="Calibri"/>
              <w:noProof/>
            </w:rPr>
            <w:t xml:space="preserve"> </w:t>
          </w:r>
          <w:r w:rsidRPr="005470C6">
            <w:rPr>
              <w:rFonts w:ascii="Calibri" w:hAnsi="Calibri" w:cs="Calibri"/>
              <w:noProof/>
            </w:rPr>
            <w:t>[2]</w:t>
          </w:r>
          <w:r w:rsidRPr="002B7911">
            <w:rPr>
              <w:rFonts w:ascii="Calibri" w:hAnsi="Calibri" w:cs="Calibri"/>
            </w:rPr>
            <w:fldChar w:fldCharType="end"/>
          </w:r>
        </w:sdtContent>
      </w:sdt>
      <w:r w:rsidRPr="002B7911">
        <w:rPr>
          <w:rFonts w:ascii="Calibri" w:hAnsi="Calibri" w:cs="Calibri"/>
        </w:rPr>
        <w:t xml:space="preserve">. The previous CAMM, Sea Wolf, contained a 14kilogram warhead and it is probable that the Sea </w:t>
      </w:r>
      <w:proofErr w:type="spellStart"/>
      <w:r w:rsidRPr="002B7911">
        <w:rPr>
          <w:rFonts w:ascii="Calibri" w:hAnsi="Calibri" w:cs="Calibri"/>
        </w:rPr>
        <w:t>Ceptor</w:t>
      </w:r>
      <w:proofErr w:type="spellEnd"/>
      <w:r w:rsidRPr="002B7911">
        <w:rPr>
          <w:rFonts w:ascii="Calibri" w:hAnsi="Calibri" w:cs="Calibri"/>
        </w:rPr>
        <w:t xml:space="preserve"> contains a similar or larger warhead potentially increasing the energetic potential of any inadvertent initiation</w:t>
      </w:r>
      <w:sdt>
        <w:sdtPr>
          <w:rPr>
            <w:rFonts w:ascii="Calibri" w:hAnsi="Calibri" w:cs="Calibri"/>
          </w:rPr>
          <w:id w:val="-1464261853"/>
          <w:citation/>
        </w:sdtPr>
        <w:sdtContent>
          <w:r w:rsidRPr="002B7911">
            <w:rPr>
              <w:rFonts w:ascii="Calibri" w:hAnsi="Calibri" w:cs="Calibri"/>
            </w:rPr>
            <w:fldChar w:fldCharType="begin"/>
          </w:r>
          <w:r w:rsidRPr="002B7911">
            <w:rPr>
              <w:rFonts w:ascii="Calibri" w:hAnsi="Calibri" w:cs="Calibri"/>
            </w:rPr>
            <w:instrText xml:space="preserve"> CITATION Nav19 \l 2057 </w:instrText>
          </w:r>
          <w:r w:rsidRPr="002B7911">
            <w:rPr>
              <w:rFonts w:ascii="Calibri" w:hAnsi="Calibri" w:cs="Calibri"/>
            </w:rPr>
            <w:fldChar w:fldCharType="separate"/>
          </w:r>
          <w:r>
            <w:rPr>
              <w:rFonts w:ascii="Calibri" w:hAnsi="Calibri" w:cs="Calibri"/>
              <w:noProof/>
            </w:rPr>
            <w:t xml:space="preserve"> </w:t>
          </w:r>
          <w:r w:rsidRPr="005470C6">
            <w:rPr>
              <w:rFonts w:ascii="Calibri" w:hAnsi="Calibri" w:cs="Calibri"/>
              <w:noProof/>
            </w:rPr>
            <w:t>[3]</w:t>
          </w:r>
          <w:r w:rsidRPr="002B7911">
            <w:rPr>
              <w:rFonts w:ascii="Calibri" w:hAnsi="Calibri" w:cs="Calibri"/>
            </w:rPr>
            <w:fldChar w:fldCharType="end"/>
          </w:r>
        </w:sdtContent>
      </w:sdt>
      <w:r w:rsidRPr="002B7911">
        <w:rPr>
          <w:rFonts w:ascii="Calibri" w:hAnsi="Calibri" w:cs="Calibri"/>
        </w:rPr>
        <w:t>. Thus, the controls used to mitigate against have to be stringent enough to reduce the risk to be as low as reasonably practicable (ALARP)</w:t>
      </w:r>
      <w:sdt>
        <w:sdtPr>
          <w:rPr>
            <w:rFonts w:ascii="Calibri" w:hAnsi="Calibri" w:cs="Calibri"/>
          </w:rPr>
          <w:id w:val="2141445337"/>
          <w:citation/>
        </w:sdtPr>
        <w:sdtContent>
          <w:r w:rsidRPr="002B7911">
            <w:rPr>
              <w:rFonts w:ascii="Calibri" w:hAnsi="Calibri" w:cs="Calibri"/>
            </w:rPr>
            <w:fldChar w:fldCharType="begin"/>
          </w:r>
          <w:r w:rsidRPr="002B7911">
            <w:rPr>
              <w:rFonts w:ascii="Calibri" w:hAnsi="Calibri" w:cs="Calibri"/>
            </w:rPr>
            <w:instrText xml:space="preserve"> CITATION Hea23 \l 2057 </w:instrText>
          </w:r>
          <w:r w:rsidRPr="002B7911">
            <w:rPr>
              <w:rFonts w:ascii="Calibri" w:hAnsi="Calibri" w:cs="Calibri"/>
            </w:rPr>
            <w:fldChar w:fldCharType="separate"/>
          </w:r>
          <w:r>
            <w:rPr>
              <w:rFonts w:ascii="Calibri" w:hAnsi="Calibri" w:cs="Calibri"/>
              <w:noProof/>
            </w:rPr>
            <w:t xml:space="preserve"> </w:t>
          </w:r>
          <w:r w:rsidRPr="005470C6">
            <w:rPr>
              <w:rFonts w:ascii="Calibri" w:hAnsi="Calibri" w:cs="Calibri"/>
              <w:noProof/>
            </w:rPr>
            <w:t>[4]</w:t>
          </w:r>
          <w:r w:rsidRPr="002B7911">
            <w:rPr>
              <w:rFonts w:ascii="Calibri" w:hAnsi="Calibri" w:cs="Calibri"/>
            </w:rPr>
            <w:fldChar w:fldCharType="end"/>
          </w:r>
        </w:sdtContent>
      </w:sdt>
      <w:r w:rsidRPr="002B7911">
        <w:rPr>
          <w:rFonts w:ascii="Calibri" w:hAnsi="Calibri" w:cs="Calibri"/>
        </w:rPr>
        <w:t>, whilst still allowing for the operation to take place. Therefore, considerable time has been spent minimising likelihood of the risk posed, whilst acknowledging that should inadvertent initiation occur it is likely to be a catastrophic event as outlined in the risk assessment. This report shall briefly document how the catastrophic severity was arrived at and then how the mitigations selected shall limit the likelihood of it occurring. Following this there will be a brief discussion on the controls implemented and this will also highlight ongoing developments that might become more reasonable in the future.</w:t>
      </w:r>
    </w:p>
    <w:p w14:paraId="0B1C6FE9" w14:textId="77777777" w:rsidR="00C713A4" w:rsidRPr="002B7911" w:rsidRDefault="00C713A4" w:rsidP="00C713A4">
      <w:pPr>
        <w:pStyle w:val="Heading1"/>
        <w:numPr>
          <w:ilvl w:val="0"/>
          <w:numId w:val="25"/>
        </w:numPr>
        <w:tabs>
          <w:tab w:val="num" w:pos="360"/>
        </w:tabs>
        <w:ind w:left="0" w:firstLine="0"/>
        <w:rPr>
          <w:rFonts w:ascii="Calibri" w:hAnsi="Calibri" w:cs="Calibri"/>
          <w:sz w:val="32"/>
          <w:szCs w:val="36"/>
        </w:rPr>
      </w:pPr>
      <w:bookmarkStart w:id="2" w:name="_Toc140778916"/>
      <w:r w:rsidRPr="002B7911">
        <w:rPr>
          <w:rFonts w:ascii="Calibri" w:hAnsi="Calibri" w:cs="Calibri"/>
          <w:sz w:val="32"/>
          <w:szCs w:val="36"/>
        </w:rPr>
        <w:t>Classifying the severity of warhead initiation</w:t>
      </w:r>
      <w:bookmarkEnd w:id="2"/>
    </w:p>
    <w:p w14:paraId="5CFDEEA5" w14:textId="77777777" w:rsidR="00C713A4" w:rsidRPr="002B7911" w:rsidRDefault="00C713A4" w:rsidP="00C713A4">
      <w:pPr>
        <w:pStyle w:val="ListParagraph"/>
        <w:ind w:left="360"/>
        <w:rPr>
          <w:rFonts w:ascii="Calibri" w:hAnsi="Calibri" w:cs="Calibri"/>
        </w:rPr>
      </w:pPr>
    </w:p>
    <w:p w14:paraId="14B92834" w14:textId="77777777" w:rsidR="00C713A4" w:rsidRPr="002B7911" w:rsidRDefault="00C713A4" w:rsidP="00C713A4">
      <w:pPr>
        <w:rPr>
          <w:rFonts w:ascii="Calibri" w:hAnsi="Calibri" w:cs="Calibri"/>
        </w:rPr>
      </w:pPr>
      <w:r w:rsidRPr="002B7911">
        <w:rPr>
          <w:rFonts w:ascii="Calibri" w:hAnsi="Calibri" w:cs="Calibri"/>
        </w:rPr>
        <w:t xml:space="preserve">To begin to understand the severity of any initiation it is useful to first understand the potential energetic output from the warhead itself. This estimation is rough, as the author is unaware of the exact size and composition of Sea </w:t>
      </w:r>
      <w:proofErr w:type="spellStart"/>
      <w:r w:rsidRPr="002B7911">
        <w:rPr>
          <w:rFonts w:ascii="Calibri" w:hAnsi="Calibri" w:cs="Calibri"/>
        </w:rPr>
        <w:t>Ceptor</w:t>
      </w:r>
      <w:proofErr w:type="spellEnd"/>
      <w:r w:rsidRPr="002B7911">
        <w:rPr>
          <w:rFonts w:ascii="Calibri" w:hAnsi="Calibri" w:cs="Calibri"/>
        </w:rPr>
        <w:t xml:space="preserve"> warhead. However using Sea Wolf as a guide and taking RDX/TNT as a standard used in British munitions </w:t>
      </w:r>
      <w:sdt>
        <w:sdtPr>
          <w:rPr>
            <w:rFonts w:ascii="Calibri" w:hAnsi="Calibri" w:cs="Calibri"/>
          </w:rPr>
          <w:id w:val="-1116978644"/>
          <w:citation/>
        </w:sdtPr>
        <w:sdtContent>
          <w:r w:rsidRPr="002B7911">
            <w:rPr>
              <w:rFonts w:ascii="Calibri" w:hAnsi="Calibri" w:cs="Calibri"/>
            </w:rPr>
            <w:fldChar w:fldCharType="begin"/>
          </w:r>
          <w:r w:rsidRPr="002B7911">
            <w:rPr>
              <w:rFonts w:ascii="Calibri" w:hAnsi="Calibri" w:cs="Calibri"/>
            </w:rPr>
            <w:instrText xml:space="preserve">CITATION GHo20 \l 2057 </w:instrText>
          </w:r>
          <w:r w:rsidRPr="002B7911">
            <w:rPr>
              <w:rFonts w:ascii="Calibri" w:hAnsi="Calibri" w:cs="Calibri"/>
            </w:rPr>
            <w:fldChar w:fldCharType="separate"/>
          </w:r>
          <w:r w:rsidRPr="005470C6">
            <w:rPr>
              <w:rFonts w:ascii="Calibri" w:hAnsi="Calibri" w:cs="Calibri"/>
              <w:noProof/>
            </w:rPr>
            <w:t>[5]</w:t>
          </w:r>
          <w:r w:rsidRPr="002B7911">
            <w:rPr>
              <w:rFonts w:ascii="Calibri" w:hAnsi="Calibri" w:cs="Calibri"/>
            </w:rPr>
            <w:fldChar w:fldCharType="end"/>
          </w:r>
        </w:sdtContent>
      </w:sdt>
      <w:sdt>
        <w:sdtPr>
          <w:rPr>
            <w:rFonts w:ascii="Calibri" w:hAnsi="Calibri" w:cs="Calibri"/>
          </w:rPr>
          <w:id w:val="-1836907055"/>
          <w:citation/>
        </w:sdtPr>
        <w:sdtContent>
          <w:r w:rsidRPr="002B7911">
            <w:rPr>
              <w:rFonts w:ascii="Calibri" w:hAnsi="Calibri" w:cs="Calibri"/>
            </w:rPr>
            <w:fldChar w:fldCharType="begin"/>
          </w:r>
          <w:r w:rsidRPr="002B7911">
            <w:rPr>
              <w:rFonts w:ascii="Calibri" w:hAnsi="Calibri" w:cs="Calibri"/>
            </w:rPr>
            <w:instrText xml:space="preserve"> CITATION BAE23 \l 2057 </w:instrText>
          </w:r>
          <w:r w:rsidRPr="002B7911">
            <w:rPr>
              <w:rFonts w:ascii="Calibri" w:hAnsi="Calibri" w:cs="Calibri"/>
            </w:rPr>
            <w:fldChar w:fldCharType="separate"/>
          </w:r>
          <w:r>
            <w:rPr>
              <w:rFonts w:ascii="Calibri" w:hAnsi="Calibri" w:cs="Calibri"/>
              <w:noProof/>
            </w:rPr>
            <w:t xml:space="preserve"> </w:t>
          </w:r>
          <w:r w:rsidRPr="005470C6">
            <w:rPr>
              <w:rFonts w:ascii="Calibri" w:hAnsi="Calibri" w:cs="Calibri"/>
              <w:noProof/>
            </w:rPr>
            <w:t>[6]</w:t>
          </w:r>
          <w:r w:rsidRPr="002B7911">
            <w:rPr>
              <w:rFonts w:ascii="Calibri" w:hAnsi="Calibri" w:cs="Calibri"/>
            </w:rPr>
            <w:fldChar w:fldCharType="end"/>
          </w:r>
        </w:sdtContent>
      </w:sdt>
      <w:r w:rsidRPr="002B7911">
        <w:rPr>
          <w:rFonts w:ascii="Calibri" w:hAnsi="Calibri" w:cs="Calibri"/>
        </w:rPr>
        <w:t xml:space="preserve">, it is possible to derive the following information as a guide to the destructive capability of a Sea </w:t>
      </w:r>
      <w:proofErr w:type="spellStart"/>
      <w:r w:rsidRPr="002B7911">
        <w:rPr>
          <w:rFonts w:ascii="Calibri" w:hAnsi="Calibri" w:cs="Calibri"/>
        </w:rPr>
        <w:t>Ceptor</w:t>
      </w:r>
      <w:proofErr w:type="spellEnd"/>
      <w:r w:rsidRPr="002B7911">
        <w:rPr>
          <w:rFonts w:ascii="Calibri" w:hAnsi="Calibri" w:cs="Calibri"/>
        </w:rPr>
        <w:t xml:space="preserve"> missile.</w:t>
      </w:r>
    </w:p>
    <w:p w14:paraId="1E481AD3" w14:textId="77777777" w:rsidR="00C713A4" w:rsidRPr="002B7911" w:rsidRDefault="00C713A4" w:rsidP="00C713A4">
      <w:pPr>
        <w:pStyle w:val="Caption"/>
        <w:keepNext/>
        <w:rPr>
          <w:rFonts w:ascii="Calibri" w:hAnsi="Calibri" w:cs="Calibri"/>
        </w:rPr>
      </w:pPr>
      <w:r w:rsidRPr="002B7911">
        <w:rPr>
          <w:rFonts w:ascii="Calibri" w:hAnsi="Calibri" w:cs="Calibri"/>
        </w:rPr>
        <w:t xml:space="preserve">Table </w:t>
      </w:r>
      <w:r w:rsidRPr="002B7911">
        <w:rPr>
          <w:rFonts w:ascii="Calibri" w:hAnsi="Calibri" w:cs="Calibri"/>
        </w:rPr>
        <w:fldChar w:fldCharType="begin"/>
      </w:r>
      <w:r w:rsidRPr="002B7911">
        <w:rPr>
          <w:rFonts w:ascii="Calibri" w:hAnsi="Calibri" w:cs="Calibri"/>
        </w:rPr>
        <w:instrText xml:space="preserve"> SEQ Table \* ARABIC </w:instrText>
      </w:r>
      <w:r w:rsidRPr="002B7911">
        <w:rPr>
          <w:rFonts w:ascii="Calibri" w:hAnsi="Calibri" w:cs="Calibri"/>
        </w:rPr>
        <w:fldChar w:fldCharType="separate"/>
      </w:r>
      <w:r w:rsidRPr="002B7911">
        <w:rPr>
          <w:rFonts w:ascii="Calibri" w:hAnsi="Calibri" w:cs="Calibri"/>
          <w:noProof/>
        </w:rPr>
        <w:t>1</w:t>
      </w:r>
      <w:r w:rsidRPr="002B7911">
        <w:rPr>
          <w:rFonts w:ascii="Calibri" w:hAnsi="Calibri" w:cs="Calibri"/>
          <w:noProof/>
        </w:rPr>
        <w:fldChar w:fldCharType="end"/>
      </w:r>
      <w:r w:rsidRPr="002B7911">
        <w:rPr>
          <w:rFonts w:ascii="Calibri" w:hAnsi="Calibri" w:cs="Calibri"/>
        </w:rPr>
        <w:t>: All figures derived from the Kingery-</w:t>
      </w:r>
      <w:proofErr w:type="spellStart"/>
      <w:r w:rsidRPr="002B7911">
        <w:rPr>
          <w:rFonts w:ascii="Calibri" w:hAnsi="Calibri" w:cs="Calibri"/>
        </w:rPr>
        <w:t>Bulmarsh</w:t>
      </w:r>
      <w:proofErr w:type="spellEnd"/>
      <w:r w:rsidRPr="002B7911">
        <w:rPr>
          <w:rFonts w:ascii="Calibri" w:hAnsi="Calibri" w:cs="Calibri"/>
        </w:rPr>
        <w:t xml:space="preserve"> equations as taken from </w:t>
      </w:r>
      <w:sdt>
        <w:sdtPr>
          <w:rPr>
            <w:rFonts w:ascii="Calibri" w:hAnsi="Calibri" w:cs="Calibri"/>
          </w:rPr>
          <w:id w:val="603688926"/>
          <w:citation/>
        </w:sdtPr>
        <w:sdtContent>
          <w:r w:rsidRPr="002B7911">
            <w:rPr>
              <w:rFonts w:ascii="Calibri" w:hAnsi="Calibri" w:cs="Calibri"/>
            </w:rPr>
            <w:fldChar w:fldCharType="begin"/>
          </w:r>
          <w:r w:rsidRPr="002B7911">
            <w:rPr>
              <w:rFonts w:ascii="Calibri" w:hAnsi="Calibri" w:cs="Calibri"/>
            </w:rPr>
            <w:instrText xml:space="preserve"> CITATION UNS23 \l 2057 </w:instrText>
          </w:r>
          <w:r w:rsidRPr="002B7911">
            <w:rPr>
              <w:rFonts w:ascii="Calibri" w:hAnsi="Calibri" w:cs="Calibri"/>
            </w:rPr>
            <w:fldChar w:fldCharType="separate"/>
          </w:r>
          <w:r w:rsidRPr="005470C6">
            <w:rPr>
              <w:rFonts w:ascii="Calibri" w:hAnsi="Calibri" w:cs="Calibri"/>
              <w:noProof/>
            </w:rPr>
            <w:t>[7]</w:t>
          </w:r>
          <w:r w:rsidRPr="002B7911">
            <w:rPr>
              <w:rFonts w:ascii="Calibri" w:hAnsi="Calibri" w:cs="Calibri"/>
            </w:rPr>
            <w:fldChar w:fldCharType="end"/>
          </w:r>
        </w:sdtContent>
      </w:sdt>
    </w:p>
    <w:tbl>
      <w:tblPr>
        <w:tblStyle w:val="TableGrid"/>
        <w:tblW w:w="0" w:type="auto"/>
        <w:tblLook w:val="04A0" w:firstRow="1" w:lastRow="0" w:firstColumn="1" w:lastColumn="0" w:noHBand="0" w:noVBand="1"/>
      </w:tblPr>
      <w:tblGrid>
        <w:gridCol w:w="1878"/>
        <w:gridCol w:w="1811"/>
        <w:gridCol w:w="1837"/>
        <w:gridCol w:w="1837"/>
        <w:gridCol w:w="1653"/>
      </w:tblGrid>
      <w:tr w:rsidR="00C713A4" w:rsidRPr="002B7911" w14:paraId="0C455B7C" w14:textId="77777777" w:rsidTr="00622670">
        <w:tc>
          <w:tcPr>
            <w:tcW w:w="1878" w:type="dxa"/>
          </w:tcPr>
          <w:p w14:paraId="4F39D284" w14:textId="77777777" w:rsidR="00C713A4" w:rsidRPr="002B7911" w:rsidRDefault="00C713A4" w:rsidP="00622670">
            <w:pPr>
              <w:rPr>
                <w:rFonts w:ascii="Calibri" w:hAnsi="Calibri" w:cs="Calibri"/>
              </w:rPr>
            </w:pPr>
          </w:p>
        </w:tc>
        <w:tc>
          <w:tcPr>
            <w:tcW w:w="1811" w:type="dxa"/>
          </w:tcPr>
          <w:p w14:paraId="784DDED4" w14:textId="77777777" w:rsidR="00C713A4" w:rsidRPr="002B7911" w:rsidRDefault="00C713A4" w:rsidP="00622670">
            <w:pPr>
              <w:rPr>
                <w:rFonts w:ascii="Calibri" w:hAnsi="Calibri" w:cs="Calibri"/>
              </w:rPr>
            </w:pPr>
            <w:r w:rsidRPr="002B7911">
              <w:rPr>
                <w:rFonts w:ascii="Calibri" w:hAnsi="Calibri" w:cs="Calibri"/>
              </w:rPr>
              <w:t>1 metre</w:t>
            </w:r>
          </w:p>
        </w:tc>
        <w:tc>
          <w:tcPr>
            <w:tcW w:w="1837" w:type="dxa"/>
          </w:tcPr>
          <w:p w14:paraId="5E6A52CA" w14:textId="77777777" w:rsidR="00C713A4" w:rsidRPr="002B7911" w:rsidRDefault="00C713A4" w:rsidP="00622670">
            <w:pPr>
              <w:rPr>
                <w:rFonts w:ascii="Calibri" w:hAnsi="Calibri" w:cs="Calibri"/>
              </w:rPr>
            </w:pPr>
            <w:r w:rsidRPr="002B7911">
              <w:rPr>
                <w:rFonts w:ascii="Calibri" w:hAnsi="Calibri" w:cs="Calibri"/>
              </w:rPr>
              <w:t>5 metres</w:t>
            </w:r>
          </w:p>
        </w:tc>
        <w:tc>
          <w:tcPr>
            <w:tcW w:w="1837" w:type="dxa"/>
          </w:tcPr>
          <w:p w14:paraId="2FF6FF41" w14:textId="77777777" w:rsidR="00C713A4" w:rsidRPr="002B7911" w:rsidRDefault="00C713A4" w:rsidP="00622670">
            <w:pPr>
              <w:rPr>
                <w:rFonts w:ascii="Calibri" w:hAnsi="Calibri" w:cs="Calibri"/>
              </w:rPr>
            </w:pPr>
            <w:r w:rsidRPr="002B7911">
              <w:rPr>
                <w:rFonts w:ascii="Calibri" w:hAnsi="Calibri" w:cs="Calibri"/>
              </w:rPr>
              <w:t>10 metres</w:t>
            </w:r>
          </w:p>
        </w:tc>
        <w:tc>
          <w:tcPr>
            <w:tcW w:w="1653" w:type="dxa"/>
          </w:tcPr>
          <w:p w14:paraId="31AB1B5C" w14:textId="77777777" w:rsidR="00C713A4" w:rsidRPr="002B7911" w:rsidRDefault="00C713A4" w:rsidP="00622670">
            <w:pPr>
              <w:rPr>
                <w:rFonts w:ascii="Calibri" w:hAnsi="Calibri" w:cs="Calibri"/>
              </w:rPr>
            </w:pPr>
            <w:r w:rsidRPr="002B7911">
              <w:rPr>
                <w:rFonts w:ascii="Calibri" w:hAnsi="Calibri" w:cs="Calibri"/>
              </w:rPr>
              <w:t>100 metres</w:t>
            </w:r>
          </w:p>
        </w:tc>
      </w:tr>
      <w:tr w:rsidR="00C713A4" w:rsidRPr="002B7911" w14:paraId="639C71D5" w14:textId="77777777" w:rsidTr="00622670">
        <w:tc>
          <w:tcPr>
            <w:tcW w:w="1878" w:type="dxa"/>
          </w:tcPr>
          <w:p w14:paraId="5BD36D53" w14:textId="77777777" w:rsidR="00C713A4" w:rsidRPr="002B7911" w:rsidRDefault="00C713A4" w:rsidP="00622670">
            <w:pPr>
              <w:rPr>
                <w:rFonts w:ascii="Calibri" w:hAnsi="Calibri" w:cs="Calibri"/>
              </w:rPr>
            </w:pPr>
            <w:r w:rsidRPr="002B7911">
              <w:rPr>
                <w:rFonts w:ascii="Calibri" w:hAnsi="Calibri" w:cs="Calibri"/>
              </w:rPr>
              <w:t>Incident Pressure (</w:t>
            </w:r>
            <w:proofErr w:type="spellStart"/>
            <w:r w:rsidRPr="002B7911">
              <w:rPr>
                <w:rFonts w:ascii="Calibri" w:hAnsi="Calibri" w:cs="Calibri"/>
              </w:rPr>
              <w:t>kPA</w:t>
            </w:r>
            <w:proofErr w:type="spellEnd"/>
            <w:r w:rsidRPr="002B7911">
              <w:rPr>
                <w:rFonts w:ascii="Calibri" w:hAnsi="Calibri" w:cs="Calibri"/>
              </w:rPr>
              <w:t>)</w:t>
            </w:r>
          </w:p>
        </w:tc>
        <w:tc>
          <w:tcPr>
            <w:tcW w:w="1811" w:type="dxa"/>
          </w:tcPr>
          <w:p w14:paraId="5915FBB7" w14:textId="77777777" w:rsidR="00C713A4" w:rsidRPr="002B7911" w:rsidRDefault="00C713A4" w:rsidP="00622670">
            <w:pPr>
              <w:rPr>
                <w:rFonts w:ascii="Calibri" w:hAnsi="Calibri" w:cs="Calibri"/>
              </w:rPr>
            </w:pPr>
            <w:r w:rsidRPr="002B7911">
              <w:rPr>
                <w:rFonts w:ascii="Calibri" w:hAnsi="Calibri" w:cs="Calibri"/>
              </w:rPr>
              <w:t>6899.31</w:t>
            </w:r>
          </w:p>
        </w:tc>
        <w:tc>
          <w:tcPr>
            <w:tcW w:w="1837" w:type="dxa"/>
          </w:tcPr>
          <w:p w14:paraId="3B669145" w14:textId="77777777" w:rsidR="00C713A4" w:rsidRPr="002B7911" w:rsidRDefault="00C713A4" w:rsidP="00622670">
            <w:pPr>
              <w:rPr>
                <w:rFonts w:ascii="Calibri" w:hAnsi="Calibri" w:cs="Calibri"/>
              </w:rPr>
            </w:pPr>
            <w:r w:rsidRPr="002B7911">
              <w:rPr>
                <w:rFonts w:ascii="Calibri" w:hAnsi="Calibri" w:cs="Calibri"/>
              </w:rPr>
              <w:t>288.40</w:t>
            </w:r>
          </w:p>
        </w:tc>
        <w:tc>
          <w:tcPr>
            <w:tcW w:w="1837" w:type="dxa"/>
          </w:tcPr>
          <w:p w14:paraId="68DFCC38" w14:textId="77777777" w:rsidR="00C713A4" w:rsidRPr="002B7911" w:rsidRDefault="00C713A4" w:rsidP="00622670">
            <w:pPr>
              <w:rPr>
                <w:rFonts w:ascii="Calibri" w:hAnsi="Calibri" w:cs="Calibri"/>
              </w:rPr>
            </w:pPr>
            <w:r w:rsidRPr="002B7911">
              <w:rPr>
                <w:rFonts w:ascii="Calibri" w:hAnsi="Calibri" w:cs="Calibri"/>
              </w:rPr>
              <w:t>65.79</w:t>
            </w:r>
          </w:p>
        </w:tc>
        <w:tc>
          <w:tcPr>
            <w:tcW w:w="1653" w:type="dxa"/>
          </w:tcPr>
          <w:p w14:paraId="6CAA7D79" w14:textId="77777777" w:rsidR="00C713A4" w:rsidRPr="002B7911" w:rsidRDefault="00C713A4" w:rsidP="00622670">
            <w:pPr>
              <w:rPr>
                <w:rFonts w:ascii="Calibri" w:hAnsi="Calibri" w:cs="Calibri"/>
              </w:rPr>
            </w:pPr>
            <w:r w:rsidRPr="002B7911">
              <w:rPr>
                <w:rFonts w:ascii="Calibri" w:hAnsi="Calibri" w:cs="Calibri"/>
              </w:rPr>
              <w:t>2.39</w:t>
            </w:r>
          </w:p>
        </w:tc>
      </w:tr>
      <w:tr w:rsidR="00C713A4" w:rsidRPr="002B7911" w14:paraId="567B7DF3" w14:textId="77777777" w:rsidTr="00622670">
        <w:tc>
          <w:tcPr>
            <w:tcW w:w="1878" w:type="dxa"/>
          </w:tcPr>
          <w:p w14:paraId="03C7E15C" w14:textId="77777777" w:rsidR="00C713A4" w:rsidRPr="002B7911" w:rsidRDefault="00C713A4" w:rsidP="00622670">
            <w:pPr>
              <w:rPr>
                <w:rFonts w:ascii="Calibri" w:hAnsi="Calibri" w:cs="Calibri"/>
              </w:rPr>
            </w:pPr>
            <w:r w:rsidRPr="002B7911">
              <w:rPr>
                <w:rFonts w:ascii="Calibri" w:hAnsi="Calibri" w:cs="Calibri"/>
              </w:rPr>
              <w:t>Reflected Pressure (</w:t>
            </w:r>
            <w:proofErr w:type="spellStart"/>
            <w:r w:rsidRPr="002B7911">
              <w:rPr>
                <w:rFonts w:ascii="Calibri" w:hAnsi="Calibri" w:cs="Calibri"/>
              </w:rPr>
              <w:t>kPA</w:t>
            </w:r>
            <w:proofErr w:type="spellEnd"/>
            <w:r w:rsidRPr="002B7911">
              <w:rPr>
                <w:rFonts w:ascii="Calibri" w:hAnsi="Calibri" w:cs="Calibri"/>
              </w:rPr>
              <w:t>)</w:t>
            </w:r>
          </w:p>
        </w:tc>
        <w:tc>
          <w:tcPr>
            <w:tcW w:w="1811" w:type="dxa"/>
          </w:tcPr>
          <w:p w14:paraId="261D25E5" w14:textId="77777777" w:rsidR="00C713A4" w:rsidRPr="002B7911" w:rsidRDefault="00C713A4" w:rsidP="00622670">
            <w:pPr>
              <w:rPr>
                <w:rFonts w:ascii="Calibri" w:hAnsi="Calibri" w:cs="Calibri"/>
              </w:rPr>
            </w:pPr>
            <w:r w:rsidRPr="002B7911">
              <w:rPr>
                <w:rFonts w:ascii="Calibri" w:hAnsi="Calibri" w:cs="Calibri"/>
              </w:rPr>
              <w:t>60098.61</w:t>
            </w:r>
          </w:p>
        </w:tc>
        <w:tc>
          <w:tcPr>
            <w:tcW w:w="1837" w:type="dxa"/>
          </w:tcPr>
          <w:p w14:paraId="474380C2" w14:textId="77777777" w:rsidR="00C713A4" w:rsidRPr="002B7911" w:rsidRDefault="00C713A4" w:rsidP="00622670">
            <w:pPr>
              <w:rPr>
                <w:rFonts w:ascii="Calibri" w:hAnsi="Calibri" w:cs="Calibri"/>
              </w:rPr>
            </w:pPr>
            <w:r w:rsidRPr="002B7911">
              <w:rPr>
                <w:rFonts w:ascii="Calibri" w:hAnsi="Calibri" w:cs="Calibri"/>
              </w:rPr>
              <w:t>1079.15</w:t>
            </w:r>
          </w:p>
        </w:tc>
        <w:tc>
          <w:tcPr>
            <w:tcW w:w="1837" w:type="dxa"/>
          </w:tcPr>
          <w:p w14:paraId="03AF5FA8" w14:textId="77777777" w:rsidR="00C713A4" w:rsidRPr="002B7911" w:rsidRDefault="00C713A4" w:rsidP="00622670">
            <w:pPr>
              <w:rPr>
                <w:rFonts w:ascii="Calibri" w:hAnsi="Calibri" w:cs="Calibri"/>
              </w:rPr>
            </w:pPr>
            <w:r w:rsidRPr="002B7911">
              <w:rPr>
                <w:rFonts w:ascii="Calibri" w:hAnsi="Calibri" w:cs="Calibri"/>
              </w:rPr>
              <w:t>164.85</w:t>
            </w:r>
          </w:p>
        </w:tc>
        <w:tc>
          <w:tcPr>
            <w:tcW w:w="1653" w:type="dxa"/>
          </w:tcPr>
          <w:p w14:paraId="79F566F3" w14:textId="77777777" w:rsidR="00C713A4" w:rsidRPr="002B7911" w:rsidRDefault="00C713A4" w:rsidP="00622670">
            <w:pPr>
              <w:rPr>
                <w:rFonts w:ascii="Calibri" w:hAnsi="Calibri" w:cs="Calibri"/>
              </w:rPr>
            </w:pPr>
            <w:r w:rsidRPr="002B7911">
              <w:rPr>
                <w:rFonts w:ascii="Calibri" w:hAnsi="Calibri" w:cs="Calibri"/>
              </w:rPr>
              <w:t>4.82</w:t>
            </w:r>
          </w:p>
        </w:tc>
      </w:tr>
    </w:tbl>
    <w:p w14:paraId="5A9BAEEA" w14:textId="77777777" w:rsidR="00C713A4" w:rsidRPr="002B7911" w:rsidRDefault="00C713A4" w:rsidP="00C713A4">
      <w:pPr>
        <w:rPr>
          <w:rFonts w:ascii="Calibri" w:hAnsi="Calibri" w:cs="Calibri"/>
        </w:rPr>
      </w:pPr>
    </w:p>
    <w:p w14:paraId="21922678" w14:textId="77777777" w:rsidR="00C713A4" w:rsidRPr="002B7911" w:rsidRDefault="00C713A4" w:rsidP="00C713A4">
      <w:pPr>
        <w:rPr>
          <w:rFonts w:ascii="Calibri" w:hAnsi="Calibri" w:cs="Calibri"/>
        </w:rPr>
      </w:pPr>
      <w:r w:rsidRPr="002B7911">
        <w:rPr>
          <w:rFonts w:ascii="Calibri" w:hAnsi="Calibri" w:cs="Calibri"/>
        </w:rPr>
        <w:t xml:space="preserve">According to US Department of </w:t>
      </w:r>
      <w:proofErr w:type="spellStart"/>
      <w:r w:rsidRPr="002B7911">
        <w:rPr>
          <w:rFonts w:ascii="Calibri" w:hAnsi="Calibri" w:cs="Calibri"/>
        </w:rPr>
        <w:t>Defense</w:t>
      </w:r>
      <w:proofErr w:type="spellEnd"/>
      <w:r w:rsidRPr="002B7911">
        <w:rPr>
          <w:rFonts w:ascii="Calibri" w:hAnsi="Calibri" w:cs="Calibri"/>
        </w:rPr>
        <w:t xml:space="preserve"> Data taken from </w:t>
      </w:r>
      <w:sdt>
        <w:sdtPr>
          <w:rPr>
            <w:rFonts w:ascii="Calibri" w:hAnsi="Calibri" w:cs="Calibri"/>
          </w:rPr>
          <w:id w:val="1413655461"/>
          <w:citation/>
        </w:sdtPr>
        <w:sdtContent>
          <w:r w:rsidRPr="002B7911">
            <w:rPr>
              <w:rFonts w:ascii="Calibri" w:hAnsi="Calibri" w:cs="Calibri"/>
            </w:rPr>
            <w:fldChar w:fldCharType="begin"/>
          </w:r>
          <w:r w:rsidRPr="002B7911">
            <w:rPr>
              <w:rFonts w:ascii="Calibri" w:hAnsi="Calibri" w:cs="Calibri"/>
            </w:rPr>
            <w:instrText xml:space="preserve">CITATION RKZ06 \l 2057 </w:instrText>
          </w:r>
          <w:r w:rsidRPr="002B7911">
            <w:rPr>
              <w:rFonts w:ascii="Calibri" w:hAnsi="Calibri" w:cs="Calibri"/>
            </w:rPr>
            <w:fldChar w:fldCharType="separate"/>
          </w:r>
          <w:r w:rsidRPr="005470C6">
            <w:rPr>
              <w:rFonts w:ascii="Calibri" w:hAnsi="Calibri" w:cs="Calibri"/>
              <w:noProof/>
            </w:rPr>
            <w:t>[8]</w:t>
          </w:r>
          <w:r w:rsidRPr="002B7911">
            <w:rPr>
              <w:rFonts w:ascii="Calibri" w:hAnsi="Calibri" w:cs="Calibri"/>
            </w:rPr>
            <w:fldChar w:fldCharType="end"/>
          </w:r>
        </w:sdtContent>
      </w:sdt>
      <w:r w:rsidRPr="002B7911">
        <w:rPr>
          <w:rFonts w:ascii="Calibri" w:hAnsi="Calibri" w:cs="Calibri"/>
        </w:rPr>
        <w:t>, even at 10 metres there would be an almost 100% risk of fatalities and significant damage to concrete and steel buildings and structures</w:t>
      </w:r>
      <w:sdt>
        <w:sdtPr>
          <w:rPr>
            <w:rFonts w:ascii="Calibri" w:hAnsi="Calibri" w:cs="Calibri"/>
          </w:rPr>
          <w:id w:val="-1331448669"/>
          <w:citation/>
        </w:sdtPr>
        <w:sdtContent>
          <w:r w:rsidRPr="002B7911">
            <w:rPr>
              <w:rFonts w:ascii="Calibri" w:hAnsi="Calibri" w:cs="Calibri"/>
            </w:rPr>
            <w:fldChar w:fldCharType="begin"/>
          </w:r>
          <w:r w:rsidRPr="002B7911">
            <w:rPr>
              <w:rFonts w:ascii="Calibri" w:hAnsi="Calibri" w:cs="Calibri"/>
            </w:rPr>
            <w:instrText xml:space="preserve">CITATION RKZ06 \l 2057 </w:instrText>
          </w:r>
          <w:r w:rsidRPr="002B7911">
            <w:rPr>
              <w:rFonts w:ascii="Calibri" w:hAnsi="Calibri" w:cs="Calibri"/>
            </w:rPr>
            <w:fldChar w:fldCharType="separate"/>
          </w:r>
          <w:r>
            <w:rPr>
              <w:rFonts w:ascii="Calibri" w:hAnsi="Calibri" w:cs="Calibri"/>
              <w:noProof/>
            </w:rPr>
            <w:t xml:space="preserve"> </w:t>
          </w:r>
          <w:r w:rsidRPr="005470C6">
            <w:rPr>
              <w:rFonts w:ascii="Calibri" w:hAnsi="Calibri" w:cs="Calibri"/>
              <w:noProof/>
            </w:rPr>
            <w:t>[8]</w:t>
          </w:r>
          <w:r w:rsidRPr="002B7911">
            <w:rPr>
              <w:rFonts w:ascii="Calibri" w:hAnsi="Calibri" w:cs="Calibri"/>
            </w:rPr>
            <w:fldChar w:fldCharType="end"/>
          </w:r>
        </w:sdtContent>
      </w:sdt>
      <w:r w:rsidRPr="002B7911">
        <w:rPr>
          <w:rFonts w:ascii="Calibri" w:hAnsi="Calibri" w:cs="Calibri"/>
        </w:rPr>
        <w:t xml:space="preserve">. Unfortunately, the capabilities of the warhead are inherent to its function and role, this along </w:t>
      </w:r>
      <w:r>
        <w:rPr>
          <w:rFonts w:ascii="Calibri" w:hAnsi="Calibri" w:cs="Calibri"/>
        </w:rPr>
        <w:t xml:space="preserve">with </w:t>
      </w:r>
      <w:r w:rsidRPr="002B7911">
        <w:rPr>
          <w:rFonts w:ascii="Calibri" w:hAnsi="Calibri" w:cs="Calibri"/>
        </w:rPr>
        <w:t xml:space="preserve">the size of a Type 23 frigate, 133m long and 16.1m wide, make it impossible to reduce overall severity should an inadvertent initiation occur </w:t>
      </w:r>
      <w:sdt>
        <w:sdtPr>
          <w:rPr>
            <w:rFonts w:ascii="Calibri" w:hAnsi="Calibri" w:cs="Calibri"/>
          </w:rPr>
          <w:id w:val="765113828"/>
          <w:citation/>
        </w:sdtPr>
        <w:sdtContent>
          <w:r w:rsidRPr="002B7911">
            <w:rPr>
              <w:rFonts w:ascii="Calibri" w:hAnsi="Calibri" w:cs="Calibri"/>
            </w:rPr>
            <w:fldChar w:fldCharType="begin"/>
          </w:r>
          <w:r w:rsidRPr="002B7911">
            <w:rPr>
              <w:rFonts w:ascii="Calibri" w:hAnsi="Calibri" w:cs="Calibri"/>
            </w:rPr>
            <w:instrText xml:space="preserve"> CITATION Ell19 \l 2057 </w:instrText>
          </w:r>
          <w:r w:rsidRPr="002B7911">
            <w:rPr>
              <w:rFonts w:ascii="Calibri" w:hAnsi="Calibri" w:cs="Calibri"/>
            </w:rPr>
            <w:fldChar w:fldCharType="separate"/>
          </w:r>
          <w:r w:rsidRPr="005470C6">
            <w:rPr>
              <w:rFonts w:ascii="Calibri" w:hAnsi="Calibri" w:cs="Calibri"/>
              <w:noProof/>
            </w:rPr>
            <w:t>[9]</w:t>
          </w:r>
          <w:r w:rsidRPr="002B7911">
            <w:rPr>
              <w:rFonts w:ascii="Calibri" w:hAnsi="Calibri" w:cs="Calibri"/>
            </w:rPr>
            <w:fldChar w:fldCharType="end"/>
          </w:r>
        </w:sdtContent>
      </w:sdt>
      <w:r w:rsidRPr="002B7911">
        <w:rPr>
          <w:rFonts w:ascii="Calibri" w:hAnsi="Calibri" w:cs="Calibri"/>
        </w:rPr>
        <w:t xml:space="preserve">. </w:t>
      </w:r>
    </w:p>
    <w:p w14:paraId="7EDA8CCD" w14:textId="77777777" w:rsidR="00C713A4" w:rsidRPr="002B7911" w:rsidRDefault="00C713A4" w:rsidP="00C713A4">
      <w:pPr>
        <w:pStyle w:val="Heading1"/>
        <w:numPr>
          <w:ilvl w:val="0"/>
          <w:numId w:val="25"/>
        </w:numPr>
        <w:tabs>
          <w:tab w:val="num" w:pos="360"/>
        </w:tabs>
        <w:ind w:left="0" w:firstLine="0"/>
        <w:rPr>
          <w:rFonts w:ascii="Calibri" w:hAnsi="Calibri" w:cs="Calibri"/>
          <w:sz w:val="32"/>
          <w:szCs w:val="36"/>
        </w:rPr>
      </w:pPr>
      <w:bookmarkStart w:id="3" w:name="_Toc140778917"/>
      <w:r w:rsidRPr="002B7911">
        <w:rPr>
          <w:rFonts w:ascii="Calibri" w:hAnsi="Calibri" w:cs="Calibri"/>
          <w:sz w:val="32"/>
          <w:szCs w:val="36"/>
        </w:rPr>
        <w:t>Cost Benefit Analysis based on Health and Safety Executive (HSE) Calculations</w:t>
      </w:r>
      <w:bookmarkEnd w:id="3"/>
    </w:p>
    <w:p w14:paraId="2158920E" w14:textId="77777777" w:rsidR="00C713A4" w:rsidRPr="002B7911" w:rsidRDefault="00C713A4" w:rsidP="00C713A4">
      <w:pPr>
        <w:rPr>
          <w:rFonts w:ascii="Calibri" w:hAnsi="Calibri" w:cs="Calibri"/>
        </w:rPr>
      </w:pPr>
    </w:p>
    <w:p w14:paraId="5DE7E70B" w14:textId="77777777" w:rsidR="00C713A4" w:rsidRPr="002B7911" w:rsidRDefault="00C713A4" w:rsidP="00C713A4">
      <w:pPr>
        <w:rPr>
          <w:rFonts w:ascii="Calibri" w:hAnsi="Calibri" w:cs="Calibri"/>
        </w:rPr>
      </w:pPr>
      <w:r w:rsidRPr="002B7911">
        <w:rPr>
          <w:rFonts w:ascii="Calibri" w:hAnsi="Calibri" w:cs="Calibri"/>
        </w:rPr>
        <w:t xml:space="preserve">The HSE publishes a cost benefit table on the risk of injury caused to staff from explosions all figures are in pounds and correct to 2023. Using the same estimations as from the HSE, but accounting for the crew size of a Type 23 and the expected service life of a Sea </w:t>
      </w:r>
      <w:proofErr w:type="spellStart"/>
      <w:r w:rsidRPr="002B7911">
        <w:rPr>
          <w:rFonts w:ascii="Calibri" w:hAnsi="Calibri" w:cs="Calibri"/>
        </w:rPr>
        <w:t>Ceptor</w:t>
      </w:r>
      <w:proofErr w:type="spellEnd"/>
      <w:r w:rsidRPr="002B7911">
        <w:rPr>
          <w:rFonts w:ascii="Calibri" w:hAnsi="Calibri" w:cs="Calibri"/>
        </w:rPr>
        <w:t xml:space="preserve"> a modified version of the cost benefit table is presented below</w:t>
      </w:r>
      <w:sdt>
        <w:sdtPr>
          <w:rPr>
            <w:rFonts w:ascii="Calibri" w:hAnsi="Calibri" w:cs="Calibri"/>
          </w:rPr>
          <w:id w:val="-596941722"/>
          <w:citation/>
        </w:sdtPr>
        <w:sdtContent>
          <w:r w:rsidRPr="002B7911">
            <w:rPr>
              <w:rFonts w:ascii="Calibri" w:hAnsi="Calibri" w:cs="Calibri"/>
            </w:rPr>
            <w:fldChar w:fldCharType="begin"/>
          </w:r>
          <w:r w:rsidRPr="002B7911">
            <w:rPr>
              <w:rFonts w:ascii="Calibri" w:hAnsi="Calibri" w:cs="Calibri"/>
            </w:rPr>
            <w:instrText xml:space="preserve"> CITATION Hea23 \l 2057 </w:instrText>
          </w:r>
          <w:r w:rsidRPr="002B7911">
            <w:rPr>
              <w:rFonts w:ascii="Calibri" w:hAnsi="Calibri" w:cs="Calibri"/>
            </w:rPr>
            <w:fldChar w:fldCharType="separate"/>
          </w:r>
          <w:r>
            <w:rPr>
              <w:rFonts w:ascii="Calibri" w:hAnsi="Calibri" w:cs="Calibri"/>
              <w:noProof/>
            </w:rPr>
            <w:t xml:space="preserve"> </w:t>
          </w:r>
          <w:r w:rsidRPr="005470C6">
            <w:rPr>
              <w:rFonts w:ascii="Calibri" w:hAnsi="Calibri" w:cs="Calibri"/>
              <w:noProof/>
            </w:rPr>
            <w:t>[4]</w:t>
          </w:r>
          <w:r w:rsidRPr="002B7911">
            <w:rPr>
              <w:rFonts w:ascii="Calibri" w:hAnsi="Calibri" w:cs="Calibri"/>
            </w:rPr>
            <w:fldChar w:fldCharType="end"/>
          </w:r>
        </w:sdtContent>
      </w:sdt>
      <w:r w:rsidRPr="002B7911">
        <w:rPr>
          <w:rFonts w:ascii="Calibri" w:hAnsi="Calibri" w:cs="Calibri"/>
        </w:rPr>
        <w:t xml:space="preserve">. The service life has been estimated from the current in-service date and the out-of-service date for the Type 26 as Sea </w:t>
      </w:r>
      <w:proofErr w:type="spellStart"/>
      <w:r w:rsidRPr="002B7911">
        <w:rPr>
          <w:rFonts w:ascii="Calibri" w:hAnsi="Calibri" w:cs="Calibri"/>
        </w:rPr>
        <w:t>Ceptor</w:t>
      </w:r>
      <w:proofErr w:type="spellEnd"/>
      <w:r w:rsidRPr="002B7911">
        <w:rPr>
          <w:rFonts w:ascii="Calibri" w:hAnsi="Calibri" w:cs="Calibri"/>
        </w:rPr>
        <w:t xml:space="preserve"> is already being fitted to this vessel which is a successor to the Type 23. Current estimates suggest the Type 26 will be out of service by 2060</w:t>
      </w:r>
      <w:sdt>
        <w:sdtPr>
          <w:rPr>
            <w:rFonts w:ascii="Calibri" w:hAnsi="Calibri" w:cs="Calibri"/>
          </w:rPr>
          <w:id w:val="27998243"/>
          <w:citation/>
        </w:sdtPr>
        <w:sdtContent>
          <w:r w:rsidRPr="002B7911">
            <w:rPr>
              <w:rFonts w:ascii="Calibri" w:hAnsi="Calibri" w:cs="Calibri"/>
            </w:rPr>
            <w:fldChar w:fldCharType="begin"/>
          </w:r>
          <w:r w:rsidRPr="002B7911">
            <w:rPr>
              <w:rFonts w:ascii="Calibri" w:hAnsi="Calibri" w:cs="Calibri"/>
            </w:rPr>
            <w:instrText xml:space="preserve">CITATION Roy23 \l 2057 </w:instrText>
          </w:r>
          <w:r w:rsidRPr="002B7911">
            <w:rPr>
              <w:rFonts w:ascii="Calibri" w:hAnsi="Calibri" w:cs="Calibri"/>
            </w:rPr>
            <w:fldChar w:fldCharType="separate"/>
          </w:r>
          <w:r>
            <w:rPr>
              <w:rFonts w:ascii="Calibri" w:hAnsi="Calibri" w:cs="Calibri"/>
              <w:noProof/>
            </w:rPr>
            <w:t xml:space="preserve"> </w:t>
          </w:r>
          <w:r w:rsidRPr="005470C6">
            <w:rPr>
              <w:rFonts w:ascii="Calibri" w:hAnsi="Calibri" w:cs="Calibri"/>
              <w:noProof/>
            </w:rPr>
            <w:t>[10]</w:t>
          </w:r>
          <w:r w:rsidRPr="002B7911">
            <w:rPr>
              <w:rFonts w:ascii="Calibri" w:hAnsi="Calibri" w:cs="Calibri"/>
            </w:rPr>
            <w:fldChar w:fldCharType="end"/>
          </w:r>
        </w:sdtContent>
      </w:sdt>
      <w:r w:rsidRPr="002B7911">
        <w:rPr>
          <w:rFonts w:ascii="Calibri" w:hAnsi="Calibri" w:cs="Calibri"/>
        </w:rPr>
        <w:t xml:space="preserve">. Sea </w:t>
      </w:r>
      <w:proofErr w:type="spellStart"/>
      <w:r w:rsidRPr="002B7911">
        <w:rPr>
          <w:rFonts w:ascii="Calibri" w:hAnsi="Calibri" w:cs="Calibri"/>
        </w:rPr>
        <w:t>Ceptor</w:t>
      </w:r>
      <w:proofErr w:type="spellEnd"/>
      <w:r w:rsidRPr="002B7911">
        <w:rPr>
          <w:rFonts w:ascii="Calibri" w:hAnsi="Calibri" w:cs="Calibri"/>
        </w:rPr>
        <w:t xml:space="preserve"> entered service in 2018</w:t>
      </w:r>
      <w:sdt>
        <w:sdtPr>
          <w:rPr>
            <w:rFonts w:ascii="Calibri" w:hAnsi="Calibri" w:cs="Calibri"/>
          </w:rPr>
          <w:id w:val="1162045778"/>
          <w:citation/>
        </w:sdtPr>
        <w:sdtContent>
          <w:r w:rsidRPr="002B7911">
            <w:rPr>
              <w:rFonts w:ascii="Calibri" w:hAnsi="Calibri" w:cs="Calibri"/>
            </w:rPr>
            <w:fldChar w:fldCharType="begin"/>
          </w:r>
          <w:r w:rsidRPr="002B7911">
            <w:rPr>
              <w:rFonts w:ascii="Calibri" w:hAnsi="Calibri" w:cs="Calibri"/>
            </w:rPr>
            <w:instrText xml:space="preserve"> CITATION Min19 \l 2057 </w:instrText>
          </w:r>
          <w:r w:rsidRPr="002B7911">
            <w:rPr>
              <w:rFonts w:ascii="Calibri" w:hAnsi="Calibri" w:cs="Calibri"/>
            </w:rPr>
            <w:fldChar w:fldCharType="separate"/>
          </w:r>
          <w:r>
            <w:rPr>
              <w:rFonts w:ascii="Calibri" w:hAnsi="Calibri" w:cs="Calibri"/>
              <w:noProof/>
            </w:rPr>
            <w:t xml:space="preserve"> </w:t>
          </w:r>
          <w:r w:rsidRPr="005470C6">
            <w:rPr>
              <w:rFonts w:ascii="Calibri" w:hAnsi="Calibri" w:cs="Calibri"/>
              <w:noProof/>
            </w:rPr>
            <w:t>[11]</w:t>
          </w:r>
          <w:r w:rsidRPr="002B7911">
            <w:rPr>
              <w:rFonts w:ascii="Calibri" w:hAnsi="Calibri" w:cs="Calibri"/>
            </w:rPr>
            <w:fldChar w:fldCharType="end"/>
          </w:r>
        </w:sdtContent>
      </w:sdt>
      <w:r w:rsidRPr="002B7911">
        <w:rPr>
          <w:rFonts w:ascii="Calibri" w:hAnsi="Calibri" w:cs="Calibri"/>
        </w:rPr>
        <w:t>.</w:t>
      </w:r>
    </w:p>
    <w:p w14:paraId="24978789" w14:textId="77777777" w:rsidR="00C713A4" w:rsidRPr="002B7911" w:rsidRDefault="00C713A4" w:rsidP="00C713A4">
      <w:pPr>
        <w:pStyle w:val="Caption"/>
        <w:keepNext/>
        <w:rPr>
          <w:rFonts w:ascii="Calibri" w:hAnsi="Calibri" w:cs="Calibri"/>
        </w:rPr>
      </w:pPr>
      <w:r w:rsidRPr="002B7911">
        <w:rPr>
          <w:rFonts w:ascii="Calibri" w:hAnsi="Calibri" w:cs="Calibri"/>
        </w:rPr>
        <w:t xml:space="preserve">Table </w:t>
      </w:r>
      <w:r w:rsidRPr="002B7911">
        <w:rPr>
          <w:rFonts w:ascii="Calibri" w:hAnsi="Calibri" w:cs="Calibri"/>
        </w:rPr>
        <w:fldChar w:fldCharType="begin"/>
      </w:r>
      <w:r w:rsidRPr="002B7911">
        <w:rPr>
          <w:rFonts w:ascii="Calibri" w:hAnsi="Calibri" w:cs="Calibri"/>
        </w:rPr>
        <w:instrText xml:space="preserve"> SEQ Table \* ARABIC </w:instrText>
      </w:r>
      <w:r w:rsidRPr="002B7911">
        <w:rPr>
          <w:rFonts w:ascii="Calibri" w:hAnsi="Calibri" w:cs="Calibri"/>
        </w:rPr>
        <w:fldChar w:fldCharType="separate"/>
      </w:r>
      <w:r w:rsidRPr="002B7911">
        <w:rPr>
          <w:rFonts w:ascii="Calibri" w:hAnsi="Calibri" w:cs="Calibri"/>
          <w:noProof/>
        </w:rPr>
        <w:t>2</w:t>
      </w:r>
      <w:r w:rsidRPr="002B7911">
        <w:rPr>
          <w:rFonts w:ascii="Calibri" w:hAnsi="Calibri" w:cs="Calibri"/>
          <w:noProof/>
        </w:rPr>
        <w:fldChar w:fldCharType="end"/>
      </w:r>
      <w:r w:rsidRPr="002B7911">
        <w:rPr>
          <w:rFonts w:ascii="Calibri" w:hAnsi="Calibri" w:cs="Calibri"/>
        </w:rPr>
        <w:t xml:space="preserve">: Cost benefit table for the inadvertent initiation of Sea </w:t>
      </w:r>
      <w:proofErr w:type="spellStart"/>
      <w:r w:rsidRPr="002B7911">
        <w:rPr>
          <w:rFonts w:ascii="Calibri" w:hAnsi="Calibri" w:cs="Calibri"/>
        </w:rPr>
        <w:t>Ceptor</w:t>
      </w:r>
      <w:proofErr w:type="spellEnd"/>
      <w:r w:rsidRPr="002B7911">
        <w:rPr>
          <w:rFonts w:ascii="Calibri" w:hAnsi="Calibri" w:cs="Calibri"/>
        </w:rPr>
        <w:t xml:space="preserve"> on a Type 23 Frigate </w:t>
      </w:r>
      <w:sdt>
        <w:sdtPr>
          <w:rPr>
            <w:rFonts w:ascii="Calibri" w:hAnsi="Calibri" w:cs="Calibri"/>
          </w:rPr>
          <w:id w:val="1537316737"/>
          <w:citation/>
        </w:sdtPr>
        <w:sdtContent>
          <w:r w:rsidRPr="002B7911">
            <w:rPr>
              <w:rFonts w:ascii="Calibri" w:hAnsi="Calibri" w:cs="Calibri"/>
            </w:rPr>
            <w:fldChar w:fldCharType="begin"/>
          </w:r>
          <w:r w:rsidRPr="002B7911">
            <w:rPr>
              <w:rFonts w:ascii="Calibri" w:hAnsi="Calibri" w:cs="Calibri"/>
            </w:rPr>
            <w:instrText xml:space="preserve">CITATION Hea23 \l 2057 </w:instrText>
          </w:r>
          <w:r w:rsidRPr="002B7911">
            <w:rPr>
              <w:rFonts w:ascii="Calibri" w:hAnsi="Calibri" w:cs="Calibri"/>
            </w:rPr>
            <w:fldChar w:fldCharType="separate"/>
          </w:r>
          <w:r w:rsidRPr="005470C6">
            <w:rPr>
              <w:rFonts w:ascii="Calibri" w:hAnsi="Calibri" w:cs="Calibri"/>
              <w:noProof/>
            </w:rPr>
            <w:t>[4]</w:t>
          </w:r>
          <w:r w:rsidRPr="002B7911">
            <w:rPr>
              <w:rFonts w:ascii="Calibri" w:hAnsi="Calibri" w:cs="Calibri"/>
            </w:rPr>
            <w:fldChar w:fldCharType="end"/>
          </w:r>
        </w:sdtContent>
      </w:sdt>
    </w:p>
    <w:tbl>
      <w:tblPr>
        <w:tblW w:w="9136" w:type="dxa"/>
        <w:tblInd w:w="15" w:type="dxa"/>
        <w:tblCellMar>
          <w:left w:w="0" w:type="dxa"/>
          <w:right w:w="0" w:type="dxa"/>
        </w:tblCellMar>
        <w:tblLook w:val="04A0" w:firstRow="1" w:lastRow="0" w:firstColumn="1" w:lastColumn="0" w:noHBand="0" w:noVBand="1"/>
      </w:tblPr>
      <w:tblGrid>
        <w:gridCol w:w="2449"/>
        <w:gridCol w:w="869"/>
        <w:gridCol w:w="1645"/>
        <w:gridCol w:w="1444"/>
        <w:gridCol w:w="1252"/>
        <w:gridCol w:w="1477"/>
      </w:tblGrid>
      <w:tr w:rsidR="00C713A4" w:rsidRPr="002B7911" w14:paraId="11C7B083" w14:textId="77777777" w:rsidTr="00622670">
        <w:trPr>
          <w:trHeight w:val="528"/>
        </w:trPr>
        <w:tc>
          <w:tcPr>
            <w:tcW w:w="0" w:type="auto"/>
            <w:tcBorders>
              <w:top w:val="single" w:sz="6" w:space="0" w:color="787878"/>
              <w:left w:val="single" w:sz="6" w:space="0" w:color="787878"/>
              <w:bottom w:val="single" w:sz="6" w:space="0" w:color="787878"/>
              <w:right w:val="single" w:sz="6" w:space="0" w:color="787878"/>
            </w:tcBorders>
            <w:shd w:val="clear" w:color="auto" w:fill="B8CCE4" w:themeFill="accent1" w:themeFillTint="66"/>
            <w:tcMar>
              <w:top w:w="150" w:type="dxa"/>
              <w:left w:w="150" w:type="dxa"/>
              <w:bottom w:w="150" w:type="dxa"/>
              <w:right w:w="300" w:type="dxa"/>
            </w:tcMar>
            <w:vAlign w:val="center"/>
            <w:hideMark/>
          </w:tcPr>
          <w:p w14:paraId="643753E1" w14:textId="77777777" w:rsidR="00C713A4" w:rsidRPr="002B7911" w:rsidRDefault="00C713A4" w:rsidP="00622670">
            <w:pPr>
              <w:rPr>
                <w:rFonts w:ascii="Calibri" w:hAnsi="Calibri" w:cs="Calibri"/>
                <w:color w:val="000000"/>
                <w:szCs w:val="22"/>
              </w:rPr>
            </w:pPr>
            <w:r w:rsidRPr="002B7911">
              <w:rPr>
                <w:rFonts w:ascii="Calibri" w:hAnsi="Calibri" w:cs="Calibri"/>
                <w:color w:val="000000"/>
                <w:szCs w:val="22"/>
              </w:rPr>
              <w:t>Fatalities:</w:t>
            </w:r>
          </w:p>
        </w:tc>
        <w:tc>
          <w:tcPr>
            <w:tcW w:w="0" w:type="auto"/>
            <w:tcBorders>
              <w:top w:val="single" w:sz="6" w:space="0" w:color="787878"/>
              <w:left w:val="single" w:sz="6" w:space="0" w:color="787878"/>
              <w:bottom w:val="single" w:sz="6" w:space="0" w:color="787878"/>
              <w:right w:val="single" w:sz="6" w:space="0" w:color="787878"/>
            </w:tcBorders>
            <w:shd w:val="clear" w:color="auto" w:fill="B8CCE4" w:themeFill="accent1" w:themeFillTint="66"/>
            <w:tcMar>
              <w:top w:w="150" w:type="dxa"/>
              <w:left w:w="150" w:type="dxa"/>
              <w:bottom w:w="150" w:type="dxa"/>
              <w:right w:w="300" w:type="dxa"/>
            </w:tcMar>
            <w:vAlign w:val="center"/>
            <w:hideMark/>
          </w:tcPr>
          <w:p w14:paraId="3999D906" w14:textId="77777777" w:rsidR="00C713A4" w:rsidRPr="002B7911" w:rsidRDefault="00C713A4" w:rsidP="00622670">
            <w:pPr>
              <w:rPr>
                <w:rFonts w:ascii="Calibri" w:hAnsi="Calibri" w:cs="Calibri"/>
                <w:color w:val="000000"/>
                <w:szCs w:val="22"/>
              </w:rPr>
            </w:pPr>
            <w:r w:rsidRPr="002B7911">
              <w:rPr>
                <w:rFonts w:ascii="Calibri" w:hAnsi="Calibri" w:cs="Calibri"/>
                <w:color w:val="000000"/>
                <w:szCs w:val="22"/>
              </w:rPr>
              <w:t>9</w:t>
            </w:r>
          </w:p>
        </w:tc>
        <w:tc>
          <w:tcPr>
            <w:tcW w:w="0" w:type="auto"/>
            <w:tcBorders>
              <w:top w:val="single" w:sz="6" w:space="0" w:color="787878"/>
              <w:left w:val="single" w:sz="6" w:space="0" w:color="787878"/>
              <w:bottom w:val="single" w:sz="6" w:space="0" w:color="787878"/>
              <w:right w:val="single" w:sz="6" w:space="0" w:color="787878"/>
            </w:tcBorders>
            <w:shd w:val="clear" w:color="auto" w:fill="B8CCE4" w:themeFill="accent1" w:themeFillTint="66"/>
            <w:tcMar>
              <w:top w:w="150" w:type="dxa"/>
              <w:left w:w="150" w:type="dxa"/>
              <w:bottom w:w="150" w:type="dxa"/>
              <w:right w:w="300" w:type="dxa"/>
            </w:tcMar>
            <w:vAlign w:val="center"/>
            <w:hideMark/>
          </w:tcPr>
          <w:p w14:paraId="5E277F70" w14:textId="77777777" w:rsidR="00C713A4" w:rsidRPr="002B7911" w:rsidRDefault="00C713A4" w:rsidP="00622670">
            <w:pPr>
              <w:rPr>
                <w:rFonts w:ascii="Calibri" w:hAnsi="Calibri" w:cs="Calibri"/>
                <w:color w:val="000000"/>
                <w:szCs w:val="22"/>
              </w:rPr>
            </w:pPr>
            <w:r w:rsidRPr="002B7911">
              <w:rPr>
                <w:rFonts w:ascii="Calibri" w:hAnsi="Calibri" w:cs="Calibri"/>
                <w:color w:val="000000"/>
                <w:szCs w:val="22"/>
              </w:rPr>
              <w:t>x 1,336,800</w:t>
            </w:r>
          </w:p>
        </w:tc>
        <w:tc>
          <w:tcPr>
            <w:tcW w:w="0" w:type="auto"/>
            <w:tcBorders>
              <w:top w:val="single" w:sz="6" w:space="0" w:color="787878"/>
              <w:left w:val="single" w:sz="6" w:space="0" w:color="787878"/>
              <w:bottom w:val="single" w:sz="6" w:space="0" w:color="787878"/>
              <w:right w:val="single" w:sz="6" w:space="0" w:color="787878"/>
            </w:tcBorders>
            <w:shd w:val="clear" w:color="auto" w:fill="B8CCE4" w:themeFill="accent1" w:themeFillTint="66"/>
            <w:tcMar>
              <w:top w:w="150" w:type="dxa"/>
              <w:left w:w="150" w:type="dxa"/>
              <w:bottom w:w="150" w:type="dxa"/>
              <w:right w:w="300" w:type="dxa"/>
            </w:tcMar>
            <w:vAlign w:val="center"/>
            <w:hideMark/>
          </w:tcPr>
          <w:p w14:paraId="2C50D7BC" w14:textId="77777777" w:rsidR="00C713A4" w:rsidRPr="002B7911" w:rsidRDefault="00C713A4" w:rsidP="00622670">
            <w:pPr>
              <w:rPr>
                <w:rFonts w:ascii="Calibri" w:hAnsi="Calibri" w:cs="Calibri"/>
                <w:color w:val="000000"/>
                <w:szCs w:val="22"/>
              </w:rPr>
            </w:pPr>
            <w:r w:rsidRPr="002B7911">
              <w:rPr>
                <w:rFonts w:ascii="Calibri" w:hAnsi="Calibri" w:cs="Calibri"/>
                <w:color w:val="000000"/>
                <w:szCs w:val="22"/>
              </w:rPr>
              <w:t>x 1 x 10</w:t>
            </w:r>
            <w:r w:rsidRPr="002B7911">
              <w:rPr>
                <w:rFonts w:ascii="Calibri" w:hAnsi="Calibri" w:cs="Calibri"/>
                <w:color w:val="000000"/>
                <w:szCs w:val="22"/>
                <w:vertAlign w:val="superscript"/>
              </w:rPr>
              <w:t>-5</w:t>
            </w:r>
          </w:p>
        </w:tc>
        <w:tc>
          <w:tcPr>
            <w:tcW w:w="0" w:type="auto"/>
            <w:tcBorders>
              <w:top w:val="single" w:sz="6" w:space="0" w:color="787878"/>
              <w:left w:val="single" w:sz="6" w:space="0" w:color="787878"/>
              <w:bottom w:val="single" w:sz="6" w:space="0" w:color="787878"/>
              <w:right w:val="single" w:sz="6" w:space="0" w:color="787878"/>
            </w:tcBorders>
            <w:shd w:val="clear" w:color="auto" w:fill="B8CCE4" w:themeFill="accent1" w:themeFillTint="66"/>
            <w:tcMar>
              <w:top w:w="150" w:type="dxa"/>
              <w:left w:w="150" w:type="dxa"/>
              <w:bottom w:w="150" w:type="dxa"/>
              <w:right w:w="300" w:type="dxa"/>
            </w:tcMar>
            <w:vAlign w:val="center"/>
            <w:hideMark/>
          </w:tcPr>
          <w:p w14:paraId="34711E4A" w14:textId="77777777" w:rsidR="00C713A4" w:rsidRPr="002B7911" w:rsidRDefault="00C713A4" w:rsidP="00622670">
            <w:pPr>
              <w:rPr>
                <w:rFonts w:ascii="Calibri" w:hAnsi="Calibri" w:cs="Calibri"/>
                <w:color w:val="000000"/>
                <w:szCs w:val="22"/>
              </w:rPr>
            </w:pPr>
            <w:r w:rsidRPr="002B7911">
              <w:rPr>
                <w:rFonts w:ascii="Calibri" w:hAnsi="Calibri" w:cs="Calibri"/>
                <w:color w:val="000000"/>
                <w:szCs w:val="22"/>
              </w:rPr>
              <w:t xml:space="preserve">x 42 </w:t>
            </w:r>
            <w:proofErr w:type="spellStart"/>
            <w:r w:rsidRPr="002B7911">
              <w:rPr>
                <w:rFonts w:ascii="Calibri" w:hAnsi="Calibri" w:cs="Calibri"/>
                <w:color w:val="000000"/>
                <w:szCs w:val="22"/>
              </w:rPr>
              <w:t>yrs</w:t>
            </w:r>
            <w:proofErr w:type="spellEnd"/>
          </w:p>
        </w:tc>
        <w:tc>
          <w:tcPr>
            <w:tcW w:w="0" w:type="auto"/>
            <w:tcBorders>
              <w:top w:val="single" w:sz="6" w:space="0" w:color="787878"/>
              <w:left w:val="single" w:sz="6" w:space="0" w:color="787878"/>
              <w:bottom w:val="single" w:sz="6" w:space="0" w:color="787878"/>
              <w:right w:val="single" w:sz="6" w:space="0" w:color="787878"/>
            </w:tcBorders>
            <w:shd w:val="clear" w:color="auto" w:fill="B8CCE4" w:themeFill="accent1" w:themeFillTint="66"/>
            <w:tcMar>
              <w:top w:w="150" w:type="dxa"/>
              <w:left w:w="150" w:type="dxa"/>
              <w:bottom w:w="150" w:type="dxa"/>
              <w:right w:w="300" w:type="dxa"/>
            </w:tcMar>
            <w:vAlign w:val="center"/>
            <w:hideMark/>
          </w:tcPr>
          <w:p w14:paraId="72A3D24C" w14:textId="77777777" w:rsidR="00C713A4" w:rsidRPr="002B7911" w:rsidRDefault="00C713A4" w:rsidP="00622670">
            <w:pPr>
              <w:rPr>
                <w:rFonts w:ascii="Calibri" w:hAnsi="Calibri" w:cs="Calibri"/>
                <w:color w:val="000000"/>
                <w:szCs w:val="22"/>
              </w:rPr>
            </w:pPr>
            <w:r w:rsidRPr="002B7911">
              <w:rPr>
                <w:rFonts w:ascii="Calibri" w:hAnsi="Calibri" w:cs="Calibri"/>
                <w:color w:val="000000"/>
                <w:szCs w:val="22"/>
              </w:rPr>
              <w:t>= 5053</w:t>
            </w:r>
          </w:p>
        </w:tc>
      </w:tr>
      <w:tr w:rsidR="00C713A4" w:rsidRPr="002B7911" w14:paraId="328A010F" w14:textId="77777777" w:rsidTr="00622670">
        <w:trPr>
          <w:trHeight w:val="413"/>
        </w:trPr>
        <w:tc>
          <w:tcPr>
            <w:tcW w:w="0" w:type="auto"/>
            <w:tcBorders>
              <w:top w:val="single" w:sz="6" w:space="0" w:color="787878"/>
              <w:left w:val="single" w:sz="6" w:space="0" w:color="787878"/>
              <w:bottom w:val="single" w:sz="6" w:space="0" w:color="787878"/>
              <w:right w:val="single" w:sz="6" w:space="0" w:color="787878"/>
            </w:tcBorders>
            <w:shd w:val="clear" w:color="auto" w:fill="8DB3E2" w:themeFill="text2" w:themeFillTint="66"/>
            <w:tcMar>
              <w:top w:w="150" w:type="dxa"/>
              <w:left w:w="150" w:type="dxa"/>
              <w:bottom w:w="150" w:type="dxa"/>
              <w:right w:w="300" w:type="dxa"/>
            </w:tcMar>
            <w:vAlign w:val="center"/>
            <w:hideMark/>
          </w:tcPr>
          <w:p w14:paraId="34CB51A8" w14:textId="77777777" w:rsidR="00C713A4" w:rsidRPr="002B7911" w:rsidRDefault="00C713A4" w:rsidP="00622670">
            <w:pPr>
              <w:rPr>
                <w:rFonts w:ascii="Calibri" w:hAnsi="Calibri" w:cs="Calibri"/>
                <w:color w:val="000000"/>
                <w:szCs w:val="22"/>
              </w:rPr>
            </w:pPr>
            <w:r w:rsidRPr="002B7911">
              <w:rPr>
                <w:rFonts w:ascii="Calibri" w:hAnsi="Calibri" w:cs="Calibri"/>
                <w:color w:val="000000"/>
                <w:szCs w:val="22"/>
              </w:rPr>
              <w:t>Permanent injuries:</w:t>
            </w:r>
          </w:p>
        </w:tc>
        <w:tc>
          <w:tcPr>
            <w:tcW w:w="0" w:type="auto"/>
            <w:tcBorders>
              <w:top w:val="single" w:sz="6" w:space="0" w:color="787878"/>
              <w:left w:val="single" w:sz="6" w:space="0" w:color="787878"/>
              <w:bottom w:val="single" w:sz="6" w:space="0" w:color="787878"/>
              <w:right w:val="single" w:sz="6" w:space="0" w:color="787878"/>
            </w:tcBorders>
            <w:shd w:val="clear" w:color="auto" w:fill="8DB3E2" w:themeFill="text2" w:themeFillTint="66"/>
            <w:tcMar>
              <w:top w:w="150" w:type="dxa"/>
              <w:left w:w="150" w:type="dxa"/>
              <w:bottom w:w="150" w:type="dxa"/>
              <w:right w:w="300" w:type="dxa"/>
            </w:tcMar>
            <w:vAlign w:val="center"/>
            <w:hideMark/>
          </w:tcPr>
          <w:p w14:paraId="7708591E" w14:textId="77777777" w:rsidR="00C713A4" w:rsidRPr="002B7911" w:rsidRDefault="00C713A4" w:rsidP="00622670">
            <w:pPr>
              <w:rPr>
                <w:rFonts w:ascii="Calibri" w:hAnsi="Calibri" w:cs="Calibri"/>
                <w:color w:val="000000"/>
                <w:szCs w:val="22"/>
              </w:rPr>
            </w:pPr>
            <w:r w:rsidRPr="002B7911">
              <w:rPr>
                <w:rFonts w:ascii="Calibri" w:hAnsi="Calibri" w:cs="Calibri"/>
                <w:color w:val="000000"/>
                <w:szCs w:val="22"/>
              </w:rPr>
              <w:t>18</w:t>
            </w:r>
          </w:p>
        </w:tc>
        <w:tc>
          <w:tcPr>
            <w:tcW w:w="0" w:type="auto"/>
            <w:tcBorders>
              <w:top w:val="single" w:sz="6" w:space="0" w:color="787878"/>
              <w:left w:val="single" w:sz="6" w:space="0" w:color="787878"/>
              <w:bottom w:val="single" w:sz="6" w:space="0" w:color="787878"/>
              <w:right w:val="single" w:sz="6" w:space="0" w:color="787878"/>
            </w:tcBorders>
            <w:shd w:val="clear" w:color="auto" w:fill="8DB3E2" w:themeFill="text2" w:themeFillTint="66"/>
            <w:tcMar>
              <w:top w:w="150" w:type="dxa"/>
              <w:left w:w="150" w:type="dxa"/>
              <w:bottom w:w="150" w:type="dxa"/>
              <w:right w:w="300" w:type="dxa"/>
            </w:tcMar>
            <w:vAlign w:val="center"/>
            <w:hideMark/>
          </w:tcPr>
          <w:p w14:paraId="164FD1DB" w14:textId="77777777" w:rsidR="00C713A4" w:rsidRPr="002B7911" w:rsidRDefault="00C713A4" w:rsidP="00622670">
            <w:pPr>
              <w:rPr>
                <w:rFonts w:ascii="Calibri" w:hAnsi="Calibri" w:cs="Calibri"/>
                <w:color w:val="000000"/>
                <w:szCs w:val="22"/>
              </w:rPr>
            </w:pPr>
            <w:r w:rsidRPr="002B7911">
              <w:rPr>
                <w:rFonts w:ascii="Calibri" w:hAnsi="Calibri" w:cs="Calibri"/>
                <w:color w:val="000000"/>
                <w:szCs w:val="22"/>
              </w:rPr>
              <w:t>x 207,200</w:t>
            </w:r>
          </w:p>
        </w:tc>
        <w:tc>
          <w:tcPr>
            <w:tcW w:w="0" w:type="auto"/>
            <w:tcBorders>
              <w:top w:val="single" w:sz="6" w:space="0" w:color="787878"/>
              <w:left w:val="single" w:sz="6" w:space="0" w:color="787878"/>
              <w:bottom w:val="single" w:sz="6" w:space="0" w:color="787878"/>
              <w:right w:val="single" w:sz="6" w:space="0" w:color="787878"/>
            </w:tcBorders>
            <w:shd w:val="clear" w:color="auto" w:fill="8DB3E2" w:themeFill="text2" w:themeFillTint="66"/>
            <w:tcMar>
              <w:top w:w="150" w:type="dxa"/>
              <w:left w:w="150" w:type="dxa"/>
              <w:bottom w:w="150" w:type="dxa"/>
              <w:right w:w="300" w:type="dxa"/>
            </w:tcMar>
            <w:vAlign w:val="center"/>
            <w:hideMark/>
          </w:tcPr>
          <w:p w14:paraId="0F327F13" w14:textId="77777777" w:rsidR="00C713A4" w:rsidRPr="002B7911" w:rsidRDefault="00C713A4" w:rsidP="00622670">
            <w:pPr>
              <w:rPr>
                <w:rFonts w:ascii="Calibri" w:hAnsi="Calibri" w:cs="Calibri"/>
                <w:color w:val="000000"/>
                <w:szCs w:val="22"/>
              </w:rPr>
            </w:pPr>
            <w:r w:rsidRPr="002B7911">
              <w:rPr>
                <w:rFonts w:ascii="Calibri" w:hAnsi="Calibri" w:cs="Calibri"/>
                <w:color w:val="000000"/>
                <w:szCs w:val="22"/>
              </w:rPr>
              <w:t>x 1 x 10</w:t>
            </w:r>
            <w:r w:rsidRPr="002B7911">
              <w:rPr>
                <w:rFonts w:ascii="Calibri" w:hAnsi="Calibri" w:cs="Calibri"/>
                <w:color w:val="000000"/>
                <w:szCs w:val="22"/>
                <w:vertAlign w:val="superscript"/>
              </w:rPr>
              <w:t>-5</w:t>
            </w:r>
          </w:p>
        </w:tc>
        <w:tc>
          <w:tcPr>
            <w:tcW w:w="0" w:type="auto"/>
            <w:tcBorders>
              <w:top w:val="single" w:sz="6" w:space="0" w:color="787878"/>
              <w:left w:val="single" w:sz="6" w:space="0" w:color="787878"/>
              <w:bottom w:val="single" w:sz="6" w:space="0" w:color="787878"/>
              <w:right w:val="single" w:sz="6" w:space="0" w:color="787878"/>
            </w:tcBorders>
            <w:shd w:val="clear" w:color="auto" w:fill="8DB3E2" w:themeFill="text2" w:themeFillTint="66"/>
            <w:tcMar>
              <w:top w:w="150" w:type="dxa"/>
              <w:left w:w="150" w:type="dxa"/>
              <w:bottom w:w="150" w:type="dxa"/>
              <w:right w:w="300" w:type="dxa"/>
            </w:tcMar>
            <w:vAlign w:val="center"/>
            <w:hideMark/>
          </w:tcPr>
          <w:p w14:paraId="1F41BE71" w14:textId="77777777" w:rsidR="00C713A4" w:rsidRPr="002B7911" w:rsidRDefault="00C713A4" w:rsidP="00622670">
            <w:pPr>
              <w:rPr>
                <w:rFonts w:ascii="Calibri" w:hAnsi="Calibri" w:cs="Calibri"/>
                <w:color w:val="000000"/>
                <w:szCs w:val="22"/>
              </w:rPr>
            </w:pPr>
            <w:r w:rsidRPr="002B7911">
              <w:rPr>
                <w:rFonts w:ascii="Calibri" w:hAnsi="Calibri" w:cs="Calibri"/>
                <w:color w:val="000000"/>
                <w:szCs w:val="22"/>
              </w:rPr>
              <w:t xml:space="preserve">x 42 </w:t>
            </w:r>
            <w:proofErr w:type="spellStart"/>
            <w:r w:rsidRPr="002B7911">
              <w:rPr>
                <w:rFonts w:ascii="Calibri" w:hAnsi="Calibri" w:cs="Calibri"/>
                <w:color w:val="000000"/>
                <w:szCs w:val="22"/>
              </w:rPr>
              <w:t>yrs</w:t>
            </w:r>
            <w:proofErr w:type="spellEnd"/>
          </w:p>
        </w:tc>
        <w:tc>
          <w:tcPr>
            <w:tcW w:w="0" w:type="auto"/>
            <w:tcBorders>
              <w:top w:val="single" w:sz="6" w:space="0" w:color="787878"/>
              <w:left w:val="single" w:sz="6" w:space="0" w:color="787878"/>
              <w:bottom w:val="single" w:sz="6" w:space="0" w:color="787878"/>
              <w:right w:val="single" w:sz="6" w:space="0" w:color="787878"/>
            </w:tcBorders>
            <w:shd w:val="clear" w:color="auto" w:fill="8DB3E2" w:themeFill="text2" w:themeFillTint="66"/>
            <w:tcMar>
              <w:top w:w="150" w:type="dxa"/>
              <w:left w:w="150" w:type="dxa"/>
              <w:bottom w:w="150" w:type="dxa"/>
              <w:right w:w="300" w:type="dxa"/>
            </w:tcMar>
            <w:vAlign w:val="center"/>
            <w:hideMark/>
          </w:tcPr>
          <w:p w14:paraId="3833B3EB" w14:textId="77777777" w:rsidR="00C713A4" w:rsidRPr="002B7911" w:rsidRDefault="00C713A4" w:rsidP="00622670">
            <w:pPr>
              <w:rPr>
                <w:rFonts w:ascii="Calibri" w:hAnsi="Calibri" w:cs="Calibri"/>
                <w:color w:val="000000"/>
                <w:szCs w:val="22"/>
              </w:rPr>
            </w:pPr>
            <w:r w:rsidRPr="002B7911">
              <w:rPr>
                <w:rFonts w:ascii="Calibri" w:hAnsi="Calibri" w:cs="Calibri"/>
                <w:color w:val="000000"/>
                <w:szCs w:val="22"/>
              </w:rPr>
              <w:t>= 1566</w:t>
            </w:r>
          </w:p>
        </w:tc>
      </w:tr>
      <w:tr w:rsidR="00C713A4" w:rsidRPr="002B7911" w14:paraId="471D6ACD" w14:textId="77777777" w:rsidTr="00622670">
        <w:trPr>
          <w:trHeight w:val="158"/>
        </w:trPr>
        <w:tc>
          <w:tcPr>
            <w:tcW w:w="0" w:type="auto"/>
            <w:tcBorders>
              <w:top w:val="single" w:sz="6" w:space="0" w:color="787878"/>
              <w:left w:val="single" w:sz="6" w:space="0" w:color="787878"/>
              <w:bottom w:val="single" w:sz="6" w:space="0" w:color="787878"/>
              <w:right w:val="single" w:sz="6" w:space="0" w:color="787878"/>
            </w:tcBorders>
            <w:shd w:val="clear" w:color="auto" w:fill="B8CCE4" w:themeFill="accent1" w:themeFillTint="66"/>
            <w:tcMar>
              <w:top w:w="150" w:type="dxa"/>
              <w:left w:w="150" w:type="dxa"/>
              <w:bottom w:w="150" w:type="dxa"/>
              <w:right w:w="300" w:type="dxa"/>
            </w:tcMar>
            <w:vAlign w:val="center"/>
            <w:hideMark/>
          </w:tcPr>
          <w:p w14:paraId="7357693F" w14:textId="77777777" w:rsidR="00C713A4" w:rsidRPr="002B7911" w:rsidRDefault="00C713A4" w:rsidP="00622670">
            <w:pPr>
              <w:rPr>
                <w:rFonts w:ascii="Calibri" w:hAnsi="Calibri" w:cs="Calibri"/>
                <w:color w:val="000000"/>
                <w:szCs w:val="22"/>
              </w:rPr>
            </w:pPr>
            <w:r w:rsidRPr="002B7911">
              <w:rPr>
                <w:rFonts w:ascii="Calibri" w:hAnsi="Calibri" w:cs="Calibri"/>
                <w:color w:val="000000"/>
                <w:szCs w:val="22"/>
              </w:rPr>
              <w:t>Serious injuries:</w:t>
            </w:r>
          </w:p>
        </w:tc>
        <w:tc>
          <w:tcPr>
            <w:tcW w:w="0" w:type="auto"/>
            <w:tcBorders>
              <w:top w:val="single" w:sz="6" w:space="0" w:color="787878"/>
              <w:left w:val="single" w:sz="6" w:space="0" w:color="787878"/>
              <w:bottom w:val="single" w:sz="6" w:space="0" w:color="787878"/>
              <w:right w:val="single" w:sz="6" w:space="0" w:color="787878"/>
            </w:tcBorders>
            <w:shd w:val="clear" w:color="auto" w:fill="B8CCE4" w:themeFill="accent1" w:themeFillTint="66"/>
            <w:tcMar>
              <w:top w:w="150" w:type="dxa"/>
              <w:left w:w="150" w:type="dxa"/>
              <w:bottom w:w="150" w:type="dxa"/>
              <w:right w:w="300" w:type="dxa"/>
            </w:tcMar>
            <w:vAlign w:val="center"/>
            <w:hideMark/>
          </w:tcPr>
          <w:p w14:paraId="7B6D9D0E" w14:textId="77777777" w:rsidR="00C713A4" w:rsidRPr="002B7911" w:rsidRDefault="00C713A4" w:rsidP="00622670">
            <w:pPr>
              <w:rPr>
                <w:rFonts w:ascii="Calibri" w:hAnsi="Calibri" w:cs="Calibri"/>
                <w:color w:val="000000"/>
                <w:szCs w:val="22"/>
              </w:rPr>
            </w:pPr>
            <w:r w:rsidRPr="002B7911">
              <w:rPr>
                <w:rFonts w:ascii="Calibri" w:hAnsi="Calibri" w:cs="Calibri"/>
                <w:color w:val="000000"/>
                <w:szCs w:val="22"/>
              </w:rPr>
              <w:t>50</w:t>
            </w:r>
          </w:p>
        </w:tc>
        <w:tc>
          <w:tcPr>
            <w:tcW w:w="0" w:type="auto"/>
            <w:tcBorders>
              <w:top w:val="single" w:sz="6" w:space="0" w:color="787878"/>
              <w:left w:val="single" w:sz="6" w:space="0" w:color="787878"/>
              <w:bottom w:val="single" w:sz="6" w:space="0" w:color="787878"/>
              <w:right w:val="single" w:sz="6" w:space="0" w:color="787878"/>
            </w:tcBorders>
            <w:shd w:val="clear" w:color="auto" w:fill="B8CCE4" w:themeFill="accent1" w:themeFillTint="66"/>
            <w:tcMar>
              <w:top w:w="150" w:type="dxa"/>
              <w:left w:w="150" w:type="dxa"/>
              <w:bottom w:w="150" w:type="dxa"/>
              <w:right w:w="300" w:type="dxa"/>
            </w:tcMar>
            <w:vAlign w:val="center"/>
            <w:hideMark/>
          </w:tcPr>
          <w:p w14:paraId="372F1600" w14:textId="77777777" w:rsidR="00C713A4" w:rsidRPr="002B7911" w:rsidRDefault="00C713A4" w:rsidP="00622670">
            <w:pPr>
              <w:rPr>
                <w:rFonts w:ascii="Calibri" w:hAnsi="Calibri" w:cs="Calibri"/>
                <w:color w:val="000000"/>
                <w:szCs w:val="22"/>
              </w:rPr>
            </w:pPr>
            <w:r w:rsidRPr="002B7911">
              <w:rPr>
                <w:rFonts w:ascii="Calibri" w:hAnsi="Calibri" w:cs="Calibri"/>
                <w:color w:val="000000"/>
                <w:szCs w:val="22"/>
              </w:rPr>
              <w:t>x 20,500</w:t>
            </w:r>
          </w:p>
        </w:tc>
        <w:tc>
          <w:tcPr>
            <w:tcW w:w="0" w:type="auto"/>
            <w:tcBorders>
              <w:top w:val="single" w:sz="6" w:space="0" w:color="787878"/>
              <w:left w:val="single" w:sz="6" w:space="0" w:color="787878"/>
              <w:bottom w:val="single" w:sz="6" w:space="0" w:color="787878"/>
              <w:right w:val="single" w:sz="6" w:space="0" w:color="787878"/>
            </w:tcBorders>
            <w:shd w:val="clear" w:color="auto" w:fill="B8CCE4" w:themeFill="accent1" w:themeFillTint="66"/>
            <w:tcMar>
              <w:top w:w="150" w:type="dxa"/>
              <w:left w:w="150" w:type="dxa"/>
              <w:bottom w:w="150" w:type="dxa"/>
              <w:right w:w="300" w:type="dxa"/>
            </w:tcMar>
            <w:vAlign w:val="center"/>
            <w:hideMark/>
          </w:tcPr>
          <w:p w14:paraId="246BD7D7" w14:textId="77777777" w:rsidR="00C713A4" w:rsidRPr="002B7911" w:rsidRDefault="00C713A4" w:rsidP="00622670">
            <w:pPr>
              <w:rPr>
                <w:rFonts w:ascii="Calibri" w:hAnsi="Calibri" w:cs="Calibri"/>
                <w:color w:val="000000"/>
                <w:szCs w:val="22"/>
              </w:rPr>
            </w:pPr>
            <w:r w:rsidRPr="002B7911">
              <w:rPr>
                <w:rFonts w:ascii="Calibri" w:hAnsi="Calibri" w:cs="Calibri"/>
                <w:color w:val="000000"/>
                <w:szCs w:val="22"/>
              </w:rPr>
              <w:t>x 1 x 10-5</w:t>
            </w:r>
          </w:p>
        </w:tc>
        <w:tc>
          <w:tcPr>
            <w:tcW w:w="0" w:type="auto"/>
            <w:tcBorders>
              <w:top w:val="single" w:sz="6" w:space="0" w:color="787878"/>
              <w:left w:val="single" w:sz="6" w:space="0" w:color="787878"/>
              <w:bottom w:val="single" w:sz="6" w:space="0" w:color="787878"/>
              <w:right w:val="single" w:sz="6" w:space="0" w:color="787878"/>
            </w:tcBorders>
            <w:shd w:val="clear" w:color="auto" w:fill="B8CCE4" w:themeFill="accent1" w:themeFillTint="66"/>
            <w:tcMar>
              <w:top w:w="150" w:type="dxa"/>
              <w:left w:w="150" w:type="dxa"/>
              <w:bottom w:w="150" w:type="dxa"/>
              <w:right w:w="300" w:type="dxa"/>
            </w:tcMar>
            <w:vAlign w:val="center"/>
            <w:hideMark/>
          </w:tcPr>
          <w:p w14:paraId="584424C7" w14:textId="77777777" w:rsidR="00C713A4" w:rsidRPr="002B7911" w:rsidRDefault="00C713A4" w:rsidP="00622670">
            <w:pPr>
              <w:rPr>
                <w:rFonts w:ascii="Calibri" w:hAnsi="Calibri" w:cs="Calibri"/>
                <w:color w:val="000000"/>
                <w:szCs w:val="22"/>
              </w:rPr>
            </w:pPr>
            <w:r w:rsidRPr="002B7911">
              <w:rPr>
                <w:rFonts w:ascii="Calibri" w:hAnsi="Calibri" w:cs="Calibri"/>
                <w:color w:val="000000"/>
                <w:szCs w:val="22"/>
              </w:rPr>
              <w:t xml:space="preserve">x 42 </w:t>
            </w:r>
            <w:proofErr w:type="spellStart"/>
            <w:r w:rsidRPr="002B7911">
              <w:rPr>
                <w:rFonts w:ascii="Calibri" w:hAnsi="Calibri" w:cs="Calibri"/>
                <w:color w:val="000000"/>
                <w:szCs w:val="22"/>
              </w:rPr>
              <w:t>yrs</w:t>
            </w:r>
            <w:proofErr w:type="spellEnd"/>
          </w:p>
        </w:tc>
        <w:tc>
          <w:tcPr>
            <w:tcW w:w="0" w:type="auto"/>
            <w:tcBorders>
              <w:top w:val="single" w:sz="6" w:space="0" w:color="787878"/>
              <w:left w:val="single" w:sz="6" w:space="0" w:color="787878"/>
              <w:bottom w:val="single" w:sz="6" w:space="0" w:color="787878"/>
              <w:right w:val="single" w:sz="6" w:space="0" w:color="787878"/>
            </w:tcBorders>
            <w:shd w:val="clear" w:color="auto" w:fill="B8CCE4" w:themeFill="accent1" w:themeFillTint="66"/>
            <w:tcMar>
              <w:top w:w="150" w:type="dxa"/>
              <w:left w:w="150" w:type="dxa"/>
              <w:bottom w:w="150" w:type="dxa"/>
              <w:right w:w="300" w:type="dxa"/>
            </w:tcMar>
            <w:vAlign w:val="center"/>
            <w:hideMark/>
          </w:tcPr>
          <w:p w14:paraId="4943BFAF" w14:textId="77777777" w:rsidR="00C713A4" w:rsidRPr="002B7911" w:rsidRDefault="00C713A4" w:rsidP="00622670">
            <w:pPr>
              <w:rPr>
                <w:rFonts w:ascii="Calibri" w:hAnsi="Calibri" w:cs="Calibri"/>
                <w:color w:val="000000"/>
                <w:szCs w:val="22"/>
              </w:rPr>
            </w:pPr>
            <w:r w:rsidRPr="002B7911">
              <w:rPr>
                <w:rFonts w:ascii="Calibri" w:hAnsi="Calibri" w:cs="Calibri"/>
                <w:color w:val="000000"/>
                <w:szCs w:val="22"/>
              </w:rPr>
              <w:t>= 431</w:t>
            </w:r>
          </w:p>
        </w:tc>
      </w:tr>
      <w:tr w:rsidR="00C713A4" w:rsidRPr="002B7911" w14:paraId="036AC6E5" w14:textId="77777777" w:rsidTr="00622670">
        <w:trPr>
          <w:trHeight w:val="483"/>
        </w:trPr>
        <w:tc>
          <w:tcPr>
            <w:tcW w:w="0" w:type="auto"/>
            <w:tcBorders>
              <w:top w:val="single" w:sz="6" w:space="0" w:color="787878"/>
              <w:left w:val="single" w:sz="6" w:space="0" w:color="787878"/>
              <w:bottom w:val="single" w:sz="6" w:space="0" w:color="787878"/>
              <w:right w:val="single" w:sz="6" w:space="0" w:color="787878"/>
            </w:tcBorders>
            <w:shd w:val="clear" w:color="auto" w:fill="8DB3E2" w:themeFill="text2" w:themeFillTint="66"/>
            <w:tcMar>
              <w:top w:w="150" w:type="dxa"/>
              <w:left w:w="150" w:type="dxa"/>
              <w:bottom w:w="150" w:type="dxa"/>
              <w:right w:w="300" w:type="dxa"/>
            </w:tcMar>
            <w:vAlign w:val="center"/>
            <w:hideMark/>
          </w:tcPr>
          <w:p w14:paraId="4E970639" w14:textId="77777777" w:rsidR="00C713A4" w:rsidRPr="002B7911" w:rsidRDefault="00C713A4" w:rsidP="00622670">
            <w:pPr>
              <w:rPr>
                <w:rFonts w:ascii="Calibri" w:hAnsi="Calibri" w:cs="Calibri"/>
                <w:color w:val="000000"/>
                <w:szCs w:val="22"/>
              </w:rPr>
            </w:pPr>
            <w:r w:rsidRPr="002B7911">
              <w:rPr>
                <w:rFonts w:ascii="Calibri" w:hAnsi="Calibri" w:cs="Calibri"/>
                <w:color w:val="000000"/>
                <w:szCs w:val="22"/>
              </w:rPr>
              <w:t>Slight Injuries:</w:t>
            </w:r>
          </w:p>
        </w:tc>
        <w:tc>
          <w:tcPr>
            <w:tcW w:w="0" w:type="auto"/>
            <w:tcBorders>
              <w:top w:val="single" w:sz="6" w:space="0" w:color="787878"/>
              <w:left w:val="single" w:sz="6" w:space="0" w:color="787878"/>
              <w:bottom w:val="single" w:sz="6" w:space="0" w:color="787878"/>
              <w:right w:val="single" w:sz="6" w:space="0" w:color="787878"/>
            </w:tcBorders>
            <w:shd w:val="clear" w:color="auto" w:fill="8DB3E2" w:themeFill="text2" w:themeFillTint="66"/>
            <w:tcMar>
              <w:top w:w="150" w:type="dxa"/>
              <w:left w:w="150" w:type="dxa"/>
              <w:bottom w:w="150" w:type="dxa"/>
              <w:right w:w="300" w:type="dxa"/>
            </w:tcMar>
            <w:vAlign w:val="center"/>
            <w:hideMark/>
          </w:tcPr>
          <w:p w14:paraId="12D6AB0D" w14:textId="77777777" w:rsidR="00C713A4" w:rsidRPr="002B7911" w:rsidRDefault="00C713A4" w:rsidP="00622670">
            <w:pPr>
              <w:rPr>
                <w:rFonts w:ascii="Calibri" w:hAnsi="Calibri" w:cs="Calibri"/>
                <w:color w:val="000000"/>
                <w:szCs w:val="22"/>
              </w:rPr>
            </w:pPr>
            <w:r w:rsidRPr="002B7911">
              <w:rPr>
                <w:rFonts w:ascii="Calibri" w:hAnsi="Calibri" w:cs="Calibri"/>
                <w:color w:val="000000"/>
                <w:szCs w:val="22"/>
              </w:rPr>
              <w:t>100</w:t>
            </w:r>
          </w:p>
        </w:tc>
        <w:tc>
          <w:tcPr>
            <w:tcW w:w="0" w:type="auto"/>
            <w:tcBorders>
              <w:top w:val="single" w:sz="6" w:space="0" w:color="787878"/>
              <w:left w:val="single" w:sz="6" w:space="0" w:color="787878"/>
              <w:bottom w:val="single" w:sz="6" w:space="0" w:color="787878"/>
              <w:right w:val="single" w:sz="6" w:space="0" w:color="787878"/>
            </w:tcBorders>
            <w:shd w:val="clear" w:color="auto" w:fill="8DB3E2" w:themeFill="text2" w:themeFillTint="66"/>
            <w:tcMar>
              <w:top w:w="150" w:type="dxa"/>
              <w:left w:w="150" w:type="dxa"/>
              <w:bottom w:w="150" w:type="dxa"/>
              <w:right w:w="300" w:type="dxa"/>
            </w:tcMar>
            <w:vAlign w:val="center"/>
            <w:hideMark/>
          </w:tcPr>
          <w:p w14:paraId="506CCC3E" w14:textId="77777777" w:rsidR="00C713A4" w:rsidRPr="002B7911" w:rsidRDefault="00C713A4" w:rsidP="00622670">
            <w:pPr>
              <w:rPr>
                <w:rFonts w:ascii="Calibri" w:hAnsi="Calibri" w:cs="Calibri"/>
                <w:color w:val="000000"/>
                <w:szCs w:val="22"/>
              </w:rPr>
            </w:pPr>
            <w:r w:rsidRPr="002B7911">
              <w:rPr>
                <w:rFonts w:ascii="Calibri" w:hAnsi="Calibri" w:cs="Calibri"/>
                <w:color w:val="000000"/>
                <w:szCs w:val="22"/>
              </w:rPr>
              <w:t>x 300</w:t>
            </w:r>
          </w:p>
        </w:tc>
        <w:tc>
          <w:tcPr>
            <w:tcW w:w="0" w:type="auto"/>
            <w:tcBorders>
              <w:top w:val="single" w:sz="6" w:space="0" w:color="787878"/>
              <w:left w:val="single" w:sz="6" w:space="0" w:color="787878"/>
              <w:bottom w:val="single" w:sz="6" w:space="0" w:color="787878"/>
              <w:right w:val="single" w:sz="6" w:space="0" w:color="787878"/>
            </w:tcBorders>
            <w:shd w:val="clear" w:color="auto" w:fill="8DB3E2" w:themeFill="text2" w:themeFillTint="66"/>
            <w:tcMar>
              <w:top w:w="150" w:type="dxa"/>
              <w:left w:w="150" w:type="dxa"/>
              <w:bottom w:w="150" w:type="dxa"/>
              <w:right w:w="300" w:type="dxa"/>
            </w:tcMar>
            <w:vAlign w:val="center"/>
            <w:hideMark/>
          </w:tcPr>
          <w:p w14:paraId="78E43B0A" w14:textId="77777777" w:rsidR="00C713A4" w:rsidRPr="002B7911" w:rsidRDefault="00C713A4" w:rsidP="00622670">
            <w:pPr>
              <w:rPr>
                <w:rFonts w:ascii="Calibri" w:hAnsi="Calibri" w:cs="Calibri"/>
                <w:color w:val="000000"/>
                <w:szCs w:val="22"/>
              </w:rPr>
            </w:pPr>
            <w:r w:rsidRPr="002B7911">
              <w:rPr>
                <w:rFonts w:ascii="Calibri" w:hAnsi="Calibri" w:cs="Calibri"/>
                <w:color w:val="000000"/>
                <w:szCs w:val="22"/>
              </w:rPr>
              <w:t>x 1 x 10</w:t>
            </w:r>
            <w:r w:rsidRPr="002B7911">
              <w:rPr>
                <w:rFonts w:ascii="Calibri" w:hAnsi="Calibri" w:cs="Calibri"/>
                <w:color w:val="000000"/>
                <w:szCs w:val="22"/>
                <w:vertAlign w:val="superscript"/>
              </w:rPr>
              <w:t>-5</w:t>
            </w:r>
          </w:p>
        </w:tc>
        <w:tc>
          <w:tcPr>
            <w:tcW w:w="0" w:type="auto"/>
            <w:tcBorders>
              <w:top w:val="single" w:sz="6" w:space="0" w:color="787878"/>
              <w:left w:val="single" w:sz="6" w:space="0" w:color="787878"/>
              <w:bottom w:val="single" w:sz="6" w:space="0" w:color="787878"/>
              <w:right w:val="single" w:sz="6" w:space="0" w:color="787878"/>
            </w:tcBorders>
            <w:shd w:val="clear" w:color="auto" w:fill="8DB3E2" w:themeFill="text2" w:themeFillTint="66"/>
            <w:tcMar>
              <w:top w:w="150" w:type="dxa"/>
              <w:left w:w="150" w:type="dxa"/>
              <w:bottom w:w="150" w:type="dxa"/>
              <w:right w:w="300" w:type="dxa"/>
            </w:tcMar>
            <w:vAlign w:val="center"/>
            <w:hideMark/>
          </w:tcPr>
          <w:p w14:paraId="66B9EAA3" w14:textId="77777777" w:rsidR="00C713A4" w:rsidRPr="002B7911" w:rsidRDefault="00C713A4" w:rsidP="00622670">
            <w:pPr>
              <w:rPr>
                <w:rFonts w:ascii="Calibri" w:hAnsi="Calibri" w:cs="Calibri"/>
                <w:color w:val="000000"/>
                <w:szCs w:val="22"/>
              </w:rPr>
            </w:pPr>
            <w:r w:rsidRPr="002B7911">
              <w:rPr>
                <w:rFonts w:ascii="Calibri" w:hAnsi="Calibri" w:cs="Calibri"/>
                <w:color w:val="000000"/>
                <w:szCs w:val="22"/>
              </w:rPr>
              <w:t xml:space="preserve">x 42 </w:t>
            </w:r>
            <w:proofErr w:type="spellStart"/>
            <w:r w:rsidRPr="002B7911">
              <w:rPr>
                <w:rFonts w:ascii="Calibri" w:hAnsi="Calibri" w:cs="Calibri"/>
                <w:color w:val="000000"/>
                <w:szCs w:val="22"/>
              </w:rPr>
              <w:t>yrs</w:t>
            </w:r>
            <w:proofErr w:type="spellEnd"/>
          </w:p>
        </w:tc>
        <w:tc>
          <w:tcPr>
            <w:tcW w:w="0" w:type="auto"/>
            <w:tcBorders>
              <w:top w:val="single" w:sz="6" w:space="0" w:color="787878"/>
              <w:left w:val="single" w:sz="6" w:space="0" w:color="787878"/>
              <w:bottom w:val="single" w:sz="6" w:space="0" w:color="787878"/>
              <w:right w:val="single" w:sz="6" w:space="0" w:color="787878"/>
            </w:tcBorders>
            <w:shd w:val="clear" w:color="auto" w:fill="8DB3E2" w:themeFill="text2" w:themeFillTint="66"/>
            <w:tcMar>
              <w:top w:w="150" w:type="dxa"/>
              <w:left w:w="150" w:type="dxa"/>
              <w:bottom w:w="150" w:type="dxa"/>
              <w:right w:w="300" w:type="dxa"/>
            </w:tcMar>
            <w:vAlign w:val="center"/>
            <w:hideMark/>
          </w:tcPr>
          <w:p w14:paraId="056B60BC" w14:textId="77777777" w:rsidR="00C713A4" w:rsidRPr="002B7911" w:rsidRDefault="00C713A4" w:rsidP="00622670">
            <w:pPr>
              <w:rPr>
                <w:rFonts w:ascii="Calibri" w:hAnsi="Calibri" w:cs="Calibri"/>
                <w:color w:val="000000"/>
                <w:szCs w:val="22"/>
              </w:rPr>
            </w:pPr>
            <w:r w:rsidRPr="002B7911">
              <w:rPr>
                <w:rFonts w:ascii="Calibri" w:hAnsi="Calibri" w:cs="Calibri"/>
                <w:color w:val="000000"/>
                <w:szCs w:val="22"/>
              </w:rPr>
              <w:t>= 13</w:t>
            </w:r>
          </w:p>
        </w:tc>
      </w:tr>
      <w:tr w:rsidR="00C713A4" w:rsidRPr="002B7911" w14:paraId="06B12E59" w14:textId="77777777" w:rsidTr="00622670">
        <w:trPr>
          <w:trHeight w:val="525"/>
        </w:trPr>
        <w:tc>
          <w:tcPr>
            <w:tcW w:w="0" w:type="auto"/>
            <w:tcBorders>
              <w:top w:val="single" w:sz="6" w:space="0" w:color="787878"/>
              <w:left w:val="single" w:sz="6" w:space="0" w:color="787878"/>
              <w:bottom w:val="single" w:sz="6" w:space="0" w:color="787878"/>
              <w:right w:val="single" w:sz="6" w:space="0" w:color="787878"/>
            </w:tcBorders>
            <w:shd w:val="clear" w:color="auto" w:fill="B8CCE4" w:themeFill="accent1" w:themeFillTint="66"/>
            <w:tcMar>
              <w:top w:w="150" w:type="dxa"/>
              <w:left w:w="150" w:type="dxa"/>
              <w:bottom w:w="150" w:type="dxa"/>
              <w:right w:w="300" w:type="dxa"/>
            </w:tcMar>
            <w:vAlign w:val="center"/>
            <w:hideMark/>
          </w:tcPr>
          <w:p w14:paraId="325CF451" w14:textId="77777777" w:rsidR="00C713A4" w:rsidRPr="002B7911" w:rsidRDefault="00C713A4" w:rsidP="00622670">
            <w:pPr>
              <w:rPr>
                <w:rFonts w:ascii="Calibri" w:hAnsi="Calibri" w:cs="Calibri"/>
                <w:color w:val="000000"/>
                <w:szCs w:val="22"/>
              </w:rPr>
            </w:pPr>
            <w:r w:rsidRPr="002B7911">
              <w:rPr>
                <w:rFonts w:ascii="Calibri" w:hAnsi="Calibri" w:cs="Calibri"/>
                <w:color w:val="000000"/>
                <w:szCs w:val="22"/>
              </w:rPr>
              <w:t>Total ship benefits</w:t>
            </w:r>
          </w:p>
        </w:tc>
        <w:tc>
          <w:tcPr>
            <w:tcW w:w="0" w:type="auto"/>
            <w:tcBorders>
              <w:top w:val="single" w:sz="6" w:space="0" w:color="787878"/>
              <w:left w:val="single" w:sz="6" w:space="0" w:color="787878"/>
              <w:bottom w:val="single" w:sz="6" w:space="0" w:color="787878"/>
              <w:right w:val="single" w:sz="6" w:space="0" w:color="787878"/>
            </w:tcBorders>
            <w:shd w:val="clear" w:color="auto" w:fill="B8CCE4" w:themeFill="accent1" w:themeFillTint="66"/>
            <w:tcMar>
              <w:top w:w="150" w:type="dxa"/>
              <w:left w:w="150" w:type="dxa"/>
              <w:bottom w:w="150" w:type="dxa"/>
              <w:right w:w="300" w:type="dxa"/>
            </w:tcMar>
            <w:vAlign w:val="center"/>
            <w:hideMark/>
          </w:tcPr>
          <w:p w14:paraId="331598F3" w14:textId="77777777" w:rsidR="00C713A4" w:rsidRPr="002B7911" w:rsidRDefault="00C713A4" w:rsidP="00622670">
            <w:pPr>
              <w:rPr>
                <w:rFonts w:ascii="Calibri" w:hAnsi="Calibri" w:cs="Calibri"/>
                <w:color w:val="000000"/>
                <w:szCs w:val="22"/>
              </w:rPr>
            </w:pPr>
            <w:r w:rsidRPr="002B7911">
              <w:rPr>
                <w:rFonts w:ascii="Calibri" w:hAnsi="Calibri" w:cs="Calibri"/>
                <w:color w:val="000000"/>
                <w:szCs w:val="22"/>
              </w:rPr>
              <w:t> </w:t>
            </w:r>
          </w:p>
        </w:tc>
        <w:tc>
          <w:tcPr>
            <w:tcW w:w="0" w:type="auto"/>
            <w:tcBorders>
              <w:top w:val="single" w:sz="6" w:space="0" w:color="787878"/>
              <w:left w:val="single" w:sz="6" w:space="0" w:color="787878"/>
              <w:bottom w:val="single" w:sz="6" w:space="0" w:color="787878"/>
              <w:right w:val="single" w:sz="6" w:space="0" w:color="787878"/>
            </w:tcBorders>
            <w:shd w:val="clear" w:color="auto" w:fill="B8CCE4" w:themeFill="accent1" w:themeFillTint="66"/>
            <w:tcMar>
              <w:top w:w="150" w:type="dxa"/>
              <w:left w:w="150" w:type="dxa"/>
              <w:bottom w:w="150" w:type="dxa"/>
              <w:right w:w="300" w:type="dxa"/>
            </w:tcMar>
            <w:vAlign w:val="center"/>
            <w:hideMark/>
          </w:tcPr>
          <w:p w14:paraId="5E996DBB" w14:textId="77777777" w:rsidR="00C713A4" w:rsidRPr="002B7911" w:rsidRDefault="00C713A4" w:rsidP="00622670">
            <w:pPr>
              <w:rPr>
                <w:rFonts w:ascii="Calibri" w:hAnsi="Calibri" w:cs="Calibri"/>
                <w:color w:val="000000"/>
                <w:szCs w:val="22"/>
              </w:rPr>
            </w:pPr>
            <w:r w:rsidRPr="002B7911">
              <w:rPr>
                <w:rFonts w:ascii="Calibri" w:hAnsi="Calibri" w:cs="Calibri"/>
                <w:color w:val="000000"/>
                <w:szCs w:val="22"/>
              </w:rPr>
              <w:t> </w:t>
            </w:r>
          </w:p>
        </w:tc>
        <w:tc>
          <w:tcPr>
            <w:tcW w:w="0" w:type="auto"/>
            <w:tcBorders>
              <w:top w:val="single" w:sz="6" w:space="0" w:color="787878"/>
              <w:left w:val="single" w:sz="6" w:space="0" w:color="787878"/>
              <w:bottom w:val="single" w:sz="6" w:space="0" w:color="787878"/>
              <w:right w:val="single" w:sz="6" w:space="0" w:color="787878"/>
            </w:tcBorders>
            <w:shd w:val="clear" w:color="auto" w:fill="B8CCE4" w:themeFill="accent1" w:themeFillTint="66"/>
            <w:tcMar>
              <w:top w:w="150" w:type="dxa"/>
              <w:left w:w="150" w:type="dxa"/>
              <w:bottom w:w="150" w:type="dxa"/>
              <w:right w:w="300" w:type="dxa"/>
            </w:tcMar>
            <w:vAlign w:val="center"/>
            <w:hideMark/>
          </w:tcPr>
          <w:p w14:paraId="3F137567" w14:textId="77777777" w:rsidR="00C713A4" w:rsidRPr="002B7911" w:rsidRDefault="00C713A4" w:rsidP="00622670">
            <w:pPr>
              <w:rPr>
                <w:rFonts w:ascii="Calibri" w:hAnsi="Calibri" w:cs="Calibri"/>
                <w:color w:val="000000"/>
                <w:szCs w:val="22"/>
              </w:rPr>
            </w:pPr>
            <w:r w:rsidRPr="002B7911">
              <w:rPr>
                <w:rFonts w:ascii="Calibri" w:hAnsi="Calibri" w:cs="Calibri"/>
                <w:color w:val="000000"/>
                <w:szCs w:val="22"/>
              </w:rPr>
              <w:t> </w:t>
            </w:r>
          </w:p>
        </w:tc>
        <w:tc>
          <w:tcPr>
            <w:tcW w:w="0" w:type="auto"/>
            <w:tcBorders>
              <w:top w:val="single" w:sz="6" w:space="0" w:color="787878"/>
              <w:left w:val="single" w:sz="6" w:space="0" w:color="787878"/>
              <w:bottom w:val="single" w:sz="6" w:space="0" w:color="787878"/>
              <w:right w:val="single" w:sz="6" w:space="0" w:color="787878"/>
            </w:tcBorders>
            <w:shd w:val="clear" w:color="auto" w:fill="B8CCE4" w:themeFill="accent1" w:themeFillTint="66"/>
            <w:tcMar>
              <w:top w:w="150" w:type="dxa"/>
              <w:left w:w="150" w:type="dxa"/>
              <w:bottom w:w="150" w:type="dxa"/>
              <w:right w:w="300" w:type="dxa"/>
            </w:tcMar>
            <w:vAlign w:val="center"/>
            <w:hideMark/>
          </w:tcPr>
          <w:p w14:paraId="688BBB6B" w14:textId="77777777" w:rsidR="00C713A4" w:rsidRPr="002B7911" w:rsidRDefault="00C713A4" w:rsidP="00622670">
            <w:pPr>
              <w:rPr>
                <w:rFonts w:ascii="Calibri" w:hAnsi="Calibri" w:cs="Calibri"/>
                <w:color w:val="000000"/>
                <w:szCs w:val="22"/>
              </w:rPr>
            </w:pPr>
            <w:r w:rsidRPr="002B7911">
              <w:rPr>
                <w:rFonts w:ascii="Calibri" w:hAnsi="Calibri" w:cs="Calibri"/>
                <w:color w:val="000000"/>
                <w:szCs w:val="22"/>
              </w:rPr>
              <w:t> </w:t>
            </w:r>
          </w:p>
        </w:tc>
        <w:tc>
          <w:tcPr>
            <w:tcW w:w="0" w:type="auto"/>
            <w:tcBorders>
              <w:top w:val="single" w:sz="6" w:space="0" w:color="787878"/>
              <w:left w:val="single" w:sz="6" w:space="0" w:color="787878"/>
              <w:bottom w:val="single" w:sz="6" w:space="0" w:color="787878"/>
              <w:right w:val="single" w:sz="6" w:space="0" w:color="787878"/>
            </w:tcBorders>
            <w:shd w:val="clear" w:color="auto" w:fill="B8CCE4" w:themeFill="accent1" w:themeFillTint="66"/>
            <w:tcMar>
              <w:top w:w="150" w:type="dxa"/>
              <w:left w:w="150" w:type="dxa"/>
              <w:bottom w:w="150" w:type="dxa"/>
              <w:right w:w="300" w:type="dxa"/>
            </w:tcMar>
            <w:vAlign w:val="center"/>
            <w:hideMark/>
          </w:tcPr>
          <w:p w14:paraId="53A1F141" w14:textId="77777777" w:rsidR="00C713A4" w:rsidRPr="002B7911" w:rsidRDefault="00C713A4" w:rsidP="00622670">
            <w:pPr>
              <w:rPr>
                <w:rFonts w:ascii="Calibri" w:hAnsi="Calibri" w:cs="Calibri"/>
                <w:color w:val="000000"/>
                <w:szCs w:val="22"/>
              </w:rPr>
            </w:pPr>
            <w:r w:rsidRPr="002B7911">
              <w:rPr>
                <w:rFonts w:ascii="Calibri" w:hAnsi="Calibri" w:cs="Calibri"/>
                <w:color w:val="000000"/>
                <w:szCs w:val="22"/>
              </w:rPr>
              <w:t>= £7063</w:t>
            </w:r>
          </w:p>
        </w:tc>
      </w:tr>
      <w:tr w:rsidR="00C713A4" w:rsidRPr="002B7911" w14:paraId="12D2E084" w14:textId="77777777" w:rsidTr="00622670">
        <w:tc>
          <w:tcPr>
            <w:tcW w:w="0" w:type="auto"/>
            <w:tcBorders>
              <w:top w:val="single" w:sz="6" w:space="0" w:color="787878"/>
              <w:left w:val="single" w:sz="6" w:space="0" w:color="787878"/>
              <w:bottom w:val="single" w:sz="6" w:space="0" w:color="787878"/>
              <w:right w:val="single" w:sz="6" w:space="0" w:color="787878"/>
            </w:tcBorders>
            <w:shd w:val="clear" w:color="auto" w:fill="8DB3E2" w:themeFill="text2" w:themeFillTint="66"/>
            <w:tcMar>
              <w:top w:w="150" w:type="dxa"/>
              <w:left w:w="150" w:type="dxa"/>
              <w:bottom w:w="150" w:type="dxa"/>
              <w:right w:w="300" w:type="dxa"/>
            </w:tcMar>
            <w:vAlign w:val="center"/>
          </w:tcPr>
          <w:p w14:paraId="564BB6BE" w14:textId="77777777" w:rsidR="00C713A4" w:rsidRPr="002B7911" w:rsidRDefault="00C713A4" w:rsidP="00622670">
            <w:pPr>
              <w:rPr>
                <w:rFonts w:ascii="Calibri" w:hAnsi="Calibri" w:cs="Calibri"/>
                <w:color w:val="000000"/>
                <w:szCs w:val="22"/>
              </w:rPr>
            </w:pPr>
            <w:r w:rsidRPr="002B7911">
              <w:rPr>
                <w:rFonts w:ascii="Calibri" w:hAnsi="Calibri" w:cs="Calibri"/>
                <w:color w:val="000000"/>
                <w:szCs w:val="22"/>
              </w:rPr>
              <w:t>Total fleet benefits</w:t>
            </w:r>
          </w:p>
        </w:tc>
        <w:tc>
          <w:tcPr>
            <w:tcW w:w="0" w:type="auto"/>
            <w:tcBorders>
              <w:top w:val="single" w:sz="6" w:space="0" w:color="787878"/>
              <w:left w:val="single" w:sz="6" w:space="0" w:color="787878"/>
              <w:bottom w:val="single" w:sz="6" w:space="0" w:color="787878"/>
              <w:right w:val="single" w:sz="6" w:space="0" w:color="787878"/>
            </w:tcBorders>
            <w:shd w:val="clear" w:color="auto" w:fill="8DB3E2" w:themeFill="text2" w:themeFillTint="66"/>
            <w:tcMar>
              <w:top w:w="150" w:type="dxa"/>
              <w:left w:w="150" w:type="dxa"/>
              <w:bottom w:w="150" w:type="dxa"/>
              <w:right w:w="300" w:type="dxa"/>
            </w:tcMar>
            <w:vAlign w:val="center"/>
          </w:tcPr>
          <w:p w14:paraId="31AE6985" w14:textId="77777777" w:rsidR="00C713A4" w:rsidRPr="002B7911" w:rsidRDefault="00C713A4" w:rsidP="00622670">
            <w:pPr>
              <w:rPr>
                <w:rFonts w:ascii="Calibri" w:hAnsi="Calibri" w:cs="Calibri"/>
                <w:color w:val="000000"/>
                <w:szCs w:val="22"/>
              </w:rPr>
            </w:pPr>
          </w:p>
        </w:tc>
        <w:tc>
          <w:tcPr>
            <w:tcW w:w="0" w:type="auto"/>
            <w:tcBorders>
              <w:top w:val="single" w:sz="6" w:space="0" w:color="787878"/>
              <w:left w:val="single" w:sz="6" w:space="0" w:color="787878"/>
              <w:bottom w:val="single" w:sz="6" w:space="0" w:color="787878"/>
              <w:right w:val="single" w:sz="6" w:space="0" w:color="787878"/>
            </w:tcBorders>
            <w:shd w:val="clear" w:color="auto" w:fill="8DB3E2" w:themeFill="text2" w:themeFillTint="66"/>
            <w:tcMar>
              <w:top w:w="150" w:type="dxa"/>
              <w:left w:w="150" w:type="dxa"/>
              <w:bottom w:w="150" w:type="dxa"/>
              <w:right w:w="300" w:type="dxa"/>
            </w:tcMar>
            <w:vAlign w:val="center"/>
          </w:tcPr>
          <w:p w14:paraId="0B12ECA2" w14:textId="77777777" w:rsidR="00C713A4" w:rsidRPr="002B7911" w:rsidRDefault="00C713A4" w:rsidP="00622670">
            <w:pPr>
              <w:rPr>
                <w:rFonts w:ascii="Calibri" w:hAnsi="Calibri" w:cs="Calibri"/>
                <w:color w:val="000000"/>
                <w:szCs w:val="22"/>
              </w:rPr>
            </w:pPr>
          </w:p>
        </w:tc>
        <w:tc>
          <w:tcPr>
            <w:tcW w:w="0" w:type="auto"/>
            <w:tcBorders>
              <w:top w:val="single" w:sz="6" w:space="0" w:color="787878"/>
              <w:left w:val="single" w:sz="6" w:space="0" w:color="787878"/>
              <w:bottom w:val="single" w:sz="6" w:space="0" w:color="787878"/>
              <w:right w:val="single" w:sz="6" w:space="0" w:color="787878"/>
            </w:tcBorders>
            <w:shd w:val="clear" w:color="auto" w:fill="8DB3E2" w:themeFill="text2" w:themeFillTint="66"/>
            <w:tcMar>
              <w:top w:w="150" w:type="dxa"/>
              <w:left w:w="150" w:type="dxa"/>
              <w:bottom w:w="150" w:type="dxa"/>
              <w:right w:w="300" w:type="dxa"/>
            </w:tcMar>
            <w:vAlign w:val="center"/>
          </w:tcPr>
          <w:p w14:paraId="700CCA1B" w14:textId="77777777" w:rsidR="00C713A4" w:rsidRPr="002B7911" w:rsidRDefault="00C713A4" w:rsidP="00622670">
            <w:pPr>
              <w:rPr>
                <w:rFonts w:ascii="Calibri" w:hAnsi="Calibri" w:cs="Calibri"/>
                <w:color w:val="000000"/>
                <w:szCs w:val="22"/>
              </w:rPr>
            </w:pPr>
          </w:p>
        </w:tc>
        <w:tc>
          <w:tcPr>
            <w:tcW w:w="0" w:type="auto"/>
            <w:tcBorders>
              <w:top w:val="single" w:sz="6" w:space="0" w:color="787878"/>
              <w:left w:val="single" w:sz="6" w:space="0" w:color="787878"/>
              <w:bottom w:val="single" w:sz="6" w:space="0" w:color="787878"/>
              <w:right w:val="single" w:sz="6" w:space="0" w:color="787878"/>
            </w:tcBorders>
            <w:shd w:val="clear" w:color="auto" w:fill="8DB3E2" w:themeFill="text2" w:themeFillTint="66"/>
            <w:tcMar>
              <w:top w:w="150" w:type="dxa"/>
              <w:left w:w="150" w:type="dxa"/>
              <w:bottom w:w="150" w:type="dxa"/>
              <w:right w:w="300" w:type="dxa"/>
            </w:tcMar>
            <w:vAlign w:val="center"/>
          </w:tcPr>
          <w:p w14:paraId="35B2640C" w14:textId="77777777" w:rsidR="00C713A4" w:rsidRPr="002B7911" w:rsidRDefault="00C713A4" w:rsidP="00622670">
            <w:pPr>
              <w:rPr>
                <w:rFonts w:ascii="Calibri" w:hAnsi="Calibri" w:cs="Calibri"/>
                <w:color w:val="000000"/>
                <w:szCs w:val="22"/>
              </w:rPr>
            </w:pPr>
          </w:p>
        </w:tc>
        <w:tc>
          <w:tcPr>
            <w:tcW w:w="0" w:type="auto"/>
            <w:tcBorders>
              <w:top w:val="single" w:sz="6" w:space="0" w:color="787878"/>
              <w:left w:val="single" w:sz="6" w:space="0" w:color="787878"/>
              <w:bottom w:val="single" w:sz="6" w:space="0" w:color="787878"/>
              <w:right w:val="single" w:sz="6" w:space="0" w:color="787878"/>
            </w:tcBorders>
            <w:shd w:val="clear" w:color="auto" w:fill="8DB3E2" w:themeFill="text2" w:themeFillTint="66"/>
            <w:tcMar>
              <w:top w:w="150" w:type="dxa"/>
              <w:left w:w="150" w:type="dxa"/>
              <w:bottom w:w="150" w:type="dxa"/>
              <w:right w:w="300" w:type="dxa"/>
            </w:tcMar>
            <w:vAlign w:val="center"/>
          </w:tcPr>
          <w:p w14:paraId="17B4EC1D" w14:textId="77777777" w:rsidR="00C713A4" w:rsidRPr="002B7911" w:rsidRDefault="00C713A4" w:rsidP="00622670">
            <w:pPr>
              <w:rPr>
                <w:rFonts w:ascii="Calibri" w:hAnsi="Calibri" w:cs="Calibri"/>
                <w:color w:val="000000"/>
                <w:szCs w:val="22"/>
              </w:rPr>
            </w:pPr>
            <w:r w:rsidRPr="002B7911">
              <w:rPr>
                <w:rFonts w:ascii="Calibri" w:hAnsi="Calibri" w:cs="Calibri"/>
                <w:color w:val="000000"/>
                <w:szCs w:val="22"/>
              </w:rPr>
              <w:t>= £77,693</w:t>
            </w:r>
          </w:p>
        </w:tc>
      </w:tr>
    </w:tbl>
    <w:p w14:paraId="3EFBE279" w14:textId="77777777" w:rsidR="00C713A4" w:rsidRPr="002B7911" w:rsidRDefault="00C713A4" w:rsidP="00C713A4">
      <w:pPr>
        <w:rPr>
          <w:rFonts w:ascii="Calibri" w:hAnsi="Calibri" w:cs="Calibri"/>
        </w:rPr>
      </w:pPr>
      <w:r w:rsidRPr="002B7911">
        <w:rPr>
          <w:rFonts w:ascii="Calibri" w:hAnsi="Calibri" w:cs="Calibri"/>
        </w:rPr>
        <w:lastRenderedPageBreak/>
        <w:t xml:space="preserve">In the explosion at a chemical plant example offered by the HSE it is suggested that a disproportion factor, </w:t>
      </w:r>
      <w:proofErr w:type="gramStart"/>
      <w:r w:rsidRPr="002B7911">
        <w:rPr>
          <w:rFonts w:ascii="Calibri" w:hAnsi="Calibri" w:cs="Calibri"/>
        </w:rPr>
        <w:t>e.g.</w:t>
      </w:r>
      <w:proofErr w:type="gramEnd"/>
      <w:r w:rsidRPr="002B7911">
        <w:rPr>
          <w:rFonts w:ascii="Calibri" w:hAnsi="Calibri" w:cs="Calibri"/>
        </w:rPr>
        <w:t xml:space="preserve"> the multiple at which a proposed measure has to be presumed above what is ALARP, of 10 is the highest to be considered</w:t>
      </w:r>
      <w:sdt>
        <w:sdtPr>
          <w:rPr>
            <w:rFonts w:ascii="Calibri" w:hAnsi="Calibri" w:cs="Calibri"/>
          </w:rPr>
          <w:id w:val="-2132462749"/>
          <w:citation/>
        </w:sdtPr>
        <w:sdtContent>
          <w:r w:rsidRPr="002B7911">
            <w:rPr>
              <w:rFonts w:ascii="Calibri" w:hAnsi="Calibri" w:cs="Calibri"/>
            </w:rPr>
            <w:fldChar w:fldCharType="begin"/>
          </w:r>
          <w:r w:rsidRPr="002B7911">
            <w:rPr>
              <w:rFonts w:ascii="Calibri" w:hAnsi="Calibri" w:cs="Calibri"/>
            </w:rPr>
            <w:instrText xml:space="preserve"> CITATION Hea23 \l 2057 </w:instrText>
          </w:r>
          <w:r w:rsidRPr="002B7911">
            <w:rPr>
              <w:rFonts w:ascii="Calibri" w:hAnsi="Calibri" w:cs="Calibri"/>
            </w:rPr>
            <w:fldChar w:fldCharType="separate"/>
          </w:r>
          <w:r>
            <w:rPr>
              <w:rFonts w:ascii="Calibri" w:hAnsi="Calibri" w:cs="Calibri"/>
              <w:noProof/>
            </w:rPr>
            <w:t xml:space="preserve"> </w:t>
          </w:r>
          <w:r w:rsidRPr="005470C6">
            <w:rPr>
              <w:rFonts w:ascii="Calibri" w:hAnsi="Calibri" w:cs="Calibri"/>
              <w:noProof/>
            </w:rPr>
            <w:t>[4]</w:t>
          </w:r>
          <w:r w:rsidRPr="002B7911">
            <w:rPr>
              <w:rFonts w:ascii="Calibri" w:hAnsi="Calibri" w:cs="Calibri"/>
            </w:rPr>
            <w:fldChar w:fldCharType="end"/>
          </w:r>
        </w:sdtContent>
      </w:sdt>
      <w:r w:rsidRPr="002B7911">
        <w:rPr>
          <w:rFonts w:ascii="Calibri" w:hAnsi="Calibri" w:cs="Calibri"/>
        </w:rPr>
        <w:t xml:space="preserve">. Taking this, and the total fleet benefits, any measures above £77,693 x 10, or £776,930 would be seen as disproportionate. However, as mentioned in 1.1 the risk of inadvertent initiation also risks significant damage to the missile and vessel as well. The </w:t>
      </w:r>
      <w:r>
        <w:rPr>
          <w:rFonts w:ascii="Calibri" w:hAnsi="Calibri" w:cs="Calibri"/>
        </w:rPr>
        <w:t>final Type 23 frigates made are</w:t>
      </w:r>
      <w:r w:rsidRPr="002B7911">
        <w:rPr>
          <w:rFonts w:ascii="Calibri" w:hAnsi="Calibri" w:cs="Calibri"/>
        </w:rPr>
        <w:t xml:space="preserve"> estimated to </w:t>
      </w:r>
      <w:r>
        <w:rPr>
          <w:rFonts w:ascii="Calibri" w:hAnsi="Calibri" w:cs="Calibri"/>
        </w:rPr>
        <w:t xml:space="preserve">have </w:t>
      </w:r>
      <w:r w:rsidRPr="002B7911">
        <w:rPr>
          <w:rFonts w:ascii="Calibri" w:hAnsi="Calibri" w:cs="Calibri"/>
        </w:rPr>
        <w:t xml:space="preserve">cost between £60-90 million </w:t>
      </w:r>
      <w:sdt>
        <w:sdtPr>
          <w:rPr>
            <w:rFonts w:ascii="Calibri" w:hAnsi="Calibri" w:cs="Calibri"/>
          </w:rPr>
          <w:id w:val="-264314654"/>
          <w:citation/>
        </w:sdtPr>
        <w:sdtContent>
          <w:r w:rsidRPr="002B7911">
            <w:rPr>
              <w:rFonts w:ascii="Calibri" w:hAnsi="Calibri" w:cs="Calibri"/>
            </w:rPr>
            <w:fldChar w:fldCharType="begin"/>
          </w:r>
          <w:r w:rsidRPr="002B7911">
            <w:rPr>
              <w:rFonts w:ascii="Calibri" w:hAnsi="Calibri" w:cs="Calibri"/>
            </w:rPr>
            <w:instrText xml:space="preserve"> CITATION Sea23 \l 2057 </w:instrText>
          </w:r>
          <w:r w:rsidRPr="002B7911">
            <w:rPr>
              <w:rFonts w:ascii="Calibri" w:hAnsi="Calibri" w:cs="Calibri"/>
            </w:rPr>
            <w:fldChar w:fldCharType="separate"/>
          </w:r>
          <w:r w:rsidRPr="005470C6">
            <w:rPr>
              <w:rFonts w:ascii="Calibri" w:hAnsi="Calibri" w:cs="Calibri"/>
              <w:noProof/>
            </w:rPr>
            <w:t>[12]</w:t>
          </w:r>
          <w:r w:rsidRPr="002B7911">
            <w:rPr>
              <w:rFonts w:ascii="Calibri" w:hAnsi="Calibri" w:cs="Calibri"/>
            </w:rPr>
            <w:fldChar w:fldCharType="end"/>
          </w:r>
        </w:sdtContent>
      </w:sdt>
      <w:r w:rsidRPr="002B7911">
        <w:rPr>
          <w:rFonts w:ascii="Calibri" w:hAnsi="Calibri" w:cs="Calibri"/>
        </w:rPr>
        <w:t xml:space="preserve">. Thus, the final costs associated </w:t>
      </w:r>
      <w:r>
        <w:rPr>
          <w:rFonts w:ascii="Calibri" w:hAnsi="Calibri" w:cs="Calibri"/>
        </w:rPr>
        <w:t xml:space="preserve">with </w:t>
      </w:r>
      <w:r w:rsidRPr="002B7911">
        <w:rPr>
          <w:rFonts w:ascii="Calibri" w:hAnsi="Calibri" w:cs="Calibri"/>
        </w:rPr>
        <w:t xml:space="preserve">such an event could quite quickly </w:t>
      </w:r>
      <w:r>
        <w:rPr>
          <w:rFonts w:ascii="Calibri" w:hAnsi="Calibri" w:cs="Calibri"/>
        </w:rPr>
        <w:t>begin</w:t>
      </w:r>
      <w:r w:rsidRPr="002B7911">
        <w:rPr>
          <w:rFonts w:ascii="Calibri" w:hAnsi="Calibri" w:cs="Calibri"/>
        </w:rPr>
        <w:t xml:space="preserve"> costing </w:t>
      </w:r>
      <w:r>
        <w:rPr>
          <w:rFonts w:ascii="Calibri" w:hAnsi="Calibri" w:cs="Calibri"/>
        </w:rPr>
        <w:t xml:space="preserve">tens of </w:t>
      </w:r>
      <w:r w:rsidRPr="002B7911">
        <w:rPr>
          <w:rFonts w:ascii="Calibri" w:hAnsi="Calibri" w:cs="Calibri"/>
        </w:rPr>
        <w:t>millions</w:t>
      </w:r>
      <w:r>
        <w:rPr>
          <w:rFonts w:ascii="Calibri" w:hAnsi="Calibri" w:cs="Calibri"/>
        </w:rPr>
        <w:t xml:space="preserve"> of pounds</w:t>
      </w:r>
      <w:r w:rsidRPr="002B7911">
        <w:rPr>
          <w:rFonts w:ascii="Calibri" w:hAnsi="Calibri" w:cs="Calibri"/>
        </w:rPr>
        <w:t>, which could justify a higher spend</w:t>
      </w:r>
      <w:r>
        <w:rPr>
          <w:rFonts w:ascii="Calibri" w:hAnsi="Calibri" w:cs="Calibri"/>
        </w:rPr>
        <w:t xml:space="preserve">. This said </w:t>
      </w:r>
      <w:r w:rsidRPr="002B7911">
        <w:rPr>
          <w:rFonts w:ascii="Calibri" w:hAnsi="Calibri" w:cs="Calibri"/>
        </w:rPr>
        <w:t xml:space="preserve">such decisions would </w:t>
      </w:r>
      <w:r>
        <w:rPr>
          <w:rFonts w:ascii="Calibri" w:hAnsi="Calibri" w:cs="Calibri"/>
        </w:rPr>
        <w:t>still need to</w:t>
      </w:r>
      <w:r w:rsidRPr="002B7911">
        <w:rPr>
          <w:rFonts w:ascii="Calibri" w:hAnsi="Calibri" w:cs="Calibri"/>
        </w:rPr>
        <w:t xml:space="preserve"> not be grossly disproportionate</w:t>
      </w:r>
      <w:r>
        <w:rPr>
          <w:rFonts w:ascii="Calibri" w:hAnsi="Calibri" w:cs="Calibri"/>
        </w:rPr>
        <w:t>,</w:t>
      </w:r>
      <w:r w:rsidRPr="002B7911">
        <w:rPr>
          <w:rFonts w:ascii="Calibri" w:hAnsi="Calibri" w:cs="Calibri"/>
        </w:rPr>
        <w:t xml:space="preserve"> which </w:t>
      </w:r>
      <w:r>
        <w:rPr>
          <w:rFonts w:ascii="Calibri" w:hAnsi="Calibri" w:cs="Calibri"/>
        </w:rPr>
        <w:t>could be</w:t>
      </w:r>
      <w:r w:rsidRPr="002B7911">
        <w:rPr>
          <w:rFonts w:ascii="Calibri" w:hAnsi="Calibri" w:cs="Calibri"/>
        </w:rPr>
        <w:t xml:space="preserve"> said to include</w:t>
      </w:r>
      <w:r>
        <w:rPr>
          <w:rFonts w:ascii="Calibri" w:hAnsi="Calibri" w:cs="Calibri"/>
        </w:rPr>
        <w:t xml:space="preserve"> to not</w:t>
      </w:r>
      <w:r w:rsidRPr="002B7911">
        <w:rPr>
          <w:rFonts w:ascii="Calibri" w:hAnsi="Calibri" w:cs="Calibri"/>
        </w:rPr>
        <w:t xml:space="preserve"> limiting the capability of the Type 23 to defend itself and </w:t>
      </w:r>
      <w:r>
        <w:rPr>
          <w:rFonts w:ascii="Calibri" w:hAnsi="Calibri" w:cs="Calibri"/>
        </w:rPr>
        <w:t xml:space="preserve">not </w:t>
      </w:r>
      <w:r w:rsidRPr="002B7911">
        <w:rPr>
          <w:rFonts w:ascii="Calibri" w:hAnsi="Calibri" w:cs="Calibri"/>
        </w:rPr>
        <w:t xml:space="preserve">limiting the Royal Navy in its mission to defend the United Kingdom overall. </w:t>
      </w:r>
    </w:p>
    <w:p w14:paraId="602C1079" w14:textId="77777777" w:rsidR="00C713A4" w:rsidRPr="002B7911" w:rsidRDefault="00C713A4" w:rsidP="00C713A4">
      <w:pPr>
        <w:pStyle w:val="Heading1"/>
        <w:numPr>
          <w:ilvl w:val="0"/>
          <w:numId w:val="25"/>
        </w:numPr>
        <w:tabs>
          <w:tab w:val="num" w:pos="360"/>
        </w:tabs>
        <w:ind w:left="0" w:firstLine="0"/>
        <w:rPr>
          <w:rFonts w:ascii="Calibri" w:hAnsi="Calibri" w:cs="Calibri"/>
          <w:sz w:val="32"/>
          <w:szCs w:val="36"/>
        </w:rPr>
      </w:pPr>
      <w:bookmarkStart w:id="4" w:name="_Toc140778918"/>
      <w:r w:rsidRPr="002B7911">
        <w:rPr>
          <w:rFonts w:ascii="Calibri" w:hAnsi="Calibri" w:cs="Calibri"/>
          <w:sz w:val="32"/>
          <w:szCs w:val="36"/>
        </w:rPr>
        <w:t>Controls</w:t>
      </w:r>
      <w:bookmarkEnd w:id="4"/>
      <w:r w:rsidRPr="002B7911">
        <w:rPr>
          <w:rFonts w:ascii="Calibri" w:hAnsi="Calibri" w:cs="Calibri"/>
          <w:sz w:val="32"/>
          <w:szCs w:val="36"/>
        </w:rPr>
        <w:t xml:space="preserve"> </w:t>
      </w:r>
    </w:p>
    <w:p w14:paraId="1580EDF7" w14:textId="77777777" w:rsidR="00C713A4" w:rsidRPr="002B7911" w:rsidRDefault="00C713A4" w:rsidP="00C713A4">
      <w:pPr>
        <w:rPr>
          <w:rFonts w:ascii="Calibri" w:hAnsi="Calibri" w:cs="Calibri"/>
        </w:rPr>
      </w:pPr>
    </w:p>
    <w:p w14:paraId="0E35E7D0" w14:textId="77777777" w:rsidR="00C713A4" w:rsidRPr="002B7911" w:rsidRDefault="00C713A4" w:rsidP="00C713A4">
      <w:pPr>
        <w:rPr>
          <w:rFonts w:ascii="Calibri" w:hAnsi="Calibri" w:cs="Calibri"/>
        </w:rPr>
      </w:pPr>
      <w:r w:rsidRPr="002B7911">
        <w:rPr>
          <w:rFonts w:ascii="Calibri" w:hAnsi="Calibri" w:cs="Calibri"/>
        </w:rPr>
        <w:t xml:space="preserve">The previous two sections outline the rationale for the calculations for the controls taken by the group in trying to mitigate against an inadvertent initiation of the Sea </w:t>
      </w:r>
      <w:proofErr w:type="spellStart"/>
      <w:r w:rsidRPr="002B7911">
        <w:rPr>
          <w:rFonts w:ascii="Calibri" w:hAnsi="Calibri" w:cs="Calibri"/>
        </w:rPr>
        <w:t>Ceptor</w:t>
      </w:r>
      <w:proofErr w:type="spellEnd"/>
      <w:r w:rsidRPr="002B7911">
        <w:rPr>
          <w:rFonts w:ascii="Calibri" w:hAnsi="Calibri" w:cs="Calibri"/>
        </w:rPr>
        <w:t xml:space="preserve"> missile. The controls centred on reducing the likelihood of an initiation as it was deemed that changes to the warhead to reduce severity would impede t</w:t>
      </w:r>
      <w:r>
        <w:rPr>
          <w:rFonts w:ascii="Calibri" w:hAnsi="Calibri" w:cs="Calibri"/>
        </w:rPr>
        <w:t>o</w:t>
      </w:r>
      <w:r w:rsidRPr="002B7911">
        <w:rPr>
          <w:rFonts w:ascii="Calibri" w:hAnsi="Calibri" w:cs="Calibri"/>
        </w:rPr>
        <w:t xml:space="preserve">o greatly on its requirements as a CAMM. </w:t>
      </w:r>
    </w:p>
    <w:p w14:paraId="450ACA30" w14:textId="77777777" w:rsidR="00C713A4" w:rsidRPr="002B7911" w:rsidRDefault="00C713A4" w:rsidP="00C713A4">
      <w:pPr>
        <w:rPr>
          <w:rFonts w:ascii="Calibri" w:hAnsi="Calibri" w:cs="Calibri"/>
          <w:sz w:val="24"/>
          <w:szCs w:val="28"/>
        </w:rPr>
      </w:pPr>
    </w:p>
    <w:p w14:paraId="49FB730C" w14:textId="77777777" w:rsidR="00C713A4" w:rsidRPr="002B7911" w:rsidRDefault="00C713A4" w:rsidP="00C713A4">
      <w:pPr>
        <w:pStyle w:val="Heading2"/>
        <w:rPr>
          <w:rFonts w:ascii="Calibri" w:hAnsi="Calibri" w:cs="Calibri"/>
          <w:sz w:val="28"/>
          <w:szCs w:val="28"/>
        </w:rPr>
      </w:pPr>
      <w:bookmarkStart w:id="5" w:name="_Toc140778919"/>
      <w:r w:rsidRPr="002B7911">
        <w:rPr>
          <w:rFonts w:ascii="Calibri" w:hAnsi="Calibri" w:cs="Calibri"/>
          <w:sz w:val="28"/>
          <w:szCs w:val="28"/>
        </w:rPr>
        <w:t>3.1. Engineering Controls</w:t>
      </w:r>
      <w:bookmarkEnd w:id="5"/>
      <w:r w:rsidRPr="002B7911">
        <w:rPr>
          <w:rFonts w:ascii="Calibri" w:hAnsi="Calibri" w:cs="Calibri"/>
          <w:sz w:val="28"/>
          <w:szCs w:val="28"/>
        </w:rPr>
        <w:t xml:space="preserve"> </w:t>
      </w:r>
    </w:p>
    <w:p w14:paraId="4E796482" w14:textId="77777777" w:rsidR="00C713A4" w:rsidRPr="002B7911" w:rsidRDefault="00C713A4" w:rsidP="00C713A4">
      <w:pPr>
        <w:rPr>
          <w:rFonts w:ascii="Calibri" w:hAnsi="Calibri" w:cs="Calibri"/>
        </w:rPr>
      </w:pPr>
    </w:p>
    <w:p w14:paraId="22119E34" w14:textId="77777777" w:rsidR="00C713A4" w:rsidRPr="002B7911" w:rsidRDefault="00C713A4" w:rsidP="00C713A4">
      <w:pPr>
        <w:rPr>
          <w:rFonts w:ascii="Calibri" w:hAnsi="Calibri" w:cs="Calibri"/>
        </w:rPr>
      </w:pPr>
      <w:r w:rsidRPr="002B7911">
        <w:rPr>
          <w:rFonts w:ascii="Calibri" w:hAnsi="Calibri" w:cs="Calibri"/>
        </w:rPr>
        <w:t xml:space="preserve">The American National Institute for Occupational Safety and Health (NIOSH) defines engineering controls as those which “can include modifying equipment or the workspace, using protective barriers, ventilation, and more” </w:t>
      </w:r>
      <w:sdt>
        <w:sdtPr>
          <w:rPr>
            <w:rFonts w:ascii="Calibri" w:hAnsi="Calibri" w:cs="Calibri"/>
          </w:rPr>
          <w:id w:val="-10618792"/>
          <w:citation/>
        </w:sdtPr>
        <w:sdtContent>
          <w:r w:rsidRPr="002B7911">
            <w:rPr>
              <w:rFonts w:ascii="Calibri" w:hAnsi="Calibri" w:cs="Calibri"/>
            </w:rPr>
            <w:fldChar w:fldCharType="begin"/>
          </w:r>
          <w:r w:rsidRPr="002B7911">
            <w:rPr>
              <w:rFonts w:ascii="Calibri" w:hAnsi="Calibri" w:cs="Calibri"/>
            </w:rPr>
            <w:instrText xml:space="preserve"> CITATION The23 \l 2057 </w:instrText>
          </w:r>
          <w:r w:rsidRPr="002B7911">
            <w:rPr>
              <w:rFonts w:ascii="Calibri" w:hAnsi="Calibri" w:cs="Calibri"/>
            </w:rPr>
            <w:fldChar w:fldCharType="separate"/>
          </w:r>
          <w:r w:rsidRPr="005470C6">
            <w:rPr>
              <w:rFonts w:ascii="Calibri" w:hAnsi="Calibri" w:cs="Calibri"/>
              <w:noProof/>
            </w:rPr>
            <w:t>[13]</w:t>
          </w:r>
          <w:r w:rsidRPr="002B7911">
            <w:rPr>
              <w:rFonts w:ascii="Calibri" w:hAnsi="Calibri" w:cs="Calibri"/>
            </w:rPr>
            <w:fldChar w:fldCharType="end"/>
          </w:r>
        </w:sdtContent>
      </w:sdt>
      <w:r w:rsidRPr="002B7911">
        <w:rPr>
          <w:rFonts w:ascii="Calibri" w:hAnsi="Calibri" w:cs="Calibri"/>
        </w:rPr>
        <w:t xml:space="preserve">. By placing the burden on the equipment and workspace these controls are often preferred as they do not require staff to actively change or do something </w:t>
      </w:r>
      <w:proofErr w:type="gramStart"/>
      <w:r w:rsidRPr="002B7911">
        <w:rPr>
          <w:rFonts w:ascii="Calibri" w:hAnsi="Calibri" w:cs="Calibri"/>
        </w:rPr>
        <w:t>instead</w:t>
      </w:r>
      <w:proofErr w:type="gramEnd"/>
      <w:r w:rsidRPr="002B7911">
        <w:rPr>
          <w:rFonts w:ascii="Calibri" w:hAnsi="Calibri" w:cs="Calibri"/>
        </w:rPr>
        <w:t xml:space="preserve"> they are in built and are designed to reduce contact with the risk. In the case of replenishment several engineering controls were identified which would help reduce the likelihood of inadvertent initiation. The crane used in the move, could have speed limiters so that it could not exceed a speed, suggested at 5 miles per hour (mph), to limit the force of any impact to Sea </w:t>
      </w:r>
      <w:proofErr w:type="spellStart"/>
      <w:r w:rsidRPr="002B7911">
        <w:rPr>
          <w:rFonts w:ascii="Calibri" w:hAnsi="Calibri" w:cs="Calibri"/>
        </w:rPr>
        <w:t>Ceptor</w:t>
      </w:r>
      <w:proofErr w:type="spellEnd"/>
      <w:r w:rsidRPr="002B7911">
        <w:rPr>
          <w:rFonts w:ascii="Calibri" w:hAnsi="Calibri" w:cs="Calibri"/>
        </w:rPr>
        <w:t xml:space="preserve"> during its movement</w:t>
      </w:r>
      <w:r>
        <w:rPr>
          <w:rFonts w:ascii="Calibri" w:hAnsi="Calibri" w:cs="Calibri"/>
        </w:rPr>
        <w:t>.</w:t>
      </w:r>
      <w:r w:rsidRPr="002B7911">
        <w:rPr>
          <w:rFonts w:ascii="Calibri" w:hAnsi="Calibri" w:cs="Calibri"/>
        </w:rPr>
        <w:t xml:space="preserve"> </w:t>
      </w:r>
      <w:r>
        <w:rPr>
          <w:rFonts w:ascii="Calibri" w:hAnsi="Calibri" w:cs="Calibri"/>
        </w:rPr>
        <w:t>This is also in line with the Explosive Regulations 2014, which outline minimising impact during the operation of explosives</w:t>
      </w:r>
      <w:sdt>
        <w:sdtPr>
          <w:rPr>
            <w:rFonts w:ascii="Calibri" w:hAnsi="Calibri" w:cs="Calibri"/>
          </w:rPr>
          <w:id w:val="-313416338"/>
          <w:citation/>
        </w:sdtPr>
        <w:sdtContent>
          <w:r>
            <w:rPr>
              <w:rFonts w:ascii="Calibri" w:hAnsi="Calibri" w:cs="Calibri"/>
            </w:rPr>
            <w:fldChar w:fldCharType="begin"/>
          </w:r>
          <w:r>
            <w:rPr>
              <w:rFonts w:ascii="Calibri" w:hAnsi="Calibri" w:cs="Calibri"/>
            </w:rPr>
            <w:instrText xml:space="preserve"> CITATION Placeholder4 \l 2057 </w:instrText>
          </w:r>
          <w:r>
            <w:rPr>
              <w:rFonts w:ascii="Calibri" w:hAnsi="Calibri" w:cs="Calibri"/>
            </w:rPr>
            <w:fldChar w:fldCharType="separate"/>
          </w:r>
          <w:r>
            <w:rPr>
              <w:rFonts w:ascii="Calibri" w:hAnsi="Calibri" w:cs="Calibri"/>
              <w:noProof/>
            </w:rPr>
            <w:t xml:space="preserve"> </w:t>
          </w:r>
          <w:r w:rsidRPr="005470C6">
            <w:rPr>
              <w:rFonts w:ascii="Calibri" w:hAnsi="Calibri" w:cs="Calibri"/>
              <w:noProof/>
            </w:rPr>
            <w:t>[14]</w:t>
          </w:r>
          <w:r>
            <w:rPr>
              <w:rFonts w:ascii="Calibri" w:hAnsi="Calibri" w:cs="Calibri"/>
            </w:rPr>
            <w:fldChar w:fldCharType="end"/>
          </w:r>
        </w:sdtContent>
      </w:sdt>
      <w:r w:rsidRPr="00C713A4">
        <w:rPr>
          <w:rFonts w:ascii="Calibri" w:eastAsiaTheme="minorHAnsi" w:hAnsi="Calibri" w:cs="Calibri"/>
          <w:noProof/>
        </w:rPr>
        <w:t xml:space="preserve"> </w:t>
      </w:r>
      <w:sdt>
        <w:sdtPr>
          <w:rPr>
            <w:rFonts w:ascii="Calibri" w:eastAsiaTheme="minorHAnsi" w:hAnsi="Calibri" w:cs="Calibri"/>
            <w:noProof/>
          </w:rPr>
          <w:id w:val="-1229223861"/>
          <w:citation/>
        </w:sdtPr>
        <w:sdtContent>
          <w:r>
            <w:rPr>
              <w:rFonts w:ascii="Calibri" w:eastAsiaTheme="minorHAnsi" w:hAnsi="Calibri" w:cs="Calibri"/>
              <w:noProof/>
            </w:rPr>
            <w:fldChar w:fldCharType="begin"/>
          </w:r>
          <w:r>
            <w:rPr>
              <w:rFonts w:ascii="Calibri" w:eastAsiaTheme="minorHAnsi" w:hAnsi="Calibri" w:cs="Calibri"/>
              <w:noProof/>
            </w:rPr>
            <w:instrText xml:space="preserve"> CITATION Hea14 \l 2057 </w:instrText>
          </w:r>
          <w:r>
            <w:rPr>
              <w:rFonts w:ascii="Calibri" w:eastAsiaTheme="minorHAnsi" w:hAnsi="Calibri" w:cs="Calibri"/>
              <w:noProof/>
            </w:rPr>
            <w:fldChar w:fldCharType="separate"/>
          </w:r>
          <w:r w:rsidRPr="005470C6">
            <w:rPr>
              <w:rFonts w:ascii="Calibri" w:eastAsiaTheme="minorHAnsi" w:hAnsi="Calibri" w:cs="Calibri"/>
              <w:noProof/>
            </w:rPr>
            <w:t>[15]</w:t>
          </w:r>
          <w:r>
            <w:rPr>
              <w:rFonts w:ascii="Calibri" w:eastAsiaTheme="minorHAnsi" w:hAnsi="Calibri" w:cs="Calibri"/>
              <w:noProof/>
            </w:rPr>
            <w:fldChar w:fldCharType="end"/>
          </w:r>
        </w:sdtContent>
      </w:sdt>
      <w:r>
        <w:rPr>
          <w:rFonts w:ascii="Calibri" w:eastAsiaTheme="minorHAnsi" w:hAnsi="Calibri" w:cs="Calibri"/>
          <w:noProof/>
        </w:rPr>
        <w:t xml:space="preserve">. </w:t>
      </w:r>
      <w:r w:rsidRPr="002B7911">
        <w:rPr>
          <w:rFonts w:ascii="Calibri" w:hAnsi="Calibri" w:cs="Calibri"/>
        </w:rPr>
        <w:t>Another engineering control</w:t>
      </w:r>
      <w:r>
        <w:rPr>
          <w:rFonts w:ascii="Calibri" w:hAnsi="Calibri" w:cs="Calibri"/>
        </w:rPr>
        <w:t>,</w:t>
      </w:r>
      <w:r w:rsidRPr="002B7911">
        <w:rPr>
          <w:rFonts w:ascii="Calibri" w:hAnsi="Calibri" w:cs="Calibri"/>
        </w:rPr>
        <w:t xml:space="preserve"> centred on the crane</w:t>
      </w:r>
      <w:r>
        <w:rPr>
          <w:rFonts w:ascii="Calibri" w:hAnsi="Calibri" w:cs="Calibri"/>
        </w:rPr>
        <w:t>,</w:t>
      </w:r>
      <w:r w:rsidRPr="002B7911">
        <w:rPr>
          <w:rFonts w:ascii="Calibri" w:hAnsi="Calibri" w:cs="Calibri"/>
        </w:rPr>
        <w:t xml:space="preserve"> would be an alarm and flashing amber light which would trigger automatically before the crane arm </w:t>
      </w:r>
      <w:r w:rsidRPr="002B7911">
        <w:rPr>
          <w:rFonts w:ascii="Calibri" w:hAnsi="Calibri" w:cs="Calibri"/>
        </w:rPr>
        <w:lastRenderedPageBreak/>
        <w:t>moved or the platform rotated, this would seek to alert staff of the operation. A final engineering control on the crane itself is the presence of an earthing cable to ensure that any static build up, or voltages, are properly grounded and do not cause an inadvertent initiation.</w:t>
      </w:r>
    </w:p>
    <w:p w14:paraId="18EEF59A" w14:textId="77777777" w:rsidR="00C713A4" w:rsidRPr="002B7911" w:rsidRDefault="00C713A4" w:rsidP="00C713A4">
      <w:pPr>
        <w:rPr>
          <w:rFonts w:ascii="Calibri" w:hAnsi="Calibri" w:cs="Calibri"/>
        </w:rPr>
      </w:pPr>
      <w:r w:rsidRPr="002B7911">
        <w:rPr>
          <w:rFonts w:ascii="Calibri" w:hAnsi="Calibri" w:cs="Calibri"/>
        </w:rPr>
        <w:t xml:space="preserve">Engineering controls for in service equipment would require modifications to existing platforms and systems thus a number were discounted as grossly disproportionate. It was proposed that the Type 23 be modified to contain metal barriers around the loading and unloading area for the Sea </w:t>
      </w:r>
      <w:proofErr w:type="spellStart"/>
      <w:r w:rsidRPr="002B7911">
        <w:rPr>
          <w:rFonts w:ascii="Calibri" w:hAnsi="Calibri" w:cs="Calibri"/>
        </w:rPr>
        <w:t>Ceptor</w:t>
      </w:r>
      <w:proofErr w:type="spellEnd"/>
      <w:r w:rsidRPr="002B7911">
        <w:rPr>
          <w:rFonts w:ascii="Calibri" w:hAnsi="Calibri" w:cs="Calibri"/>
        </w:rPr>
        <w:t xml:space="preserve"> and that these could be designed to withstand blast. Unfortunately, the cost of refitting just one Type 23to extend its end of service life was £100 million</w:t>
      </w:r>
      <w:r w:rsidRPr="002B7911">
        <w:rPr>
          <w:rFonts w:ascii="Calibri" w:hAnsi="Calibri" w:cs="Calibri"/>
          <w:noProof/>
        </w:rPr>
        <w:t xml:space="preserve"> </w:t>
      </w:r>
      <w:sdt>
        <w:sdtPr>
          <w:rPr>
            <w:rFonts w:ascii="Calibri" w:hAnsi="Calibri" w:cs="Calibri"/>
            <w:noProof/>
          </w:rPr>
          <w:id w:val="1764875457"/>
          <w:citation/>
        </w:sdtPr>
        <w:sdtContent>
          <w:r>
            <w:rPr>
              <w:rFonts w:ascii="Calibri" w:hAnsi="Calibri" w:cs="Calibri"/>
              <w:noProof/>
            </w:rPr>
            <w:fldChar w:fldCharType="begin"/>
          </w:r>
          <w:r>
            <w:rPr>
              <w:rFonts w:ascii="Calibri" w:eastAsiaTheme="minorHAnsi" w:hAnsi="Calibri" w:cs="Calibri"/>
              <w:noProof/>
            </w:rPr>
            <w:instrText xml:space="preserve"> CITATION Nav18 \l 2057 </w:instrText>
          </w:r>
          <w:r>
            <w:rPr>
              <w:rFonts w:ascii="Calibri" w:hAnsi="Calibri" w:cs="Calibri"/>
              <w:noProof/>
            </w:rPr>
            <w:fldChar w:fldCharType="separate"/>
          </w:r>
          <w:r w:rsidRPr="005470C6">
            <w:rPr>
              <w:rFonts w:ascii="Calibri" w:eastAsiaTheme="minorHAnsi" w:hAnsi="Calibri" w:cs="Calibri"/>
              <w:noProof/>
            </w:rPr>
            <w:t>[16]</w:t>
          </w:r>
          <w:r>
            <w:rPr>
              <w:rFonts w:ascii="Calibri" w:hAnsi="Calibri" w:cs="Calibri"/>
              <w:noProof/>
            </w:rPr>
            <w:fldChar w:fldCharType="end"/>
          </w:r>
        </w:sdtContent>
      </w:sdt>
      <w:r>
        <w:rPr>
          <w:rFonts w:ascii="Calibri" w:hAnsi="Calibri" w:cs="Calibri"/>
          <w:noProof/>
        </w:rPr>
        <w:t xml:space="preserve"> </w:t>
      </w:r>
      <w:r w:rsidRPr="002B7911">
        <w:rPr>
          <w:rFonts w:ascii="Calibri" w:hAnsi="Calibri" w:cs="Calibri"/>
        </w:rPr>
        <w:t xml:space="preserve">and </w:t>
      </w:r>
      <w:r>
        <w:rPr>
          <w:rFonts w:ascii="Calibri" w:hAnsi="Calibri" w:cs="Calibri"/>
        </w:rPr>
        <w:t>during the</w:t>
      </w:r>
      <w:r w:rsidRPr="002B7911">
        <w:rPr>
          <w:rFonts w:ascii="Calibri" w:hAnsi="Calibri" w:cs="Calibri"/>
        </w:rPr>
        <w:t xml:space="preserve"> refit these measures were not implemented</w:t>
      </w:r>
      <w:r>
        <w:rPr>
          <w:rFonts w:ascii="Calibri" w:hAnsi="Calibri" w:cs="Calibri"/>
        </w:rPr>
        <w:t>.</w:t>
      </w:r>
      <w:r w:rsidRPr="002B7911">
        <w:rPr>
          <w:rFonts w:ascii="Calibri" w:hAnsi="Calibri" w:cs="Calibri"/>
        </w:rPr>
        <w:t xml:space="preserve"> </w:t>
      </w:r>
      <w:r>
        <w:rPr>
          <w:rFonts w:ascii="Calibri" w:hAnsi="Calibri" w:cs="Calibri"/>
        </w:rPr>
        <w:t>I</w:t>
      </w:r>
      <w:r w:rsidRPr="002B7911">
        <w:rPr>
          <w:rFonts w:ascii="Calibri" w:hAnsi="Calibri" w:cs="Calibri"/>
        </w:rPr>
        <w:t xml:space="preserve">t is therefore estimated that the additional cost of labour, materials and time would be well above £776,930. Similarly, the contract for the Sea </w:t>
      </w:r>
      <w:proofErr w:type="spellStart"/>
      <w:r w:rsidRPr="002B7911">
        <w:rPr>
          <w:rFonts w:ascii="Calibri" w:hAnsi="Calibri" w:cs="Calibri"/>
        </w:rPr>
        <w:t>Ceptor</w:t>
      </w:r>
      <w:proofErr w:type="spellEnd"/>
      <w:r w:rsidRPr="002B7911">
        <w:rPr>
          <w:rFonts w:ascii="Calibri" w:hAnsi="Calibri" w:cs="Calibri"/>
        </w:rPr>
        <w:t xml:space="preserve"> development cost was £850 million </w:t>
      </w:r>
      <w:sdt>
        <w:sdtPr>
          <w:rPr>
            <w:rFonts w:ascii="Calibri" w:hAnsi="Calibri" w:cs="Calibri"/>
          </w:rPr>
          <w:id w:val="-327281690"/>
          <w:citation/>
        </w:sdtPr>
        <w:sdtContent>
          <w:r w:rsidRPr="002B7911">
            <w:rPr>
              <w:rFonts w:ascii="Calibri" w:hAnsi="Calibri" w:cs="Calibri"/>
            </w:rPr>
            <w:fldChar w:fldCharType="begin"/>
          </w:r>
          <w:r w:rsidRPr="002B7911">
            <w:rPr>
              <w:rFonts w:ascii="Calibri" w:hAnsi="Calibri" w:cs="Calibri"/>
            </w:rPr>
            <w:instrText xml:space="preserve">CITATION Roy18 \l 2057 </w:instrText>
          </w:r>
          <w:r w:rsidRPr="002B7911">
            <w:rPr>
              <w:rFonts w:ascii="Calibri" w:hAnsi="Calibri" w:cs="Calibri"/>
            </w:rPr>
            <w:fldChar w:fldCharType="separate"/>
          </w:r>
          <w:r w:rsidRPr="005470C6">
            <w:rPr>
              <w:rFonts w:ascii="Calibri" w:hAnsi="Calibri" w:cs="Calibri"/>
              <w:noProof/>
            </w:rPr>
            <w:t>[17]</w:t>
          </w:r>
          <w:r w:rsidRPr="002B7911">
            <w:rPr>
              <w:rFonts w:ascii="Calibri" w:hAnsi="Calibri" w:cs="Calibri"/>
            </w:rPr>
            <w:fldChar w:fldCharType="end"/>
          </w:r>
        </w:sdtContent>
      </w:sdt>
      <w:r w:rsidRPr="002B7911">
        <w:rPr>
          <w:rFonts w:ascii="Calibri" w:hAnsi="Calibri" w:cs="Calibri"/>
        </w:rPr>
        <w:t xml:space="preserve"> thus engineering solutions to the missile itself were beyond the costs deemed appropriate, but it is acknowledged that </w:t>
      </w:r>
      <w:r>
        <w:rPr>
          <w:rFonts w:ascii="Calibri" w:hAnsi="Calibri" w:cs="Calibri"/>
        </w:rPr>
        <w:t>research</w:t>
      </w:r>
      <w:r w:rsidRPr="002B7911">
        <w:rPr>
          <w:rFonts w:ascii="Calibri" w:hAnsi="Calibri" w:cs="Calibri"/>
        </w:rPr>
        <w:t xml:space="preserve"> </w:t>
      </w:r>
      <w:r>
        <w:rPr>
          <w:rFonts w:ascii="Calibri" w:hAnsi="Calibri" w:cs="Calibri"/>
        </w:rPr>
        <w:t>into</w:t>
      </w:r>
      <w:r w:rsidRPr="002B7911">
        <w:rPr>
          <w:rFonts w:ascii="Calibri" w:hAnsi="Calibri" w:cs="Calibri"/>
        </w:rPr>
        <w:t xml:space="preserve"> insensitive munitions may offer solutions in the future</w:t>
      </w:r>
      <w:sdt>
        <w:sdtPr>
          <w:rPr>
            <w:rFonts w:ascii="Calibri" w:hAnsi="Calibri" w:cs="Calibri"/>
          </w:rPr>
          <w:id w:val="41336653"/>
          <w:citation/>
        </w:sdtPr>
        <w:sdtContent>
          <w:r w:rsidRPr="002B7911">
            <w:rPr>
              <w:rFonts w:ascii="Calibri" w:hAnsi="Calibri" w:cs="Calibri"/>
            </w:rPr>
            <w:fldChar w:fldCharType="begin"/>
          </w:r>
          <w:r w:rsidRPr="002B7911">
            <w:rPr>
              <w:rFonts w:ascii="Calibri" w:hAnsi="Calibri" w:cs="Calibri"/>
            </w:rPr>
            <w:instrText xml:space="preserve"> CITATION BAE231 \l 2057 </w:instrText>
          </w:r>
          <w:r w:rsidRPr="002B7911">
            <w:rPr>
              <w:rFonts w:ascii="Calibri" w:hAnsi="Calibri" w:cs="Calibri"/>
            </w:rPr>
            <w:fldChar w:fldCharType="separate"/>
          </w:r>
          <w:r>
            <w:rPr>
              <w:rFonts w:ascii="Calibri" w:hAnsi="Calibri" w:cs="Calibri"/>
              <w:noProof/>
            </w:rPr>
            <w:t xml:space="preserve"> </w:t>
          </w:r>
          <w:r w:rsidRPr="005470C6">
            <w:rPr>
              <w:rFonts w:ascii="Calibri" w:hAnsi="Calibri" w:cs="Calibri"/>
              <w:noProof/>
            </w:rPr>
            <w:t>[18]</w:t>
          </w:r>
          <w:r w:rsidRPr="002B7911">
            <w:rPr>
              <w:rFonts w:ascii="Calibri" w:hAnsi="Calibri" w:cs="Calibri"/>
            </w:rPr>
            <w:fldChar w:fldCharType="end"/>
          </w:r>
        </w:sdtContent>
      </w:sdt>
      <w:r w:rsidRPr="002B7911">
        <w:rPr>
          <w:rFonts w:ascii="Calibri" w:hAnsi="Calibri" w:cs="Calibri"/>
        </w:rPr>
        <w:t xml:space="preserve">. </w:t>
      </w:r>
    </w:p>
    <w:p w14:paraId="2250DE14" w14:textId="77777777" w:rsidR="00C713A4" w:rsidRPr="002B7911" w:rsidRDefault="00C713A4" w:rsidP="00C713A4">
      <w:pPr>
        <w:pStyle w:val="Heading2"/>
        <w:rPr>
          <w:rFonts w:ascii="Calibri" w:hAnsi="Calibri" w:cs="Calibri"/>
          <w:sz w:val="28"/>
          <w:szCs w:val="28"/>
        </w:rPr>
      </w:pPr>
      <w:bookmarkStart w:id="6" w:name="_Toc140778920"/>
      <w:r w:rsidRPr="002B7911">
        <w:rPr>
          <w:rFonts w:ascii="Calibri" w:hAnsi="Calibri" w:cs="Calibri"/>
          <w:sz w:val="28"/>
          <w:szCs w:val="28"/>
        </w:rPr>
        <w:t>3.2 Administrative Controls</w:t>
      </w:r>
      <w:bookmarkEnd w:id="6"/>
    </w:p>
    <w:p w14:paraId="13646389" w14:textId="77777777" w:rsidR="00C713A4" w:rsidRPr="002B7911" w:rsidRDefault="00C713A4" w:rsidP="00C713A4">
      <w:pPr>
        <w:rPr>
          <w:rFonts w:ascii="Calibri" w:hAnsi="Calibri" w:cs="Calibri"/>
        </w:rPr>
      </w:pPr>
    </w:p>
    <w:p w14:paraId="0D4B3013" w14:textId="77777777" w:rsidR="00C713A4" w:rsidRPr="002B7911" w:rsidRDefault="00C713A4" w:rsidP="00C713A4">
      <w:pPr>
        <w:rPr>
          <w:rFonts w:ascii="Calibri" w:hAnsi="Calibri" w:cs="Calibri"/>
        </w:rPr>
      </w:pPr>
      <w:proofErr w:type="gramStart"/>
      <w:r w:rsidRPr="002B7911">
        <w:rPr>
          <w:rFonts w:ascii="Calibri" w:hAnsi="Calibri" w:cs="Calibri"/>
        </w:rPr>
        <w:t>The majority of</w:t>
      </w:r>
      <w:proofErr w:type="gramEnd"/>
      <w:r w:rsidRPr="002B7911">
        <w:rPr>
          <w:rFonts w:ascii="Calibri" w:hAnsi="Calibri" w:cs="Calibri"/>
        </w:rPr>
        <w:t xml:space="preserve"> the controls employed to reduce the likelihood of an inadvertent initiation of the Sea </w:t>
      </w:r>
      <w:proofErr w:type="spellStart"/>
      <w:r w:rsidRPr="002B7911">
        <w:rPr>
          <w:rFonts w:ascii="Calibri" w:hAnsi="Calibri" w:cs="Calibri"/>
        </w:rPr>
        <w:t>Ceptor</w:t>
      </w:r>
      <w:proofErr w:type="spellEnd"/>
      <w:r w:rsidRPr="002B7911">
        <w:rPr>
          <w:rFonts w:ascii="Calibri" w:hAnsi="Calibri" w:cs="Calibri"/>
        </w:rPr>
        <w:t xml:space="preserve"> missile</w:t>
      </w:r>
      <w:r>
        <w:rPr>
          <w:rFonts w:ascii="Calibri" w:hAnsi="Calibri" w:cs="Calibri"/>
        </w:rPr>
        <w:t>,</w:t>
      </w:r>
      <w:r w:rsidRPr="002B7911">
        <w:rPr>
          <w:rFonts w:ascii="Calibri" w:hAnsi="Calibri" w:cs="Calibri"/>
        </w:rPr>
        <w:t xml:space="preserve"> were administrative. These are defined as controls for “work practices that reduce the duration, frequency, or intensity of exposure to hazards”</w:t>
      </w:r>
      <w:sdt>
        <w:sdtPr>
          <w:rPr>
            <w:rFonts w:ascii="Calibri" w:hAnsi="Calibri" w:cs="Calibri"/>
          </w:rPr>
          <w:id w:val="-688139558"/>
          <w:citation/>
        </w:sdtPr>
        <w:sdtContent>
          <w:r w:rsidRPr="002B7911">
            <w:rPr>
              <w:rFonts w:ascii="Calibri" w:hAnsi="Calibri" w:cs="Calibri"/>
            </w:rPr>
            <w:fldChar w:fldCharType="begin"/>
          </w:r>
          <w:r w:rsidRPr="002B7911">
            <w:rPr>
              <w:rFonts w:ascii="Calibri" w:hAnsi="Calibri" w:cs="Calibri"/>
            </w:rPr>
            <w:instrText xml:space="preserve"> CITATION The23 \l 2057 </w:instrText>
          </w:r>
          <w:r w:rsidRPr="002B7911">
            <w:rPr>
              <w:rFonts w:ascii="Calibri" w:hAnsi="Calibri" w:cs="Calibri"/>
            </w:rPr>
            <w:fldChar w:fldCharType="separate"/>
          </w:r>
          <w:r>
            <w:rPr>
              <w:rFonts w:ascii="Calibri" w:hAnsi="Calibri" w:cs="Calibri"/>
              <w:noProof/>
            </w:rPr>
            <w:t xml:space="preserve"> </w:t>
          </w:r>
          <w:r w:rsidRPr="005470C6">
            <w:rPr>
              <w:rFonts w:ascii="Calibri" w:hAnsi="Calibri" w:cs="Calibri"/>
              <w:noProof/>
            </w:rPr>
            <w:t>[13]</w:t>
          </w:r>
          <w:r w:rsidRPr="002B7911">
            <w:rPr>
              <w:rFonts w:ascii="Calibri" w:hAnsi="Calibri" w:cs="Calibri"/>
            </w:rPr>
            <w:fldChar w:fldCharType="end"/>
          </w:r>
        </w:sdtContent>
      </w:sdt>
      <w:r w:rsidRPr="002B7911">
        <w:rPr>
          <w:rFonts w:ascii="Calibri" w:hAnsi="Calibri" w:cs="Calibri"/>
        </w:rPr>
        <w:t xml:space="preserve">. The replenishment of the Sea </w:t>
      </w:r>
      <w:proofErr w:type="spellStart"/>
      <w:r w:rsidRPr="002B7911">
        <w:rPr>
          <w:rFonts w:ascii="Calibri" w:hAnsi="Calibri" w:cs="Calibri"/>
        </w:rPr>
        <w:t>Ceptor</w:t>
      </w:r>
      <w:proofErr w:type="spellEnd"/>
      <w:r w:rsidRPr="002B7911">
        <w:rPr>
          <w:rFonts w:ascii="Calibri" w:hAnsi="Calibri" w:cs="Calibri"/>
        </w:rPr>
        <w:t xml:space="preserve"> system is a labour-intensive process therefore clearly identified safe systems of work and methods should be utilised. A</w:t>
      </w:r>
      <w:r>
        <w:rPr>
          <w:rFonts w:ascii="Calibri" w:hAnsi="Calibri" w:cs="Calibri"/>
        </w:rPr>
        <w:t>n</w:t>
      </w:r>
      <w:r w:rsidRPr="002B7911">
        <w:rPr>
          <w:rFonts w:ascii="Calibri" w:hAnsi="Calibri" w:cs="Calibri"/>
        </w:rPr>
        <w:t xml:space="preserve"> example of the administrative controls deemed appropriate is the use of spotters during the operation. By using spotters, maintaining clear line of sight and communication, as well as having clear authority for notifications, staff can be more confident that impacts and subsequent initiations are less likely to occur. Another administrative control that overall reduces the likelihood of initiation is making sure that the weather has been accounted for during the operation and allowing staff to cancel the operation if conditions are adverse. </w:t>
      </w:r>
    </w:p>
    <w:p w14:paraId="18801050" w14:textId="77777777" w:rsidR="00C713A4" w:rsidRPr="002B7911" w:rsidRDefault="00C713A4" w:rsidP="00C713A4">
      <w:pPr>
        <w:rPr>
          <w:rFonts w:ascii="Calibri" w:hAnsi="Calibri" w:cs="Calibri"/>
        </w:rPr>
      </w:pPr>
      <w:r w:rsidRPr="002B7911">
        <w:rPr>
          <w:rFonts w:ascii="Calibri" w:hAnsi="Calibri" w:cs="Calibri"/>
        </w:rPr>
        <w:t xml:space="preserve">Administrative controls that were deemed to be grossly disproportionate were removing all staff from the deck during the operation. It was recognised that halting all operations on board the vessel would be too restrictive, but as a compromise part of the deck could be cordoned and signed to indicate that staff not involved with the operation should stay clear. The loss of capability for the Royal Navy in having ships in dock for replenishment was a consideration here, the increased time of separating all operations was deemed grossly disproportionate. One note on this for the future </w:t>
      </w:r>
      <w:r w:rsidRPr="002B7911">
        <w:rPr>
          <w:rFonts w:ascii="Calibri" w:hAnsi="Calibri" w:cs="Calibri"/>
        </w:rPr>
        <w:lastRenderedPageBreak/>
        <w:t>though could be the greater use of automation for many tasks, thereby reducing staff required without increasing time spent in dock.</w:t>
      </w:r>
    </w:p>
    <w:p w14:paraId="03FE8483" w14:textId="77777777" w:rsidR="00C713A4" w:rsidRPr="002B7911" w:rsidRDefault="00C713A4" w:rsidP="00C713A4">
      <w:pPr>
        <w:pStyle w:val="Heading1"/>
        <w:numPr>
          <w:ilvl w:val="0"/>
          <w:numId w:val="25"/>
        </w:numPr>
        <w:tabs>
          <w:tab w:val="num" w:pos="360"/>
        </w:tabs>
        <w:ind w:left="0" w:firstLine="0"/>
        <w:rPr>
          <w:rFonts w:ascii="Calibri" w:hAnsi="Calibri" w:cs="Calibri"/>
          <w:sz w:val="32"/>
          <w:szCs w:val="36"/>
        </w:rPr>
      </w:pPr>
      <w:bookmarkStart w:id="7" w:name="_Toc140778921"/>
      <w:r w:rsidRPr="002B7911">
        <w:rPr>
          <w:rFonts w:ascii="Calibri" w:hAnsi="Calibri" w:cs="Calibri"/>
          <w:sz w:val="32"/>
          <w:szCs w:val="36"/>
        </w:rPr>
        <w:t>Conclusion</w:t>
      </w:r>
      <w:bookmarkEnd w:id="7"/>
    </w:p>
    <w:p w14:paraId="562E58F3" w14:textId="77777777" w:rsidR="00C713A4" w:rsidRPr="002B7911" w:rsidRDefault="00C713A4" w:rsidP="00C713A4">
      <w:pPr>
        <w:rPr>
          <w:rFonts w:ascii="Calibri" w:hAnsi="Calibri" w:cs="Calibri"/>
        </w:rPr>
      </w:pPr>
    </w:p>
    <w:p w14:paraId="4B17476E" w14:textId="77777777" w:rsidR="00C713A4" w:rsidRPr="002B7911" w:rsidRDefault="00C713A4" w:rsidP="00C713A4">
      <w:pPr>
        <w:rPr>
          <w:rFonts w:ascii="Calibri" w:hAnsi="Calibri" w:cs="Calibri"/>
        </w:rPr>
      </w:pPr>
      <w:r w:rsidRPr="002B7911">
        <w:rPr>
          <w:rFonts w:ascii="Calibri" w:hAnsi="Calibri" w:cs="Calibri"/>
        </w:rPr>
        <w:t xml:space="preserve">The controls to be implemented during the Sea </w:t>
      </w:r>
      <w:proofErr w:type="spellStart"/>
      <w:r w:rsidRPr="002B7911">
        <w:rPr>
          <w:rFonts w:ascii="Calibri" w:hAnsi="Calibri" w:cs="Calibri"/>
        </w:rPr>
        <w:t>Ceptor</w:t>
      </w:r>
      <w:proofErr w:type="spellEnd"/>
      <w:r w:rsidRPr="002B7911">
        <w:rPr>
          <w:rFonts w:ascii="Calibri" w:hAnsi="Calibri" w:cs="Calibri"/>
        </w:rPr>
        <w:t xml:space="preserve"> replenishment greatly reduce the likelihood of an inadvertent </w:t>
      </w:r>
      <w:proofErr w:type="gramStart"/>
      <w:r w:rsidRPr="002B7911">
        <w:rPr>
          <w:rFonts w:ascii="Calibri" w:hAnsi="Calibri" w:cs="Calibri"/>
        </w:rPr>
        <w:t>initiation, but</w:t>
      </w:r>
      <w:proofErr w:type="gramEnd"/>
      <w:r w:rsidRPr="002B7911">
        <w:rPr>
          <w:rFonts w:ascii="Calibri" w:hAnsi="Calibri" w:cs="Calibri"/>
        </w:rPr>
        <w:t xml:space="preserve"> are recognised not to reduce its severity. The changes required to reduce the severity were deemed to be grossly disproportionate both in terms of cost, but also in terms of the requirement of the system and of the Type 23. Developments in the future may lead to changes to both the numbers of persons required and to the warhead itself, in which case </w:t>
      </w:r>
      <w:r>
        <w:rPr>
          <w:rFonts w:ascii="Calibri" w:hAnsi="Calibri" w:cs="Calibri"/>
        </w:rPr>
        <w:t xml:space="preserve">it </w:t>
      </w:r>
      <w:r w:rsidRPr="002B7911">
        <w:rPr>
          <w:rFonts w:ascii="Calibri" w:hAnsi="Calibri" w:cs="Calibri"/>
        </w:rPr>
        <w:t xml:space="preserve">would be appropriate to reassess the system and the controls available to see if the risk may be reduced even further. Currently though, the risk posed by the replenishment process is deemed ALARP according to </w:t>
      </w:r>
      <w:r>
        <w:rPr>
          <w:rFonts w:ascii="Calibri" w:hAnsi="Calibri" w:cs="Calibri"/>
        </w:rPr>
        <w:t xml:space="preserve">the </w:t>
      </w:r>
      <w:r w:rsidRPr="002B7911">
        <w:rPr>
          <w:rFonts w:ascii="Calibri" w:hAnsi="Calibri" w:cs="Calibri"/>
        </w:rPr>
        <w:t>HSE definition.</w:t>
      </w:r>
    </w:p>
    <w:p w14:paraId="571C290A" w14:textId="77777777" w:rsidR="00C713A4" w:rsidRPr="002B7911" w:rsidRDefault="00C713A4" w:rsidP="00C713A4">
      <w:pPr>
        <w:rPr>
          <w:rFonts w:ascii="Calibri" w:hAnsi="Calibri" w:cs="Calibri"/>
        </w:rPr>
      </w:pPr>
    </w:p>
    <w:p w14:paraId="6E5F5BEB" w14:textId="77777777" w:rsidR="00C713A4" w:rsidRDefault="00C713A4" w:rsidP="00C713A4"/>
    <w:p w14:paraId="5B5626CD" w14:textId="77777777" w:rsidR="00C713A4" w:rsidRDefault="00C713A4" w:rsidP="00C713A4"/>
    <w:p w14:paraId="131B7DFD" w14:textId="77777777" w:rsidR="00C713A4" w:rsidRDefault="00C713A4" w:rsidP="00C713A4"/>
    <w:p w14:paraId="20BCFB86" w14:textId="77777777" w:rsidR="00C713A4" w:rsidRDefault="00C713A4" w:rsidP="00C713A4"/>
    <w:p w14:paraId="0D0A0864" w14:textId="77777777" w:rsidR="00C713A4" w:rsidRDefault="00C713A4" w:rsidP="00C713A4"/>
    <w:p w14:paraId="54F0AD75" w14:textId="77777777" w:rsidR="00C713A4" w:rsidRDefault="00C713A4" w:rsidP="00C713A4"/>
    <w:p w14:paraId="303B4622" w14:textId="77777777" w:rsidR="00C713A4" w:rsidRDefault="00C713A4" w:rsidP="00C713A4"/>
    <w:p w14:paraId="6CFE5E04" w14:textId="77777777" w:rsidR="00C713A4" w:rsidRDefault="00C713A4" w:rsidP="00C713A4"/>
    <w:p w14:paraId="7569AD38" w14:textId="77777777" w:rsidR="00C713A4" w:rsidRDefault="00C713A4" w:rsidP="00C713A4"/>
    <w:p w14:paraId="72274197" w14:textId="77777777" w:rsidR="00C713A4" w:rsidRDefault="00C713A4" w:rsidP="00C713A4"/>
    <w:p w14:paraId="670C2E9F" w14:textId="77777777" w:rsidR="00C713A4" w:rsidRDefault="00C713A4" w:rsidP="00C713A4"/>
    <w:p w14:paraId="596571D6" w14:textId="77777777" w:rsidR="00C713A4" w:rsidRDefault="00C713A4" w:rsidP="00C713A4"/>
    <w:p w14:paraId="23CD040C" w14:textId="77777777" w:rsidR="00C713A4" w:rsidRDefault="00C713A4" w:rsidP="00C713A4"/>
    <w:p w14:paraId="25A04D6F" w14:textId="77777777" w:rsidR="00C713A4" w:rsidRPr="00AB52DE" w:rsidRDefault="00C713A4" w:rsidP="00C713A4"/>
    <w:bookmarkStart w:id="8" w:name="_Toc140778922" w:displacedByCustomXml="next"/>
    <w:sdt>
      <w:sdtPr>
        <w:rPr>
          <w:rFonts w:ascii="Calibri" w:hAnsi="Calibri" w:cs="Calibri"/>
        </w:rPr>
        <w:id w:val="469251251"/>
        <w:bibliography/>
      </w:sdtPr>
      <w:sdtContent>
        <w:bookmarkStart w:id="9" w:name="_Toc140426162" w:displacedByCustomXml="next"/>
        <w:sdt>
          <w:sdtPr>
            <w:rPr>
              <w:rFonts w:asciiTheme="minorHAnsi" w:eastAsiaTheme="minorHAnsi" w:hAnsiTheme="minorHAnsi" w:cstheme="minorBidi"/>
              <w:color w:val="auto"/>
              <w:sz w:val="22"/>
              <w:szCs w:val="22"/>
            </w:rPr>
            <w:id w:val="-683278193"/>
            <w:docPartObj>
              <w:docPartGallery w:val="Bibliographies"/>
              <w:docPartUnique/>
            </w:docPartObj>
          </w:sdtPr>
          <w:sdtEndPr>
            <w:rPr>
              <w:rFonts w:ascii="Calibri" w:eastAsia="MS Mincho" w:hAnsi="Calibri" w:cs="Calibri"/>
              <w:b w:val="0"/>
              <w:bCs w:val="0"/>
              <w:kern w:val="0"/>
            </w:rPr>
          </w:sdtEndPr>
          <w:sdtContent>
            <w:p w14:paraId="11C75E2A" w14:textId="77777777" w:rsidR="00C713A4" w:rsidRPr="00BD1CBB" w:rsidRDefault="00C713A4" w:rsidP="00C713A4">
              <w:pPr>
                <w:pStyle w:val="Heading1"/>
                <w:rPr>
                  <w:rFonts w:ascii="Calibri" w:hAnsi="Calibri" w:cs="Calibri"/>
                  <w:szCs w:val="28"/>
                </w:rPr>
              </w:pPr>
              <w:r w:rsidRPr="00BD1CBB">
                <w:rPr>
                  <w:rFonts w:ascii="Calibri" w:hAnsi="Calibri" w:cs="Calibri"/>
                  <w:szCs w:val="28"/>
                </w:rPr>
                <w:t>Bibliography</w:t>
              </w:r>
              <w:bookmarkEnd w:id="8"/>
              <w:bookmarkEnd w:id="9"/>
            </w:p>
            <w:sdt>
              <w:sdtPr>
                <w:rPr>
                  <w:rFonts w:ascii="Calibri" w:hAnsi="Calibri" w:cs="Calibri"/>
                  <w:szCs w:val="22"/>
                </w:rPr>
                <w:id w:val="-920942198"/>
                <w:bibliography/>
              </w:sdtPr>
              <w:sdtContent>
                <w:p w14:paraId="287425A2" w14:textId="77777777" w:rsidR="00C713A4" w:rsidRPr="00BD1CBB" w:rsidRDefault="00C713A4" w:rsidP="00C713A4">
                  <w:pPr>
                    <w:spacing w:before="0" w:after="160" w:line="259" w:lineRule="auto"/>
                    <w:rPr>
                      <w:rFonts w:ascii="Calibri" w:eastAsiaTheme="minorHAnsi" w:hAnsi="Calibri" w:cs="Calibri"/>
                      <w:noProof/>
                      <w:kern w:val="2"/>
                      <w:szCs w:val="22"/>
                      <w:lang w:eastAsia="en-US"/>
                    </w:rPr>
                  </w:pPr>
                  <w:r w:rsidRPr="00BD1CBB">
                    <w:rPr>
                      <w:rFonts w:ascii="Calibri" w:hAnsi="Calibri" w:cs="Calibri"/>
                      <w:szCs w:val="22"/>
                    </w:rPr>
                    <w:fldChar w:fldCharType="begin"/>
                  </w:r>
                  <w:r w:rsidRPr="00BD1CBB">
                    <w:rPr>
                      <w:rFonts w:ascii="Calibri" w:hAnsi="Calibri" w:cs="Calibri"/>
                      <w:szCs w:val="22"/>
                    </w:rPr>
                    <w:instrText xml:space="preserve"> BIBLIOGRAPHY </w:instrText>
                  </w:r>
                  <w:r w:rsidRPr="00BD1CBB">
                    <w:rPr>
                      <w:rFonts w:ascii="Calibri" w:hAnsi="Calibri" w:cs="Calibri"/>
                      <w:szCs w:val="22"/>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683"/>
                  </w:tblGrid>
                  <w:tr w:rsidR="00C713A4" w:rsidRPr="00BD1CBB" w14:paraId="1BAC95B5" w14:textId="77777777" w:rsidTr="00622670">
                    <w:trPr>
                      <w:tblCellSpacing w:w="15" w:type="dxa"/>
                    </w:trPr>
                    <w:tc>
                      <w:tcPr>
                        <w:tcW w:w="50" w:type="pct"/>
                        <w:hideMark/>
                      </w:tcPr>
                      <w:p w14:paraId="0AD4906C" w14:textId="77777777" w:rsidR="00C713A4" w:rsidRPr="00BD1CBB" w:rsidRDefault="00C713A4" w:rsidP="00622670">
                        <w:pPr>
                          <w:pStyle w:val="Bibliography"/>
                          <w:rPr>
                            <w:rFonts w:ascii="Calibri" w:hAnsi="Calibri" w:cs="Calibri"/>
                            <w:noProof/>
                            <w:szCs w:val="22"/>
                          </w:rPr>
                        </w:pPr>
                        <w:r w:rsidRPr="00BD1CBB">
                          <w:rPr>
                            <w:rFonts w:ascii="Calibri" w:hAnsi="Calibri" w:cs="Calibri"/>
                            <w:noProof/>
                            <w:szCs w:val="22"/>
                          </w:rPr>
                          <w:t xml:space="preserve">[1] </w:t>
                        </w:r>
                      </w:p>
                    </w:tc>
                    <w:tc>
                      <w:tcPr>
                        <w:tcW w:w="0" w:type="auto"/>
                        <w:hideMark/>
                      </w:tcPr>
                      <w:p w14:paraId="17B5272D" w14:textId="77777777" w:rsidR="00C713A4" w:rsidRPr="00BD1CBB" w:rsidRDefault="00C713A4" w:rsidP="00622670">
                        <w:pPr>
                          <w:pStyle w:val="Bibliography"/>
                          <w:rPr>
                            <w:rFonts w:ascii="Calibri" w:hAnsi="Calibri" w:cs="Calibri"/>
                            <w:noProof/>
                            <w:szCs w:val="22"/>
                          </w:rPr>
                        </w:pPr>
                        <w:r w:rsidRPr="00BD1CBB">
                          <w:rPr>
                            <w:rFonts w:ascii="Calibri" w:hAnsi="Calibri" w:cs="Calibri"/>
                            <w:noProof/>
                            <w:szCs w:val="22"/>
                          </w:rPr>
                          <w:t>Royal Navy, “Destroyers’ firepower enhanced with addition of Sea Ceptor,” 06 07 2019. [Online]. Available: https://www.royalnavy.mod.uk/news-and-latest-activity/news/2021/july/06/20210706-sea-ceptor. [Accessed 11 07 23].</w:t>
                        </w:r>
                      </w:p>
                    </w:tc>
                  </w:tr>
                  <w:tr w:rsidR="00C713A4" w:rsidRPr="00BD1CBB" w14:paraId="27A86076" w14:textId="77777777" w:rsidTr="00622670">
                    <w:trPr>
                      <w:tblCellSpacing w:w="15" w:type="dxa"/>
                    </w:trPr>
                    <w:tc>
                      <w:tcPr>
                        <w:tcW w:w="50" w:type="pct"/>
                        <w:hideMark/>
                      </w:tcPr>
                      <w:p w14:paraId="46F8089C" w14:textId="77777777" w:rsidR="00C713A4" w:rsidRPr="00BD1CBB" w:rsidRDefault="00C713A4" w:rsidP="00622670">
                        <w:pPr>
                          <w:pStyle w:val="Bibliography"/>
                          <w:rPr>
                            <w:rFonts w:ascii="Calibri" w:hAnsi="Calibri" w:cs="Calibri"/>
                            <w:noProof/>
                            <w:szCs w:val="22"/>
                          </w:rPr>
                        </w:pPr>
                        <w:r w:rsidRPr="00BD1CBB">
                          <w:rPr>
                            <w:rFonts w:ascii="Calibri" w:hAnsi="Calibri" w:cs="Calibri"/>
                            <w:noProof/>
                            <w:szCs w:val="22"/>
                          </w:rPr>
                          <w:t xml:space="preserve">[2] </w:t>
                        </w:r>
                      </w:p>
                    </w:tc>
                    <w:tc>
                      <w:tcPr>
                        <w:tcW w:w="0" w:type="auto"/>
                        <w:hideMark/>
                      </w:tcPr>
                      <w:p w14:paraId="346F29EE" w14:textId="77777777" w:rsidR="00C713A4" w:rsidRPr="00BD1CBB" w:rsidRDefault="00C713A4" w:rsidP="00622670">
                        <w:pPr>
                          <w:pStyle w:val="Bibliography"/>
                          <w:rPr>
                            <w:rFonts w:ascii="Calibri" w:hAnsi="Calibri" w:cs="Calibri"/>
                            <w:noProof/>
                            <w:szCs w:val="22"/>
                          </w:rPr>
                        </w:pPr>
                        <w:r w:rsidRPr="00BD1CBB">
                          <w:rPr>
                            <w:rFonts w:ascii="Calibri" w:hAnsi="Calibri" w:cs="Calibri"/>
                            <w:noProof/>
                            <w:szCs w:val="22"/>
                          </w:rPr>
                          <w:t>MBDA, “Sea Ceptor,” 07 07 2023. [Online]. Available: https://www.mbda-systems.com/product/sea-ceptor/.</w:t>
                        </w:r>
                      </w:p>
                    </w:tc>
                  </w:tr>
                  <w:tr w:rsidR="00C713A4" w:rsidRPr="00BD1CBB" w14:paraId="10057A2F" w14:textId="77777777" w:rsidTr="00622670">
                    <w:trPr>
                      <w:tblCellSpacing w:w="15" w:type="dxa"/>
                    </w:trPr>
                    <w:tc>
                      <w:tcPr>
                        <w:tcW w:w="50" w:type="pct"/>
                        <w:hideMark/>
                      </w:tcPr>
                      <w:p w14:paraId="01894FE9" w14:textId="77777777" w:rsidR="00C713A4" w:rsidRPr="00BD1CBB" w:rsidRDefault="00C713A4" w:rsidP="00622670">
                        <w:pPr>
                          <w:pStyle w:val="Bibliography"/>
                          <w:rPr>
                            <w:rFonts w:ascii="Calibri" w:hAnsi="Calibri" w:cs="Calibri"/>
                            <w:noProof/>
                            <w:szCs w:val="22"/>
                          </w:rPr>
                        </w:pPr>
                        <w:r w:rsidRPr="00BD1CBB">
                          <w:rPr>
                            <w:rFonts w:ascii="Calibri" w:hAnsi="Calibri" w:cs="Calibri"/>
                            <w:noProof/>
                            <w:szCs w:val="22"/>
                          </w:rPr>
                          <w:t xml:space="preserve">[3] </w:t>
                        </w:r>
                      </w:p>
                    </w:tc>
                    <w:tc>
                      <w:tcPr>
                        <w:tcW w:w="0" w:type="auto"/>
                        <w:hideMark/>
                      </w:tcPr>
                      <w:p w14:paraId="0BCB443C" w14:textId="77777777" w:rsidR="00C713A4" w:rsidRPr="00BD1CBB" w:rsidRDefault="00C713A4" w:rsidP="00622670">
                        <w:pPr>
                          <w:pStyle w:val="Bibliography"/>
                          <w:rPr>
                            <w:rFonts w:ascii="Calibri" w:hAnsi="Calibri" w:cs="Calibri"/>
                            <w:noProof/>
                            <w:szCs w:val="22"/>
                          </w:rPr>
                        </w:pPr>
                        <w:r w:rsidRPr="00BD1CBB">
                          <w:rPr>
                            <w:rFonts w:ascii="Calibri" w:hAnsi="Calibri" w:cs="Calibri"/>
                            <w:noProof/>
                            <w:szCs w:val="22"/>
                          </w:rPr>
                          <w:t>Navy Lookout, “From Sea Wolf to Sea Ceptor – the Royal Navy’s defensive shield,” Navy Lookout, 4 June 2019. [Online]. Available: https://www.navylookout.com/from-sea-wolf-to-sea-ceptor-the-royal-navys-defensive-shield/. [Accessed 08 07 2023].</w:t>
                        </w:r>
                      </w:p>
                    </w:tc>
                  </w:tr>
                  <w:tr w:rsidR="00C713A4" w:rsidRPr="00BD1CBB" w14:paraId="557CCCB8" w14:textId="77777777" w:rsidTr="00622670">
                    <w:trPr>
                      <w:tblCellSpacing w:w="15" w:type="dxa"/>
                    </w:trPr>
                    <w:tc>
                      <w:tcPr>
                        <w:tcW w:w="50" w:type="pct"/>
                        <w:hideMark/>
                      </w:tcPr>
                      <w:p w14:paraId="3D2D0786" w14:textId="77777777" w:rsidR="00C713A4" w:rsidRPr="00BD1CBB" w:rsidRDefault="00C713A4" w:rsidP="00622670">
                        <w:pPr>
                          <w:pStyle w:val="Bibliography"/>
                          <w:rPr>
                            <w:rFonts w:ascii="Calibri" w:hAnsi="Calibri" w:cs="Calibri"/>
                            <w:noProof/>
                            <w:szCs w:val="22"/>
                          </w:rPr>
                        </w:pPr>
                        <w:r w:rsidRPr="00BD1CBB">
                          <w:rPr>
                            <w:rFonts w:ascii="Calibri" w:hAnsi="Calibri" w:cs="Calibri"/>
                            <w:noProof/>
                            <w:szCs w:val="22"/>
                          </w:rPr>
                          <w:t xml:space="preserve">[4] </w:t>
                        </w:r>
                      </w:p>
                    </w:tc>
                    <w:tc>
                      <w:tcPr>
                        <w:tcW w:w="0" w:type="auto"/>
                        <w:hideMark/>
                      </w:tcPr>
                      <w:p w14:paraId="0386627B" w14:textId="77777777" w:rsidR="00C713A4" w:rsidRPr="00BD1CBB" w:rsidRDefault="00C713A4" w:rsidP="00622670">
                        <w:pPr>
                          <w:pStyle w:val="Bibliography"/>
                          <w:rPr>
                            <w:rFonts w:ascii="Calibri" w:hAnsi="Calibri" w:cs="Calibri"/>
                            <w:noProof/>
                            <w:szCs w:val="22"/>
                          </w:rPr>
                        </w:pPr>
                        <w:r w:rsidRPr="00BD1CBB">
                          <w:rPr>
                            <w:rFonts w:ascii="Calibri" w:hAnsi="Calibri" w:cs="Calibri"/>
                            <w:noProof/>
                            <w:szCs w:val="22"/>
                          </w:rPr>
                          <w:t>Health and Safety Executive, “Cost Benefit Analysis Checklist,” HSE, [Online]. Available: https://www.hse.gov.uk/enforce/expert/alarpcheck.htm. [Accessed 12 07 2023].</w:t>
                        </w:r>
                      </w:p>
                    </w:tc>
                  </w:tr>
                  <w:tr w:rsidR="00C713A4" w:rsidRPr="00BD1CBB" w14:paraId="4F492D36" w14:textId="77777777" w:rsidTr="00622670">
                    <w:trPr>
                      <w:tblCellSpacing w:w="15" w:type="dxa"/>
                    </w:trPr>
                    <w:tc>
                      <w:tcPr>
                        <w:tcW w:w="50" w:type="pct"/>
                        <w:hideMark/>
                      </w:tcPr>
                      <w:p w14:paraId="2FC685FD" w14:textId="77777777" w:rsidR="00C713A4" w:rsidRPr="00BD1CBB" w:rsidRDefault="00C713A4" w:rsidP="00622670">
                        <w:pPr>
                          <w:pStyle w:val="Bibliography"/>
                          <w:rPr>
                            <w:rFonts w:ascii="Calibri" w:hAnsi="Calibri" w:cs="Calibri"/>
                            <w:noProof/>
                            <w:szCs w:val="22"/>
                          </w:rPr>
                        </w:pPr>
                        <w:r w:rsidRPr="00BD1CBB">
                          <w:rPr>
                            <w:rFonts w:ascii="Calibri" w:hAnsi="Calibri" w:cs="Calibri"/>
                            <w:noProof/>
                            <w:szCs w:val="22"/>
                          </w:rPr>
                          <w:t xml:space="preserve">[5] </w:t>
                        </w:r>
                      </w:p>
                    </w:tc>
                    <w:tc>
                      <w:tcPr>
                        <w:tcW w:w="0" w:type="auto"/>
                        <w:hideMark/>
                      </w:tcPr>
                      <w:p w14:paraId="6E0EF7E6" w14:textId="77777777" w:rsidR="00C713A4" w:rsidRPr="00BD1CBB" w:rsidRDefault="00C713A4" w:rsidP="00622670">
                        <w:pPr>
                          <w:pStyle w:val="Bibliography"/>
                          <w:rPr>
                            <w:rFonts w:ascii="Calibri" w:hAnsi="Calibri" w:cs="Calibri"/>
                            <w:noProof/>
                            <w:szCs w:val="22"/>
                          </w:rPr>
                        </w:pPr>
                        <w:r w:rsidRPr="00BD1CBB">
                          <w:rPr>
                            <w:rFonts w:ascii="Calibri" w:hAnsi="Calibri" w:cs="Calibri"/>
                            <w:noProof/>
                            <w:szCs w:val="22"/>
                          </w:rPr>
                          <w:t>G. Hooper, “JSP 333 Services Textbook of Explosives,” Ministry of Defence, London, 2020.</w:t>
                        </w:r>
                      </w:p>
                    </w:tc>
                  </w:tr>
                  <w:tr w:rsidR="00C713A4" w:rsidRPr="00BD1CBB" w14:paraId="7A600446" w14:textId="77777777" w:rsidTr="00622670">
                    <w:trPr>
                      <w:tblCellSpacing w:w="15" w:type="dxa"/>
                    </w:trPr>
                    <w:tc>
                      <w:tcPr>
                        <w:tcW w:w="50" w:type="pct"/>
                        <w:hideMark/>
                      </w:tcPr>
                      <w:p w14:paraId="455857CB" w14:textId="77777777" w:rsidR="00C713A4" w:rsidRPr="00BD1CBB" w:rsidRDefault="00C713A4" w:rsidP="00622670">
                        <w:pPr>
                          <w:pStyle w:val="Bibliography"/>
                          <w:rPr>
                            <w:rFonts w:ascii="Calibri" w:hAnsi="Calibri" w:cs="Calibri"/>
                            <w:noProof/>
                            <w:szCs w:val="22"/>
                          </w:rPr>
                        </w:pPr>
                        <w:r w:rsidRPr="00BD1CBB">
                          <w:rPr>
                            <w:rFonts w:ascii="Calibri" w:hAnsi="Calibri" w:cs="Calibri"/>
                            <w:noProof/>
                            <w:szCs w:val="22"/>
                          </w:rPr>
                          <w:t xml:space="preserve">[6] </w:t>
                        </w:r>
                      </w:p>
                    </w:tc>
                    <w:tc>
                      <w:tcPr>
                        <w:tcW w:w="0" w:type="auto"/>
                        <w:hideMark/>
                      </w:tcPr>
                      <w:p w14:paraId="692CE527" w14:textId="77777777" w:rsidR="00C713A4" w:rsidRPr="00BD1CBB" w:rsidRDefault="00C713A4" w:rsidP="00622670">
                        <w:pPr>
                          <w:pStyle w:val="Bibliography"/>
                          <w:rPr>
                            <w:rFonts w:ascii="Calibri" w:hAnsi="Calibri" w:cs="Calibri"/>
                            <w:noProof/>
                            <w:szCs w:val="22"/>
                          </w:rPr>
                        </w:pPr>
                        <w:r w:rsidRPr="00BD1CBB">
                          <w:rPr>
                            <w:rFonts w:ascii="Calibri" w:hAnsi="Calibri" w:cs="Calibri"/>
                            <w:noProof/>
                            <w:szCs w:val="22"/>
                          </w:rPr>
                          <w:t>BAE systems, “155mm artillery ammunition,” 2023. [Online]. Available: https://www.baesystems.com/en-uk/product/shell-155mm-how-he-l15. [Accessed 09 07 2023].</w:t>
                        </w:r>
                      </w:p>
                    </w:tc>
                  </w:tr>
                  <w:tr w:rsidR="00C713A4" w:rsidRPr="00BD1CBB" w14:paraId="0E6D146A" w14:textId="77777777" w:rsidTr="00622670">
                    <w:trPr>
                      <w:tblCellSpacing w:w="15" w:type="dxa"/>
                    </w:trPr>
                    <w:tc>
                      <w:tcPr>
                        <w:tcW w:w="50" w:type="pct"/>
                        <w:hideMark/>
                      </w:tcPr>
                      <w:p w14:paraId="5090DBFA" w14:textId="77777777" w:rsidR="00C713A4" w:rsidRPr="00BD1CBB" w:rsidRDefault="00C713A4" w:rsidP="00622670">
                        <w:pPr>
                          <w:pStyle w:val="Bibliography"/>
                          <w:rPr>
                            <w:rFonts w:ascii="Calibri" w:hAnsi="Calibri" w:cs="Calibri"/>
                            <w:noProof/>
                            <w:szCs w:val="22"/>
                          </w:rPr>
                        </w:pPr>
                        <w:r w:rsidRPr="00BD1CBB">
                          <w:rPr>
                            <w:rFonts w:ascii="Calibri" w:hAnsi="Calibri" w:cs="Calibri"/>
                            <w:noProof/>
                            <w:szCs w:val="22"/>
                          </w:rPr>
                          <w:t xml:space="preserve">[7] </w:t>
                        </w:r>
                      </w:p>
                    </w:tc>
                    <w:tc>
                      <w:tcPr>
                        <w:tcW w:w="0" w:type="auto"/>
                        <w:hideMark/>
                      </w:tcPr>
                      <w:p w14:paraId="6053EB0C" w14:textId="77777777" w:rsidR="00C713A4" w:rsidRPr="00BD1CBB" w:rsidRDefault="00C713A4" w:rsidP="00622670">
                        <w:pPr>
                          <w:pStyle w:val="Bibliography"/>
                          <w:rPr>
                            <w:rFonts w:ascii="Calibri" w:hAnsi="Calibri" w:cs="Calibri"/>
                            <w:noProof/>
                            <w:szCs w:val="22"/>
                          </w:rPr>
                        </w:pPr>
                        <w:r w:rsidRPr="00BD1CBB">
                          <w:rPr>
                            <w:rFonts w:ascii="Calibri" w:hAnsi="Calibri" w:cs="Calibri"/>
                            <w:noProof/>
                            <w:szCs w:val="22"/>
                          </w:rPr>
                          <w:t>UN Safer Guard, “Kingery-Bulmash Blast Parameter Calculator,” UN Safer Guard, [Online]. Available: https://unsaferguard.org/un-saferguard/kingery-bulmash. [Accessed 10 07 2023].</w:t>
                        </w:r>
                      </w:p>
                    </w:tc>
                  </w:tr>
                  <w:tr w:rsidR="00C713A4" w:rsidRPr="00BD1CBB" w14:paraId="14EAC6C3" w14:textId="77777777" w:rsidTr="00622670">
                    <w:trPr>
                      <w:tblCellSpacing w:w="15" w:type="dxa"/>
                    </w:trPr>
                    <w:tc>
                      <w:tcPr>
                        <w:tcW w:w="50" w:type="pct"/>
                        <w:hideMark/>
                      </w:tcPr>
                      <w:p w14:paraId="09B4CCF3" w14:textId="77777777" w:rsidR="00C713A4" w:rsidRPr="00BD1CBB" w:rsidRDefault="00C713A4" w:rsidP="00622670">
                        <w:pPr>
                          <w:pStyle w:val="Bibliography"/>
                          <w:rPr>
                            <w:rFonts w:ascii="Calibri" w:hAnsi="Calibri" w:cs="Calibri"/>
                            <w:noProof/>
                            <w:szCs w:val="22"/>
                          </w:rPr>
                        </w:pPr>
                        <w:r w:rsidRPr="00BD1CBB">
                          <w:rPr>
                            <w:rFonts w:ascii="Calibri" w:hAnsi="Calibri" w:cs="Calibri"/>
                            <w:noProof/>
                            <w:szCs w:val="22"/>
                          </w:rPr>
                          <w:t xml:space="preserve">[8] </w:t>
                        </w:r>
                      </w:p>
                    </w:tc>
                    <w:tc>
                      <w:tcPr>
                        <w:tcW w:w="0" w:type="auto"/>
                        <w:hideMark/>
                      </w:tcPr>
                      <w:p w14:paraId="782740B8" w14:textId="77777777" w:rsidR="00C713A4" w:rsidRPr="00BD1CBB" w:rsidRDefault="00C713A4" w:rsidP="00622670">
                        <w:pPr>
                          <w:pStyle w:val="Bibliography"/>
                          <w:rPr>
                            <w:rFonts w:ascii="Calibri" w:hAnsi="Calibri" w:cs="Calibri"/>
                            <w:noProof/>
                            <w:szCs w:val="22"/>
                          </w:rPr>
                        </w:pPr>
                        <w:r w:rsidRPr="00BD1CBB">
                          <w:rPr>
                            <w:rFonts w:ascii="Calibri" w:hAnsi="Calibri" w:cs="Calibri"/>
                            <w:noProof/>
                            <w:szCs w:val="22"/>
                          </w:rPr>
                          <w:t>R. K. Zipf and K. L. Cashdollar, “Effects of blast pressure on structures and the human body,” National Institute for Occupational Safety and Health (NIOSH), Washington D.C., 2006.</w:t>
                        </w:r>
                      </w:p>
                    </w:tc>
                  </w:tr>
                  <w:tr w:rsidR="00C713A4" w:rsidRPr="00BD1CBB" w14:paraId="07EBC37A" w14:textId="77777777" w:rsidTr="00622670">
                    <w:trPr>
                      <w:tblCellSpacing w:w="15" w:type="dxa"/>
                    </w:trPr>
                    <w:tc>
                      <w:tcPr>
                        <w:tcW w:w="50" w:type="pct"/>
                        <w:hideMark/>
                      </w:tcPr>
                      <w:p w14:paraId="0DD7DA52" w14:textId="77777777" w:rsidR="00C713A4" w:rsidRPr="00BD1CBB" w:rsidRDefault="00C713A4" w:rsidP="00622670">
                        <w:pPr>
                          <w:pStyle w:val="Bibliography"/>
                          <w:rPr>
                            <w:rFonts w:ascii="Calibri" w:hAnsi="Calibri" w:cs="Calibri"/>
                            <w:noProof/>
                            <w:szCs w:val="22"/>
                          </w:rPr>
                        </w:pPr>
                        <w:r w:rsidRPr="00BD1CBB">
                          <w:rPr>
                            <w:rFonts w:ascii="Calibri" w:hAnsi="Calibri" w:cs="Calibri"/>
                            <w:noProof/>
                            <w:szCs w:val="22"/>
                          </w:rPr>
                          <w:t xml:space="preserve">[9] </w:t>
                        </w:r>
                      </w:p>
                    </w:tc>
                    <w:tc>
                      <w:tcPr>
                        <w:tcW w:w="0" w:type="auto"/>
                        <w:hideMark/>
                      </w:tcPr>
                      <w:p w14:paraId="2CDF2719" w14:textId="77777777" w:rsidR="00C713A4" w:rsidRPr="00BD1CBB" w:rsidRDefault="00C713A4" w:rsidP="00622670">
                        <w:pPr>
                          <w:pStyle w:val="Bibliography"/>
                          <w:rPr>
                            <w:rFonts w:ascii="Calibri" w:hAnsi="Calibri" w:cs="Calibri"/>
                            <w:noProof/>
                            <w:szCs w:val="22"/>
                          </w:rPr>
                        </w:pPr>
                        <w:r w:rsidRPr="00BD1CBB">
                          <w:rPr>
                            <w:rFonts w:ascii="Calibri" w:hAnsi="Calibri" w:cs="Calibri"/>
                            <w:noProof/>
                            <w:szCs w:val="22"/>
                          </w:rPr>
                          <w:t>E. E. G. Jordan, “A guide to the Type 23 frigate,” Uk Defence Journal, 05 July 2019. [Online]. Available: https://ukdefencejournal.org.uk/a-guide-to-the-type-23-frigate/. [Accessed 10 07 2023].</w:t>
                        </w:r>
                      </w:p>
                    </w:tc>
                  </w:tr>
                  <w:tr w:rsidR="00C713A4" w:rsidRPr="00BD1CBB" w14:paraId="26928E12" w14:textId="77777777" w:rsidTr="00622670">
                    <w:trPr>
                      <w:tblCellSpacing w:w="15" w:type="dxa"/>
                    </w:trPr>
                    <w:tc>
                      <w:tcPr>
                        <w:tcW w:w="50" w:type="pct"/>
                        <w:hideMark/>
                      </w:tcPr>
                      <w:p w14:paraId="7AB6C72E" w14:textId="77777777" w:rsidR="00C713A4" w:rsidRPr="00BD1CBB" w:rsidRDefault="00C713A4" w:rsidP="00622670">
                        <w:pPr>
                          <w:pStyle w:val="Bibliography"/>
                          <w:rPr>
                            <w:rFonts w:ascii="Calibri" w:hAnsi="Calibri" w:cs="Calibri"/>
                            <w:noProof/>
                            <w:szCs w:val="22"/>
                          </w:rPr>
                        </w:pPr>
                        <w:r w:rsidRPr="00BD1CBB">
                          <w:rPr>
                            <w:rFonts w:ascii="Calibri" w:hAnsi="Calibri" w:cs="Calibri"/>
                            <w:noProof/>
                            <w:szCs w:val="22"/>
                          </w:rPr>
                          <w:t xml:space="preserve">[10] </w:t>
                        </w:r>
                      </w:p>
                    </w:tc>
                    <w:tc>
                      <w:tcPr>
                        <w:tcW w:w="0" w:type="auto"/>
                        <w:hideMark/>
                      </w:tcPr>
                      <w:p w14:paraId="510421D3" w14:textId="77777777" w:rsidR="00C713A4" w:rsidRPr="00BD1CBB" w:rsidRDefault="00C713A4" w:rsidP="00622670">
                        <w:pPr>
                          <w:pStyle w:val="Bibliography"/>
                          <w:rPr>
                            <w:rFonts w:ascii="Calibri" w:hAnsi="Calibri" w:cs="Calibri"/>
                            <w:noProof/>
                            <w:szCs w:val="22"/>
                          </w:rPr>
                        </w:pPr>
                        <w:r w:rsidRPr="00BD1CBB">
                          <w:rPr>
                            <w:rFonts w:ascii="Calibri" w:hAnsi="Calibri" w:cs="Calibri"/>
                            <w:noProof/>
                            <w:szCs w:val="22"/>
                          </w:rPr>
                          <w:t>Royal Navy, “Navy goes forward with new HMS Birmingham as Type 26 frigate is laid down,” Royal Navy, 04 04 2023. [Online]. Available: http://bitly.ws/Lwsf. [Accessed 15 07 2023].</w:t>
                        </w:r>
                      </w:p>
                    </w:tc>
                  </w:tr>
                  <w:tr w:rsidR="00C713A4" w:rsidRPr="00BD1CBB" w14:paraId="7B74B991" w14:textId="77777777" w:rsidTr="00622670">
                    <w:trPr>
                      <w:tblCellSpacing w:w="15" w:type="dxa"/>
                    </w:trPr>
                    <w:tc>
                      <w:tcPr>
                        <w:tcW w:w="50" w:type="pct"/>
                        <w:hideMark/>
                      </w:tcPr>
                      <w:p w14:paraId="5F610A06" w14:textId="77777777" w:rsidR="00C713A4" w:rsidRPr="00BD1CBB" w:rsidRDefault="00C713A4" w:rsidP="00622670">
                        <w:pPr>
                          <w:pStyle w:val="Bibliography"/>
                          <w:rPr>
                            <w:rFonts w:ascii="Calibri" w:hAnsi="Calibri" w:cs="Calibri"/>
                            <w:noProof/>
                            <w:szCs w:val="22"/>
                          </w:rPr>
                        </w:pPr>
                        <w:r w:rsidRPr="00BD1CBB">
                          <w:rPr>
                            <w:rFonts w:ascii="Calibri" w:hAnsi="Calibri" w:cs="Calibri"/>
                            <w:noProof/>
                            <w:szCs w:val="22"/>
                          </w:rPr>
                          <w:t xml:space="preserve">[11] </w:t>
                        </w:r>
                      </w:p>
                    </w:tc>
                    <w:tc>
                      <w:tcPr>
                        <w:tcW w:w="0" w:type="auto"/>
                        <w:hideMark/>
                      </w:tcPr>
                      <w:p w14:paraId="28CA7EF1" w14:textId="77777777" w:rsidR="00C713A4" w:rsidRPr="00BD1CBB" w:rsidRDefault="00C713A4" w:rsidP="00622670">
                        <w:pPr>
                          <w:pStyle w:val="Bibliography"/>
                          <w:rPr>
                            <w:rFonts w:ascii="Calibri" w:hAnsi="Calibri" w:cs="Calibri"/>
                            <w:noProof/>
                            <w:szCs w:val="22"/>
                          </w:rPr>
                        </w:pPr>
                        <w:r w:rsidRPr="00BD1CBB">
                          <w:rPr>
                            <w:rFonts w:ascii="Calibri" w:hAnsi="Calibri" w:cs="Calibri"/>
                            <w:noProof/>
                            <w:szCs w:val="22"/>
                          </w:rPr>
                          <w:t>Ministry of Defence, “The Defence Equipment Plan 2019,” Ministry of Defence, London, 2019.</w:t>
                        </w:r>
                      </w:p>
                    </w:tc>
                  </w:tr>
                  <w:tr w:rsidR="00C713A4" w:rsidRPr="00BD1CBB" w14:paraId="14A5F416" w14:textId="77777777" w:rsidTr="00622670">
                    <w:trPr>
                      <w:tblCellSpacing w:w="15" w:type="dxa"/>
                    </w:trPr>
                    <w:tc>
                      <w:tcPr>
                        <w:tcW w:w="50" w:type="pct"/>
                        <w:hideMark/>
                      </w:tcPr>
                      <w:p w14:paraId="47FFDD98" w14:textId="77777777" w:rsidR="00C713A4" w:rsidRPr="00BD1CBB" w:rsidRDefault="00C713A4" w:rsidP="00622670">
                        <w:pPr>
                          <w:pStyle w:val="Bibliography"/>
                          <w:rPr>
                            <w:rFonts w:ascii="Calibri" w:hAnsi="Calibri" w:cs="Calibri"/>
                            <w:noProof/>
                            <w:szCs w:val="22"/>
                          </w:rPr>
                        </w:pPr>
                        <w:r w:rsidRPr="00BD1CBB">
                          <w:rPr>
                            <w:rFonts w:ascii="Calibri" w:hAnsi="Calibri" w:cs="Calibri"/>
                            <w:noProof/>
                            <w:szCs w:val="22"/>
                          </w:rPr>
                          <w:lastRenderedPageBreak/>
                          <w:t xml:space="preserve">[12] </w:t>
                        </w:r>
                      </w:p>
                    </w:tc>
                    <w:tc>
                      <w:tcPr>
                        <w:tcW w:w="0" w:type="auto"/>
                        <w:hideMark/>
                      </w:tcPr>
                      <w:p w14:paraId="3DE4FC0A" w14:textId="77777777" w:rsidR="00C713A4" w:rsidRPr="00BD1CBB" w:rsidRDefault="00C713A4" w:rsidP="00622670">
                        <w:pPr>
                          <w:pStyle w:val="Bibliography"/>
                          <w:rPr>
                            <w:rFonts w:ascii="Calibri" w:hAnsi="Calibri" w:cs="Calibri"/>
                            <w:noProof/>
                            <w:szCs w:val="22"/>
                          </w:rPr>
                        </w:pPr>
                        <w:r w:rsidRPr="00BD1CBB">
                          <w:rPr>
                            <w:rFonts w:ascii="Calibri" w:hAnsi="Calibri" w:cs="Calibri"/>
                            <w:noProof/>
                            <w:szCs w:val="22"/>
                          </w:rPr>
                          <w:t>SeaForces, “Duke (Type 23) class Frigate,” SeaForces, [Online]. Available: https://www.seaforces.org/marint/Royal-Navy/Frigate/Duke-Type-23-class.htm. [Accessed 05 07 2023].</w:t>
                        </w:r>
                      </w:p>
                    </w:tc>
                  </w:tr>
                  <w:tr w:rsidR="00C713A4" w:rsidRPr="00BD1CBB" w14:paraId="2A8D5681" w14:textId="77777777" w:rsidTr="00622670">
                    <w:trPr>
                      <w:tblCellSpacing w:w="15" w:type="dxa"/>
                    </w:trPr>
                    <w:tc>
                      <w:tcPr>
                        <w:tcW w:w="50" w:type="pct"/>
                        <w:hideMark/>
                      </w:tcPr>
                      <w:p w14:paraId="3D91AB69" w14:textId="77777777" w:rsidR="00C713A4" w:rsidRPr="00BD1CBB" w:rsidRDefault="00C713A4" w:rsidP="00622670">
                        <w:pPr>
                          <w:pStyle w:val="Bibliography"/>
                          <w:rPr>
                            <w:rFonts w:ascii="Calibri" w:hAnsi="Calibri" w:cs="Calibri"/>
                            <w:noProof/>
                            <w:szCs w:val="22"/>
                          </w:rPr>
                        </w:pPr>
                        <w:r w:rsidRPr="00BD1CBB">
                          <w:rPr>
                            <w:rFonts w:ascii="Calibri" w:hAnsi="Calibri" w:cs="Calibri"/>
                            <w:noProof/>
                            <w:szCs w:val="22"/>
                          </w:rPr>
                          <w:t xml:space="preserve">[13] </w:t>
                        </w:r>
                      </w:p>
                    </w:tc>
                    <w:tc>
                      <w:tcPr>
                        <w:tcW w:w="0" w:type="auto"/>
                        <w:hideMark/>
                      </w:tcPr>
                      <w:p w14:paraId="1869B68F" w14:textId="77777777" w:rsidR="00C713A4" w:rsidRPr="00BD1CBB" w:rsidRDefault="00C713A4" w:rsidP="00622670">
                        <w:pPr>
                          <w:pStyle w:val="Bibliography"/>
                          <w:rPr>
                            <w:rFonts w:ascii="Calibri" w:hAnsi="Calibri" w:cs="Calibri"/>
                            <w:noProof/>
                            <w:szCs w:val="22"/>
                          </w:rPr>
                        </w:pPr>
                        <w:r w:rsidRPr="00BD1CBB">
                          <w:rPr>
                            <w:rFonts w:ascii="Calibri" w:hAnsi="Calibri" w:cs="Calibri"/>
                            <w:noProof/>
                            <w:szCs w:val="22"/>
                          </w:rPr>
                          <w:t>The National Institute for Occupational Safety and Health (NIOSH), “Hierarchy of Controls,” The National Institute for Occupational Safety and Health (NIOSH), 17 January 2023. [Online]. Available: https://www.cdc.gov/niosh/topics/hierarchy/default.html. [Accessed 09 07 2023].</w:t>
                        </w:r>
                      </w:p>
                    </w:tc>
                  </w:tr>
                  <w:tr w:rsidR="00C713A4" w:rsidRPr="00BD1CBB" w14:paraId="5F241F2E" w14:textId="77777777" w:rsidTr="00622670">
                    <w:trPr>
                      <w:tblCellSpacing w:w="15" w:type="dxa"/>
                    </w:trPr>
                    <w:tc>
                      <w:tcPr>
                        <w:tcW w:w="50" w:type="pct"/>
                        <w:hideMark/>
                      </w:tcPr>
                      <w:p w14:paraId="0B3C6271" w14:textId="77777777" w:rsidR="00C713A4" w:rsidRPr="00BD1CBB" w:rsidRDefault="00C713A4" w:rsidP="00622670">
                        <w:pPr>
                          <w:pStyle w:val="Bibliography"/>
                          <w:rPr>
                            <w:rFonts w:ascii="Calibri" w:hAnsi="Calibri" w:cs="Calibri"/>
                            <w:noProof/>
                            <w:szCs w:val="22"/>
                          </w:rPr>
                        </w:pPr>
                        <w:r w:rsidRPr="00BD1CBB">
                          <w:rPr>
                            <w:rFonts w:ascii="Calibri" w:hAnsi="Calibri" w:cs="Calibri"/>
                            <w:noProof/>
                            <w:szCs w:val="22"/>
                          </w:rPr>
                          <w:t xml:space="preserve">[14] </w:t>
                        </w:r>
                      </w:p>
                    </w:tc>
                    <w:tc>
                      <w:tcPr>
                        <w:tcW w:w="0" w:type="auto"/>
                        <w:hideMark/>
                      </w:tcPr>
                      <w:p w14:paraId="269938C8" w14:textId="77777777" w:rsidR="00C713A4" w:rsidRPr="00BD1CBB" w:rsidRDefault="00C713A4" w:rsidP="00622670">
                        <w:pPr>
                          <w:pStyle w:val="Bibliography"/>
                          <w:rPr>
                            <w:rFonts w:ascii="Calibri" w:hAnsi="Calibri" w:cs="Calibri"/>
                            <w:noProof/>
                            <w:szCs w:val="22"/>
                          </w:rPr>
                        </w:pPr>
                        <w:r w:rsidRPr="00BD1CBB">
                          <w:rPr>
                            <w:rFonts w:ascii="Calibri" w:hAnsi="Calibri" w:cs="Calibri"/>
                            <w:i/>
                            <w:iCs/>
                            <w:noProof/>
                            <w:szCs w:val="22"/>
                          </w:rPr>
                          <w:t xml:space="preserve">The Explosive Regulations 2014, </w:t>
                        </w:r>
                        <w:r w:rsidRPr="00BD1CBB">
                          <w:rPr>
                            <w:rFonts w:ascii="Calibri" w:hAnsi="Calibri" w:cs="Calibri"/>
                            <w:noProof/>
                            <w:szCs w:val="22"/>
                          </w:rPr>
                          <w:t xml:space="preserve">SI No. 1638. </w:t>
                        </w:r>
                      </w:p>
                    </w:tc>
                  </w:tr>
                  <w:tr w:rsidR="00C713A4" w:rsidRPr="00BD1CBB" w14:paraId="7BBEF976" w14:textId="77777777" w:rsidTr="00622670">
                    <w:trPr>
                      <w:tblCellSpacing w:w="15" w:type="dxa"/>
                    </w:trPr>
                    <w:tc>
                      <w:tcPr>
                        <w:tcW w:w="50" w:type="pct"/>
                        <w:hideMark/>
                      </w:tcPr>
                      <w:p w14:paraId="07CD0F57" w14:textId="77777777" w:rsidR="00C713A4" w:rsidRPr="00BD1CBB" w:rsidRDefault="00C713A4" w:rsidP="00622670">
                        <w:pPr>
                          <w:pStyle w:val="Bibliography"/>
                          <w:rPr>
                            <w:rFonts w:ascii="Calibri" w:hAnsi="Calibri" w:cs="Calibri"/>
                            <w:noProof/>
                            <w:szCs w:val="22"/>
                          </w:rPr>
                        </w:pPr>
                        <w:r w:rsidRPr="00BD1CBB">
                          <w:rPr>
                            <w:rFonts w:ascii="Calibri" w:hAnsi="Calibri" w:cs="Calibri"/>
                            <w:noProof/>
                            <w:szCs w:val="22"/>
                          </w:rPr>
                          <w:t xml:space="preserve">[15] </w:t>
                        </w:r>
                      </w:p>
                    </w:tc>
                    <w:tc>
                      <w:tcPr>
                        <w:tcW w:w="0" w:type="auto"/>
                        <w:hideMark/>
                      </w:tcPr>
                      <w:p w14:paraId="60D23819" w14:textId="77777777" w:rsidR="00C713A4" w:rsidRPr="00BD1CBB" w:rsidRDefault="00C713A4" w:rsidP="00622670">
                        <w:pPr>
                          <w:pStyle w:val="Bibliography"/>
                          <w:rPr>
                            <w:rFonts w:ascii="Calibri" w:hAnsi="Calibri" w:cs="Calibri"/>
                            <w:noProof/>
                            <w:szCs w:val="22"/>
                          </w:rPr>
                        </w:pPr>
                        <w:r w:rsidRPr="00BD1CBB">
                          <w:rPr>
                            <w:rFonts w:ascii="Calibri" w:hAnsi="Calibri" w:cs="Calibri"/>
                            <w:noProof/>
                            <w:szCs w:val="22"/>
                          </w:rPr>
                          <w:t>Health and Safety Executive, “Explosive Regulations Safety Provisions,” Health and Safety Executive, 2014.</w:t>
                        </w:r>
                      </w:p>
                    </w:tc>
                  </w:tr>
                  <w:tr w:rsidR="00C713A4" w:rsidRPr="00BD1CBB" w14:paraId="07A00754" w14:textId="77777777" w:rsidTr="00622670">
                    <w:trPr>
                      <w:tblCellSpacing w:w="15" w:type="dxa"/>
                    </w:trPr>
                    <w:tc>
                      <w:tcPr>
                        <w:tcW w:w="50" w:type="pct"/>
                        <w:hideMark/>
                      </w:tcPr>
                      <w:p w14:paraId="687510A9" w14:textId="77777777" w:rsidR="00C713A4" w:rsidRPr="00BD1CBB" w:rsidRDefault="00C713A4" w:rsidP="00622670">
                        <w:pPr>
                          <w:pStyle w:val="Bibliography"/>
                          <w:rPr>
                            <w:rFonts w:ascii="Calibri" w:hAnsi="Calibri" w:cs="Calibri"/>
                            <w:noProof/>
                            <w:szCs w:val="22"/>
                          </w:rPr>
                        </w:pPr>
                        <w:r w:rsidRPr="00BD1CBB">
                          <w:rPr>
                            <w:rFonts w:ascii="Calibri" w:hAnsi="Calibri" w:cs="Calibri"/>
                            <w:noProof/>
                            <w:szCs w:val="22"/>
                          </w:rPr>
                          <w:t xml:space="preserve">[16] </w:t>
                        </w:r>
                      </w:p>
                    </w:tc>
                    <w:tc>
                      <w:tcPr>
                        <w:tcW w:w="0" w:type="auto"/>
                        <w:hideMark/>
                      </w:tcPr>
                      <w:p w14:paraId="6E0D19B4" w14:textId="77777777" w:rsidR="00C713A4" w:rsidRPr="00BD1CBB" w:rsidRDefault="00C713A4" w:rsidP="00622670">
                        <w:pPr>
                          <w:pStyle w:val="Bibliography"/>
                          <w:rPr>
                            <w:rFonts w:ascii="Calibri" w:hAnsi="Calibri" w:cs="Calibri"/>
                            <w:noProof/>
                            <w:szCs w:val="22"/>
                          </w:rPr>
                        </w:pPr>
                        <w:r w:rsidRPr="00BD1CBB">
                          <w:rPr>
                            <w:rFonts w:ascii="Calibri" w:hAnsi="Calibri" w:cs="Calibri"/>
                            <w:noProof/>
                            <w:szCs w:val="22"/>
                          </w:rPr>
                          <w:t>R. Thomas, “Cost of Royal Navy frigate HMS Iron Duke refit revealed,” Naval Technology, 27 June 2023. [Online]. Available: http://bitly.ws/LwsK. [Accessed 09 07 2023].</w:t>
                        </w:r>
                      </w:p>
                    </w:tc>
                  </w:tr>
                  <w:tr w:rsidR="00C713A4" w:rsidRPr="00BD1CBB" w14:paraId="4B9EB4AE" w14:textId="77777777" w:rsidTr="00622670">
                    <w:trPr>
                      <w:tblCellSpacing w:w="15" w:type="dxa"/>
                    </w:trPr>
                    <w:tc>
                      <w:tcPr>
                        <w:tcW w:w="50" w:type="pct"/>
                        <w:hideMark/>
                      </w:tcPr>
                      <w:p w14:paraId="2145DB96" w14:textId="77777777" w:rsidR="00C713A4" w:rsidRPr="00BD1CBB" w:rsidRDefault="00C713A4" w:rsidP="00622670">
                        <w:pPr>
                          <w:pStyle w:val="Bibliography"/>
                          <w:rPr>
                            <w:rFonts w:ascii="Calibri" w:hAnsi="Calibri" w:cs="Calibri"/>
                            <w:noProof/>
                            <w:szCs w:val="22"/>
                          </w:rPr>
                        </w:pPr>
                        <w:r w:rsidRPr="00BD1CBB">
                          <w:rPr>
                            <w:rFonts w:ascii="Calibri" w:hAnsi="Calibri" w:cs="Calibri"/>
                            <w:noProof/>
                            <w:szCs w:val="22"/>
                          </w:rPr>
                          <w:t xml:space="preserve">[17] </w:t>
                        </w:r>
                      </w:p>
                    </w:tc>
                    <w:tc>
                      <w:tcPr>
                        <w:tcW w:w="0" w:type="auto"/>
                        <w:hideMark/>
                      </w:tcPr>
                      <w:p w14:paraId="1005DA91" w14:textId="77777777" w:rsidR="00C713A4" w:rsidRPr="00BD1CBB" w:rsidRDefault="00C713A4" w:rsidP="00622670">
                        <w:pPr>
                          <w:pStyle w:val="Bibliography"/>
                          <w:rPr>
                            <w:rFonts w:ascii="Calibri" w:hAnsi="Calibri" w:cs="Calibri"/>
                            <w:noProof/>
                            <w:szCs w:val="22"/>
                          </w:rPr>
                        </w:pPr>
                        <w:r w:rsidRPr="00BD1CBB">
                          <w:rPr>
                            <w:rFonts w:ascii="Calibri" w:hAnsi="Calibri" w:cs="Calibri"/>
                            <w:noProof/>
                            <w:szCs w:val="22"/>
                          </w:rPr>
                          <w:t>Royal Navy, “£850m Sea Ceptor missile system enters service with the Royal Navy,” Royal Navy, 24 05 2018. [Online]. Available: http://bitly.ws/Lwsy. [Accessed 13 07 2023].</w:t>
                        </w:r>
                      </w:p>
                    </w:tc>
                  </w:tr>
                  <w:tr w:rsidR="00C713A4" w:rsidRPr="00BD1CBB" w14:paraId="1937ABEC" w14:textId="77777777" w:rsidTr="00622670">
                    <w:trPr>
                      <w:tblCellSpacing w:w="15" w:type="dxa"/>
                    </w:trPr>
                    <w:tc>
                      <w:tcPr>
                        <w:tcW w:w="50" w:type="pct"/>
                        <w:hideMark/>
                      </w:tcPr>
                      <w:p w14:paraId="22866668" w14:textId="77777777" w:rsidR="00C713A4" w:rsidRPr="00BD1CBB" w:rsidRDefault="00C713A4" w:rsidP="00622670">
                        <w:pPr>
                          <w:pStyle w:val="Bibliography"/>
                          <w:rPr>
                            <w:rFonts w:ascii="Calibri" w:hAnsi="Calibri" w:cs="Calibri"/>
                            <w:noProof/>
                            <w:szCs w:val="22"/>
                          </w:rPr>
                        </w:pPr>
                        <w:r w:rsidRPr="00BD1CBB">
                          <w:rPr>
                            <w:rFonts w:ascii="Calibri" w:hAnsi="Calibri" w:cs="Calibri"/>
                            <w:noProof/>
                            <w:szCs w:val="22"/>
                          </w:rPr>
                          <w:t xml:space="preserve">[18] </w:t>
                        </w:r>
                      </w:p>
                    </w:tc>
                    <w:tc>
                      <w:tcPr>
                        <w:tcW w:w="0" w:type="auto"/>
                        <w:hideMark/>
                      </w:tcPr>
                      <w:p w14:paraId="19136C8A" w14:textId="77777777" w:rsidR="00C713A4" w:rsidRPr="00BD1CBB" w:rsidRDefault="00C713A4" w:rsidP="00622670">
                        <w:pPr>
                          <w:pStyle w:val="Bibliography"/>
                          <w:rPr>
                            <w:rFonts w:ascii="Calibri" w:hAnsi="Calibri" w:cs="Calibri"/>
                            <w:noProof/>
                            <w:szCs w:val="22"/>
                          </w:rPr>
                        </w:pPr>
                        <w:r w:rsidRPr="00BD1CBB">
                          <w:rPr>
                            <w:rFonts w:ascii="Calibri" w:hAnsi="Calibri" w:cs="Calibri"/>
                            <w:noProof/>
                            <w:szCs w:val="22"/>
                          </w:rPr>
                          <w:t>BAE Systems, “Making Explosives Safer,” BAE systems, 2023. [Online]. Available: https://www.baesystems.com/en-uk/feature/making-explosives-safer. [Accessed 03 04 2023].</w:t>
                        </w:r>
                      </w:p>
                    </w:tc>
                  </w:tr>
                </w:tbl>
                <w:p w14:paraId="07CB42A5" w14:textId="77777777" w:rsidR="00C713A4" w:rsidRPr="00BD1CBB" w:rsidRDefault="00C713A4" w:rsidP="00C713A4">
                  <w:pPr>
                    <w:rPr>
                      <w:rFonts w:ascii="Calibri" w:eastAsia="Times New Roman" w:hAnsi="Calibri" w:cs="Calibri"/>
                      <w:noProof/>
                      <w:szCs w:val="22"/>
                    </w:rPr>
                  </w:pPr>
                </w:p>
                <w:p w14:paraId="1BC8797A" w14:textId="77777777" w:rsidR="00C713A4" w:rsidRPr="00BD1CBB" w:rsidRDefault="00C713A4" w:rsidP="00C713A4">
                  <w:pPr>
                    <w:spacing w:before="0" w:after="160" w:line="259" w:lineRule="auto"/>
                    <w:rPr>
                      <w:rFonts w:ascii="Calibri" w:hAnsi="Calibri" w:cs="Calibri"/>
                      <w:szCs w:val="22"/>
                    </w:rPr>
                  </w:pPr>
                  <w:r w:rsidRPr="00BD1CBB">
                    <w:rPr>
                      <w:rFonts w:ascii="Calibri" w:hAnsi="Calibri" w:cs="Calibri"/>
                      <w:b/>
                      <w:bCs/>
                      <w:noProof/>
                      <w:szCs w:val="22"/>
                    </w:rPr>
                    <w:fldChar w:fldCharType="end"/>
                  </w:r>
                </w:p>
              </w:sdtContent>
            </w:sdt>
          </w:sdtContent>
        </w:sdt>
        <w:p w14:paraId="74E9065F" w14:textId="77777777" w:rsidR="00C713A4" w:rsidRDefault="00C713A4" w:rsidP="00C713A4"/>
        <w:p w14:paraId="4864F3FF" w14:textId="51B6E300" w:rsidR="005C6715" w:rsidRPr="003202AC" w:rsidRDefault="005C6715" w:rsidP="002179F7"/>
      </w:sdtContent>
    </w:sdt>
    <w:sectPr w:rsidR="005C6715" w:rsidRPr="003202AC" w:rsidSect="00C713A4">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3083D3" w14:textId="77777777" w:rsidR="00660C12" w:rsidRDefault="00660C12">
      <w:r>
        <w:separator/>
      </w:r>
    </w:p>
  </w:endnote>
  <w:endnote w:type="continuationSeparator" w:id="0">
    <w:p w14:paraId="3F367C60" w14:textId="77777777" w:rsidR="00660C12" w:rsidRDefault="00660C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Lucida Bright">
    <w:panose1 w:val="020406020505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774CA" w14:textId="02F97FEC" w:rsidR="00833D9E" w:rsidRPr="001923DE" w:rsidRDefault="00331889" w:rsidP="00DF5F9A">
    <w:pPr>
      <w:pStyle w:val="Footer"/>
      <w:tabs>
        <w:tab w:val="clear" w:pos="4153"/>
        <w:tab w:val="clear" w:pos="8306"/>
        <w:tab w:val="center" w:pos="7371"/>
        <w:tab w:val="right" w:pos="14601"/>
      </w:tabs>
      <w:ind w:right="28"/>
      <w:rPr>
        <w:rStyle w:val="PageNumber"/>
        <w:sz w:val="22"/>
      </w:rPr>
    </w:pPr>
    <w:r w:rsidRPr="00F3597B">
      <w:rPr>
        <w:sz w:val="22"/>
      </w:rPr>
      <w:t>Risk Assessment</w:t>
    </w:r>
    <w:r w:rsidR="00A14FED">
      <w:rPr>
        <w:sz w:val="22"/>
      </w:rPr>
      <w:t xml:space="preserve"> Form</w:t>
    </w:r>
    <w:r w:rsidR="00833D9E" w:rsidRPr="001923DE">
      <w:rPr>
        <w:sz w:val="22"/>
      </w:rPr>
      <w:tab/>
    </w:r>
    <w:r w:rsidR="00833D9E" w:rsidRPr="001923DE">
      <w:rPr>
        <w:sz w:val="22"/>
      </w:rPr>
      <w:tab/>
      <w:t xml:space="preserve">Page </w:t>
    </w:r>
    <w:r w:rsidR="00833D9E" w:rsidRPr="001923DE">
      <w:rPr>
        <w:rStyle w:val="PageNumber"/>
        <w:sz w:val="22"/>
      </w:rPr>
      <w:fldChar w:fldCharType="begin"/>
    </w:r>
    <w:r w:rsidR="00833D9E" w:rsidRPr="001923DE">
      <w:rPr>
        <w:rStyle w:val="PageNumber"/>
        <w:sz w:val="22"/>
      </w:rPr>
      <w:instrText xml:space="preserve"> PAGE </w:instrText>
    </w:r>
    <w:r w:rsidR="00833D9E" w:rsidRPr="001923DE">
      <w:rPr>
        <w:rStyle w:val="PageNumber"/>
        <w:sz w:val="22"/>
      </w:rPr>
      <w:fldChar w:fldCharType="separate"/>
    </w:r>
    <w:r w:rsidR="006C0428">
      <w:rPr>
        <w:rStyle w:val="PageNumber"/>
        <w:noProof/>
        <w:sz w:val="22"/>
      </w:rPr>
      <w:t>1</w:t>
    </w:r>
    <w:r w:rsidR="00833D9E" w:rsidRPr="001923DE">
      <w:rPr>
        <w:rStyle w:val="PageNumber"/>
        <w:sz w:val="22"/>
      </w:rPr>
      <w:fldChar w:fldCharType="end"/>
    </w:r>
    <w:r w:rsidR="00833D9E" w:rsidRPr="001923DE">
      <w:rPr>
        <w:rStyle w:val="PageNumber"/>
        <w:sz w:val="22"/>
      </w:rPr>
      <w:t xml:space="preserve"> of </w:t>
    </w:r>
    <w:r w:rsidR="00833D9E" w:rsidRPr="001923DE">
      <w:rPr>
        <w:rStyle w:val="PageNumber"/>
        <w:sz w:val="22"/>
      </w:rPr>
      <w:fldChar w:fldCharType="begin"/>
    </w:r>
    <w:r w:rsidR="00833D9E" w:rsidRPr="001923DE">
      <w:rPr>
        <w:rStyle w:val="PageNumber"/>
        <w:sz w:val="22"/>
      </w:rPr>
      <w:instrText xml:space="preserve"> NUMPAGES </w:instrText>
    </w:r>
    <w:r w:rsidR="00833D9E" w:rsidRPr="001923DE">
      <w:rPr>
        <w:rStyle w:val="PageNumber"/>
        <w:sz w:val="22"/>
      </w:rPr>
      <w:fldChar w:fldCharType="separate"/>
    </w:r>
    <w:r w:rsidR="006C0428">
      <w:rPr>
        <w:rStyle w:val="PageNumber"/>
        <w:noProof/>
        <w:sz w:val="22"/>
      </w:rPr>
      <w:t>14</w:t>
    </w:r>
    <w:r w:rsidR="00833D9E" w:rsidRPr="001923DE">
      <w:rPr>
        <w:rStyle w:val="PageNumber"/>
        <w:sz w:val="22"/>
      </w:rPr>
      <w:fldChar w:fldCharType="end"/>
    </w:r>
  </w:p>
  <w:p w14:paraId="48A83A01" w14:textId="4CDBBC01" w:rsidR="00833D9E" w:rsidRPr="001923DE" w:rsidRDefault="00833D9E" w:rsidP="00DF5F9A">
    <w:pPr>
      <w:pStyle w:val="Footer"/>
      <w:tabs>
        <w:tab w:val="clear" w:pos="4153"/>
        <w:tab w:val="clear" w:pos="8306"/>
        <w:tab w:val="center" w:pos="7371"/>
        <w:tab w:val="right" w:pos="14601"/>
      </w:tabs>
      <w:ind w:right="27"/>
      <w:rPr>
        <w:rStyle w:val="Strong"/>
        <w:b w:val="0"/>
        <w:bCs w:val="0"/>
        <w:sz w:val="22"/>
      </w:rPr>
    </w:pPr>
    <w:r w:rsidRPr="001923DE">
      <w:rPr>
        <w:rStyle w:val="PageNumber"/>
        <w:sz w:val="22"/>
      </w:rPr>
      <w:t xml:space="preserve">Date of issue </w:t>
    </w:r>
    <w:r w:rsidR="00A14FED">
      <w:rPr>
        <w:rStyle w:val="PageNumber"/>
        <w:sz w:val="22"/>
      </w:rPr>
      <w:t>Ju</w:t>
    </w:r>
    <w:r w:rsidR="00342066">
      <w:rPr>
        <w:rStyle w:val="PageNumber"/>
        <w:sz w:val="22"/>
      </w:rPr>
      <w:t>l</w:t>
    </w:r>
    <w:r w:rsidR="00A14FED">
      <w:rPr>
        <w:rStyle w:val="PageNumber"/>
        <w:sz w:val="22"/>
      </w:rPr>
      <w:t xml:space="preserve"> 23</w:t>
    </w:r>
    <w:r w:rsidRPr="001923DE">
      <w:rPr>
        <w:rStyle w:val="PageNumber"/>
        <w:sz w:val="22"/>
      </w:rPr>
      <w:tab/>
    </w:r>
    <w:r w:rsidRPr="001923DE">
      <w:rPr>
        <w:rStyle w:val="PageNumber"/>
        <w:sz w:val="22"/>
      </w:rPr>
      <w:tab/>
    </w:r>
    <w:r w:rsidRPr="001923DE">
      <w:rPr>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1015664"/>
      <w:docPartObj>
        <w:docPartGallery w:val="Page Numbers (Bottom of Page)"/>
        <w:docPartUnique/>
      </w:docPartObj>
    </w:sdtPr>
    <w:sdtEndPr>
      <w:rPr>
        <w:noProof/>
      </w:rPr>
    </w:sdtEndPr>
    <w:sdtContent>
      <w:p w14:paraId="407652DC" w14:textId="603AF94B" w:rsidR="00C713A4" w:rsidRDefault="00C713A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EE12EB" w14:textId="7BE36DFC" w:rsidR="00C713A4" w:rsidRPr="001923DE" w:rsidRDefault="00C713A4" w:rsidP="00DF5F9A">
    <w:pPr>
      <w:pStyle w:val="Footer"/>
      <w:tabs>
        <w:tab w:val="clear" w:pos="4153"/>
        <w:tab w:val="clear" w:pos="8306"/>
        <w:tab w:val="center" w:pos="7371"/>
        <w:tab w:val="right" w:pos="14601"/>
      </w:tabs>
      <w:ind w:right="27"/>
      <w:rPr>
        <w:rStyle w:val="Strong"/>
        <w:b w:val="0"/>
        <w:bCs w:val="0"/>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FCA55" w14:textId="77777777" w:rsidR="00660C12" w:rsidRDefault="00660C12">
      <w:r>
        <w:separator/>
      </w:r>
    </w:p>
  </w:footnote>
  <w:footnote w:type="continuationSeparator" w:id="0">
    <w:p w14:paraId="0CEAF5DA" w14:textId="77777777" w:rsidR="00660C12" w:rsidRDefault="00660C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DD759" w14:textId="77777777" w:rsidR="00833D9E" w:rsidRDefault="00000000">
    <w:pPr>
      <w:pStyle w:val="Header"/>
    </w:pPr>
    <w:r>
      <w:rPr>
        <w:noProof/>
        <w:lang w:eastAsia="ja-JP"/>
      </w:rPr>
      <w:pict w14:anchorId="6FA8BB1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445172" o:spid="_x0000_s1027" type="#_x0000_t136" style="position:absolute;margin-left:0;margin-top:0;width:484.75pt;height:193.9pt;rotation:315;z-index:-251658240;mso-position-horizontal:center;mso-position-horizontal-relative:margin;mso-position-vertical:center;mso-position-vertical-relative:margin" o:allowincell="f" fillcolor="#7f7f7f" stroked="f">
          <v:fill opacity=".5"/>
          <v:textpath style="font-family:&quot;Arial&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71372" w14:textId="140BF920" w:rsidR="00833D9E" w:rsidRPr="00A6177A" w:rsidRDefault="00833D9E" w:rsidP="00DF5F9A">
    <w:pPr>
      <w:tabs>
        <w:tab w:val="center" w:pos="7371"/>
      </w:tabs>
      <w:spacing w:line="480" w:lineRule="auto"/>
    </w:pPr>
    <w:r>
      <w:rPr>
        <w:b/>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48913" w14:textId="77777777" w:rsidR="00833D9E" w:rsidRDefault="00000000">
    <w:pPr>
      <w:pStyle w:val="Header"/>
    </w:pPr>
    <w:r>
      <w:rPr>
        <w:noProof/>
        <w:lang w:eastAsia="ja-JP"/>
      </w:rPr>
      <w:pict w14:anchorId="3A903FF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445171" o:spid="_x0000_s1026" type="#_x0000_t136" style="position:absolute;margin-left:0;margin-top:0;width:484.75pt;height:193.9pt;rotation:315;z-index:-251659264;mso-position-horizontal:center;mso-position-horizontal-relative:margin;mso-position-vertical:center;mso-position-vertical-relative:margin" o:allowincell="f" fillcolor="#7f7f7f" stroked="f">
          <v:fill opacity=".5"/>
          <v:textpath style="font-family:&quot;Arial&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72B1A"/>
    <w:multiLevelType w:val="hybridMultilevel"/>
    <w:tmpl w:val="8814E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F1578B"/>
    <w:multiLevelType w:val="hybridMultilevel"/>
    <w:tmpl w:val="6EA8B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5825B41"/>
    <w:multiLevelType w:val="hybridMultilevel"/>
    <w:tmpl w:val="078CC9DE"/>
    <w:lvl w:ilvl="0" w:tplc="0809000F">
      <w:start w:val="1"/>
      <w:numFmt w:val="decimal"/>
      <w:lvlText w:val="%1."/>
      <w:lvlJc w:val="left"/>
      <w:pPr>
        <w:ind w:left="1560" w:hanging="360"/>
      </w:pPr>
    </w:lvl>
    <w:lvl w:ilvl="1" w:tplc="08090019" w:tentative="1">
      <w:start w:val="1"/>
      <w:numFmt w:val="lowerLetter"/>
      <w:lvlText w:val="%2."/>
      <w:lvlJc w:val="left"/>
      <w:pPr>
        <w:ind w:left="2280" w:hanging="360"/>
      </w:pPr>
    </w:lvl>
    <w:lvl w:ilvl="2" w:tplc="0809001B" w:tentative="1">
      <w:start w:val="1"/>
      <w:numFmt w:val="lowerRoman"/>
      <w:lvlText w:val="%3."/>
      <w:lvlJc w:val="right"/>
      <w:pPr>
        <w:ind w:left="3000" w:hanging="180"/>
      </w:pPr>
    </w:lvl>
    <w:lvl w:ilvl="3" w:tplc="0809000F" w:tentative="1">
      <w:start w:val="1"/>
      <w:numFmt w:val="decimal"/>
      <w:lvlText w:val="%4."/>
      <w:lvlJc w:val="left"/>
      <w:pPr>
        <w:ind w:left="3720" w:hanging="360"/>
      </w:pPr>
    </w:lvl>
    <w:lvl w:ilvl="4" w:tplc="08090019" w:tentative="1">
      <w:start w:val="1"/>
      <w:numFmt w:val="lowerLetter"/>
      <w:lvlText w:val="%5."/>
      <w:lvlJc w:val="left"/>
      <w:pPr>
        <w:ind w:left="4440" w:hanging="360"/>
      </w:pPr>
    </w:lvl>
    <w:lvl w:ilvl="5" w:tplc="0809001B" w:tentative="1">
      <w:start w:val="1"/>
      <w:numFmt w:val="lowerRoman"/>
      <w:lvlText w:val="%6."/>
      <w:lvlJc w:val="right"/>
      <w:pPr>
        <w:ind w:left="5160" w:hanging="180"/>
      </w:pPr>
    </w:lvl>
    <w:lvl w:ilvl="6" w:tplc="0809000F" w:tentative="1">
      <w:start w:val="1"/>
      <w:numFmt w:val="decimal"/>
      <w:lvlText w:val="%7."/>
      <w:lvlJc w:val="left"/>
      <w:pPr>
        <w:ind w:left="5880" w:hanging="360"/>
      </w:pPr>
    </w:lvl>
    <w:lvl w:ilvl="7" w:tplc="08090019" w:tentative="1">
      <w:start w:val="1"/>
      <w:numFmt w:val="lowerLetter"/>
      <w:lvlText w:val="%8."/>
      <w:lvlJc w:val="left"/>
      <w:pPr>
        <w:ind w:left="6600" w:hanging="360"/>
      </w:pPr>
    </w:lvl>
    <w:lvl w:ilvl="8" w:tplc="0809001B" w:tentative="1">
      <w:start w:val="1"/>
      <w:numFmt w:val="lowerRoman"/>
      <w:lvlText w:val="%9."/>
      <w:lvlJc w:val="right"/>
      <w:pPr>
        <w:ind w:left="7320" w:hanging="180"/>
      </w:pPr>
    </w:lvl>
  </w:abstractNum>
  <w:abstractNum w:abstractNumId="3" w15:restartNumberingAfterBreak="0">
    <w:nsid w:val="16C23C45"/>
    <w:multiLevelType w:val="hybridMultilevel"/>
    <w:tmpl w:val="AC7A49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8367824"/>
    <w:multiLevelType w:val="hybridMultilevel"/>
    <w:tmpl w:val="A7FE3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21381B"/>
    <w:multiLevelType w:val="hybridMultilevel"/>
    <w:tmpl w:val="2B04A3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9BD2475"/>
    <w:multiLevelType w:val="hybridMultilevel"/>
    <w:tmpl w:val="415272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E735B32"/>
    <w:multiLevelType w:val="hybridMultilevel"/>
    <w:tmpl w:val="997CC6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25E7427"/>
    <w:multiLevelType w:val="hybridMultilevel"/>
    <w:tmpl w:val="80EC7E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0A4D77"/>
    <w:multiLevelType w:val="multilevel"/>
    <w:tmpl w:val="594AF5F4"/>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0" w15:restartNumberingAfterBreak="0">
    <w:nsid w:val="3AD13530"/>
    <w:multiLevelType w:val="hybridMultilevel"/>
    <w:tmpl w:val="AC2C988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DC86ABF"/>
    <w:multiLevelType w:val="hybridMultilevel"/>
    <w:tmpl w:val="4D0401E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447573E7"/>
    <w:multiLevelType w:val="hybridMultilevel"/>
    <w:tmpl w:val="90A46C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B193C0F"/>
    <w:multiLevelType w:val="hybridMultilevel"/>
    <w:tmpl w:val="87FC5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B9337F"/>
    <w:multiLevelType w:val="hybridMultilevel"/>
    <w:tmpl w:val="819836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6AB33E9"/>
    <w:multiLevelType w:val="hybridMultilevel"/>
    <w:tmpl w:val="5388F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574B6C"/>
    <w:multiLevelType w:val="hybridMultilevel"/>
    <w:tmpl w:val="AD286BDE"/>
    <w:lvl w:ilvl="0" w:tplc="08090017">
      <w:start w:val="1"/>
      <w:numFmt w:val="lowerLetter"/>
      <w:lvlText w:val="%1)"/>
      <w:lvlJc w:val="left"/>
      <w:pPr>
        <w:ind w:left="787" w:hanging="360"/>
      </w:pPr>
    </w:lvl>
    <w:lvl w:ilvl="1" w:tplc="08090019">
      <w:start w:val="1"/>
      <w:numFmt w:val="lowerLetter"/>
      <w:lvlText w:val="%2."/>
      <w:lvlJc w:val="left"/>
      <w:pPr>
        <w:ind w:left="1507" w:hanging="360"/>
      </w:pPr>
    </w:lvl>
    <w:lvl w:ilvl="2" w:tplc="0809001B">
      <w:start w:val="1"/>
      <w:numFmt w:val="lowerRoman"/>
      <w:lvlText w:val="%3."/>
      <w:lvlJc w:val="right"/>
      <w:pPr>
        <w:ind w:left="2227" w:hanging="180"/>
      </w:pPr>
    </w:lvl>
    <w:lvl w:ilvl="3" w:tplc="0809000F">
      <w:start w:val="1"/>
      <w:numFmt w:val="decimal"/>
      <w:lvlText w:val="%4."/>
      <w:lvlJc w:val="left"/>
      <w:pPr>
        <w:ind w:left="2947" w:hanging="360"/>
      </w:pPr>
    </w:lvl>
    <w:lvl w:ilvl="4" w:tplc="08090019">
      <w:start w:val="1"/>
      <w:numFmt w:val="lowerLetter"/>
      <w:lvlText w:val="%5."/>
      <w:lvlJc w:val="left"/>
      <w:pPr>
        <w:ind w:left="3667" w:hanging="360"/>
      </w:pPr>
    </w:lvl>
    <w:lvl w:ilvl="5" w:tplc="0809001B">
      <w:start w:val="1"/>
      <w:numFmt w:val="lowerRoman"/>
      <w:lvlText w:val="%6."/>
      <w:lvlJc w:val="right"/>
      <w:pPr>
        <w:ind w:left="4387" w:hanging="180"/>
      </w:pPr>
    </w:lvl>
    <w:lvl w:ilvl="6" w:tplc="0809000F">
      <w:start w:val="1"/>
      <w:numFmt w:val="decimal"/>
      <w:lvlText w:val="%7."/>
      <w:lvlJc w:val="left"/>
      <w:pPr>
        <w:ind w:left="5107" w:hanging="360"/>
      </w:pPr>
    </w:lvl>
    <w:lvl w:ilvl="7" w:tplc="08090019">
      <w:start w:val="1"/>
      <w:numFmt w:val="lowerLetter"/>
      <w:lvlText w:val="%8."/>
      <w:lvlJc w:val="left"/>
      <w:pPr>
        <w:ind w:left="5827" w:hanging="360"/>
      </w:pPr>
    </w:lvl>
    <w:lvl w:ilvl="8" w:tplc="0809001B">
      <w:start w:val="1"/>
      <w:numFmt w:val="lowerRoman"/>
      <w:lvlText w:val="%9."/>
      <w:lvlJc w:val="right"/>
      <w:pPr>
        <w:ind w:left="6547" w:hanging="180"/>
      </w:pPr>
    </w:lvl>
  </w:abstractNum>
  <w:abstractNum w:abstractNumId="17" w15:restartNumberingAfterBreak="0">
    <w:nsid w:val="5B7A239B"/>
    <w:multiLevelType w:val="hybridMultilevel"/>
    <w:tmpl w:val="EE90C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EF7D2F"/>
    <w:multiLevelType w:val="hybridMultilevel"/>
    <w:tmpl w:val="A2A05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A24D92"/>
    <w:multiLevelType w:val="hybridMultilevel"/>
    <w:tmpl w:val="1690D3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D5218F9"/>
    <w:multiLevelType w:val="hybridMultilevel"/>
    <w:tmpl w:val="9B2461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F412F8D"/>
    <w:multiLevelType w:val="hybridMultilevel"/>
    <w:tmpl w:val="0410455C"/>
    <w:lvl w:ilvl="0" w:tplc="D7661376">
      <w:start w:val="1"/>
      <w:numFmt w:val="low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7F8A34E7"/>
    <w:multiLevelType w:val="hybridMultilevel"/>
    <w:tmpl w:val="73DC4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806085">
    <w:abstractNumId w:val="2"/>
  </w:num>
  <w:num w:numId="2" w16cid:durableId="270557634">
    <w:abstractNumId w:val="21"/>
  </w:num>
  <w:num w:numId="3" w16cid:durableId="592130496">
    <w:abstractNumId w:val="8"/>
  </w:num>
  <w:num w:numId="4" w16cid:durableId="316808351">
    <w:abstractNumId w:val="4"/>
  </w:num>
  <w:num w:numId="5" w16cid:durableId="1570648588">
    <w:abstractNumId w:val="15"/>
  </w:num>
  <w:num w:numId="6" w16cid:durableId="12949456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66357849">
    <w:abstractNumId w:val="5"/>
  </w:num>
  <w:num w:numId="8" w16cid:durableId="1498183065">
    <w:abstractNumId w:val="11"/>
  </w:num>
  <w:num w:numId="9" w16cid:durableId="1674724113">
    <w:abstractNumId w:val="16"/>
  </w:num>
  <w:num w:numId="10" w16cid:durableId="1563058836">
    <w:abstractNumId w:val="18"/>
  </w:num>
  <w:num w:numId="11" w16cid:durableId="609895534">
    <w:abstractNumId w:val="11"/>
  </w:num>
  <w:num w:numId="12" w16cid:durableId="1150638982">
    <w:abstractNumId w:val="12"/>
  </w:num>
  <w:num w:numId="13" w16cid:durableId="645822370">
    <w:abstractNumId w:val="10"/>
  </w:num>
  <w:num w:numId="14" w16cid:durableId="1534071240">
    <w:abstractNumId w:val="13"/>
  </w:num>
  <w:num w:numId="15" w16cid:durableId="1137257652">
    <w:abstractNumId w:val="7"/>
  </w:num>
  <w:num w:numId="16" w16cid:durableId="1426998583">
    <w:abstractNumId w:val="0"/>
  </w:num>
  <w:num w:numId="17" w16cid:durableId="1830095662">
    <w:abstractNumId w:val="1"/>
  </w:num>
  <w:num w:numId="18" w16cid:durableId="418406903">
    <w:abstractNumId w:val="6"/>
  </w:num>
  <w:num w:numId="19" w16cid:durableId="2038695929">
    <w:abstractNumId w:val="20"/>
  </w:num>
  <w:num w:numId="20" w16cid:durableId="757094252">
    <w:abstractNumId w:val="3"/>
  </w:num>
  <w:num w:numId="21" w16cid:durableId="1368411165">
    <w:abstractNumId w:val="14"/>
  </w:num>
  <w:num w:numId="22" w16cid:durableId="991060578">
    <w:abstractNumId w:val="17"/>
  </w:num>
  <w:num w:numId="23" w16cid:durableId="1169712267">
    <w:abstractNumId w:val="22"/>
  </w:num>
  <w:num w:numId="24" w16cid:durableId="91095190">
    <w:abstractNumId w:val="9"/>
  </w:num>
  <w:num w:numId="25" w16cid:durableId="84929575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characterSpacingControl w:val="doNotCompress"/>
  <w:hdrShapeDefaults>
    <o:shapedefaults v:ext="edit" spidmax="206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C42CAD"/>
    <w:rsid w:val="00001DB9"/>
    <w:rsid w:val="000024F4"/>
    <w:rsid w:val="000068BF"/>
    <w:rsid w:val="00006B05"/>
    <w:rsid w:val="000167A9"/>
    <w:rsid w:val="00020840"/>
    <w:rsid w:val="0003795B"/>
    <w:rsid w:val="00042C0D"/>
    <w:rsid w:val="000500EF"/>
    <w:rsid w:val="0005070E"/>
    <w:rsid w:val="00051085"/>
    <w:rsid w:val="00054D05"/>
    <w:rsid w:val="00055633"/>
    <w:rsid w:val="00055A2D"/>
    <w:rsid w:val="00056D01"/>
    <w:rsid w:val="0006068F"/>
    <w:rsid w:val="0009084B"/>
    <w:rsid w:val="00091031"/>
    <w:rsid w:val="000939EE"/>
    <w:rsid w:val="00096B2E"/>
    <w:rsid w:val="000A4D7D"/>
    <w:rsid w:val="000A7B7D"/>
    <w:rsid w:val="000A7C65"/>
    <w:rsid w:val="000B2304"/>
    <w:rsid w:val="000C6F24"/>
    <w:rsid w:val="000E2B24"/>
    <w:rsid w:val="000F3F43"/>
    <w:rsid w:val="000F7C33"/>
    <w:rsid w:val="001026BF"/>
    <w:rsid w:val="001102DC"/>
    <w:rsid w:val="0011138E"/>
    <w:rsid w:val="0013682F"/>
    <w:rsid w:val="00143583"/>
    <w:rsid w:val="00145277"/>
    <w:rsid w:val="0015157E"/>
    <w:rsid w:val="001674DE"/>
    <w:rsid w:val="00180302"/>
    <w:rsid w:val="0019007C"/>
    <w:rsid w:val="001923DE"/>
    <w:rsid w:val="001962C6"/>
    <w:rsid w:val="00197AC1"/>
    <w:rsid w:val="001A0ADB"/>
    <w:rsid w:val="001A4160"/>
    <w:rsid w:val="001A7B6B"/>
    <w:rsid w:val="001B1417"/>
    <w:rsid w:val="001C06CF"/>
    <w:rsid w:val="001C4862"/>
    <w:rsid w:val="001C4EAB"/>
    <w:rsid w:val="001D03DC"/>
    <w:rsid w:val="001D1916"/>
    <w:rsid w:val="001D2BD5"/>
    <w:rsid w:val="001E1F94"/>
    <w:rsid w:val="00203111"/>
    <w:rsid w:val="00203B6B"/>
    <w:rsid w:val="00204561"/>
    <w:rsid w:val="00216177"/>
    <w:rsid w:val="002179F7"/>
    <w:rsid w:val="002333C4"/>
    <w:rsid w:val="00236FD1"/>
    <w:rsid w:val="002401C5"/>
    <w:rsid w:val="00241037"/>
    <w:rsid w:val="0025205D"/>
    <w:rsid w:val="00252D8F"/>
    <w:rsid w:val="00252F88"/>
    <w:rsid w:val="00263234"/>
    <w:rsid w:val="00263AE0"/>
    <w:rsid w:val="0027073B"/>
    <w:rsid w:val="00275C87"/>
    <w:rsid w:val="0028068A"/>
    <w:rsid w:val="002806C3"/>
    <w:rsid w:val="00280E3D"/>
    <w:rsid w:val="00291A1B"/>
    <w:rsid w:val="00292791"/>
    <w:rsid w:val="0029437A"/>
    <w:rsid w:val="002A7965"/>
    <w:rsid w:val="002B7911"/>
    <w:rsid w:val="002C43C9"/>
    <w:rsid w:val="002C78ED"/>
    <w:rsid w:val="002D56B2"/>
    <w:rsid w:val="002D57F7"/>
    <w:rsid w:val="002E09E6"/>
    <w:rsid w:val="002E28D7"/>
    <w:rsid w:val="002E4097"/>
    <w:rsid w:val="002F15A0"/>
    <w:rsid w:val="002F2577"/>
    <w:rsid w:val="002F2EA5"/>
    <w:rsid w:val="002F7D5C"/>
    <w:rsid w:val="00302ECF"/>
    <w:rsid w:val="00304BA2"/>
    <w:rsid w:val="0031569F"/>
    <w:rsid w:val="003224A7"/>
    <w:rsid w:val="00322B20"/>
    <w:rsid w:val="00331889"/>
    <w:rsid w:val="00331EF8"/>
    <w:rsid w:val="0034034B"/>
    <w:rsid w:val="00342066"/>
    <w:rsid w:val="003438BC"/>
    <w:rsid w:val="00345160"/>
    <w:rsid w:val="00350166"/>
    <w:rsid w:val="0035045C"/>
    <w:rsid w:val="00362585"/>
    <w:rsid w:val="00362DAF"/>
    <w:rsid w:val="00370E99"/>
    <w:rsid w:val="0037127A"/>
    <w:rsid w:val="003756BB"/>
    <w:rsid w:val="00385F7A"/>
    <w:rsid w:val="00397B75"/>
    <w:rsid w:val="003A14ED"/>
    <w:rsid w:val="003A6E44"/>
    <w:rsid w:val="003A7A3A"/>
    <w:rsid w:val="003A7DD8"/>
    <w:rsid w:val="003C00F4"/>
    <w:rsid w:val="003D00A5"/>
    <w:rsid w:val="003D024E"/>
    <w:rsid w:val="003D150E"/>
    <w:rsid w:val="003D672C"/>
    <w:rsid w:val="003F26CC"/>
    <w:rsid w:val="003F355D"/>
    <w:rsid w:val="003F3AB3"/>
    <w:rsid w:val="00407BA4"/>
    <w:rsid w:val="00415190"/>
    <w:rsid w:val="00416E95"/>
    <w:rsid w:val="00420243"/>
    <w:rsid w:val="00427341"/>
    <w:rsid w:val="004368EA"/>
    <w:rsid w:val="004406E1"/>
    <w:rsid w:val="004409F8"/>
    <w:rsid w:val="00450680"/>
    <w:rsid w:val="00452ACB"/>
    <w:rsid w:val="00452F26"/>
    <w:rsid w:val="00456309"/>
    <w:rsid w:val="00491346"/>
    <w:rsid w:val="004965BA"/>
    <w:rsid w:val="004B1465"/>
    <w:rsid w:val="004B2C1C"/>
    <w:rsid w:val="004B61E5"/>
    <w:rsid w:val="004C4E31"/>
    <w:rsid w:val="004D57EB"/>
    <w:rsid w:val="004E7FE8"/>
    <w:rsid w:val="004F1299"/>
    <w:rsid w:val="005021FE"/>
    <w:rsid w:val="005076FB"/>
    <w:rsid w:val="00511055"/>
    <w:rsid w:val="00522F9A"/>
    <w:rsid w:val="005243E8"/>
    <w:rsid w:val="005268C5"/>
    <w:rsid w:val="005374E7"/>
    <w:rsid w:val="00546E9A"/>
    <w:rsid w:val="00570C80"/>
    <w:rsid w:val="00571A5E"/>
    <w:rsid w:val="00577091"/>
    <w:rsid w:val="005926E2"/>
    <w:rsid w:val="005A0A08"/>
    <w:rsid w:val="005A42EC"/>
    <w:rsid w:val="005B3712"/>
    <w:rsid w:val="005C11E3"/>
    <w:rsid w:val="005C4C0A"/>
    <w:rsid w:val="005C6715"/>
    <w:rsid w:val="005D22A7"/>
    <w:rsid w:val="005D457A"/>
    <w:rsid w:val="005E36C8"/>
    <w:rsid w:val="005E75EA"/>
    <w:rsid w:val="005F72DF"/>
    <w:rsid w:val="00612580"/>
    <w:rsid w:val="00621D72"/>
    <w:rsid w:val="00624121"/>
    <w:rsid w:val="00626C53"/>
    <w:rsid w:val="006316C5"/>
    <w:rsid w:val="00634F37"/>
    <w:rsid w:val="006360AF"/>
    <w:rsid w:val="006373C0"/>
    <w:rsid w:val="006376FA"/>
    <w:rsid w:val="00640E9F"/>
    <w:rsid w:val="0064181D"/>
    <w:rsid w:val="00641D96"/>
    <w:rsid w:val="00643CE2"/>
    <w:rsid w:val="0065181D"/>
    <w:rsid w:val="00651DC1"/>
    <w:rsid w:val="00660C12"/>
    <w:rsid w:val="00661AA3"/>
    <w:rsid w:val="006636B0"/>
    <w:rsid w:val="00666941"/>
    <w:rsid w:val="0067105A"/>
    <w:rsid w:val="006766D7"/>
    <w:rsid w:val="006826FE"/>
    <w:rsid w:val="00686152"/>
    <w:rsid w:val="00696A2B"/>
    <w:rsid w:val="006C0428"/>
    <w:rsid w:val="006C6E82"/>
    <w:rsid w:val="006D505A"/>
    <w:rsid w:val="006E359F"/>
    <w:rsid w:val="006E5E39"/>
    <w:rsid w:val="0071481D"/>
    <w:rsid w:val="00724944"/>
    <w:rsid w:val="00742492"/>
    <w:rsid w:val="00743291"/>
    <w:rsid w:val="00743BDD"/>
    <w:rsid w:val="00753A11"/>
    <w:rsid w:val="007653A8"/>
    <w:rsid w:val="00766CC0"/>
    <w:rsid w:val="00776D99"/>
    <w:rsid w:val="00785A4F"/>
    <w:rsid w:val="00793E9B"/>
    <w:rsid w:val="007962C1"/>
    <w:rsid w:val="007A1E73"/>
    <w:rsid w:val="007A1F60"/>
    <w:rsid w:val="007B326D"/>
    <w:rsid w:val="007B3D78"/>
    <w:rsid w:val="007B4D71"/>
    <w:rsid w:val="007C4AFD"/>
    <w:rsid w:val="007C6E73"/>
    <w:rsid w:val="007D6C0B"/>
    <w:rsid w:val="007F191B"/>
    <w:rsid w:val="007F6307"/>
    <w:rsid w:val="007F6905"/>
    <w:rsid w:val="00813EF4"/>
    <w:rsid w:val="0082103D"/>
    <w:rsid w:val="00827569"/>
    <w:rsid w:val="008305AF"/>
    <w:rsid w:val="00830A00"/>
    <w:rsid w:val="00833B40"/>
    <w:rsid w:val="00833D9E"/>
    <w:rsid w:val="0083418A"/>
    <w:rsid w:val="0084694B"/>
    <w:rsid w:val="00855B94"/>
    <w:rsid w:val="00860878"/>
    <w:rsid w:val="008644C9"/>
    <w:rsid w:val="00866A21"/>
    <w:rsid w:val="00877093"/>
    <w:rsid w:val="00883E3E"/>
    <w:rsid w:val="00890C45"/>
    <w:rsid w:val="00893049"/>
    <w:rsid w:val="008B38A8"/>
    <w:rsid w:val="008B6AD7"/>
    <w:rsid w:val="008C5640"/>
    <w:rsid w:val="008C599F"/>
    <w:rsid w:val="008C6829"/>
    <w:rsid w:val="008D029F"/>
    <w:rsid w:val="008D1BB1"/>
    <w:rsid w:val="008E0282"/>
    <w:rsid w:val="008E208E"/>
    <w:rsid w:val="008E5E6E"/>
    <w:rsid w:val="008F35E3"/>
    <w:rsid w:val="00904F7E"/>
    <w:rsid w:val="0090610B"/>
    <w:rsid w:val="00906C9C"/>
    <w:rsid w:val="00912026"/>
    <w:rsid w:val="0091398E"/>
    <w:rsid w:val="00926B8F"/>
    <w:rsid w:val="00927B84"/>
    <w:rsid w:val="009410AD"/>
    <w:rsid w:val="00945FE9"/>
    <w:rsid w:val="00953845"/>
    <w:rsid w:val="00965ADF"/>
    <w:rsid w:val="00967099"/>
    <w:rsid w:val="00972060"/>
    <w:rsid w:val="0097410B"/>
    <w:rsid w:val="009778B0"/>
    <w:rsid w:val="00980781"/>
    <w:rsid w:val="00987728"/>
    <w:rsid w:val="00993D4D"/>
    <w:rsid w:val="00994E98"/>
    <w:rsid w:val="00997ED1"/>
    <w:rsid w:val="009A47D6"/>
    <w:rsid w:val="009C1B86"/>
    <w:rsid w:val="009C7FCD"/>
    <w:rsid w:val="009E08EE"/>
    <w:rsid w:val="009E46D9"/>
    <w:rsid w:val="009E51B6"/>
    <w:rsid w:val="00A14FED"/>
    <w:rsid w:val="00A26E34"/>
    <w:rsid w:val="00A40017"/>
    <w:rsid w:val="00A464F8"/>
    <w:rsid w:val="00A52DF8"/>
    <w:rsid w:val="00A568AC"/>
    <w:rsid w:val="00A56FB3"/>
    <w:rsid w:val="00A6177A"/>
    <w:rsid w:val="00A62792"/>
    <w:rsid w:val="00A63890"/>
    <w:rsid w:val="00A747A0"/>
    <w:rsid w:val="00A752C6"/>
    <w:rsid w:val="00AA7A83"/>
    <w:rsid w:val="00AB26A2"/>
    <w:rsid w:val="00AB7A1E"/>
    <w:rsid w:val="00AC2FF3"/>
    <w:rsid w:val="00AC3F64"/>
    <w:rsid w:val="00AC6C14"/>
    <w:rsid w:val="00AD697E"/>
    <w:rsid w:val="00AE75C1"/>
    <w:rsid w:val="00AF08E9"/>
    <w:rsid w:val="00AF48BE"/>
    <w:rsid w:val="00B006D0"/>
    <w:rsid w:val="00B03292"/>
    <w:rsid w:val="00B148AF"/>
    <w:rsid w:val="00B22516"/>
    <w:rsid w:val="00B31314"/>
    <w:rsid w:val="00B33E90"/>
    <w:rsid w:val="00B36F61"/>
    <w:rsid w:val="00B435E6"/>
    <w:rsid w:val="00B4595B"/>
    <w:rsid w:val="00B508FE"/>
    <w:rsid w:val="00B54C39"/>
    <w:rsid w:val="00B6596A"/>
    <w:rsid w:val="00B66A64"/>
    <w:rsid w:val="00B815FF"/>
    <w:rsid w:val="00B85107"/>
    <w:rsid w:val="00B918B7"/>
    <w:rsid w:val="00B919B2"/>
    <w:rsid w:val="00B93BD1"/>
    <w:rsid w:val="00B953F1"/>
    <w:rsid w:val="00BA2CFA"/>
    <w:rsid w:val="00BA45F0"/>
    <w:rsid w:val="00BB3302"/>
    <w:rsid w:val="00BB3C1A"/>
    <w:rsid w:val="00BB5F1B"/>
    <w:rsid w:val="00BB6FD2"/>
    <w:rsid w:val="00BC3486"/>
    <w:rsid w:val="00BC64A5"/>
    <w:rsid w:val="00BD1CBB"/>
    <w:rsid w:val="00BD3097"/>
    <w:rsid w:val="00BD3228"/>
    <w:rsid w:val="00BE04B5"/>
    <w:rsid w:val="00BE1586"/>
    <w:rsid w:val="00BF1266"/>
    <w:rsid w:val="00BF3613"/>
    <w:rsid w:val="00BF6C0D"/>
    <w:rsid w:val="00C147ED"/>
    <w:rsid w:val="00C14EF6"/>
    <w:rsid w:val="00C31FCA"/>
    <w:rsid w:val="00C40FD0"/>
    <w:rsid w:val="00C42320"/>
    <w:rsid w:val="00C42CAD"/>
    <w:rsid w:val="00C5200E"/>
    <w:rsid w:val="00C711BC"/>
    <w:rsid w:val="00C713A4"/>
    <w:rsid w:val="00C86967"/>
    <w:rsid w:val="00C95A40"/>
    <w:rsid w:val="00CA1307"/>
    <w:rsid w:val="00CA21FC"/>
    <w:rsid w:val="00CA3BA3"/>
    <w:rsid w:val="00CB0592"/>
    <w:rsid w:val="00CB12E5"/>
    <w:rsid w:val="00CC24EE"/>
    <w:rsid w:val="00CC5C03"/>
    <w:rsid w:val="00CD5468"/>
    <w:rsid w:val="00CE4187"/>
    <w:rsid w:val="00CE4A67"/>
    <w:rsid w:val="00CE7E45"/>
    <w:rsid w:val="00CF013C"/>
    <w:rsid w:val="00CF1A66"/>
    <w:rsid w:val="00CF58F2"/>
    <w:rsid w:val="00D02850"/>
    <w:rsid w:val="00D03D3C"/>
    <w:rsid w:val="00D17752"/>
    <w:rsid w:val="00D20C85"/>
    <w:rsid w:val="00D301E9"/>
    <w:rsid w:val="00D32070"/>
    <w:rsid w:val="00D33660"/>
    <w:rsid w:val="00D36D7A"/>
    <w:rsid w:val="00D40FB1"/>
    <w:rsid w:val="00D41BE0"/>
    <w:rsid w:val="00D50332"/>
    <w:rsid w:val="00D6286F"/>
    <w:rsid w:val="00D70CE7"/>
    <w:rsid w:val="00D71C6E"/>
    <w:rsid w:val="00D729DC"/>
    <w:rsid w:val="00D76679"/>
    <w:rsid w:val="00D935F4"/>
    <w:rsid w:val="00D96892"/>
    <w:rsid w:val="00D9692A"/>
    <w:rsid w:val="00D96ED9"/>
    <w:rsid w:val="00DA2B41"/>
    <w:rsid w:val="00DB2869"/>
    <w:rsid w:val="00DC5898"/>
    <w:rsid w:val="00DE39AE"/>
    <w:rsid w:val="00DE72C4"/>
    <w:rsid w:val="00DF4AD3"/>
    <w:rsid w:val="00DF5F9A"/>
    <w:rsid w:val="00E0126B"/>
    <w:rsid w:val="00E0521E"/>
    <w:rsid w:val="00E061D0"/>
    <w:rsid w:val="00E121C7"/>
    <w:rsid w:val="00E12748"/>
    <w:rsid w:val="00E140D1"/>
    <w:rsid w:val="00E1726C"/>
    <w:rsid w:val="00E26949"/>
    <w:rsid w:val="00E272FA"/>
    <w:rsid w:val="00E3640E"/>
    <w:rsid w:val="00E62CD8"/>
    <w:rsid w:val="00E64F84"/>
    <w:rsid w:val="00E6788C"/>
    <w:rsid w:val="00E71782"/>
    <w:rsid w:val="00E857F4"/>
    <w:rsid w:val="00E9214A"/>
    <w:rsid w:val="00E94059"/>
    <w:rsid w:val="00EB30B1"/>
    <w:rsid w:val="00EB618E"/>
    <w:rsid w:val="00EC2ED0"/>
    <w:rsid w:val="00ED2713"/>
    <w:rsid w:val="00ED2B55"/>
    <w:rsid w:val="00EE079F"/>
    <w:rsid w:val="00EE4EBF"/>
    <w:rsid w:val="00F05AF9"/>
    <w:rsid w:val="00F07809"/>
    <w:rsid w:val="00F13272"/>
    <w:rsid w:val="00F20C0D"/>
    <w:rsid w:val="00F21843"/>
    <w:rsid w:val="00F32A08"/>
    <w:rsid w:val="00F3597B"/>
    <w:rsid w:val="00F41146"/>
    <w:rsid w:val="00F4225B"/>
    <w:rsid w:val="00F42F65"/>
    <w:rsid w:val="00F543BA"/>
    <w:rsid w:val="00F56D5F"/>
    <w:rsid w:val="00F60DB6"/>
    <w:rsid w:val="00F611C9"/>
    <w:rsid w:val="00F61B66"/>
    <w:rsid w:val="00F657A3"/>
    <w:rsid w:val="00F665FC"/>
    <w:rsid w:val="00F70BA1"/>
    <w:rsid w:val="00F71F6F"/>
    <w:rsid w:val="00F737B1"/>
    <w:rsid w:val="00F74019"/>
    <w:rsid w:val="00F801B0"/>
    <w:rsid w:val="00F82222"/>
    <w:rsid w:val="00F842EB"/>
    <w:rsid w:val="00F874BC"/>
    <w:rsid w:val="00F90271"/>
    <w:rsid w:val="00FA327E"/>
    <w:rsid w:val="00FB63B2"/>
    <w:rsid w:val="00FC3DC9"/>
    <w:rsid w:val="00FC75D0"/>
    <w:rsid w:val="00FD47F4"/>
    <w:rsid w:val="00FF4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60"/>
    <o:shapelayout v:ext="edit">
      <o:idmap v:ext="edit" data="2"/>
    </o:shapelayout>
  </w:shapeDefaults>
  <w:decimalSymbol w:val="."/>
  <w:listSeparator w:val=","/>
  <w14:docId w14:val="4AC74E0C"/>
  <w15:docId w15:val="{3424AD08-F3E2-487A-A622-1266F3D86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MS Mincho" w:hAnsi="Arial" w:cs="Times New Roman"/>
        <w:sz w:val="22"/>
        <w:szCs w:val="24"/>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66A21"/>
    <w:pPr>
      <w:spacing w:before="120" w:after="120" w:line="360" w:lineRule="auto"/>
    </w:pPr>
  </w:style>
  <w:style w:type="paragraph" w:styleId="Heading1">
    <w:name w:val="heading 1"/>
    <w:basedOn w:val="Normal"/>
    <w:next w:val="Normal"/>
    <w:link w:val="Heading1Char"/>
    <w:uiPriority w:val="9"/>
    <w:qFormat/>
    <w:rsid w:val="00743291"/>
    <w:pPr>
      <w:keepNext/>
      <w:spacing w:before="480" w:after="0" w:line="240" w:lineRule="auto"/>
      <w:outlineLvl w:val="0"/>
    </w:pPr>
    <w:rPr>
      <w:rFonts w:asciiTheme="majorHAnsi" w:hAnsiTheme="majorHAnsi" w:cs="Arial"/>
      <w:b/>
      <w:bCs/>
      <w:color w:val="4F81BD" w:themeColor="accent1"/>
      <w:kern w:val="32"/>
      <w:sz w:val="28"/>
      <w:szCs w:val="32"/>
    </w:rPr>
  </w:style>
  <w:style w:type="paragraph" w:styleId="Heading2">
    <w:name w:val="heading 2"/>
    <w:basedOn w:val="Normal"/>
    <w:next w:val="Normal"/>
    <w:link w:val="Heading2Char"/>
    <w:unhideWhenUsed/>
    <w:qFormat/>
    <w:rsid w:val="00743291"/>
    <w:pPr>
      <w:keepNext/>
      <w:keepLines/>
      <w:spacing w:before="240" w:after="0" w:line="240" w:lineRule="auto"/>
      <w:outlineLvl w:val="1"/>
    </w:pPr>
    <w:rPr>
      <w:rFonts w:asciiTheme="majorHAnsi" w:eastAsiaTheme="majorEastAsia" w:hAnsiTheme="majorHAnsi" w:cs="Arial"/>
      <w:b/>
      <w:bCs/>
      <w:color w:val="4F81BD" w:themeColor="accent1"/>
      <w:sz w:val="24"/>
      <w:szCs w:val="26"/>
    </w:rPr>
  </w:style>
  <w:style w:type="paragraph" w:styleId="Heading3">
    <w:name w:val="heading 3"/>
    <w:basedOn w:val="Normal"/>
    <w:next w:val="Normal"/>
    <w:link w:val="Heading3Char"/>
    <w:unhideWhenUsed/>
    <w:qFormat/>
    <w:rsid w:val="0090610B"/>
    <w:pPr>
      <w:keepNext/>
      <w:keepLines/>
      <w:spacing w:before="240" w:after="0" w:line="240" w:lineRule="auto"/>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rsid w:val="0084694B"/>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6596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6636B0"/>
    <w:pPr>
      <w:tabs>
        <w:tab w:val="center" w:pos="4153"/>
        <w:tab w:val="right" w:pos="8306"/>
      </w:tabs>
    </w:pPr>
    <w:rPr>
      <w:sz w:val="20"/>
    </w:rPr>
  </w:style>
  <w:style w:type="paragraph" w:styleId="Footer">
    <w:name w:val="footer"/>
    <w:basedOn w:val="Normal"/>
    <w:link w:val="FooterChar"/>
    <w:uiPriority w:val="99"/>
    <w:rsid w:val="006636B0"/>
    <w:pPr>
      <w:tabs>
        <w:tab w:val="center" w:pos="4153"/>
        <w:tab w:val="right" w:pos="8306"/>
      </w:tabs>
    </w:pPr>
    <w:rPr>
      <w:sz w:val="20"/>
    </w:rPr>
  </w:style>
  <w:style w:type="character" w:styleId="PageNumber">
    <w:name w:val="page number"/>
    <w:rsid w:val="007A1E73"/>
    <w:rPr>
      <w:rFonts w:ascii="Arial" w:hAnsi="Arial"/>
      <w:sz w:val="20"/>
    </w:rPr>
  </w:style>
  <w:style w:type="paragraph" w:styleId="BalloonText">
    <w:name w:val="Balloon Text"/>
    <w:basedOn w:val="Normal"/>
    <w:link w:val="BalloonTextChar"/>
    <w:rsid w:val="00AC3F64"/>
    <w:rPr>
      <w:rFonts w:ascii="Tahoma" w:hAnsi="Tahoma" w:cs="Tahoma"/>
      <w:sz w:val="16"/>
      <w:szCs w:val="16"/>
    </w:rPr>
  </w:style>
  <w:style w:type="character" w:customStyle="1" w:styleId="BalloonTextChar">
    <w:name w:val="Balloon Text Char"/>
    <w:basedOn w:val="DefaultParagraphFont"/>
    <w:link w:val="BalloonText"/>
    <w:rsid w:val="00AC3F64"/>
    <w:rPr>
      <w:rFonts w:ascii="Tahoma" w:hAnsi="Tahoma" w:cs="Tahoma"/>
      <w:sz w:val="16"/>
      <w:szCs w:val="16"/>
      <w:lang w:eastAsia="ja-JP"/>
    </w:rPr>
  </w:style>
  <w:style w:type="character" w:styleId="Hyperlink">
    <w:name w:val="Hyperlink"/>
    <w:basedOn w:val="DefaultParagraphFont"/>
    <w:uiPriority w:val="99"/>
    <w:rsid w:val="00C40FD0"/>
    <w:rPr>
      <w:color w:val="0000FF" w:themeColor="hyperlink"/>
      <w:u w:val="single"/>
    </w:rPr>
  </w:style>
  <w:style w:type="character" w:styleId="FollowedHyperlink">
    <w:name w:val="FollowedHyperlink"/>
    <w:basedOn w:val="DefaultParagraphFont"/>
    <w:rsid w:val="00C40FD0"/>
    <w:rPr>
      <w:color w:val="800080" w:themeColor="followedHyperlink"/>
      <w:u w:val="single"/>
    </w:rPr>
  </w:style>
  <w:style w:type="character" w:styleId="PlaceholderText">
    <w:name w:val="Placeholder Text"/>
    <w:basedOn w:val="DefaultParagraphFont"/>
    <w:uiPriority w:val="99"/>
    <w:semiHidden/>
    <w:rsid w:val="008E0282"/>
    <w:rPr>
      <w:color w:val="808080"/>
    </w:rPr>
  </w:style>
  <w:style w:type="paragraph" w:customStyle="1" w:styleId="DataInput">
    <w:name w:val="DataInput"/>
    <w:basedOn w:val="Normal"/>
    <w:link w:val="DataInputChar"/>
    <w:qFormat/>
    <w:rsid w:val="00322B20"/>
    <w:rPr>
      <w:rFonts w:asciiTheme="minorHAnsi" w:hAnsiTheme="minorHAnsi"/>
      <w:b/>
      <w:bCs/>
      <w:iCs/>
      <w:color w:val="002060"/>
    </w:rPr>
  </w:style>
  <w:style w:type="character" w:styleId="Strong">
    <w:name w:val="Strong"/>
    <w:basedOn w:val="DefaultParagraphFont"/>
    <w:qFormat/>
    <w:rsid w:val="003438BC"/>
    <w:rPr>
      <w:b/>
      <w:bCs/>
    </w:rPr>
  </w:style>
  <w:style w:type="character" w:customStyle="1" w:styleId="DataInputChar">
    <w:name w:val="DataInput Char"/>
    <w:basedOn w:val="DefaultParagraphFont"/>
    <w:link w:val="DataInput"/>
    <w:rsid w:val="00322B20"/>
    <w:rPr>
      <w:rFonts w:asciiTheme="minorHAnsi" w:hAnsiTheme="minorHAnsi"/>
      <w:b/>
      <w:bCs/>
      <w:iCs/>
      <w:color w:val="002060"/>
    </w:rPr>
  </w:style>
  <w:style w:type="paragraph" w:styleId="ListParagraph">
    <w:name w:val="List Paragraph"/>
    <w:basedOn w:val="Normal"/>
    <w:uiPriority w:val="34"/>
    <w:qFormat/>
    <w:rsid w:val="00322B20"/>
    <w:pPr>
      <w:ind w:left="720"/>
      <w:contextualSpacing/>
    </w:pPr>
    <w:rPr>
      <w:rFonts w:asciiTheme="minorHAnsi" w:hAnsiTheme="minorHAnsi"/>
    </w:rPr>
  </w:style>
  <w:style w:type="character" w:customStyle="1" w:styleId="Heading2Char">
    <w:name w:val="Heading 2 Char"/>
    <w:basedOn w:val="DefaultParagraphFont"/>
    <w:link w:val="Heading2"/>
    <w:rsid w:val="00743291"/>
    <w:rPr>
      <w:rFonts w:asciiTheme="majorHAnsi" w:eastAsiaTheme="majorEastAsia" w:hAnsiTheme="majorHAnsi" w:cs="Arial"/>
      <w:b/>
      <w:bCs/>
      <w:color w:val="4F81BD" w:themeColor="accent1"/>
      <w:sz w:val="24"/>
      <w:szCs w:val="26"/>
    </w:rPr>
  </w:style>
  <w:style w:type="character" w:styleId="Emphasis">
    <w:name w:val="Emphasis"/>
    <w:basedOn w:val="DefaultParagraphFont"/>
    <w:qFormat/>
    <w:rsid w:val="000A4D7D"/>
    <w:rPr>
      <w:rFonts w:asciiTheme="minorHAnsi" w:hAnsiTheme="minorHAnsi"/>
      <w:b w:val="0"/>
      <w:i/>
      <w:iCs/>
      <w:u w:val="none"/>
    </w:rPr>
  </w:style>
  <w:style w:type="character" w:customStyle="1" w:styleId="Heading3Char">
    <w:name w:val="Heading 3 Char"/>
    <w:basedOn w:val="DefaultParagraphFont"/>
    <w:link w:val="Heading3"/>
    <w:rsid w:val="0090610B"/>
    <w:rPr>
      <w:rFonts w:asciiTheme="majorHAnsi" w:eastAsiaTheme="majorEastAsia" w:hAnsiTheme="majorHAnsi" w:cstheme="majorBidi"/>
      <w:b/>
      <w:bCs/>
      <w:color w:val="4F81BD" w:themeColor="accent1"/>
    </w:rPr>
  </w:style>
  <w:style w:type="character" w:customStyle="1" w:styleId="FooterChar">
    <w:name w:val="Footer Char"/>
    <w:basedOn w:val="DefaultParagraphFont"/>
    <w:link w:val="Footer"/>
    <w:uiPriority w:val="99"/>
    <w:rsid w:val="00965ADF"/>
    <w:rPr>
      <w:rFonts w:ascii="Arial" w:hAnsi="Arial"/>
      <w:szCs w:val="24"/>
      <w:lang w:eastAsia="ja-JP"/>
    </w:rPr>
  </w:style>
  <w:style w:type="paragraph" w:styleId="Title">
    <w:name w:val="Title"/>
    <w:basedOn w:val="Normal"/>
    <w:next w:val="Normal"/>
    <w:link w:val="TitleChar"/>
    <w:qFormat/>
    <w:rsid w:val="00BF6C0D"/>
    <w:pPr>
      <w:pageBreakBefore/>
      <w:pBdr>
        <w:bottom w:val="single" w:sz="8" w:space="4" w:color="1F497D" w:themeColor="text2"/>
      </w:pBdr>
      <w:spacing w:after="240" w:line="240" w:lineRule="auto"/>
      <w:contextualSpacing/>
    </w:pPr>
    <w:rPr>
      <w:rFonts w:asciiTheme="majorHAnsi" w:eastAsiaTheme="majorEastAsia" w:hAnsiTheme="majorHAnsi" w:cs="Arial"/>
      <w:b/>
      <w:color w:val="1F497D" w:themeColor="text2"/>
      <w:spacing w:val="5"/>
      <w:kern w:val="28"/>
      <w:sz w:val="36"/>
      <w:szCs w:val="32"/>
    </w:rPr>
  </w:style>
  <w:style w:type="character" w:customStyle="1" w:styleId="TitleChar">
    <w:name w:val="Title Char"/>
    <w:basedOn w:val="DefaultParagraphFont"/>
    <w:link w:val="Title"/>
    <w:rsid w:val="00BF6C0D"/>
    <w:rPr>
      <w:rFonts w:asciiTheme="majorHAnsi" w:eastAsiaTheme="majorEastAsia" w:hAnsiTheme="majorHAnsi" w:cs="Arial"/>
      <w:b/>
      <w:color w:val="1F497D" w:themeColor="text2"/>
      <w:spacing w:val="5"/>
      <w:kern w:val="28"/>
      <w:sz w:val="36"/>
      <w:szCs w:val="32"/>
    </w:rPr>
  </w:style>
  <w:style w:type="character" w:customStyle="1" w:styleId="Heading4Char">
    <w:name w:val="Heading 4 Char"/>
    <w:basedOn w:val="DefaultParagraphFont"/>
    <w:link w:val="Heading4"/>
    <w:semiHidden/>
    <w:rsid w:val="0084694B"/>
    <w:rPr>
      <w:rFonts w:asciiTheme="majorHAnsi" w:eastAsiaTheme="majorEastAsia" w:hAnsiTheme="majorHAnsi" w:cstheme="majorBidi"/>
      <w:b/>
      <w:bCs/>
      <w:i/>
      <w:iCs/>
      <w:color w:val="4F81BD" w:themeColor="accent1"/>
    </w:rPr>
  </w:style>
  <w:style w:type="character" w:customStyle="1" w:styleId="Style1">
    <w:name w:val="Style1"/>
    <w:basedOn w:val="DefaultParagraphFont"/>
    <w:uiPriority w:val="1"/>
    <w:rsid w:val="00D96ED9"/>
    <w:rPr>
      <w:rFonts w:ascii="Arial Black" w:hAnsi="Arial Black"/>
      <w:sz w:val="24"/>
    </w:rPr>
  </w:style>
  <w:style w:type="character" w:customStyle="1" w:styleId="Style4">
    <w:name w:val="Style4"/>
    <w:basedOn w:val="DefaultParagraphFont"/>
    <w:uiPriority w:val="1"/>
    <w:rsid w:val="00D96ED9"/>
    <w:rPr>
      <w:rFonts w:ascii="Arial Black" w:hAnsi="Arial Black"/>
    </w:rPr>
  </w:style>
  <w:style w:type="paragraph" w:styleId="BodyText">
    <w:name w:val="Body Text"/>
    <w:basedOn w:val="Normal"/>
    <w:link w:val="BodyTextChar"/>
    <w:rsid w:val="004B61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0" w:after="0" w:line="240" w:lineRule="auto"/>
      <w:jc w:val="both"/>
    </w:pPr>
    <w:rPr>
      <w:rFonts w:ascii="Times New Roman" w:eastAsia="Times New Roman" w:hAnsi="Times New Roman"/>
      <w:b/>
      <w:sz w:val="28"/>
      <w:szCs w:val="20"/>
      <w:lang w:eastAsia="en-US"/>
    </w:rPr>
  </w:style>
  <w:style w:type="character" w:customStyle="1" w:styleId="BodyTextChar">
    <w:name w:val="Body Text Char"/>
    <w:basedOn w:val="DefaultParagraphFont"/>
    <w:link w:val="BodyText"/>
    <w:rsid w:val="004B61E5"/>
    <w:rPr>
      <w:rFonts w:ascii="Times New Roman" w:eastAsia="Times New Roman" w:hAnsi="Times New Roman"/>
      <w:b/>
      <w:sz w:val="28"/>
      <w:szCs w:val="20"/>
      <w:lang w:eastAsia="en-US"/>
    </w:rPr>
  </w:style>
  <w:style w:type="character" w:styleId="CommentReference">
    <w:name w:val="annotation reference"/>
    <w:basedOn w:val="DefaultParagraphFont"/>
    <w:semiHidden/>
    <w:unhideWhenUsed/>
    <w:rsid w:val="00C95A40"/>
    <w:rPr>
      <w:sz w:val="16"/>
      <w:szCs w:val="16"/>
    </w:rPr>
  </w:style>
  <w:style w:type="paragraph" w:styleId="CommentText">
    <w:name w:val="annotation text"/>
    <w:basedOn w:val="Normal"/>
    <w:link w:val="CommentTextChar"/>
    <w:semiHidden/>
    <w:unhideWhenUsed/>
    <w:rsid w:val="00C95A40"/>
    <w:pPr>
      <w:spacing w:line="240" w:lineRule="auto"/>
    </w:pPr>
    <w:rPr>
      <w:sz w:val="20"/>
      <w:szCs w:val="20"/>
    </w:rPr>
  </w:style>
  <w:style w:type="character" w:customStyle="1" w:styleId="CommentTextChar">
    <w:name w:val="Comment Text Char"/>
    <w:basedOn w:val="DefaultParagraphFont"/>
    <w:link w:val="CommentText"/>
    <w:semiHidden/>
    <w:rsid w:val="00C95A40"/>
    <w:rPr>
      <w:sz w:val="20"/>
      <w:szCs w:val="20"/>
    </w:rPr>
  </w:style>
  <w:style w:type="paragraph" w:styleId="CommentSubject">
    <w:name w:val="annotation subject"/>
    <w:basedOn w:val="CommentText"/>
    <w:next w:val="CommentText"/>
    <w:link w:val="CommentSubjectChar"/>
    <w:semiHidden/>
    <w:unhideWhenUsed/>
    <w:rsid w:val="00C95A40"/>
    <w:rPr>
      <w:b/>
      <w:bCs/>
    </w:rPr>
  </w:style>
  <w:style w:type="character" w:customStyle="1" w:styleId="CommentSubjectChar">
    <w:name w:val="Comment Subject Char"/>
    <w:basedOn w:val="CommentTextChar"/>
    <w:link w:val="CommentSubject"/>
    <w:semiHidden/>
    <w:rsid w:val="00C95A40"/>
    <w:rPr>
      <w:b/>
      <w:bCs/>
      <w:sz w:val="20"/>
      <w:szCs w:val="20"/>
    </w:rPr>
  </w:style>
  <w:style w:type="paragraph" w:customStyle="1" w:styleId="NoNumber">
    <w:name w:val="NoNumber"/>
    <w:basedOn w:val="Normal"/>
    <w:rsid w:val="001026BF"/>
    <w:pPr>
      <w:tabs>
        <w:tab w:val="left" w:pos="1701"/>
        <w:tab w:val="left" w:pos="2268"/>
        <w:tab w:val="left" w:pos="2835"/>
        <w:tab w:val="left" w:pos="3402"/>
        <w:tab w:val="left" w:pos="3969"/>
        <w:tab w:val="left" w:pos="4536"/>
        <w:tab w:val="center" w:pos="4820"/>
        <w:tab w:val="left" w:pos="5103"/>
        <w:tab w:val="left" w:pos="5670"/>
        <w:tab w:val="right" w:pos="9639"/>
      </w:tabs>
      <w:spacing w:before="0" w:after="240" w:line="240" w:lineRule="auto"/>
      <w:ind w:left="1021"/>
      <w:jc w:val="both"/>
    </w:pPr>
    <w:rPr>
      <w:rFonts w:eastAsia="Times New Roman"/>
      <w:sz w:val="16"/>
      <w:szCs w:val="20"/>
    </w:rPr>
  </w:style>
  <w:style w:type="paragraph" w:styleId="Revision">
    <w:name w:val="Revision"/>
    <w:hidden/>
    <w:uiPriority w:val="99"/>
    <w:semiHidden/>
    <w:rsid w:val="009A47D6"/>
  </w:style>
  <w:style w:type="character" w:styleId="UnresolvedMention">
    <w:name w:val="Unresolved Mention"/>
    <w:basedOn w:val="DefaultParagraphFont"/>
    <w:uiPriority w:val="99"/>
    <w:semiHidden/>
    <w:unhideWhenUsed/>
    <w:rsid w:val="0011138E"/>
    <w:rPr>
      <w:color w:val="605E5C"/>
      <w:shd w:val="clear" w:color="auto" w:fill="E1DFDD"/>
    </w:rPr>
  </w:style>
  <w:style w:type="character" w:customStyle="1" w:styleId="Heading1Char">
    <w:name w:val="Heading 1 Char"/>
    <w:basedOn w:val="DefaultParagraphFont"/>
    <w:link w:val="Heading1"/>
    <w:uiPriority w:val="9"/>
    <w:rsid w:val="00DB2869"/>
    <w:rPr>
      <w:rFonts w:asciiTheme="majorHAnsi" w:hAnsiTheme="majorHAnsi" w:cs="Arial"/>
      <w:b/>
      <w:bCs/>
      <w:color w:val="4F81BD" w:themeColor="accent1"/>
      <w:kern w:val="32"/>
      <w:sz w:val="28"/>
      <w:szCs w:val="32"/>
    </w:rPr>
  </w:style>
  <w:style w:type="paragraph" w:styleId="Bibliography">
    <w:name w:val="Bibliography"/>
    <w:basedOn w:val="Normal"/>
    <w:next w:val="Normal"/>
    <w:uiPriority w:val="37"/>
    <w:unhideWhenUsed/>
    <w:rsid w:val="00DB2869"/>
  </w:style>
  <w:style w:type="paragraph" w:styleId="NoSpacing">
    <w:name w:val="No Spacing"/>
    <w:link w:val="NoSpacingChar"/>
    <w:uiPriority w:val="1"/>
    <w:qFormat/>
    <w:rsid w:val="005C6715"/>
    <w:rPr>
      <w:rFonts w:asciiTheme="minorHAnsi" w:eastAsiaTheme="minorEastAsia" w:hAnsiTheme="minorHAnsi" w:cstheme="minorBidi"/>
      <w:szCs w:val="22"/>
      <w:lang w:val="en-US" w:eastAsia="en-US"/>
    </w:rPr>
  </w:style>
  <w:style w:type="character" w:customStyle="1" w:styleId="NoSpacingChar">
    <w:name w:val="No Spacing Char"/>
    <w:basedOn w:val="DefaultParagraphFont"/>
    <w:link w:val="NoSpacing"/>
    <w:uiPriority w:val="1"/>
    <w:rsid w:val="005C6715"/>
    <w:rPr>
      <w:rFonts w:asciiTheme="minorHAnsi" w:eastAsiaTheme="minorEastAsia" w:hAnsiTheme="minorHAnsi" w:cstheme="minorBidi"/>
      <w:szCs w:val="22"/>
      <w:lang w:val="en-US" w:eastAsia="en-US"/>
    </w:rPr>
  </w:style>
  <w:style w:type="paragraph" w:styleId="Caption">
    <w:name w:val="caption"/>
    <w:basedOn w:val="Normal"/>
    <w:next w:val="Normal"/>
    <w:uiPriority w:val="35"/>
    <w:unhideWhenUsed/>
    <w:qFormat/>
    <w:rsid w:val="005C6715"/>
    <w:pPr>
      <w:spacing w:before="0" w:after="200" w:line="240" w:lineRule="auto"/>
    </w:pPr>
    <w:rPr>
      <w:rFonts w:asciiTheme="minorHAnsi" w:eastAsiaTheme="minorHAnsi" w:hAnsiTheme="minorHAnsi" w:cstheme="minorBidi"/>
      <w:i/>
      <w:iCs/>
      <w:color w:val="1F497D" w:themeColor="text2"/>
      <w:kern w:val="2"/>
      <w:sz w:val="18"/>
      <w:szCs w:val="18"/>
      <w:lang w:eastAsia="en-US"/>
    </w:rPr>
  </w:style>
  <w:style w:type="paragraph" w:styleId="TOCHeading">
    <w:name w:val="TOC Heading"/>
    <w:basedOn w:val="Heading1"/>
    <w:next w:val="Normal"/>
    <w:uiPriority w:val="39"/>
    <w:unhideWhenUsed/>
    <w:qFormat/>
    <w:rsid w:val="005C6715"/>
    <w:pPr>
      <w:keepLines/>
      <w:spacing w:before="240" w:line="259" w:lineRule="auto"/>
      <w:outlineLvl w:val="9"/>
    </w:pPr>
    <w:rPr>
      <w:rFonts w:eastAsiaTheme="majorEastAsia" w:cstheme="majorBidi"/>
      <w:b w:val="0"/>
      <w:bCs w:val="0"/>
      <w:color w:val="365F91" w:themeColor="accent1" w:themeShade="BF"/>
      <w:kern w:val="0"/>
      <w:sz w:val="32"/>
      <w:lang w:val="en-US" w:eastAsia="en-US"/>
    </w:rPr>
  </w:style>
  <w:style w:type="paragraph" w:styleId="TOC1">
    <w:name w:val="toc 1"/>
    <w:basedOn w:val="Normal"/>
    <w:next w:val="Normal"/>
    <w:autoRedefine/>
    <w:uiPriority w:val="39"/>
    <w:unhideWhenUsed/>
    <w:rsid w:val="005C6715"/>
    <w:pPr>
      <w:spacing w:before="0" w:after="100" w:line="259" w:lineRule="auto"/>
    </w:pPr>
    <w:rPr>
      <w:rFonts w:asciiTheme="minorHAnsi" w:eastAsiaTheme="minorHAnsi" w:hAnsiTheme="minorHAnsi" w:cstheme="minorBidi"/>
      <w:kern w:val="2"/>
      <w:szCs w:val="22"/>
      <w:lang w:eastAsia="en-US"/>
    </w:rPr>
  </w:style>
  <w:style w:type="paragraph" w:styleId="TOC2">
    <w:name w:val="toc 2"/>
    <w:basedOn w:val="Normal"/>
    <w:next w:val="Normal"/>
    <w:autoRedefine/>
    <w:uiPriority w:val="39"/>
    <w:unhideWhenUsed/>
    <w:rsid w:val="005C6715"/>
    <w:pPr>
      <w:spacing w:before="0" w:after="100" w:line="259" w:lineRule="auto"/>
      <w:ind w:left="220"/>
    </w:pPr>
    <w:rPr>
      <w:rFonts w:asciiTheme="minorHAnsi" w:eastAsiaTheme="minorHAnsi" w:hAnsiTheme="minorHAnsi" w:cstheme="minorBidi"/>
      <w:kern w:val="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8732">
      <w:bodyDiv w:val="1"/>
      <w:marLeft w:val="0"/>
      <w:marRight w:val="0"/>
      <w:marTop w:val="0"/>
      <w:marBottom w:val="0"/>
      <w:divBdr>
        <w:top w:val="none" w:sz="0" w:space="0" w:color="auto"/>
        <w:left w:val="none" w:sz="0" w:space="0" w:color="auto"/>
        <w:bottom w:val="none" w:sz="0" w:space="0" w:color="auto"/>
        <w:right w:val="none" w:sz="0" w:space="0" w:color="auto"/>
      </w:divBdr>
    </w:div>
    <w:div w:id="8996775">
      <w:bodyDiv w:val="1"/>
      <w:marLeft w:val="0"/>
      <w:marRight w:val="0"/>
      <w:marTop w:val="0"/>
      <w:marBottom w:val="0"/>
      <w:divBdr>
        <w:top w:val="none" w:sz="0" w:space="0" w:color="auto"/>
        <w:left w:val="none" w:sz="0" w:space="0" w:color="auto"/>
        <w:bottom w:val="none" w:sz="0" w:space="0" w:color="auto"/>
        <w:right w:val="none" w:sz="0" w:space="0" w:color="auto"/>
      </w:divBdr>
    </w:div>
    <w:div w:id="13306235">
      <w:bodyDiv w:val="1"/>
      <w:marLeft w:val="0"/>
      <w:marRight w:val="0"/>
      <w:marTop w:val="0"/>
      <w:marBottom w:val="0"/>
      <w:divBdr>
        <w:top w:val="none" w:sz="0" w:space="0" w:color="auto"/>
        <w:left w:val="none" w:sz="0" w:space="0" w:color="auto"/>
        <w:bottom w:val="none" w:sz="0" w:space="0" w:color="auto"/>
        <w:right w:val="none" w:sz="0" w:space="0" w:color="auto"/>
      </w:divBdr>
    </w:div>
    <w:div w:id="22639478">
      <w:bodyDiv w:val="1"/>
      <w:marLeft w:val="0"/>
      <w:marRight w:val="0"/>
      <w:marTop w:val="0"/>
      <w:marBottom w:val="0"/>
      <w:divBdr>
        <w:top w:val="none" w:sz="0" w:space="0" w:color="auto"/>
        <w:left w:val="none" w:sz="0" w:space="0" w:color="auto"/>
        <w:bottom w:val="none" w:sz="0" w:space="0" w:color="auto"/>
        <w:right w:val="none" w:sz="0" w:space="0" w:color="auto"/>
      </w:divBdr>
    </w:div>
    <w:div w:id="25570884">
      <w:bodyDiv w:val="1"/>
      <w:marLeft w:val="0"/>
      <w:marRight w:val="0"/>
      <w:marTop w:val="0"/>
      <w:marBottom w:val="0"/>
      <w:divBdr>
        <w:top w:val="none" w:sz="0" w:space="0" w:color="auto"/>
        <w:left w:val="none" w:sz="0" w:space="0" w:color="auto"/>
        <w:bottom w:val="none" w:sz="0" w:space="0" w:color="auto"/>
        <w:right w:val="none" w:sz="0" w:space="0" w:color="auto"/>
      </w:divBdr>
    </w:div>
    <w:div w:id="97801106">
      <w:bodyDiv w:val="1"/>
      <w:marLeft w:val="0"/>
      <w:marRight w:val="0"/>
      <w:marTop w:val="0"/>
      <w:marBottom w:val="0"/>
      <w:divBdr>
        <w:top w:val="none" w:sz="0" w:space="0" w:color="auto"/>
        <w:left w:val="none" w:sz="0" w:space="0" w:color="auto"/>
        <w:bottom w:val="none" w:sz="0" w:space="0" w:color="auto"/>
        <w:right w:val="none" w:sz="0" w:space="0" w:color="auto"/>
      </w:divBdr>
    </w:div>
    <w:div w:id="124856935">
      <w:bodyDiv w:val="1"/>
      <w:marLeft w:val="0"/>
      <w:marRight w:val="0"/>
      <w:marTop w:val="0"/>
      <w:marBottom w:val="0"/>
      <w:divBdr>
        <w:top w:val="none" w:sz="0" w:space="0" w:color="auto"/>
        <w:left w:val="none" w:sz="0" w:space="0" w:color="auto"/>
        <w:bottom w:val="none" w:sz="0" w:space="0" w:color="auto"/>
        <w:right w:val="none" w:sz="0" w:space="0" w:color="auto"/>
      </w:divBdr>
    </w:div>
    <w:div w:id="137501057">
      <w:bodyDiv w:val="1"/>
      <w:marLeft w:val="0"/>
      <w:marRight w:val="0"/>
      <w:marTop w:val="0"/>
      <w:marBottom w:val="0"/>
      <w:divBdr>
        <w:top w:val="none" w:sz="0" w:space="0" w:color="auto"/>
        <w:left w:val="none" w:sz="0" w:space="0" w:color="auto"/>
        <w:bottom w:val="none" w:sz="0" w:space="0" w:color="auto"/>
        <w:right w:val="none" w:sz="0" w:space="0" w:color="auto"/>
      </w:divBdr>
    </w:div>
    <w:div w:id="144588481">
      <w:bodyDiv w:val="1"/>
      <w:marLeft w:val="0"/>
      <w:marRight w:val="0"/>
      <w:marTop w:val="0"/>
      <w:marBottom w:val="0"/>
      <w:divBdr>
        <w:top w:val="none" w:sz="0" w:space="0" w:color="auto"/>
        <w:left w:val="none" w:sz="0" w:space="0" w:color="auto"/>
        <w:bottom w:val="none" w:sz="0" w:space="0" w:color="auto"/>
        <w:right w:val="none" w:sz="0" w:space="0" w:color="auto"/>
      </w:divBdr>
    </w:div>
    <w:div w:id="221907404">
      <w:bodyDiv w:val="1"/>
      <w:marLeft w:val="0"/>
      <w:marRight w:val="0"/>
      <w:marTop w:val="0"/>
      <w:marBottom w:val="0"/>
      <w:divBdr>
        <w:top w:val="none" w:sz="0" w:space="0" w:color="auto"/>
        <w:left w:val="none" w:sz="0" w:space="0" w:color="auto"/>
        <w:bottom w:val="none" w:sz="0" w:space="0" w:color="auto"/>
        <w:right w:val="none" w:sz="0" w:space="0" w:color="auto"/>
      </w:divBdr>
    </w:div>
    <w:div w:id="233514932">
      <w:bodyDiv w:val="1"/>
      <w:marLeft w:val="0"/>
      <w:marRight w:val="0"/>
      <w:marTop w:val="0"/>
      <w:marBottom w:val="0"/>
      <w:divBdr>
        <w:top w:val="none" w:sz="0" w:space="0" w:color="auto"/>
        <w:left w:val="none" w:sz="0" w:space="0" w:color="auto"/>
        <w:bottom w:val="none" w:sz="0" w:space="0" w:color="auto"/>
        <w:right w:val="none" w:sz="0" w:space="0" w:color="auto"/>
      </w:divBdr>
    </w:div>
    <w:div w:id="240793980">
      <w:bodyDiv w:val="1"/>
      <w:marLeft w:val="0"/>
      <w:marRight w:val="0"/>
      <w:marTop w:val="0"/>
      <w:marBottom w:val="0"/>
      <w:divBdr>
        <w:top w:val="none" w:sz="0" w:space="0" w:color="auto"/>
        <w:left w:val="none" w:sz="0" w:space="0" w:color="auto"/>
        <w:bottom w:val="none" w:sz="0" w:space="0" w:color="auto"/>
        <w:right w:val="none" w:sz="0" w:space="0" w:color="auto"/>
      </w:divBdr>
    </w:div>
    <w:div w:id="245236936">
      <w:bodyDiv w:val="1"/>
      <w:marLeft w:val="0"/>
      <w:marRight w:val="0"/>
      <w:marTop w:val="0"/>
      <w:marBottom w:val="0"/>
      <w:divBdr>
        <w:top w:val="none" w:sz="0" w:space="0" w:color="auto"/>
        <w:left w:val="none" w:sz="0" w:space="0" w:color="auto"/>
        <w:bottom w:val="none" w:sz="0" w:space="0" w:color="auto"/>
        <w:right w:val="none" w:sz="0" w:space="0" w:color="auto"/>
      </w:divBdr>
    </w:div>
    <w:div w:id="272248589">
      <w:bodyDiv w:val="1"/>
      <w:marLeft w:val="0"/>
      <w:marRight w:val="0"/>
      <w:marTop w:val="0"/>
      <w:marBottom w:val="0"/>
      <w:divBdr>
        <w:top w:val="none" w:sz="0" w:space="0" w:color="auto"/>
        <w:left w:val="none" w:sz="0" w:space="0" w:color="auto"/>
        <w:bottom w:val="none" w:sz="0" w:space="0" w:color="auto"/>
        <w:right w:val="none" w:sz="0" w:space="0" w:color="auto"/>
      </w:divBdr>
    </w:div>
    <w:div w:id="291642778">
      <w:bodyDiv w:val="1"/>
      <w:marLeft w:val="0"/>
      <w:marRight w:val="0"/>
      <w:marTop w:val="0"/>
      <w:marBottom w:val="0"/>
      <w:divBdr>
        <w:top w:val="none" w:sz="0" w:space="0" w:color="auto"/>
        <w:left w:val="none" w:sz="0" w:space="0" w:color="auto"/>
        <w:bottom w:val="none" w:sz="0" w:space="0" w:color="auto"/>
        <w:right w:val="none" w:sz="0" w:space="0" w:color="auto"/>
      </w:divBdr>
    </w:div>
    <w:div w:id="399983673">
      <w:bodyDiv w:val="1"/>
      <w:marLeft w:val="0"/>
      <w:marRight w:val="0"/>
      <w:marTop w:val="0"/>
      <w:marBottom w:val="0"/>
      <w:divBdr>
        <w:top w:val="none" w:sz="0" w:space="0" w:color="auto"/>
        <w:left w:val="none" w:sz="0" w:space="0" w:color="auto"/>
        <w:bottom w:val="none" w:sz="0" w:space="0" w:color="auto"/>
        <w:right w:val="none" w:sz="0" w:space="0" w:color="auto"/>
      </w:divBdr>
    </w:div>
    <w:div w:id="412245667">
      <w:bodyDiv w:val="1"/>
      <w:marLeft w:val="0"/>
      <w:marRight w:val="0"/>
      <w:marTop w:val="0"/>
      <w:marBottom w:val="0"/>
      <w:divBdr>
        <w:top w:val="none" w:sz="0" w:space="0" w:color="auto"/>
        <w:left w:val="none" w:sz="0" w:space="0" w:color="auto"/>
        <w:bottom w:val="none" w:sz="0" w:space="0" w:color="auto"/>
        <w:right w:val="none" w:sz="0" w:space="0" w:color="auto"/>
      </w:divBdr>
    </w:div>
    <w:div w:id="424232602">
      <w:bodyDiv w:val="1"/>
      <w:marLeft w:val="0"/>
      <w:marRight w:val="0"/>
      <w:marTop w:val="0"/>
      <w:marBottom w:val="0"/>
      <w:divBdr>
        <w:top w:val="none" w:sz="0" w:space="0" w:color="auto"/>
        <w:left w:val="none" w:sz="0" w:space="0" w:color="auto"/>
        <w:bottom w:val="none" w:sz="0" w:space="0" w:color="auto"/>
        <w:right w:val="none" w:sz="0" w:space="0" w:color="auto"/>
      </w:divBdr>
    </w:div>
    <w:div w:id="439449462">
      <w:bodyDiv w:val="1"/>
      <w:marLeft w:val="0"/>
      <w:marRight w:val="0"/>
      <w:marTop w:val="0"/>
      <w:marBottom w:val="0"/>
      <w:divBdr>
        <w:top w:val="none" w:sz="0" w:space="0" w:color="auto"/>
        <w:left w:val="none" w:sz="0" w:space="0" w:color="auto"/>
        <w:bottom w:val="none" w:sz="0" w:space="0" w:color="auto"/>
        <w:right w:val="none" w:sz="0" w:space="0" w:color="auto"/>
      </w:divBdr>
    </w:div>
    <w:div w:id="450586798">
      <w:bodyDiv w:val="1"/>
      <w:marLeft w:val="0"/>
      <w:marRight w:val="0"/>
      <w:marTop w:val="0"/>
      <w:marBottom w:val="0"/>
      <w:divBdr>
        <w:top w:val="none" w:sz="0" w:space="0" w:color="auto"/>
        <w:left w:val="none" w:sz="0" w:space="0" w:color="auto"/>
        <w:bottom w:val="none" w:sz="0" w:space="0" w:color="auto"/>
        <w:right w:val="none" w:sz="0" w:space="0" w:color="auto"/>
      </w:divBdr>
    </w:div>
    <w:div w:id="460150197">
      <w:bodyDiv w:val="1"/>
      <w:marLeft w:val="0"/>
      <w:marRight w:val="0"/>
      <w:marTop w:val="0"/>
      <w:marBottom w:val="0"/>
      <w:divBdr>
        <w:top w:val="none" w:sz="0" w:space="0" w:color="auto"/>
        <w:left w:val="none" w:sz="0" w:space="0" w:color="auto"/>
        <w:bottom w:val="none" w:sz="0" w:space="0" w:color="auto"/>
        <w:right w:val="none" w:sz="0" w:space="0" w:color="auto"/>
      </w:divBdr>
    </w:div>
    <w:div w:id="536745571">
      <w:bodyDiv w:val="1"/>
      <w:marLeft w:val="0"/>
      <w:marRight w:val="0"/>
      <w:marTop w:val="0"/>
      <w:marBottom w:val="0"/>
      <w:divBdr>
        <w:top w:val="none" w:sz="0" w:space="0" w:color="auto"/>
        <w:left w:val="none" w:sz="0" w:space="0" w:color="auto"/>
        <w:bottom w:val="none" w:sz="0" w:space="0" w:color="auto"/>
        <w:right w:val="none" w:sz="0" w:space="0" w:color="auto"/>
      </w:divBdr>
    </w:div>
    <w:div w:id="545990263">
      <w:bodyDiv w:val="1"/>
      <w:marLeft w:val="0"/>
      <w:marRight w:val="0"/>
      <w:marTop w:val="0"/>
      <w:marBottom w:val="0"/>
      <w:divBdr>
        <w:top w:val="none" w:sz="0" w:space="0" w:color="auto"/>
        <w:left w:val="none" w:sz="0" w:space="0" w:color="auto"/>
        <w:bottom w:val="none" w:sz="0" w:space="0" w:color="auto"/>
        <w:right w:val="none" w:sz="0" w:space="0" w:color="auto"/>
      </w:divBdr>
    </w:div>
    <w:div w:id="556622996">
      <w:bodyDiv w:val="1"/>
      <w:marLeft w:val="0"/>
      <w:marRight w:val="0"/>
      <w:marTop w:val="0"/>
      <w:marBottom w:val="0"/>
      <w:divBdr>
        <w:top w:val="none" w:sz="0" w:space="0" w:color="auto"/>
        <w:left w:val="none" w:sz="0" w:space="0" w:color="auto"/>
        <w:bottom w:val="none" w:sz="0" w:space="0" w:color="auto"/>
        <w:right w:val="none" w:sz="0" w:space="0" w:color="auto"/>
      </w:divBdr>
    </w:div>
    <w:div w:id="596409459">
      <w:bodyDiv w:val="1"/>
      <w:marLeft w:val="0"/>
      <w:marRight w:val="0"/>
      <w:marTop w:val="0"/>
      <w:marBottom w:val="0"/>
      <w:divBdr>
        <w:top w:val="none" w:sz="0" w:space="0" w:color="auto"/>
        <w:left w:val="none" w:sz="0" w:space="0" w:color="auto"/>
        <w:bottom w:val="none" w:sz="0" w:space="0" w:color="auto"/>
        <w:right w:val="none" w:sz="0" w:space="0" w:color="auto"/>
      </w:divBdr>
    </w:div>
    <w:div w:id="605580235">
      <w:bodyDiv w:val="1"/>
      <w:marLeft w:val="0"/>
      <w:marRight w:val="0"/>
      <w:marTop w:val="0"/>
      <w:marBottom w:val="0"/>
      <w:divBdr>
        <w:top w:val="none" w:sz="0" w:space="0" w:color="auto"/>
        <w:left w:val="none" w:sz="0" w:space="0" w:color="auto"/>
        <w:bottom w:val="none" w:sz="0" w:space="0" w:color="auto"/>
        <w:right w:val="none" w:sz="0" w:space="0" w:color="auto"/>
      </w:divBdr>
    </w:div>
    <w:div w:id="607200080">
      <w:bodyDiv w:val="1"/>
      <w:marLeft w:val="0"/>
      <w:marRight w:val="0"/>
      <w:marTop w:val="0"/>
      <w:marBottom w:val="0"/>
      <w:divBdr>
        <w:top w:val="none" w:sz="0" w:space="0" w:color="auto"/>
        <w:left w:val="none" w:sz="0" w:space="0" w:color="auto"/>
        <w:bottom w:val="none" w:sz="0" w:space="0" w:color="auto"/>
        <w:right w:val="none" w:sz="0" w:space="0" w:color="auto"/>
      </w:divBdr>
    </w:div>
    <w:div w:id="619724825">
      <w:bodyDiv w:val="1"/>
      <w:marLeft w:val="0"/>
      <w:marRight w:val="0"/>
      <w:marTop w:val="0"/>
      <w:marBottom w:val="0"/>
      <w:divBdr>
        <w:top w:val="none" w:sz="0" w:space="0" w:color="auto"/>
        <w:left w:val="none" w:sz="0" w:space="0" w:color="auto"/>
        <w:bottom w:val="none" w:sz="0" w:space="0" w:color="auto"/>
        <w:right w:val="none" w:sz="0" w:space="0" w:color="auto"/>
      </w:divBdr>
    </w:div>
    <w:div w:id="628822417">
      <w:bodyDiv w:val="1"/>
      <w:marLeft w:val="0"/>
      <w:marRight w:val="0"/>
      <w:marTop w:val="0"/>
      <w:marBottom w:val="0"/>
      <w:divBdr>
        <w:top w:val="none" w:sz="0" w:space="0" w:color="auto"/>
        <w:left w:val="none" w:sz="0" w:space="0" w:color="auto"/>
        <w:bottom w:val="none" w:sz="0" w:space="0" w:color="auto"/>
        <w:right w:val="none" w:sz="0" w:space="0" w:color="auto"/>
      </w:divBdr>
    </w:div>
    <w:div w:id="693530987">
      <w:bodyDiv w:val="1"/>
      <w:marLeft w:val="0"/>
      <w:marRight w:val="0"/>
      <w:marTop w:val="0"/>
      <w:marBottom w:val="0"/>
      <w:divBdr>
        <w:top w:val="none" w:sz="0" w:space="0" w:color="auto"/>
        <w:left w:val="none" w:sz="0" w:space="0" w:color="auto"/>
        <w:bottom w:val="none" w:sz="0" w:space="0" w:color="auto"/>
        <w:right w:val="none" w:sz="0" w:space="0" w:color="auto"/>
      </w:divBdr>
    </w:div>
    <w:div w:id="701983126">
      <w:bodyDiv w:val="1"/>
      <w:marLeft w:val="0"/>
      <w:marRight w:val="0"/>
      <w:marTop w:val="0"/>
      <w:marBottom w:val="0"/>
      <w:divBdr>
        <w:top w:val="none" w:sz="0" w:space="0" w:color="auto"/>
        <w:left w:val="none" w:sz="0" w:space="0" w:color="auto"/>
        <w:bottom w:val="none" w:sz="0" w:space="0" w:color="auto"/>
        <w:right w:val="none" w:sz="0" w:space="0" w:color="auto"/>
      </w:divBdr>
    </w:div>
    <w:div w:id="731125356">
      <w:bodyDiv w:val="1"/>
      <w:marLeft w:val="0"/>
      <w:marRight w:val="0"/>
      <w:marTop w:val="0"/>
      <w:marBottom w:val="0"/>
      <w:divBdr>
        <w:top w:val="none" w:sz="0" w:space="0" w:color="auto"/>
        <w:left w:val="none" w:sz="0" w:space="0" w:color="auto"/>
        <w:bottom w:val="none" w:sz="0" w:space="0" w:color="auto"/>
        <w:right w:val="none" w:sz="0" w:space="0" w:color="auto"/>
      </w:divBdr>
    </w:div>
    <w:div w:id="734746216">
      <w:bodyDiv w:val="1"/>
      <w:marLeft w:val="0"/>
      <w:marRight w:val="0"/>
      <w:marTop w:val="0"/>
      <w:marBottom w:val="0"/>
      <w:divBdr>
        <w:top w:val="none" w:sz="0" w:space="0" w:color="auto"/>
        <w:left w:val="none" w:sz="0" w:space="0" w:color="auto"/>
        <w:bottom w:val="none" w:sz="0" w:space="0" w:color="auto"/>
        <w:right w:val="none" w:sz="0" w:space="0" w:color="auto"/>
      </w:divBdr>
    </w:div>
    <w:div w:id="751125195">
      <w:bodyDiv w:val="1"/>
      <w:marLeft w:val="0"/>
      <w:marRight w:val="0"/>
      <w:marTop w:val="0"/>
      <w:marBottom w:val="0"/>
      <w:divBdr>
        <w:top w:val="none" w:sz="0" w:space="0" w:color="auto"/>
        <w:left w:val="none" w:sz="0" w:space="0" w:color="auto"/>
        <w:bottom w:val="none" w:sz="0" w:space="0" w:color="auto"/>
        <w:right w:val="none" w:sz="0" w:space="0" w:color="auto"/>
      </w:divBdr>
    </w:div>
    <w:div w:id="753820933">
      <w:bodyDiv w:val="1"/>
      <w:marLeft w:val="0"/>
      <w:marRight w:val="0"/>
      <w:marTop w:val="0"/>
      <w:marBottom w:val="0"/>
      <w:divBdr>
        <w:top w:val="none" w:sz="0" w:space="0" w:color="auto"/>
        <w:left w:val="none" w:sz="0" w:space="0" w:color="auto"/>
        <w:bottom w:val="none" w:sz="0" w:space="0" w:color="auto"/>
        <w:right w:val="none" w:sz="0" w:space="0" w:color="auto"/>
      </w:divBdr>
    </w:div>
    <w:div w:id="765271956">
      <w:bodyDiv w:val="1"/>
      <w:marLeft w:val="0"/>
      <w:marRight w:val="0"/>
      <w:marTop w:val="0"/>
      <w:marBottom w:val="0"/>
      <w:divBdr>
        <w:top w:val="none" w:sz="0" w:space="0" w:color="auto"/>
        <w:left w:val="none" w:sz="0" w:space="0" w:color="auto"/>
        <w:bottom w:val="none" w:sz="0" w:space="0" w:color="auto"/>
        <w:right w:val="none" w:sz="0" w:space="0" w:color="auto"/>
      </w:divBdr>
    </w:div>
    <w:div w:id="773131699">
      <w:bodyDiv w:val="1"/>
      <w:marLeft w:val="0"/>
      <w:marRight w:val="0"/>
      <w:marTop w:val="0"/>
      <w:marBottom w:val="0"/>
      <w:divBdr>
        <w:top w:val="none" w:sz="0" w:space="0" w:color="auto"/>
        <w:left w:val="none" w:sz="0" w:space="0" w:color="auto"/>
        <w:bottom w:val="none" w:sz="0" w:space="0" w:color="auto"/>
        <w:right w:val="none" w:sz="0" w:space="0" w:color="auto"/>
      </w:divBdr>
    </w:div>
    <w:div w:id="780343477">
      <w:bodyDiv w:val="1"/>
      <w:marLeft w:val="0"/>
      <w:marRight w:val="0"/>
      <w:marTop w:val="0"/>
      <w:marBottom w:val="0"/>
      <w:divBdr>
        <w:top w:val="none" w:sz="0" w:space="0" w:color="auto"/>
        <w:left w:val="none" w:sz="0" w:space="0" w:color="auto"/>
        <w:bottom w:val="none" w:sz="0" w:space="0" w:color="auto"/>
        <w:right w:val="none" w:sz="0" w:space="0" w:color="auto"/>
      </w:divBdr>
    </w:div>
    <w:div w:id="790785867">
      <w:bodyDiv w:val="1"/>
      <w:marLeft w:val="0"/>
      <w:marRight w:val="0"/>
      <w:marTop w:val="0"/>
      <w:marBottom w:val="0"/>
      <w:divBdr>
        <w:top w:val="none" w:sz="0" w:space="0" w:color="auto"/>
        <w:left w:val="none" w:sz="0" w:space="0" w:color="auto"/>
        <w:bottom w:val="none" w:sz="0" w:space="0" w:color="auto"/>
        <w:right w:val="none" w:sz="0" w:space="0" w:color="auto"/>
      </w:divBdr>
    </w:div>
    <w:div w:id="803886466">
      <w:bodyDiv w:val="1"/>
      <w:marLeft w:val="0"/>
      <w:marRight w:val="0"/>
      <w:marTop w:val="0"/>
      <w:marBottom w:val="0"/>
      <w:divBdr>
        <w:top w:val="none" w:sz="0" w:space="0" w:color="auto"/>
        <w:left w:val="none" w:sz="0" w:space="0" w:color="auto"/>
        <w:bottom w:val="none" w:sz="0" w:space="0" w:color="auto"/>
        <w:right w:val="none" w:sz="0" w:space="0" w:color="auto"/>
      </w:divBdr>
    </w:div>
    <w:div w:id="809633901">
      <w:bodyDiv w:val="1"/>
      <w:marLeft w:val="0"/>
      <w:marRight w:val="0"/>
      <w:marTop w:val="0"/>
      <w:marBottom w:val="0"/>
      <w:divBdr>
        <w:top w:val="none" w:sz="0" w:space="0" w:color="auto"/>
        <w:left w:val="none" w:sz="0" w:space="0" w:color="auto"/>
        <w:bottom w:val="none" w:sz="0" w:space="0" w:color="auto"/>
        <w:right w:val="none" w:sz="0" w:space="0" w:color="auto"/>
      </w:divBdr>
    </w:div>
    <w:div w:id="810630966">
      <w:bodyDiv w:val="1"/>
      <w:marLeft w:val="0"/>
      <w:marRight w:val="0"/>
      <w:marTop w:val="0"/>
      <w:marBottom w:val="0"/>
      <w:divBdr>
        <w:top w:val="none" w:sz="0" w:space="0" w:color="auto"/>
        <w:left w:val="none" w:sz="0" w:space="0" w:color="auto"/>
        <w:bottom w:val="none" w:sz="0" w:space="0" w:color="auto"/>
        <w:right w:val="none" w:sz="0" w:space="0" w:color="auto"/>
      </w:divBdr>
    </w:div>
    <w:div w:id="819007876">
      <w:bodyDiv w:val="1"/>
      <w:marLeft w:val="0"/>
      <w:marRight w:val="0"/>
      <w:marTop w:val="0"/>
      <w:marBottom w:val="0"/>
      <w:divBdr>
        <w:top w:val="none" w:sz="0" w:space="0" w:color="auto"/>
        <w:left w:val="none" w:sz="0" w:space="0" w:color="auto"/>
        <w:bottom w:val="none" w:sz="0" w:space="0" w:color="auto"/>
        <w:right w:val="none" w:sz="0" w:space="0" w:color="auto"/>
      </w:divBdr>
    </w:div>
    <w:div w:id="886112645">
      <w:bodyDiv w:val="1"/>
      <w:marLeft w:val="0"/>
      <w:marRight w:val="0"/>
      <w:marTop w:val="0"/>
      <w:marBottom w:val="0"/>
      <w:divBdr>
        <w:top w:val="none" w:sz="0" w:space="0" w:color="auto"/>
        <w:left w:val="none" w:sz="0" w:space="0" w:color="auto"/>
        <w:bottom w:val="none" w:sz="0" w:space="0" w:color="auto"/>
        <w:right w:val="none" w:sz="0" w:space="0" w:color="auto"/>
      </w:divBdr>
    </w:div>
    <w:div w:id="897325720">
      <w:bodyDiv w:val="1"/>
      <w:marLeft w:val="0"/>
      <w:marRight w:val="0"/>
      <w:marTop w:val="0"/>
      <w:marBottom w:val="0"/>
      <w:divBdr>
        <w:top w:val="none" w:sz="0" w:space="0" w:color="auto"/>
        <w:left w:val="none" w:sz="0" w:space="0" w:color="auto"/>
        <w:bottom w:val="none" w:sz="0" w:space="0" w:color="auto"/>
        <w:right w:val="none" w:sz="0" w:space="0" w:color="auto"/>
      </w:divBdr>
    </w:div>
    <w:div w:id="935792401">
      <w:bodyDiv w:val="1"/>
      <w:marLeft w:val="0"/>
      <w:marRight w:val="0"/>
      <w:marTop w:val="0"/>
      <w:marBottom w:val="0"/>
      <w:divBdr>
        <w:top w:val="none" w:sz="0" w:space="0" w:color="auto"/>
        <w:left w:val="none" w:sz="0" w:space="0" w:color="auto"/>
        <w:bottom w:val="none" w:sz="0" w:space="0" w:color="auto"/>
        <w:right w:val="none" w:sz="0" w:space="0" w:color="auto"/>
      </w:divBdr>
    </w:div>
    <w:div w:id="940451081">
      <w:bodyDiv w:val="1"/>
      <w:marLeft w:val="0"/>
      <w:marRight w:val="0"/>
      <w:marTop w:val="0"/>
      <w:marBottom w:val="0"/>
      <w:divBdr>
        <w:top w:val="none" w:sz="0" w:space="0" w:color="auto"/>
        <w:left w:val="none" w:sz="0" w:space="0" w:color="auto"/>
        <w:bottom w:val="none" w:sz="0" w:space="0" w:color="auto"/>
        <w:right w:val="none" w:sz="0" w:space="0" w:color="auto"/>
      </w:divBdr>
    </w:div>
    <w:div w:id="961307127">
      <w:bodyDiv w:val="1"/>
      <w:marLeft w:val="0"/>
      <w:marRight w:val="0"/>
      <w:marTop w:val="0"/>
      <w:marBottom w:val="0"/>
      <w:divBdr>
        <w:top w:val="none" w:sz="0" w:space="0" w:color="auto"/>
        <w:left w:val="none" w:sz="0" w:space="0" w:color="auto"/>
        <w:bottom w:val="none" w:sz="0" w:space="0" w:color="auto"/>
        <w:right w:val="none" w:sz="0" w:space="0" w:color="auto"/>
      </w:divBdr>
    </w:div>
    <w:div w:id="1098283681">
      <w:bodyDiv w:val="1"/>
      <w:marLeft w:val="0"/>
      <w:marRight w:val="0"/>
      <w:marTop w:val="0"/>
      <w:marBottom w:val="0"/>
      <w:divBdr>
        <w:top w:val="none" w:sz="0" w:space="0" w:color="auto"/>
        <w:left w:val="none" w:sz="0" w:space="0" w:color="auto"/>
        <w:bottom w:val="none" w:sz="0" w:space="0" w:color="auto"/>
        <w:right w:val="none" w:sz="0" w:space="0" w:color="auto"/>
      </w:divBdr>
    </w:div>
    <w:div w:id="1146505567">
      <w:bodyDiv w:val="1"/>
      <w:marLeft w:val="0"/>
      <w:marRight w:val="0"/>
      <w:marTop w:val="0"/>
      <w:marBottom w:val="0"/>
      <w:divBdr>
        <w:top w:val="none" w:sz="0" w:space="0" w:color="auto"/>
        <w:left w:val="none" w:sz="0" w:space="0" w:color="auto"/>
        <w:bottom w:val="none" w:sz="0" w:space="0" w:color="auto"/>
        <w:right w:val="none" w:sz="0" w:space="0" w:color="auto"/>
      </w:divBdr>
    </w:div>
    <w:div w:id="1176649028">
      <w:bodyDiv w:val="1"/>
      <w:marLeft w:val="0"/>
      <w:marRight w:val="0"/>
      <w:marTop w:val="0"/>
      <w:marBottom w:val="0"/>
      <w:divBdr>
        <w:top w:val="none" w:sz="0" w:space="0" w:color="auto"/>
        <w:left w:val="none" w:sz="0" w:space="0" w:color="auto"/>
        <w:bottom w:val="none" w:sz="0" w:space="0" w:color="auto"/>
        <w:right w:val="none" w:sz="0" w:space="0" w:color="auto"/>
      </w:divBdr>
    </w:div>
    <w:div w:id="1184586039">
      <w:bodyDiv w:val="1"/>
      <w:marLeft w:val="0"/>
      <w:marRight w:val="0"/>
      <w:marTop w:val="0"/>
      <w:marBottom w:val="0"/>
      <w:divBdr>
        <w:top w:val="none" w:sz="0" w:space="0" w:color="auto"/>
        <w:left w:val="none" w:sz="0" w:space="0" w:color="auto"/>
        <w:bottom w:val="none" w:sz="0" w:space="0" w:color="auto"/>
        <w:right w:val="none" w:sz="0" w:space="0" w:color="auto"/>
      </w:divBdr>
    </w:div>
    <w:div w:id="1187062238">
      <w:bodyDiv w:val="1"/>
      <w:marLeft w:val="0"/>
      <w:marRight w:val="0"/>
      <w:marTop w:val="0"/>
      <w:marBottom w:val="0"/>
      <w:divBdr>
        <w:top w:val="none" w:sz="0" w:space="0" w:color="auto"/>
        <w:left w:val="none" w:sz="0" w:space="0" w:color="auto"/>
        <w:bottom w:val="none" w:sz="0" w:space="0" w:color="auto"/>
        <w:right w:val="none" w:sz="0" w:space="0" w:color="auto"/>
      </w:divBdr>
    </w:div>
    <w:div w:id="1220941533">
      <w:bodyDiv w:val="1"/>
      <w:marLeft w:val="0"/>
      <w:marRight w:val="0"/>
      <w:marTop w:val="0"/>
      <w:marBottom w:val="0"/>
      <w:divBdr>
        <w:top w:val="none" w:sz="0" w:space="0" w:color="auto"/>
        <w:left w:val="none" w:sz="0" w:space="0" w:color="auto"/>
        <w:bottom w:val="none" w:sz="0" w:space="0" w:color="auto"/>
        <w:right w:val="none" w:sz="0" w:space="0" w:color="auto"/>
      </w:divBdr>
    </w:div>
    <w:div w:id="1266576166">
      <w:bodyDiv w:val="1"/>
      <w:marLeft w:val="0"/>
      <w:marRight w:val="0"/>
      <w:marTop w:val="0"/>
      <w:marBottom w:val="0"/>
      <w:divBdr>
        <w:top w:val="none" w:sz="0" w:space="0" w:color="auto"/>
        <w:left w:val="none" w:sz="0" w:space="0" w:color="auto"/>
        <w:bottom w:val="none" w:sz="0" w:space="0" w:color="auto"/>
        <w:right w:val="none" w:sz="0" w:space="0" w:color="auto"/>
      </w:divBdr>
    </w:div>
    <w:div w:id="1272129346">
      <w:bodyDiv w:val="1"/>
      <w:marLeft w:val="0"/>
      <w:marRight w:val="0"/>
      <w:marTop w:val="0"/>
      <w:marBottom w:val="0"/>
      <w:divBdr>
        <w:top w:val="none" w:sz="0" w:space="0" w:color="auto"/>
        <w:left w:val="none" w:sz="0" w:space="0" w:color="auto"/>
        <w:bottom w:val="none" w:sz="0" w:space="0" w:color="auto"/>
        <w:right w:val="none" w:sz="0" w:space="0" w:color="auto"/>
      </w:divBdr>
    </w:div>
    <w:div w:id="1302156887">
      <w:bodyDiv w:val="1"/>
      <w:marLeft w:val="0"/>
      <w:marRight w:val="0"/>
      <w:marTop w:val="0"/>
      <w:marBottom w:val="0"/>
      <w:divBdr>
        <w:top w:val="none" w:sz="0" w:space="0" w:color="auto"/>
        <w:left w:val="none" w:sz="0" w:space="0" w:color="auto"/>
        <w:bottom w:val="none" w:sz="0" w:space="0" w:color="auto"/>
        <w:right w:val="none" w:sz="0" w:space="0" w:color="auto"/>
      </w:divBdr>
    </w:div>
    <w:div w:id="1328361986">
      <w:bodyDiv w:val="1"/>
      <w:marLeft w:val="0"/>
      <w:marRight w:val="0"/>
      <w:marTop w:val="0"/>
      <w:marBottom w:val="0"/>
      <w:divBdr>
        <w:top w:val="none" w:sz="0" w:space="0" w:color="auto"/>
        <w:left w:val="none" w:sz="0" w:space="0" w:color="auto"/>
        <w:bottom w:val="none" w:sz="0" w:space="0" w:color="auto"/>
        <w:right w:val="none" w:sz="0" w:space="0" w:color="auto"/>
      </w:divBdr>
    </w:div>
    <w:div w:id="1343388198">
      <w:bodyDiv w:val="1"/>
      <w:marLeft w:val="0"/>
      <w:marRight w:val="0"/>
      <w:marTop w:val="0"/>
      <w:marBottom w:val="0"/>
      <w:divBdr>
        <w:top w:val="none" w:sz="0" w:space="0" w:color="auto"/>
        <w:left w:val="none" w:sz="0" w:space="0" w:color="auto"/>
        <w:bottom w:val="none" w:sz="0" w:space="0" w:color="auto"/>
        <w:right w:val="none" w:sz="0" w:space="0" w:color="auto"/>
      </w:divBdr>
    </w:div>
    <w:div w:id="1391002585">
      <w:bodyDiv w:val="1"/>
      <w:marLeft w:val="0"/>
      <w:marRight w:val="0"/>
      <w:marTop w:val="0"/>
      <w:marBottom w:val="0"/>
      <w:divBdr>
        <w:top w:val="none" w:sz="0" w:space="0" w:color="auto"/>
        <w:left w:val="none" w:sz="0" w:space="0" w:color="auto"/>
        <w:bottom w:val="none" w:sz="0" w:space="0" w:color="auto"/>
        <w:right w:val="none" w:sz="0" w:space="0" w:color="auto"/>
      </w:divBdr>
    </w:div>
    <w:div w:id="1462647846">
      <w:bodyDiv w:val="1"/>
      <w:marLeft w:val="0"/>
      <w:marRight w:val="0"/>
      <w:marTop w:val="0"/>
      <w:marBottom w:val="0"/>
      <w:divBdr>
        <w:top w:val="none" w:sz="0" w:space="0" w:color="auto"/>
        <w:left w:val="none" w:sz="0" w:space="0" w:color="auto"/>
        <w:bottom w:val="none" w:sz="0" w:space="0" w:color="auto"/>
        <w:right w:val="none" w:sz="0" w:space="0" w:color="auto"/>
      </w:divBdr>
    </w:div>
    <w:div w:id="1519612098">
      <w:bodyDiv w:val="1"/>
      <w:marLeft w:val="0"/>
      <w:marRight w:val="0"/>
      <w:marTop w:val="0"/>
      <w:marBottom w:val="0"/>
      <w:divBdr>
        <w:top w:val="none" w:sz="0" w:space="0" w:color="auto"/>
        <w:left w:val="none" w:sz="0" w:space="0" w:color="auto"/>
        <w:bottom w:val="none" w:sz="0" w:space="0" w:color="auto"/>
        <w:right w:val="none" w:sz="0" w:space="0" w:color="auto"/>
      </w:divBdr>
    </w:div>
    <w:div w:id="1522544747">
      <w:bodyDiv w:val="1"/>
      <w:marLeft w:val="0"/>
      <w:marRight w:val="0"/>
      <w:marTop w:val="0"/>
      <w:marBottom w:val="0"/>
      <w:divBdr>
        <w:top w:val="none" w:sz="0" w:space="0" w:color="auto"/>
        <w:left w:val="none" w:sz="0" w:space="0" w:color="auto"/>
        <w:bottom w:val="none" w:sz="0" w:space="0" w:color="auto"/>
        <w:right w:val="none" w:sz="0" w:space="0" w:color="auto"/>
      </w:divBdr>
    </w:div>
    <w:div w:id="1560290553">
      <w:bodyDiv w:val="1"/>
      <w:marLeft w:val="0"/>
      <w:marRight w:val="0"/>
      <w:marTop w:val="0"/>
      <w:marBottom w:val="0"/>
      <w:divBdr>
        <w:top w:val="none" w:sz="0" w:space="0" w:color="auto"/>
        <w:left w:val="none" w:sz="0" w:space="0" w:color="auto"/>
        <w:bottom w:val="none" w:sz="0" w:space="0" w:color="auto"/>
        <w:right w:val="none" w:sz="0" w:space="0" w:color="auto"/>
      </w:divBdr>
    </w:div>
    <w:div w:id="1563757728">
      <w:bodyDiv w:val="1"/>
      <w:marLeft w:val="0"/>
      <w:marRight w:val="0"/>
      <w:marTop w:val="0"/>
      <w:marBottom w:val="0"/>
      <w:divBdr>
        <w:top w:val="none" w:sz="0" w:space="0" w:color="auto"/>
        <w:left w:val="none" w:sz="0" w:space="0" w:color="auto"/>
        <w:bottom w:val="none" w:sz="0" w:space="0" w:color="auto"/>
        <w:right w:val="none" w:sz="0" w:space="0" w:color="auto"/>
      </w:divBdr>
    </w:div>
    <w:div w:id="1581409484">
      <w:bodyDiv w:val="1"/>
      <w:marLeft w:val="0"/>
      <w:marRight w:val="0"/>
      <w:marTop w:val="0"/>
      <w:marBottom w:val="0"/>
      <w:divBdr>
        <w:top w:val="none" w:sz="0" w:space="0" w:color="auto"/>
        <w:left w:val="none" w:sz="0" w:space="0" w:color="auto"/>
        <w:bottom w:val="none" w:sz="0" w:space="0" w:color="auto"/>
        <w:right w:val="none" w:sz="0" w:space="0" w:color="auto"/>
      </w:divBdr>
    </w:div>
    <w:div w:id="1611156232">
      <w:bodyDiv w:val="1"/>
      <w:marLeft w:val="0"/>
      <w:marRight w:val="0"/>
      <w:marTop w:val="0"/>
      <w:marBottom w:val="0"/>
      <w:divBdr>
        <w:top w:val="none" w:sz="0" w:space="0" w:color="auto"/>
        <w:left w:val="none" w:sz="0" w:space="0" w:color="auto"/>
        <w:bottom w:val="none" w:sz="0" w:space="0" w:color="auto"/>
        <w:right w:val="none" w:sz="0" w:space="0" w:color="auto"/>
      </w:divBdr>
    </w:div>
    <w:div w:id="1639650488">
      <w:bodyDiv w:val="1"/>
      <w:marLeft w:val="0"/>
      <w:marRight w:val="0"/>
      <w:marTop w:val="0"/>
      <w:marBottom w:val="0"/>
      <w:divBdr>
        <w:top w:val="none" w:sz="0" w:space="0" w:color="auto"/>
        <w:left w:val="none" w:sz="0" w:space="0" w:color="auto"/>
        <w:bottom w:val="none" w:sz="0" w:space="0" w:color="auto"/>
        <w:right w:val="none" w:sz="0" w:space="0" w:color="auto"/>
      </w:divBdr>
    </w:div>
    <w:div w:id="1656643596">
      <w:bodyDiv w:val="1"/>
      <w:marLeft w:val="0"/>
      <w:marRight w:val="0"/>
      <w:marTop w:val="0"/>
      <w:marBottom w:val="0"/>
      <w:divBdr>
        <w:top w:val="none" w:sz="0" w:space="0" w:color="auto"/>
        <w:left w:val="none" w:sz="0" w:space="0" w:color="auto"/>
        <w:bottom w:val="none" w:sz="0" w:space="0" w:color="auto"/>
        <w:right w:val="none" w:sz="0" w:space="0" w:color="auto"/>
      </w:divBdr>
    </w:div>
    <w:div w:id="1672442203">
      <w:bodyDiv w:val="1"/>
      <w:marLeft w:val="0"/>
      <w:marRight w:val="0"/>
      <w:marTop w:val="0"/>
      <w:marBottom w:val="0"/>
      <w:divBdr>
        <w:top w:val="none" w:sz="0" w:space="0" w:color="auto"/>
        <w:left w:val="none" w:sz="0" w:space="0" w:color="auto"/>
        <w:bottom w:val="none" w:sz="0" w:space="0" w:color="auto"/>
        <w:right w:val="none" w:sz="0" w:space="0" w:color="auto"/>
      </w:divBdr>
    </w:div>
    <w:div w:id="1679773794">
      <w:bodyDiv w:val="1"/>
      <w:marLeft w:val="0"/>
      <w:marRight w:val="0"/>
      <w:marTop w:val="0"/>
      <w:marBottom w:val="0"/>
      <w:divBdr>
        <w:top w:val="none" w:sz="0" w:space="0" w:color="auto"/>
        <w:left w:val="none" w:sz="0" w:space="0" w:color="auto"/>
        <w:bottom w:val="none" w:sz="0" w:space="0" w:color="auto"/>
        <w:right w:val="none" w:sz="0" w:space="0" w:color="auto"/>
      </w:divBdr>
    </w:div>
    <w:div w:id="1717005732">
      <w:bodyDiv w:val="1"/>
      <w:marLeft w:val="0"/>
      <w:marRight w:val="0"/>
      <w:marTop w:val="0"/>
      <w:marBottom w:val="0"/>
      <w:divBdr>
        <w:top w:val="none" w:sz="0" w:space="0" w:color="auto"/>
        <w:left w:val="none" w:sz="0" w:space="0" w:color="auto"/>
        <w:bottom w:val="none" w:sz="0" w:space="0" w:color="auto"/>
        <w:right w:val="none" w:sz="0" w:space="0" w:color="auto"/>
      </w:divBdr>
    </w:div>
    <w:div w:id="1745880978">
      <w:bodyDiv w:val="1"/>
      <w:marLeft w:val="0"/>
      <w:marRight w:val="0"/>
      <w:marTop w:val="0"/>
      <w:marBottom w:val="0"/>
      <w:divBdr>
        <w:top w:val="none" w:sz="0" w:space="0" w:color="auto"/>
        <w:left w:val="none" w:sz="0" w:space="0" w:color="auto"/>
        <w:bottom w:val="none" w:sz="0" w:space="0" w:color="auto"/>
        <w:right w:val="none" w:sz="0" w:space="0" w:color="auto"/>
      </w:divBdr>
    </w:div>
    <w:div w:id="1786995868">
      <w:bodyDiv w:val="1"/>
      <w:marLeft w:val="0"/>
      <w:marRight w:val="0"/>
      <w:marTop w:val="0"/>
      <w:marBottom w:val="0"/>
      <w:divBdr>
        <w:top w:val="none" w:sz="0" w:space="0" w:color="auto"/>
        <w:left w:val="none" w:sz="0" w:space="0" w:color="auto"/>
        <w:bottom w:val="none" w:sz="0" w:space="0" w:color="auto"/>
        <w:right w:val="none" w:sz="0" w:space="0" w:color="auto"/>
      </w:divBdr>
    </w:div>
    <w:div w:id="1795512912">
      <w:bodyDiv w:val="1"/>
      <w:marLeft w:val="0"/>
      <w:marRight w:val="0"/>
      <w:marTop w:val="0"/>
      <w:marBottom w:val="0"/>
      <w:divBdr>
        <w:top w:val="none" w:sz="0" w:space="0" w:color="auto"/>
        <w:left w:val="none" w:sz="0" w:space="0" w:color="auto"/>
        <w:bottom w:val="none" w:sz="0" w:space="0" w:color="auto"/>
        <w:right w:val="none" w:sz="0" w:space="0" w:color="auto"/>
      </w:divBdr>
    </w:div>
    <w:div w:id="1800220754">
      <w:bodyDiv w:val="1"/>
      <w:marLeft w:val="0"/>
      <w:marRight w:val="0"/>
      <w:marTop w:val="0"/>
      <w:marBottom w:val="0"/>
      <w:divBdr>
        <w:top w:val="none" w:sz="0" w:space="0" w:color="auto"/>
        <w:left w:val="none" w:sz="0" w:space="0" w:color="auto"/>
        <w:bottom w:val="none" w:sz="0" w:space="0" w:color="auto"/>
        <w:right w:val="none" w:sz="0" w:space="0" w:color="auto"/>
      </w:divBdr>
    </w:div>
    <w:div w:id="1837262817">
      <w:bodyDiv w:val="1"/>
      <w:marLeft w:val="0"/>
      <w:marRight w:val="0"/>
      <w:marTop w:val="0"/>
      <w:marBottom w:val="0"/>
      <w:divBdr>
        <w:top w:val="none" w:sz="0" w:space="0" w:color="auto"/>
        <w:left w:val="none" w:sz="0" w:space="0" w:color="auto"/>
        <w:bottom w:val="none" w:sz="0" w:space="0" w:color="auto"/>
        <w:right w:val="none" w:sz="0" w:space="0" w:color="auto"/>
      </w:divBdr>
    </w:div>
    <w:div w:id="1851984456">
      <w:bodyDiv w:val="1"/>
      <w:marLeft w:val="0"/>
      <w:marRight w:val="0"/>
      <w:marTop w:val="0"/>
      <w:marBottom w:val="0"/>
      <w:divBdr>
        <w:top w:val="none" w:sz="0" w:space="0" w:color="auto"/>
        <w:left w:val="none" w:sz="0" w:space="0" w:color="auto"/>
        <w:bottom w:val="none" w:sz="0" w:space="0" w:color="auto"/>
        <w:right w:val="none" w:sz="0" w:space="0" w:color="auto"/>
      </w:divBdr>
    </w:div>
    <w:div w:id="1854570250">
      <w:bodyDiv w:val="1"/>
      <w:marLeft w:val="0"/>
      <w:marRight w:val="0"/>
      <w:marTop w:val="0"/>
      <w:marBottom w:val="0"/>
      <w:divBdr>
        <w:top w:val="none" w:sz="0" w:space="0" w:color="auto"/>
        <w:left w:val="none" w:sz="0" w:space="0" w:color="auto"/>
        <w:bottom w:val="none" w:sz="0" w:space="0" w:color="auto"/>
        <w:right w:val="none" w:sz="0" w:space="0" w:color="auto"/>
      </w:divBdr>
    </w:div>
    <w:div w:id="1865098713">
      <w:bodyDiv w:val="1"/>
      <w:marLeft w:val="0"/>
      <w:marRight w:val="0"/>
      <w:marTop w:val="0"/>
      <w:marBottom w:val="0"/>
      <w:divBdr>
        <w:top w:val="none" w:sz="0" w:space="0" w:color="auto"/>
        <w:left w:val="none" w:sz="0" w:space="0" w:color="auto"/>
        <w:bottom w:val="none" w:sz="0" w:space="0" w:color="auto"/>
        <w:right w:val="none" w:sz="0" w:space="0" w:color="auto"/>
      </w:divBdr>
    </w:div>
    <w:div w:id="1880974572">
      <w:bodyDiv w:val="1"/>
      <w:marLeft w:val="0"/>
      <w:marRight w:val="0"/>
      <w:marTop w:val="0"/>
      <w:marBottom w:val="0"/>
      <w:divBdr>
        <w:top w:val="none" w:sz="0" w:space="0" w:color="auto"/>
        <w:left w:val="none" w:sz="0" w:space="0" w:color="auto"/>
        <w:bottom w:val="none" w:sz="0" w:space="0" w:color="auto"/>
        <w:right w:val="none" w:sz="0" w:space="0" w:color="auto"/>
      </w:divBdr>
    </w:div>
    <w:div w:id="1897810730">
      <w:bodyDiv w:val="1"/>
      <w:marLeft w:val="0"/>
      <w:marRight w:val="0"/>
      <w:marTop w:val="0"/>
      <w:marBottom w:val="0"/>
      <w:divBdr>
        <w:top w:val="none" w:sz="0" w:space="0" w:color="auto"/>
        <w:left w:val="none" w:sz="0" w:space="0" w:color="auto"/>
        <w:bottom w:val="none" w:sz="0" w:space="0" w:color="auto"/>
        <w:right w:val="none" w:sz="0" w:space="0" w:color="auto"/>
      </w:divBdr>
    </w:div>
    <w:div w:id="1904564190">
      <w:bodyDiv w:val="1"/>
      <w:marLeft w:val="0"/>
      <w:marRight w:val="0"/>
      <w:marTop w:val="0"/>
      <w:marBottom w:val="0"/>
      <w:divBdr>
        <w:top w:val="none" w:sz="0" w:space="0" w:color="auto"/>
        <w:left w:val="none" w:sz="0" w:space="0" w:color="auto"/>
        <w:bottom w:val="none" w:sz="0" w:space="0" w:color="auto"/>
        <w:right w:val="none" w:sz="0" w:space="0" w:color="auto"/>
      </w:divBdr>
    </w:div>
    <w:div w:id="1928466751">
      <w:bodyDiv w:val="1"/>
      <w:marLeft w:val="0"/>
      <w:marRight w:val="0"/>
      <w:marTop w:val="0"/>
      <w:marBottom w:val="0"/>
      <w:divBdr>
        <w:top w:val="none" w:sz="0" w:space="0" w:color="auto"/>
        <w:left w:val="none" w:sz="0" w:space="0" w:color="auto"/>
        <w:bottom w:val="none" w:sz="0" w:space="0" w:color="auto"/>
        <w:right w:val="none" w:sz="0" w:space="0" w:color="auto"/>
      </w:divBdr>
    </w:div>
    <w:div w:id="1950627506">
      <w:bodyDiv w:val="1"/>
      <w:marLeft w:val="0"/>
      <w:marRight w:val="0"/>
      <w:marTop w:val="0"/>
      <w:marBottom w:val="0"/>
      <w:divBdr>
        <w:top w:val="none" w:sz="0" w:space="0" w:color="auto"/>
        <w:left w:val="none" w:sz="0" w:space="0" w:color="auto"/>
        <w:bottom w:val="none" w:sz="0" w:space="0" w:color="auto"/>
        <w:right w:val="none" w:sz="0" w:space="0" w:color="auto"/>
      </w:divBdr>
    </w:div>
    <w:div w:id="1964068618">
      <w:bodyDiv w:val="1"/>
      <w:marLeft w:val="0"/>
      <w:marRight w:val="0"/>
      <w:marTop w:val="0"/>
      <w:marBottom w:val="0"/>
      <w:divBdr>
        <w:top w:val="none" w:sz="0" w:space="0" w:color="auto"/>
        <w:left w:val="none" w:sz="0" w:space="0" w:color="auto"/>
        <w:bottom w:val="none" w:sz="0" w:space="0" w:color="auto"/>
        <w:right w:val="none" w:sz="0" w:space="0" w:color="auto"/>
      </w:divBdr>
    </w:div>
    <w:div w:id="1969042219">
      <w:bodyDiv w:val="1"/>
      <w:marLeft w:val="0"/>
      <w:marRight w:val="0"/>
      <w:marTop w:val="0"/>
      <w:marBottom w:val="0"/>
      <w:divBdr>
        <w:top w:val="none" w:sz="0" w:space="0" w:color="auto"/>
        <w:left w:val="none" w:sz="0" w:space="0" w:color="auto"/>
        <w:bottom w:val="none" w:sz="0" w:space="0" w:color="auto"/>
        <w:right w:val="none" w:sz="0" w:space="0" w:color="auto"/>
      </w:divBdr>
    </w:div>
    <w:div w:id="1973098658">
      <w:bodyDiv w:val="1"/>
      <w:marLeft w:val="0"/>
      <w:marRight w:val="0"/>
      <w:marTop w:val="0"/>
      <w:marBottom w:val="0"/>
      <w:divBdr>
        <w:top w:val="none" w:sz="0" w:space="0" w:color="auto"/>
        <w:left w:val="none" w:sz="0" w:space="0" w:color="auto"/>
        <w:bottom w:val="none" w:sz="0" w:space="0" w:color="auto"/>
        <w:right w:val="none" w:sz="0" w:space="0" w:color="auto"/>
      </w:divBdr>
    </w:div>
    <w:div w:id="1982882194">
      <w:bodyDiv w:val="1"/>
      <w:marLeft w:val="0"/>
      <w:marRight w:val="0"/>
      <w:marTop w:val="0"/>
      <w:marBottom w:val="0"/>
      <w:divBdr>
        <w:top w:val="none" w:sz="0" w:space="0" w:color="auto"/>
        <w:left w:val="none" w:sz="0" w:space="0" w:color="auto"/>
        <w:bottom w:val="none" w:sz="0" w:space="0" w:color="auto"/>
        <w:right w:val="none" w:sz="0" w:space="0" w:color="auto"/>
      </w:divBdr>
    </w:div>
    <w:div w:id="2000689398">
      <w:bodyDiv w:val="1"/>
      <w:marLeft w:val="0"/>
      <w:marRight w:val="0"/>
      <w:marTop w:val="0"/>
      <w:marBottom w:val="0"/>
      <w:divBdr>
        <w:top w:val="none" w:sz="0" w:space="0" w:color="auto"/>
        <w:left w:val="none" w:sz="0" w:space="0" w:color="auto"/>
        <w:bottom w:val="none" w:sz="0" w:space="0" w:color="auto"/>
        <w:right w:val="none" w:sz="0" w:space="0" w:color="auto"/>
      </w:divBdr>
    </w:div>
    <w:div w:id="2023631248">
      <w:bodyDiv w:val="1"/>
      <w:marLeft w:val="0"/>
      <w:marRight w:val="0"/>
      <w:marTop w:val="0"/>
      <w:marBottom w:val="0"/>
      <w:divBdr>
        <w:top w:val="none" w:sz="0" w:space="0" w:color="auto"/>
        <w:left w:val="none" w:sz="0" w:space="0" w:color="auto"/>
        <w:bottom w:val="none" w:sz="0" w:space="0" w:color="auto"/>
        <w:right w:val="none" w:sz="0" w:space="0" w:color="auto"/>
      </w:divBdr>
    </w:div>
    <w:div w:id="2067531626">
      <w:bodyDiv w:val="1"/>
      <w:marLeft w:val="0"/>
      <w:marRight w:val="0"/>
      <w:marTop w:val="0"/>
      <w:marBottom w:val="0"/>
      <w:divBdr>
        <w:top w:val="none" w:sz="0" w:space="0" w:color="auto"/>
        <w:left w:val="none" w:sz="0" w:space="0" w:color="auto"/>
        <w:bottom w:val="none" w:sz="0" w:space="0" w:color="auto"/>
        <w:right w:val="none" w:sz="0" w:space="0" w:color="auto"/>
      </w:divBdr>
    </w:div>
    <w:div w:id="2078816265">
      <w:bodyDiv w:val="1"/>
      <w:marLeft w:val="0"/>
      <w:marRight w:val="0"/>
      <w:marTop w:val="0"/>
      <w:marBottom w:val="0"/>
      <w:divBdr>
        <w:top w:val="none" w:sz="0" w:space="0" w:color="auto"/>
        <w:left w:val="none" w:sz="0" w:space="0" w:color="auto"/>
        <w:bottom w:val="none" w:sz="0" w:space="0" w:color="auto"/>
        <w:right w:val="none" w:sz="0" w:space="0" w:color="auto"/>
      </w:divBdr>
    </w:div>
    <w:div w:id="21287001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imo.org/en/OurWork/Safety/Pages/DangerousGoods-default.aspx" TargetMode="External"/><Relationship Id="rId18" Type="http://schemas.openxmlformats.org/officeDocument/2006/relationships/header" Target="header1.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tyles" Target="styles.xml"/><Relationship Id="rId12" Type="http://schemas.openxmlformats.org/officeDocument/2006/relationships/hyperlink" Target="https://unece.org/DAM/trans/danger/publi/adr/adr2017/ADR2017E_web.pdf" TargetMode="External"/><Relationship Id="rId17" Type="http://schemas.openxmlformats.org/officeDocument/2006/relationships/image" Target="media/image1.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hse.gov.uk/pubns/priced/l150.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www.hse.gov.uk/pubns/priced/l150.pdf" TargetMode="External"/><Relationship Id="rId23"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legislation.gov.uk/uksi/1987/37/contents/made" TargetMode="External"/><Relationship Id="rId22"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A1DBE281EBE4D5EA265AB0BDD09D80C"/>
        <w:category>
          <w:name w:val="General"/>
          <w:gallery w:val="placeholder"/>
        </w:category>
        <w:types>
          <w:type w:val="bbPlcHdr"/>
        </w:types>
        <w:behaviors>
          <w:behavior w:val="content"/>
        </w:behaviors>
        <w:guid w:val="{D5CDFE5E-6623-4C39-AE28-D25D5F01E08A}"/>
      </w:docPartPr>
      <w:docPartBody>
        <w:p w:rsidR="00000000" w:rsidRDefault="00036728" w:rsidP="00036728">
          <w:pPr>
            <w:pStyle w:val="4A1DBE281EBE4D5EA265AB0BDD09D80C"/>
          </w:pPr>
          <w:r w:rsidRPr="00546E9A">
            <w:rPr>
              <w:rStyle w:val="PlaceholderText"/>
              <w:rFonts w:cstheme="minorHAnsi"/>
            </w:rPr>
            <w:t>Click here to enter text.</w:t>
          </w:r>
        </w:p>
      </w:docPartBody>
    </w:docPart>
    <w:docPart>
      <w:docPartPr>
        <w:name w:val="A2124F94512D4C62AB4C994ED1B0EFA4"/>
        <w:category>
          <w:name w:val="General"/>
          <w:gallery w:val="placeholder"/>
        </w:category>
        <w:types>
          <w:type w:val="bbPlcHdr"/>
        </w:types>
        <w:behaviors>
          <w:behavior w:val="content"/>
        </w:behaviors>
        <w:guid w:val="{6C269967-4AEE-49A1-A80B-AF18EDBF47DC}"/>
      </w:docPartPr>
      <w:docPartBody>
        <w:p w:rsidR="00000000" w:rsidRDefault="00036728" w:rsidP="00036728">
          <w:pPr>
            <w:pStyle w:val="A2124F94512D4C62AB4C994ED1B0EFA4"/>
          </w:pPr>
          <w:r w:rsidRPr="009448E4">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Lucida Bright">
    <w:panose1 w:val="020406020505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C74CC"/>
    <w:rsid w:val="00036728"/>
    <w:rsid w:val="000849FB"/>
    <w:rsid w:val="000F4BB6"/>
    <w:rsid w:val="001051BA"/>
    <w:rsid w:val="00187F5D"/>
    <w:rsid w:val="003332FC"/>
    <w:rsid w:val="00526C5A"/>
    <w:rsid w:val="0054357C"/>
    <w:rsid w:val="005565B1"/>
    <w:rsid w:val="006137AB"/>
    <w:rsid w:val="00617566"/>
    <w:rsid w:val="0065134B"/>
    <w:rsid w:val="008107E4"/>
    <w:rsid w:val="0087444E"/>
    <w:rsid w:val="008C7767"/>
    <w:rsid w:val="008D69FF"/>
    <w:rsid w:val="008E6C62"/>
    <w:rsid w:val="0091000B"/>
    <w:rsid w:val="00B016C5"/>
    <w:rsid w:val="00CC74CC"/>
    <w:rsid w:val="00D52F79"/>
    <w:rsid w:val="00DA5057"/>
    <w:rsid w:val="00ED03B3"/>
    <w:rsid w:val="00FC49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0D656CC"/>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36728"/>
    <w:rPr>
      <w:color w:val="808080"/>
    </w:rPr>
  </w:style>
  <w:style w:type="paragraph" w:customStyle="1" w:styleId="F70A35EBACDF43468F5C617025BBC3D74">
    <w:name w:val="F70A35EBACDF43468F5C617025BBC3D74"/>
    <w:rsid w:val="0087444E"/>
    <w:pPr>
      <w:spacing w:before="120" w:after="120" w:line="360" w:lineRule="auto"/>
    </w:pPr>
    <w:rPr>
      <w:rFonts w:ascii="Arial" w:eastAsia="MS Mincho" w:hAnsi="Arial" w:cs="Times New Roman"/>
      <w:szCs w:val="24"/>
    </w:rPr>
  </w:style>
  <w:style w:type="paragraph" w:customStyle="1" w:styleId="2A0455FABCA64DFCB7BD87D9121829A5">
    <w:name w:val="2A0455FABCA64DFCB7BD87D9121829A5"/>
    <w:rsid w:val="0091000B"/>
    <w:pPr>
      <w:spacing w:after="160" w:line="259" w:lineRule="auto"/>
    </w:pPr>
    <w:rPr>
      <w:kern w:val="2"/>
      <w14:ligatures w14:val="standardContextual"/>
    </w:rPr>
  </w:style>
  <w:style w:type="paragraph" w:customStyle="1" w:styleId="80CAC73DECEA48FDB51082DC5E9DBC7B">
    <w:name w:val="80CAC73DECEA48FDB51082DC5E9DBC7B"/>
    <w:rsid w:val="00036728"/>
    <w:pPr>
      <w:spacing w:after="160" w:line="259" w:lineRule="auto"/>
    </w:pPr>
    <w:rPr>
      <w:kern w:val="2"/>
      <w14:ligatures w14:val="standardContextual"/>
    </w:rPr>
  </w:style>
  <w:style w:type="paragraph" w:customStyle="1" w:styleId="8A8EF1BD9EF3404894153A9F594474FF">
    <w:name w:val="8A8EF1BD9EF3404894153A9F594474FF"/>
    <w:rsid w:val="00036728"/>
    <w:pPr>
      <w:spacing w:after="160" w:line="259" w:lineRule="auto"/>
    </w:pPr>
    <w:rPr>
      <w:kern w:val="2"/>
      <w14:ligatures w14:val="standardContextual"/>
    </w:rPr>
  </w:style>
  <w:style w:type="paragraph" w:customStyle="1" w:styleId="4A1DBE281EBE4D5EA265AB0BDD09D80C">
    <w:name w:val="4A1DBE281EBE4D5EA265AB0BDD09D80C"/>
    <w:rsid w:val="00036728"/>
    <w:pPr>
      <w:spacing w:after="160" w:line="259" w:lineRule="auto"/>
    </w:pPr>
    <w:rPr>
      <w:kern w:val="2"/>
      <w14:ligatures w14:val="standardContextual"/>
    </w:rPr>
  </w:style>
  <w:style w:type="paragraph" w:customStyle="1" w:styleId="A2124F94512D4C62AB4C994ED1B0EFA4">
    <w:name w:val="A2124F94512D4C62AB4C994ED1B0EFA4"/>
    <w:rsid w:val="00036728"/>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2023-01-01T00:00:00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MS Form" ma:contentTypeID="0x010100E4EB5DE475C40F458EC02E96E97089050100932880ED95B8594AA72C4B324617EDC2" ma:contentTypeVersion="18" ma:contentTypeDescription="" ma:contentTypeScope="" ma:versionID="eb7ebc4ddb648adc1f2b4fad1b1e8dea">
  <xsd:schema xmlns:xsd="http://www.w3.org/2001/XMLSchema" xmlns:xs="http://www.w3.org/2001/XMLSchema" xmlns:p="http://schemas.microsoft.com/office/2006/metadata/properties" xmlns:ns2="ef2051d7-6bf8-4326-8f7d-c4757b478eb5" xmlns:ns3="3bdf7e11-61f5-4fd8-a4ab-2c2ac8533352" targetNamespace="http://schemas.microsoft.com/office/2006/metadata/properties" ma:root="true" ma:fieldsID="e03bc3c7df376c4fdebb86ba0e0123ea" ns2:_="" ns3:_="">
    <xsd:import namespace="ef2051d7-6bf8-4326-8f7d-c4757b478eb5"/>
    <xsd:import namespace="3bdf7e11-61f5-4fd8-a4ab-2c2ac8533352"/>
    <xsd:element name="properties">
      <xsd:complexType>
        <xsd:sequence>
          <xsd:element name="documentManagement">
            <xsd:complexType>
              <xsd:all>
                <xsd:element ref="ns2:Legacy_x0020_or_x0020_Current"/>
                <xsd:element ref="ns3:Process_x0020_Link" minOccurs="0"/>
                <xsd:element ref="ns2:Old_x0020_doc_x0020_na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2051d7-6bf8-4326-8f7d-c4757b478eb5" elementFormDefault="qualified">
    <xsd:import namespace="http://schemas.microsoft.com/office/2006/documentManagement/types"/>
    <xsd:import namespace="http://schemas.microsoft.com/office/infopath/2007/PartnerControls"/>
    <xsd:element name="Legacy_x0020_or_x0020_Current" ma:index="8" ma:displayName="Legacy or Current" ma:default="MS" ma:description="Whether the document is a legacy from the old DMS mk4 system or new MS doc" ma:format="Dropdown" ma:internalName="Legacy_x0020_or_x0020_Current" ma:readOnly="false">
      <xsd:simpleType>
        <xsd:restriction base="dms:Choice">
          <xsd:enumeration value="MS"/>
          <xsd:enumeration value="DMS"/>
        </xsd:restriction>
      </xsd:simpleType>
    </xsd:element>
    <xsd:element name="Old_x0020_doc_x0020_name" ma:index="10" nillable="true" ma:displayName="Old Reference" ma:indexed="true" ma:internalName="Old_x0020_doc_x0020_nam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df7e11-61f5-4fd8-a4ab-2c2ac8533352" elementFormDefault="qualified">
    <xsd:import namespace="http://schemas.microsoft.com/office/2006/documentManagement/types"/>
    <xsd:import namespace="http://schemas.microsoft.com/office/infopath/2007/PartnerControls"/>
    <xsd:element name="Process_x0020_Link" ma:index="9" nillable="true" ma:displayName="Process/Page" ma:list="a89391a0-cd5d-42e7-98e8-2b7c966a6a69" ma:internalName="Process_x0020_Link" ma:showField="Title0" ma:web="ef2051d7-6bf8-4326-8f7d-c4757b478eb5">
      <xsd:simpleType>
        <xsd:restriction base="dms:Lookup"/>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11"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gacy_x0020_or_x0020_Current xmlns="ef2051d7-6bf8-4326-8f7d-c4757b478eb5">MS</Legacy_x0020_or_x0020_Current>
    <Old_x0020_doc_x0020_name xmlns="ef2051d7-6bf8-4326-8f7d-c4757b478eb5" xsi:nil="true"/>
    <Process_x0020_Link xmlns="3bdf7e11-61f5-4fd8-a4ab-2c2ac8533352">272</Process_x0020_Link>
  </documentManagement>
</p:properties>
</file>

<file path=customXml/item5.xml><?xml version="1.0" encoding="utf-8"?>
<b:Sources xmlns:b="http://schemas.openxmlformats.org/officeDocument/2006/bibliography" xmlns="http://schemas.openxmlformats.org/officeDocument/2006/bibliography" SelectedStyle="\IEEE2006OfficeOnline.xsl" StyleName="IEEE" Version="2006">
  <b:Source>
    <b:Tag>MBD23</b:Tag>
    <b:SourceType>InternetSite</b:SourceType>
    <b:Guid>{E627B39C-AC0A-4CDB-9C6F-B7FB6964EB1A}</b:Guid>
    <b:Author>
      <b:Author>
        <b:Corporate>MBDA</b:Corporate>
      </b:Author>
    </b:Author>
    <b:Title>Sea Ceptor</b:Title>
    <b:InternetSiteTitle>MBDA-Systems</b:InternetSiteTitle>
    <b:Year>2023</b:Year>
    <b:Month>07</b:Month>
    <b:Day>07</b:Day>
    <b:URL>https://www.mbda-systems.com/product/sea-ceptor/</b:URL>
    <b:RefOrder>4</b:RefOrder>
  </b:Source>
  <b:Source>
    <b:Tag>Nav19</b:Tag>
    <b:SourceType>InternetSite</b:SourceType>
    <b:Guid>{123F1765-4E7C-45A6-BB0C-FF812BAB58B6}</b:Guid>
    <b:Author>
      <b:Author>
        <b:Corporate>Navy Lookout</b:Corporate>
      </b:Author>
    </b:Author>
    <b:Title>From Sea Wolf to Sea Ceptor – the Royal Navy’s defensive shield</b:Title>
    <b:ProductionCompany>Navy Lookout</b:ProductionCompany>
    <b:Year>2019</b:Year>
    <b:Month>June</b:Month>
    <b:Day>4</b:Day>
    <b:YearAccessed>2023</b:YearAccessed>
    <b:MonthAccessed>07</b:MonthAccessed>
    <b:DayAccessed>08</b:DayAccessed>
    <b:URL>https://www.navylookout.com/from-sea-wolf-to-sea-ceptor-the-royal-navys-defensive-shield/</b:URL>
    <b:RefOrder>6</b:RefOrder>
  </b:Source>
  <b:Source>
    <b:Tag>ISO21</b:Tag>
    <b:SourceType>InternetSite</b:SourceType>
    <b:Guid>{7D32D94E-2C48-4DFC-8934-E6D4F6C30367}</b:Guid>
    <b:Title>Personal protective equipment - footwear</b:Title>
    <b:Year>2021</b:Year>
    <b:Author>
      <b:Author>
        <b:Corporate>ISO</b:Corporate>
      </b:Author>
    </b:Author>
    <b:ProductionCompany>ISO</b:ProductionCompany>
    <b:YearAccessed>2023</b:YearAccessed>
    <b:MonthAccessed>07</b:MonthAccessed>
    <b:DayAccessed>07</b:DayAccessed>
    <b:URL>https://www.iso.org/obp/ui/en/#iso:std:iso:20345:ed-3:v1:en</b:URL>
    <b:RefOrder>10</b:RefOrder>
  </b:Source>
  <b:Source>
    <b:Tag>Bri19</b:Tag>
    <b:SourceType>InternetSite</b:SourceType>
    <b:Guid>{755ED26D-AA9E-4B39-A2CB-EB376A263910}</b:Guid>
    <b:Author>
      <b:Author>
        <b:Corporate>British Standard Institution</b:Corporate>
      </b:Author>
    </b:Author>
    <b:Title>BS EN 388:2016 Protective gloves against mechanical risks </b:Title>
    <b:ProductionCompany>NBS</b:ProductionCompany>
    <b:Year>2019</b:Year>
    <b:YearAccessed>2023</b:YearAccessed>
    <b:MonthAccessed>07</b:MonthAccessed>
    <b:DayAccessed>09</b:DayAccessed>
    <b:URL>BS EN 388:2016 Protective gloves against mechanical risks (+A1:2018) (Incorporating corrigendum January 2019)</b:URL>
    <b:RefOrder>11</b:RefOrder>
  </b:Source>
  <b:Source>
    <b:Tag>Bri12</b:Tag>
    <b:SourceType>InternetSite</b:SourceType>
    <b:Guid>{9F29D856-3CDD-4E49-AF71-F03509493D8B}</b:Guid>
    <b:Author>
      <b:Author>
        <b:Corporate>British Standards Institution</b:Corporate>
      </b:Author>
    </b:Author>
    <b:Title>Industrial Safety Helmets</b:Title>
    <b:ProductionCompany>BSI</b:ProductionCompany>
    <b:Year>2012</b:Year>
    <b:YearAccessed>2023</b:YearAccessed>
    <b:MonthAccessed>07</b:MonthAccessed>
    <b:DayAccessed>09</b:DayAccessed>
    <b:URL>https://knowledge.bsigroup.com/products/industrial-safety-helmets/standard</b:URL>
    <b:RefOrder>12</b:RefOrder>
  </b:Source>
  <b:Source>
    <b:Tag>Bri16</b:Tag>
    <b:SourceType>Report</b:SourceType>
    <b:Guid>{0BC99884-F1E4-4C62-81B9-41E1EA83591C}</b:Guid>
    <b:Title>Code of practice for safe use of cranes - part 1</b:Title>
    <b:Year>2016</b:Year>
    <b:YearAccessed>2023</b:YearAccessed>
    <b:MonthAccessed>07</b:MonthAccessed>
    <b:DayAccessed>06</b:DayAccessed>
    <b:URL>https://learninglegacy.hs2.org.uk/wp-content/uploads/2021/09/4478-BS-7121-Part1-2016-Cranes-General.pdf</b:URL>
    <b:Author>
      <b:Author>
        <b:Corporate>British Standards Institution</b:Corporate>
      </b:Author>
    </b:Author>
    <b:Publisher>BSI</b:Publisher>
    <b:City>London</b:City>
    <b:Medium>[online]</b:Medium>
    <b:RefOrder>7</b:RefOrder>
  </b:Source>
  <b:Source>
    <b:Tag>Bri121</b:Tag>
    <b:SourceType>Report</b:SourceType>
    <b:Guid>{7D481551-5CD2-4831-BEC8-8497ED659924}</b:Guid>
    <b:Author>
      <b:Author>
        <b:Corporate>British Standards Institution</b:Corporate>
      </b:Author>
    </b:Author>
    <b:Title>Code of practice for safe use of cranes. Inspection, maintenance and thorough examination - General</b:Title>
    <b:Year>2012</b:Year>
    <b:Publisher>BSI</b:Publisher>
    <b:City>London</b:City>
    <b:YearAccessed>2023</b:YearAccessed>
    <b:MonthAccessed>07</b:MonthAccessed>
    <b:DayAccessed>06</b:DayAccessed>
    <b:URL>https://www.thenbs.com/PublicationIndex/documents/details?Pub=BSI&amp;DocID=302419</b:URL>
    <b:RefOrder>8</b:RefOrder>
  </b:Source>
  <b:Source>
    <b:Tag>Eco171</b:Tag>
    <b:SourceType>Report</b:SourceType>
    <b:Guid>{D56CC95D-598B-447C-A6C0-CEB160F8F49D}</b:Guid>
    <b:Title>ADR</b:Title>
    <b:Year>2017</b:Year>
    <b:YearAccessed>2023</b:YearAccessed>
    <b:MonthAccessed>07</b:MonthAccessed>
    <b:DayAccessed>05</b:DayAccessed>
    <b:URL>https://unece.org/DAM/trans/danger/publi/adr/adr2017/ADR2017E_web.pdf</b:URL>
    <b:Author>
      <b:Author>
        <b:Corporate>Economic Commission for Europe Inland Transport Committee</b:Corporate>
      </b:Author>
    </b:Author>
    <b:Publisher>United Nations</b:Publisher>
    <b:City>Geneva</b:City>
    <b:Medium>[online]</b:Medium>
    <b:RefOrder>1</b:RefOrder>
  </b:Source>
  <b:Source>
    <b:Tag>Int19</b:Tag>
    <b:SourceType>InternetSite</b:SourceType>
    <b:Guid>{56149503-48C6-4EDF-9615-B11FF7D6B5BF}</b:Guid>
    <b:Title>The International Maritime Dangerous Goods (IMDG) Code</b:Title>
    <b:Year>2019</b:Year>
    <b:Author>
      <b:Author>
        <b:Corporate>International Maritime Organisation</b:Corporate>
      </b:Author>
    </b:Author>
    <b:ProductionCompany>Internatinal Maritime Organisation</b:ProductionCompany>
    <b:YearAccessed>2023</b:YearAccessed>
    <b:MonthAccessed>07</b:MonthAccessed>
    <b:DayAccessed>05</b:DayAccessed>
    <b:URL>https://www.imo.org/en/OurWork/Safety/Pages/DangerousGoods-default.aspx#:~:text=The%20IMDG%20Code%20was%20developed,prevent%20pollution%20to%20the%20environment.</b:URL>
    <b:RefOrder>2</b:RefOrder>
  </b:Source>
  <b:Source>
    <b:Tag>Pub87</b:Tag>
    <b:SourceType>InternetSite</b:SourceType>
    <b:Guid>{820B548D-E88F-4C30-8CD1-56D3B54DB289}</b:Guid>
    <b:Author>
      <b:Author>
        <b:Corporate>Public General Act</b:Corporate>
      </b:Author>
    </b:Author>
    <b:Title>The Dangerous Substances in Harbour Regulations 1987</b:Title>
    <b:ProductionCompany>The Keeper of Public Records</b:ProductionCompany>
    <b:Year>1987</b:Year>
    <b:YearAccessed>2023</b:YearAccessed>
    <b:MonthAccessed>07</b:MonthAccessed>
    <b:DayAccessed>05</b:DayAccessed>
    <b:URL>https://www.legislation.gov.uk/uksi/1987/37/contents/made</b:URL>
    <b:RefOrder>28</b:RefOrder>
  </b:Source>
  <b:Source>
    <b:Tag>HSE14</b:Tag>
    <b:SourceType>Report</b:SourceType>
    <b:Guid>{4DE8A372-D312-4E9B-9115-50CC8023DD09}</b:Guid>
    <b:Author>
      <b:Author>
        <b:Corporate>Health and Safety Executive</b:Corporate>
      </b:Author>
    </b:Author>
    <b:Title>Safety in docks</b:Title>
    <b:Year>2014</b:Year>
    <b:YearAccessed>2023</b:YearAccessed>
    <b:MonthAccessed>07</b:MonthAccessed>
    <b:DayAccessed>09</b:DayAccessed>
    <b:URL>https://www.hseni.gov.uk/sites/hseni.gov.uk/files/publications/%5Bcurrent-domain%3Amachine-name%5D/l148-safety-in-docks.pdf</b:URL>
    <b:Publisher>Crown Copyright</b:Publisher>
    <b:City>London</b:City>
    <b:Medium>[online]</b:Medium>
    <b:RefOrder>29</b:RefOrder>
  </b:Source>
  <b:Source>
    <b:Tag>Roy19</b:Tag>
    <b:SourceType>InternetSite</b:SourceType>
    <b:Guid>{E03DE034-D2DF-4086-9FE4-90BDC55BDA66}</b:Guid>
    <b:Author>
      <b:Author>
        <b:Corporate>Royal Navy</b:Corporate>
      </b:Author>
    </b:Author>
    <b:Title>Destroyers’ firepower enhanced with addition of Sea Ceptor</b:Title>
    <b:Year>2019</b:Year>
    <b:Month>07</b:Month>
    <b:Day>06</b:Day>
    <b:YearAccessed>23</b:YearAccessed>
    <b:MonthAccessed>07</b:MonthAccessed>
    <b:DayAccessed>11</b:DayAccessed>
    <b:URL>https://www.royalnavy.mod.uk/news-and-latest-activity/news/2021/july/06/20210706-sea-ceptor</b:URL>
    <b:RefOrder>14</b:RefOrder>
  </b:Source>
  <b:Source>
    <b:Tag>Hea23</b:Tag>
    <b:SourceType>InternetSite</b:SourceType>
    <b:Guid>{83769771-9C60-4300-89D4-0542535A5824}</b:Guid>
    <b:Author>
      <b:Author>
        <b:Corporate>Health and Safety Executive</b:Corporate>
      </b:Author>
    </b:Author>
    <b:Title>Cost Benefit Analysis Checklist</b:Title>
    <b:ProductionCompany>HSE</b:ProductionCompany>
    <b:YearAccessed>2023</b:YearAccessed>
    <b:MonthAccessed>07</b:MonthAccessed>
    <b:DayAccessed>12</b:DayAccessed>
    <b:URL>https://www.hse.gov.uk/enforce/expert/alarpcheck.htm</b:URL>
    <b:RefOrder>15</b:RefOrder>
  </b:Source>
  <b:Source>
    <b:Tag>GHo20</b:Tag>
    <b:SourceType>Report</b:SourceType>
    <b:Guid>{B467FD3F-7ED8-4C57-A2EE-7F2E747E5DB8}</b:Guid>
    <b:Title>JSP 333 Services Textbook of Explosives</b:Title>
    <b:Year>2020</b:Year>
    <b:Author>
      <b:Author>
        <b:NameList>
          <b:Person>
            <b:Last>Hooper</b:Last>
            <b:First>G.</b:First>
          </b:Person>
        </b:NameList>
      </b:Author>
    </b:Author>
    <b:Publisher>Ministry of Defence</b:Publisher>
    <b:City>London</b:City>
    <b:Comments>Chapter 2: The History of Explosives</b:Comments>
    <b:RefOrder>16</b:RefOrder>
  </b:Source>
  <b:Source>
    <b:Tag>BAE23</b:Tag>
    <b:SourceType>InternetSite</b:SourceType>
    <b:Guid>{4C2B072D-571D-4883-98D7-D880DFCD57A1}</b:Guid>
    <b:Author>
      <b:Author>
        <b:Corporate>BAE systems</b:Corporate>
      </b:Author>
    </b:Author>
    <b:Title>155mm artillery ammunition</b:Title>
    <b:Year>2023</b:Year>
    <b:YearAccessed>2023</b:YearAccessed>
    <b:MonthAccessed>07</b:MonthAccessed>
    <b:DayAccessed>09</b:DayAccessed>
    <b:URL>https://www.baesystems.com/en-uk/product/shell-155mm-how-he-l15</b:URL>
    <b:RefOrder>17</b:RefOrder>
  </b:Source>
  <b:Source>
    <b:Tag>UNS23</b:Tag>
    <b:SourceType>InternetSite</b:SourceType>
    <b:Guid>{3CB7829A-D37B-40CE-A866-B0FBBEE9E8D4}</b:Guid>
    <b:Title>Kingery-Bulmash Blast Parameter Calculator</b:Title>
    <b:Author>
      <b:Author>
        <b:Corporate>UN Safer Guard</b:Corporate>
      </b:Author>
    </b:Author>
    <b:ProductionCompany>UN Safer Guard</b:ProductionCompany>
    <b:YearAccessed>2023</b:YearAccessed>
    <b:MonthAccessed>07</b:MonthAccessed>
    <b:DayAccessed>10</b:DayAccessed>
    <b:URL>https://unsaferguard.org/un-saferguard/kingery-bulmash</b:URL>
    <b:RefOrder>18</b:RefOrder>
  </b:Source>
  <b:Source>
    <b:Tag>RKZ06</b:Tag>
    <b:SourceType>Report</b:SourceType>
    <b:Guid>{4EC2295F-8827-49F6-A936-CEB6704188BD}</b:Guid>
    <b:Title>Effects of blast pressure on structures and the human body</b:Title>
    <b:Year>2006</b:Year>
    <b:Author>
      <b:Author>
        <b:NameList>
          <b:Person>
            <b:Last>Zipf</b:Last>
            <b:First>R.</b:First>
            <b:Middle>K.</b:Middle>
          </b:Person>
          <b:Person>
            <b:Last>Cashdollar</b:Last>
            <b:First>K.</b:First>
            <b:Middle>L.</b:Middle>
          </b:Person>
        </b:NameList>
      </b:Author>
    </b:Author>
    <b:Publisher>National Institute for Occupational Safety and Health (NIOSH)</b:Publisher>
    <b:City>Washington D.C.</b:City>
    <b:RefOrder>19</b:RefOrder>
  </b:Source>
  <b:Source>
    <b:Tag>Ell19</b:Tag>
    <b:SourceType>InternetSite</b:SourceType>
    <b:Guid>{2D3B1A8A-CDDC-48FF-B435-58163891C53F}</b:Guid>
    <b:Title>A guide to the Type 23 frigate</b:Title>
    <b:Year>2019</b:Year>
    <b:Author>
      <b:Author>
        <b:NameList>
          <b:Person>
            <b:Last>Jordan</b:Last>
            <b:First>Elliot</b:First>
            <b:Middle>E. G.</b:Middle>
          </b:Person>
        </b:NameList>
      </b:Author>
    </b:Author>
    <b:ProductionCompany>Uk Defence Journal</b:ProductionCompany>
    <b:Month>July</b:Month>
    <b:Day>05</b:Day>
    <b:YearAccessed>2023</b:YearAccessed>
    <b:MonthAccessed>07</b:MonthAccessed>
    <b:DayAccessed>10</b:DayAccessed>
    <b:URL>https://ukdefencejournal.org.uk/a-guide-to-the-type-23-frigate/</b:URL>
    <b:RefOrder>20</b:RefOrder>
  </b:Source>
  <b:Source>
    <b:Tag>Roy23</b:Tag>
    <b:SourceType>InternetSite</b:SourceType>
    <b:Guid>{12DCF992-867E-4855-8D53-D66E9432A048}</b:Guid>
    <b:Author>
      <b:Author>
        <b:Corporate>Royal Navy</b:Corporate>
      </b:Author>
    </b:Author>
    <b:Title>Navy goes forward with new HMS Birmingham as Type 26 frigate is laid down</b:Title>
    <b:ProductionCompany>Royal Navy</b:ProductionCompany>
    <b:Year>2023</b:Year>
    <b:Month>04</b:Month>
    <b:Day>04</b:Day>
    <b:YearAccessed>2023</b:YearAccessed>
    <b:MonthAccessed>07</b:MonthAccessed>
    <b:DayAccessed>15</b:DayAccessed>
    <b:URL>http://bitly.ws/Lwsf</b:URL>
    <b:RefOrder>21</b:RefOrder>
  </b:Source>
  <b:Source>
    <b:Tag>Min19</b:Tag>
    <b:SourceType>Report</b:SourceType>
    <b:Guid>{B2588E00-FC81-4A6A-A156-270A9EF7A816}</b:Guid>
    <b:Author>
      <b:Author>
        <b:Corporate>Ministry of Defence</b:Corporate>
      </b:Author>
    </b:Author>
    <b:Title>The Defence Equipment Plan 2019</b:Title>
    <b:Year>2019</b:Year>
    <b:Publisher>Ministry of Defence</b:Publisher>
    <b:City>London</b:City>
    <b:RefOrder>22</b:RefOrder>
  </b:Source>
  <b:Source>
    <b:Tag>Sea23</b:Tag>
    <b:SourceType>InternetSite</b:SourceType>
    <b:Guid>{24D95D2D-7A6A-482A-BD58-D600A5698DC9}</b:Guid>
    <b:Author>
      <b:Author>
        <b:Corporate>SeaForces</b:Corporate>
      </b:Author>
    </b:Author>
    <b:Title>Duke (Type 23) class Frigate</b:Title>
    <b:ProductionCompany>SeaForces</b:ProductionCompany>
    <b:YearAccessed>2023</b:YearAccessed>
    <b:MonthAccessed>07</b:MonthAccessed>
    <b:DayAccessed>05</b:DayAccessed>
    <b:URL>https://www.seaforces.org/marint/Royal-Navy/Frigate/Duke-Type-23-class.htm</b:URL>
    <b:RefOrder>23</b:RefOrder>
  </b:Source>
  <b:Source>
    <b:Tag>The23</b:Tag>
    <b:SourceType>InternetSite</b:SourceType>
    <b:Guid>{4795A665-25E6-4ACF-B007-89A8D095C013}</b:Guid>
    <b:Title>Hierarchy of Controls</b:Title>
    <b:Year>2023</b:Year>
    <b:Author>
      <b:Author>
        <b:Corporate>The National Institute for Occupational Safety and Health (NIOSH)</b:Corporate>
      </b:Author>
    </b:Author>
    <b:ProductionCompany>The National Institute for Occupational Safety and Health (NIOSH)</b:ProductionCompany>
    <b:Month>January</b:Month>
    <b:Day>17</b:Day>
    <b:YearAccessed>2023</b:YearAccessed>
    <b:MonthAccessed>07</b:MonthAccessed>
    <b:DayAccessed>09</b:DayAccessed>
    <b:URL>https://www.cdc.gov/niosh/topics/hierarchy/default.html</b:URL>
    <b:RefOrder>24</b:RefOrder>
  </b:Source>
  <b:Source>
    <b:Tag>Nav18</b:Tag>
    <b:SourceType>InternetSite</b:SourceType>
    <b:Guid>{B8C6E2D3-58B1-4CDD-8295-DD6990752B94}</b:Guid>
    <b:Author>
      <b:Author>
        <b:NameList>
          <b:Person>
            <b:Last>Thomas</b:Last>
            <b:First>Richard</b:First>
          </b:Person>
        </b:NameList>
      </b:Author>
    </b:Author>
    <b:Title>Cost of Royal Navy frigate HMS Iron Duke refit revealed</b:Title>
    <b:ProductionCompany>Naval Technology</b:ProductionCompany>
    <b:Year>2023</b:Year>
    <b:Month>June</b:Month>
    <b:Day>27</b:Day>
    <b:YearAccessed>2023</b:YearAccessed>
    <b:MonthAccessed>07</b:MonthAccessed>
    <b:DayAccessed>09</b:DayAccessed>
    <b:URL>http://bitly.ws/LwsK</b:URL>
    <b:RefOrder>25</b:RefOrder>
  </b:Source>
  <b:Source>
    <b:Tag>Roy18</b:Tag>
    <b:SourceType>InternetSite</b:SourceType>
    <b:Guid>{61E0A727-5C77-4E5B-BABA-50EB6E201200}</b:Guid>
    <b:Author>
      <b:Author>
        <b:Corporate>Royal Navy</b:Corporate>
      </b:Author>
    </b:Author>
    <b:Title>£850m Sea Ceptor missile system enters service with the Royal Navy</b:Title>
    <b:ProductionCompany>Royal Navy</b:ProductionCompany>
    <b:Year>2018</b:Year>
    <b:Month>05</b:Month>
    <b:Day>24</b:Day>
    <b:YearAccessed>2023</b:YearAccessed>
    <b:MonthAccessed>07</b:MonthAccessed>
    <b:DayAccessed>13</b:DayAccessed>
    <b:URL>http://bitly.ws/Lwsy</b:URL>
    <b:RefOrder>26</b:RefOrder>
  </b:Source>
  <b:Source>
    <b:Tag>BAE231</b:Tag>
    <b:SourceType>InternetSite</b:SourceType>
    <b:Guid>{411285C2-B5F8-4740-A5CB-7A29AB73FA85}</b:Guid>
    <b:Author>
      <b:Author>
        <b:Corporate>BAE Systems</b:Corporate>
      </b:Author>
    </b:Author>
    <b:Title>Making Explosives Safer</b:Title>
    <b:ProductionCompany>BAE systems</b:ProductionCompany>
    <b:Year>2023</b:Year>
    <b:YearAccessed>2023</b:YearAccessed>
    <b:MonthAccessed>04</b:MonthAccessed>
    <b:DayAccessed>03</b:DayAccessed>
    <b:URL>https://www.baesystems.com/en-uk/feature/making-explosives-safer</b:URL>
    <b:RefOrder>27</b:RefOrder>
  </b:Source>
  <b:Source>
    <b:Tag>Sam17</b:Tag>
    <b:SourceType>InternetSite</b:SourceType>
    <b:Guid>{1A6004D5-D441-4762-9749-86329D6CBEC5}</b:Guid>
    <b:Author>
      <b:Author>
        <b:NameList>
          <b:Person>
            <b:Last>Cox</b:Last>
            <b:First>Samuel</b:First>
            <b:Middle>J.</b:Middle>
          </b:Person>
        </b:NameList>
      </b:Author>
    </b:Author>
    <b:Title>H-008-6: USS Forrestal Disaster, 29 July 1967</b:Title>
    <b:ProductionCompany>Naval History and Heritage Command</b:ProductionCompany>
    <b:Year>2017</b:Year>
    <b:Month>July</b:Month>
    <b:YearAccessed>2023</b:YearAccessed>
    <b:MonthAccessed>07</b:MonthAccessed>
    <b:DayAccessed>05</b:DayAccessed>
    <b:URL>https://www.history.navy.mil/about-us/leadership/director/directors-corner/h-grams/h-gram-008/h-008-6.html</b:URL>
    <b:RefOrder>30</b:RefOrder>
  </b:Source>
  <b:Source>
    <b:Tag>Placeholder1</b:Tag>
    <b:SourceType>Misc</b:SourceType>
    <b:Guid>{AB170F74-75B5-4405-A500-A08A437965CF}</b:Guid>
    <b:Title>The Dangerous Substances in Harbour Regulations 1987</b:Title>
    <b:ProductionCompany>The Keeper of Public Records</b:ProductionCompany>
    <b:YearAccessed>2023</b:YearAccessed>
    <b:MonthAccessed>07</b:MonthAccessed>
    <b:DayAccessed>05</b:DayAccessed>
    <b:URL>https://www.legislation.gov.uk/uksi/1987/37/contents/made</b:URL>
    <b:RefOrder>31</b:RefOrder>
  </b:Source>
  <b:Source>
    <b:Tag>Hea14</b:Tag>
    <b:SourceType>Report</b:SourceType>
    <b:Guid>{E411E2C2-9316-4950-9857-0054AB1D2B8A}</b:Guid>
    <b:Title>Explosive Regulations Safety Provisions </b:Title>
    <b:Year>2014</b:Year>
    <b:Publisher>Health and Safety Executive</b:Publisher>
    <b:Author>
      <b:Author>
        <b:Corporate>Health and Safety Executive</b:Corporate>
      </b:Author>
    </b:Author>
    <b:RefOrder>32</b:RefOrder>
  </b:Source>
  <b:Source>
    <b:Tag>Placeholder2</b:Tag>
    <b:SourceType>Report</b:SourceType>
    <b:Guid>{0C6B8DF0-3D10-4153-8110-320F1092617D}</b:Guid>
    <b:Author>
      <b:Author>
        <b:Corporate>HSE</b:Corporate>
      </b:Author>
    </b:Author>
    <b:Title>Safety in docks</b:Title>
    <b:Year>2014</b:Year>
    <b:YearAccessed>2023</b:YearAccessed>
    <b:MonthAccessed>07</b:MonthAccessed>
    <b:DayAccessed>09</b:DayAccessed>
    <b:URL>https://www.hseni.gov.uk/sites/hseni.gov.uk/files/publications/%5Bcurrent-domain%3Amachine-name%5D/l148-safety-in-docks.pdf</b:URL>
    <b:Publisher>Crown Copyright</b:Publisher>
    <b:City>London</b:City>
    <b:Medium>[online]</b:Medium>
    <b:RefOrder>33</b:RefOrder>
  </b:Source>
  <b:Source>
    <b:Tag>Placeholder3</b:Tag>
    <b:SourceType>InternetSite</b:SourceType>
    <b:Guid>{A579CA09-9E97-4BF0-8492-15B570C59503}</b:Guid>
    <b:Title>The Dangerous Substances in Harbour Regulations 1987</b:Title>
    <b:YearAccessed>2023</b:YearAccessed>
    <b:MonthAccessed>07</b:MonthAccessed>
    <b:DayAccessed>05</b:DayAccessed>
    <b:URL>https://www.legislation.gov.uk/uksi/1987/37/contents/made</b:URL>
    <b:RefOrder>3</b:RefOrder>
  </b:Source>
  <b:Source>
    <b:Tag>Placeholder4</b:Tag>
    <b:SourceType>Misc</b:SourceType>
    <b:Guid>{6E3A5422-F67F-41FE-9F96-BA1BCF64BF05}</b:Guid>
    <b:Title>The Explosive Regulations 2014</b:Title>
    <b:Publisher>SI No. 1638</b:Publisher>
    <b:RefOrder>5</b:RefOrder>
  </b:Source>
  <b:Source>
    <b:Tag>Placeholder5</b:Tag>
    <b:SourceType>Report</b:SourceType>
    <b:Guid>{F52E19D9-17C0-423C-8FF2-8ACDBE0A10DF}</b:Guid>
    <b:Title>Explosive Regulations Safety Provisions</b:Title>
    <b:Year>2014</b:Year>
    <b:Publisher>Crown Copyright</b:Publisher>
    <b:Author>
      <b:Author>
        <b:Corporate>Health and Safety Executive</b:Corporate>
      </b:Author>
    </b:Author>
    <b:City>London</b:City>
    <b:RefOrder>9</b:RefOrder>
  </b:Source>
  <b:Source>
    <b:Tag>Placeholder6</b:Tag>
    <b:SourceType>Report</b:SourceType>
    <b:Guid>{BED8AAF0-AF83-4CB2-86F6-B32723A238B9}</b:Guid>
    <b:Author>
      <b:Author>
        <b:Corporate>Health and Safety Executive</b:Corporate>
      </b:Author>
    </b:Author>
    <b:Title>Safety in docks</b:Title>
    <b:Year>2014</b:Year>
    <b:YearAccessed>2023</b:YearAccessed>
    <b:MonthAccessed>07</b:MonthAccessed>
    <b:DayAccessed>09</b:DayAccessed>
    <b:URL>https://www.hseni.gov.uk/sites/hseni.gov.uk/files/publications/%5Bcurrent-domain%3Amachine-name%5D/l148-safety-in-docks.pdf</b:URL>
    <b:Publisher>Crown Copyright</b:Publisher>
    <b:City>London</b:City>
    <b:Medium>[online]</b:Medium>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6F128A7-16C6-4515-A3AE-14DF950DA2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2051d7-6bf8-4326-8f7d-c4757b478eb5"/>
    <ds:schemaRef ds:uri="3bdf7e11-61f5-4fd8-a4ab-2c2ac85333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933475-B8DA-4E4B-8E92-F291F9FF539D}">
  <ds:schemaRefs>
    <ds:schemaRef ds:uri="http://schemas.microsoft.com/sharepoint/v3/contenttype/forms"/>
  </ds:schemaRefs>
</ds:datastoreItem>
</file>

<file path=customXml/itemProps4.xml><?xml version="1.0" encoding="utf-8"?>
<ds:datastoreItem xmlns:ds="http://schemas.openxmlformats.org/officeDocument/2006/customXml" ds:itemID="{67980567-A936-4E55-9556-36FFB21B5A59}">
  <ds:schemaRefs>
    <ds:schemaRef ds:uri="http://schemas.microsoft.com/office/2006/metadata/properties"/>
    <ds:schemaRef ds:uri="http://schemas.microsoft.com/office/infopath/2007/PartnerControls"/>
    <ds:schemaRef ds:uri="ef2051d7-6bf8-4326-8f7d-c4757b478eb5"/>
    <ds:schemaRef ds:uri="3bdf7e11-61f5-4fd8-a4ab-2c2ac8533352"/>
  </ds:schemaRefs>
</ds:datastoreItem>
</file>

<file path=customXml/itemProps5.xml><?xml version="1.0" encoding="utf-8"?>
<ds:datastoreItem xmlns:ds="http://schemas.openxmlformats.org/officeDocument/2006/customXml" ds:itemID="{C0261F6D-B22E-4BEB-AC21-9132397CA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4275</Words>
  <Characters>24371</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ALARP justification: Inadvertent initiation of Sea Ceptor</vt:lpstr>
    </vt:vector>
  </TitlesOfParts>
  <Company>DSTL</Company>
  <LinksUpToDate>false</LinksUpToDate>
  <CharactersWithSpaces>28589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ALARP justification: Inadvertent Initiation of Sea Ceptor</dc:title>
  <dc:subject>WORD COUNT: 1455</dc:subject>
  <dc:creator>JOSHUA EDE (2023302)</dc:creator>
  <cp:keywords>Risk, assessment, health, safety, environment</cp:keywords>
  <dc:description/>
  <cp:lastModifiedBy>Joshua Ede (2023302)</cp:lastModifiedBy>
  <cp:revision>2</cp:revision>
  <cp:lastPrinted>2021-10-08T15:00:00Z</cp:lastPrinted>
  <dcterms:created xsi:type="dcterms:W3CDTF">2023-07-20T20:05:00Z</dcterms:created>
  <dcterms:modified xsi:type="dcterms:W3CDTF">2023-07-20T20:05:00Z</dcterms:modified>
  <cp:category>Forms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0x010100E4EB5DE475C40F458EC02E96E97089050100932880ED95B8594AA72C4B324617EDC2</vt:lpwstr>
  </property>
</Properties>
</file>