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C439B3" w14:textId="5C6FDFCB" w:rsidR="00D50D1B" w:rsidRDefault="001F5AF7" w:rsidP="001F463D">
      <w:pPr>
        <w:spacing w:line="480" w:lineRule="auto"/>
      </w:pPr>
      <w:r>
        <w:t xml:space="preserve">Goldsworthy’s article on the </w:t>
      </w:r>
      <w:r w:rsidR="0020231B">
        <w:t>o</w:t>
      </w:r>
      <w:r>
        <w:t xml:space="preserve">thismos </w:t>
      </w:r>
      <w:r w:rsidR="005917FD">
        <w:t>and its application in hoplite warfare was written at the start of 1997, a time when revisionist scholars such as Krentz</w:t>
      </w:r>
      <w:r w:rsidR="00302EF9">
        <w:t xml:space="preserve"> </w:t>
      </w:r>
      <w:r w:rsidR="005917FD">
        <w:t>and Cawkwell</w:t>
      </w:r>
      <w:r w:rsidR="003A2B4A">
        <w:t xml:space="preserve"> were trying to dispel the traditionalist view of Othismos held by scholars such as Lazenby and Anderson.</w:t>
      </w:r>
      <w:r w:rsidR="009E12C8" w:rsidRPr="009E12C8">
        <w:rPr>
          <w:rStyle w:val="FootnoteReference"/>
        </w:rPr>
        <w:t xml:space="preserve"> </w:t>
      </w:r>
      <w:r w:rsidR="009E12C8">
        <w:rPr>
          <w:rStyle w:val="FootnoteReference"/>
        </w:rPr>
        <w:footnoteReference w:id="1"/>
      </w:r>
      <w:r w:rsidR="003A2B4A">
        <w:t xml:space="preserve"> </w:t>
      </w:r>
      <w:r w:rsidR="009E12C8">
        <w:rPr>
          <w:rStyle w:val="FootnoteReference"/>
        </w:rPr>
        <w:footnoteReference w:id="2"/>
      </w:r>
      <w:r w:rsidR="003A2B4A">
        <w:t xml:space="preserve">The </w:t>
      </w:r>
      <w:r w:rsidR="0020231B">
        <w:t>t</w:t>
      </w:r>
      <w:r w:rsidR="003A2B4A">
        <w:t xml:space="preserve">raditionalist </w:t>
      </w:r>
      <w:r w:rsidR="007E6D2A">
        <w:rPr>
          <w:rStyle w:val="CommentReference"/>
        </w:rPr>
        <w:annotationRef/>
      </w:r>
      <w:r w:rsidR="007E6D2A">
        <w:t>Move these references to the full stop as one reference</w:t>
      </w:r>
      <w:r w:rsidR="003A2B4A">
        <w:t>view is that Othismos was a massed shov</w:t>
      </w:r>
      <w:r w:rsidR="000E532C">
        <w:t>ing contest</w:t>
      </w:r>
      <w:r w:rsidR="003A2B4A">
        <w:t xml:space="preserve"> by all men in a phalanx until one side pushed through</w:t>
      </w:r>
      <w:r w:rsidR="0055280E">
        <w:t xml:space="preserve"> and subsequently killed their opponents with the butt end of their spears. This idea is based on </w:t>
      </w:r>
      <w:r w:rsidR="0020231B">
        <w:t xml:space="preserve">evidence </w:t>
      </w:r>
      <w:r w:rsidR="0055280E">
        <w:t xml:space="preserve">from Thucydides </w:t>
      </w:r>
      <w:r w:rsidR="0020231B">
        <w:t xml:space="preserve">who </w:t>
      </w:r>
      <w:r w:rsidR="0055280E">
        <w:t xml:space="preserve">describes the battle of </w:t>
      </w:r>
      <w:r w:rsidR="00004AA4">
        <w:t>Delium</w:t>
      </w:r>
      <w:r w:rsidR="0055280E">
        <w:t xml:space="preserve"> as ‘until they came to the shoving’</w:t>
      </w:r>
      <w:r w:rsidR="0055280E">
        <w:rPr>
          <w:rStyle w:val="FootnoteReference"/>
        </w:rPr>
        <w:footnoteReference w:id="3"/>
      </w:r>
      <w:r w:rsidR="00FC3638">
        <w:t xml:space="preserve"> and this is therefore the basis of the idea of a massed shove. However</w:t>
      </w:r>
      <w:r w:rsidR="004000E1">
        <w:t>,</w:t>
      </w:r>
      <w:r w:rsidR="00FC3638">
        <w:t xml:space="preserve"> the revisionist perspective </w:t>
      </w:r>
      <w:r w:rsidR="004000E1">
        <w:t xml:space="preserve">contends </w:t>
      </w:r>
      <w:r w:rsidR="00FC3638">
        <w:t>that massed shoving would have been totally impractical and almost impossible for a prolonged period</w:t>
      </w:r>
      <w:r w:rsidR="007A5046">
        <w:t>,</w:t>
      </w:r>
      <w:r w:rsidR="00FC3638">
        <w:t xml:space="preserve"> a</w:t>
      </w:r>
      <w:r w:rsidR="004000E1">
        <w:t>s</w:t>
      </w:r>
      <w:r w:rsidR="00FC3638">
        <w:t xml:space="preserve"> some of the descriptions of </w:t>
      </w:r>
      <w:r w:rsidR="004000E1">
        <w:t xml:space="preserve">Hoplite </w:t>
      </w:r>
      <w:r w:rsidR="00FC3638">
        <w:t>battle</w:t>
      </w:r>
      <w:r w:rsidR="004000E1">
        <w:t>s</w:t>
      </w:r>
      <w:r w:rsidR="00FC3638">
        <w:t xml:space="preserve"> have them lasting for several hours and even days</w:t>
      </w:r>
      <w:r w:rsidR="004000E1">
        <w:t xml:space="preserve">. </w:t>
      </w:r>
      <w:r w:rsidR="00280FD0">
        <w:t>K</w:t>
      </w:r>
      <w:r w:rsidR="007A5046">
        <w:t>r</w:t>
      </w:r>
      <w:r w:rsidR="00FC3638">
        <w:t>entz</w:t>
      </w:r>
      <w:r w:rsidR="0020231B">
        <w:t>,</w:t>
      </w:r>
      <w:r w:rsidR="00FC3638">
        <w:t xml:space="preserve"> </w:t>
      </w:r>
      <w:r w:rsidR="00280FD0">
        <w:t xml:space="preserve">for example, </w:t>
      </w:r>
      <w:r w:rsidR="00FC3638">
        <w:t>argues</w:t>
      </w:r>
      <w:r w:rsidR="007A5046">
        <w:t xml:space="preserve"> </w:t>
      </w:r>
      <w:r w:rsidR="00FC3638">
        <w:t>that one cannot by any stretch of the imagination interpret the word ‘Othismos’</w:t>
      </w:r>
      <w:r w:rsidR="00C441A5">
        <w:t xml:space="preserve"> literally in any case</w:t>
      </w:r>
      <w:r w:rsidR="007A5046">
        <w:t>,</w:t>
      </w:r>
      <w:r w:rsidR="00C441A5">
        <w:t xml:space="preserve"> as the term does not implicate a shove</w:t>
      </w:r>
      <w:r w:rsidR="007A5046">
        <w:t>,</w:t>
      </w:r>
      <w:r w:rsidR="00C441A5">
        <w:t xml:space="preserve"> only terms such as ‘forced back’ which can be used in </w:t>
      </w:r>
      <w:r w:rsidR="00B7485B">
        <w:t>example</w:t>
      </w:r>
      <w:r w:rsidR="007226D4">
        <w:t>s</w:t>
      </w:r>
      <w:r w:rsidR="00B7485B">
        <w:t xml:space="preserve"> of battle.</w:t>
      </w:r>
      <w:r w:rsidR="00B7485B">
        <w:rPr>
          <w:rStyle w:val="FootnoteReference"/>
        </w:rPr>
        <w:footnoteReference w:id="4"/>
      </w:r>
      <w:r w:rsidR="00B7485B">
        <w:t xml:space="preserve"> </w:t>
      </w:r>
    </w:p>
    <w:p w14:paraId="77072CFD" w14:textId="061DAD5E" w:rsidR="000C73E6" w:rsidRDefault="00B7485B" w:rsidP="001F463D">
      <w:pPr>
        <w:spacing w:line="480" w:lineRule="auto"/>
      </w:pPr>
      <w:r>
        <w:t xml:space="preserve">Goldsworthy’s article </w:t>
      </w:r>
      <w:r w:rsidR="00D50D1B">
        <w:t xml:space="preserve">however </w:t>
      </w:r>
      <w:r>
        <w:t>is by design</w:t>
      </w:r>
      <w:r w:rsidR="00D50D1B">
        <w:t>,</w:t>
      </w:r>
      <w:r>
        <w:t xml:space="preserve"> meant to be an entirely new argument as to the nature of </w:t>
      </w:r>
      <w:r w:rsidR="0020231B">
        <w:t xml:space="preserve">the </w:t>
      </w:r>
      <w:r>
        <w:t>Othismos</w:t>
      </w:r>
      <w:r>
        <w:rPr>
          <w:rStyle w:val="FootnoteReference"/>
        </w:rPr>
        <w:footnoteReference w:id="5"/>
      </w:r>
      <w:r w:rsidR="00280FD0">
        <w:t>,</w:t>
      </w:r>
      <w:r>
        <w:t xml:space="preserve"> which is that the major determining factor that decided </w:t>
      </w:r>
      <w:r w:rsidR="00BB0242">
        <w:t xml:space="preserve">hoplite </w:t>
      </w:r>
      <w:r>
        <w:t>battles was the depth of the phalanx itself</w:t>
      </w:r>
      <w:r w:rsidR="00BB0242">
        <w:t>.</w:t>
      </w:r>
      <w:r w:rsidR="009F7DE2">
        <w:t xml:space="preserve"> Goldsworthy argues that since only the front two ranks could realistically fight, the side that had the numbers to fill in the gaps caused by casualties would always be the one to break through</w:t>
      </w:r>
      <w:r w:rsidR="009F7DE2">
        <w:rPr>
          <w:rStyle w:val="FootnoteReference"/>
        </w:rPr>
        <w:footnoteReference w:id="6"/>
      </w:r>
      <w:r w:rsidR="009F7DE2">
        <w:t xml:space="preserve"> and later uses the battles of Leuctra and Mantinea to provide evidence for this assertion.</w:t>
      </w:r>
      <w:r w:rsidR="009F7DE2">
        <w:rPr>
          <w:rStyle w:val="FootnoteReference"/>
        </w:rPr>
        <w:footnoteReference w:id="7"/>
      </w:r>
      <w:r w:rsidR="009F7DE2">
        <w:t xml:space="preserve"> However</w:t>
      </w:r>
      <w:r w:rsidR="007226D4">
        <w:t>,</w:t>
      </w:r>
      <w:r w:rsidR="009F7DE2">
        <w:t xml:space="preserve"> </w:t>
      </w:r>
      <w:r w:rsidR="00D66E50">
        <w:t>the fact</w:t>
      </w:r>
      <w:r w:rsidR="00DF2AC1">
        <w:t xml:space="preserve"> remains that it is still an </w:t>
      </w:r>
      <w:r w:rsidR="00182640">
        <w:t>estimation</w:t>
      </w:r>
      <w:r w:rsidR="00302EF9">
        <w:t xml:space="preserve">. </w:t>
      </w:r>
      <w:r w:rsidR="000D40BB">
        <w:t>Goldsworthy can</w:t>
      </w:r>
      <w:r w:rsidR="00182640">
        <w:t xml:space="preserve">  therefore only make estimation </w:t>
      </w:r>
      <w:r w:rsidR="000D40BB">
        <w:t>make</w:t>
      </w:r>
      <w:r w:rsidR="00D66E50">
        <w:t xml:space="preserve"> </w:t>
      </w:r>
      <w:r w:rsidR="000D40BB">
        <w:t xml:space="preserve">since the nature of hoplite battle and the impact of Othismos can only be assumed based on the small scraps of evidence that we have from ancient historians such as Xenophon and Thucydides. Whilst Goldsworthy does make some interesting points, such as that Othismos was only </w:t>
      </w:r>
      <w:r w:rsidR="00DF2AC1">
        <w:t xml:space="preserve">applied </w:t>
      </w:r>
      <w:r w:rsidR="000D40BB">
        <w:t>by the men in front,</w:t>
      </w:r>
      <w:r w:rsidR="000D40BB">
        <w:rPr>
          <w:rStyle w:val="FootnoteReference"/>
        </w:rPr>
        <w:footnoteReference w:id="8"/>
      </w:r>
      <w:r w:rsidR="000D40BB">
        <w:t xml:space="preserve"> he makes assertions that cannot be </w:t>
      </w:r>
      <w:r w:rsidR="00BB0242">
        <w:t xml:space="preserve">supported </w:t>
      </w:r>
      <w:r w:rsidR="000D40BB">
        <w:t>by evidence</w:t>
      </w:r>
      <w:r w:rsidR="00144848">
        <w:t>,</w:t>
      </w:r>
      <w:r w:rsidR="000D40BB">
        <w:t xml:space="preserve"> such as the fact that the men in the rear were ‘superfluous’ and that the morale of the men was only entirely down to the depth of the phalanx.</w:t>
      </w:r>
      <w:r w:rsidR="00DF2AC1">
        <w:rPr>
          <w:rStyle w:val="FootnoteReference"/>
        </w:rPr>
        <w:footnoteReference w:id="9"/>
      </w:r>
      <w:r w:rsidR="00221F2F">
        <w:t xml:space="preserve"> Such assertions</w:t>
      </w:r>
      <w:r w:rsidR="004F3734">
        <w:t xml:space="preserve"> greatly</w:t>
      </w:r>
      <w:r w:rsidR="00221F2F">
        <w:t xml:space="preserve"> weaken the validity of his main argument .</w:t>
      </w:r>
      <w:r w:rsidR="00C72D42">
        <w:t xml:space="preserve"> </w:t>
      </w:r>
      <w:r w:rsidR="003E60DC">
        <w:t>Based on one’s own evaluation of the source material and the relevant historiography</w:t>
      </w:r>
      <w:r w:rsidR="000C73E6">
        <w:t xml:space="preserve"> It is clear that the Othismos must have played some part as to the nature of Hoplite warfare, but it had nothing really to do with the depth of the phalanx.</w:t>
      </w:r>
    </w:p>
    <w:p w14:paraId="78F1E813" w14:textId="308D3ED4" w:rsidR="003E60DC" w:rsidRDefault="003E60DC" w:rsidP="001F463D">
      <w:pPr>
        <w:spacing w:line="480" w:lineRule="auto"/>
      </w:pPr>
      <w:r>
        <w:t>One key battle that Goldsworthy uses as evidence to support his thesis that the depth of the Phalanx was the only decisive factor in hoplite battle is the battle of Leuctra.</w:t>
      </w:r>
      <w:r>
        <w:rPr>
          <w:rStyle w:val="FootnoteReference"/>
        </w:rPr>
        <w:footnoteReference w:id="10"/>
      </w:r>
      <w:r>
        <w:t xml:space="preserve"> Where he refers to the fact that the Thebans employed men of 50 rank</w:t>
      </w:r>
      <w:r w:rsidR="004F3734">
        <w:t>s</w:t>
      </w:r>
      <w:r>
        <w:t xml:space="preserve"> deep and that because of the seemingly chaotic nature of hoplite warfare</w:t>
      </w:r>
      <w:r w:rsidR="004F3734">
        <w:t>,</w:t>
      </w:r>
      <w:r>
        <w:t xml:space="preserve"> if enough men </w:t>
      </w:r>
      <w:r w:rsidR="004F3734">
        <w:t xml:space="preserve">are </w:t>
      </w:r>
      <w:r>
        <w:t>willing to fight in a phalanx</w:t>
      </w:r>
      <w:r w:rsidR="004F3734">
        <w:t xml:space="preserve"> (as in not rout)</w:t>
      </w:r>
      <w:r>
        <w:t xml:space="preserve"> then the side </w:t>
      </w:r>
      <w:r w:rsidR="004F3734">
        <w:t xml:space="preserve">with the </w:t>
      </w:r>
      <w:r>
        <w:t xml:space="preserve">more men in their ranks would </w:t>
      </w:r>
      <w:r w:rsidR="004F3734">
        <w:t>be victorious.</w:t>
      </w:r>
      <w:r>
        <w:rPr>
          <w:rStyle w:val="FootnoteReference"/>
        </w:rPr>
        <w:footnoteReference w:id="11"/>
      </w:r>
      <w:r>
        <w:t xml:space="preserve"> However there are many more factors that Goldsworthy only makes brief reference to or just overlooks entirely that have much more importance in the battle of Leuctra than Goldsworthy</w:t>
      </w:r>
      <w:r w:rsidR="0025101B">
        <w:t xml:space="preserve"> asserts</w:t>
      </w:r>
      <w:r>
        <w:t>. Firstly</w:t>
      </w:r>
      <w:r w:rsidR="009E12C8">
        <w:t>,</w:t>
      </w:r>
      <w:r>
        <w:t xml:space="preserve"> there is clear evidence from the main source of the battle In Xenophon’s </w:t>
      </w:r>
      <w:r w:rsidRPr="00202D1A">
        <w:rPr>
          <w:i/>
        </w:rPr>
        <w:t>Hellenica</w:t>
      </w:r>
      <w:r>
        <w:t xml:space="preserve"> which refers to the Spartan allied cavalry, who </w:t>
      </w:r>
      <w:r>
        <w:lastRenderedPageBreak/>
        <w:t>were the Lacedaemonians, as being ‘exceedingly poor at that time’</w:t>
      </w:r>
      <w:r>
        <w:rPr>
          <w:rStyle w:val="FootnoteReference"/>
        </w:rPr>
        <w:footnoteReference w:id="12"/>
      </w:r>
      <w:r>
        <w:t xml:space="preserve"> and that the Theban cavalry was ‘in good training’</w:t>
      </w:r>
      <w:r>
        <w:rPr>
          <w:rStyle w:val="FootnoteReference"/>
        </w:rPr>
        <w:footnoteReference w:id="13"/>
      </w:r>
      <w:r w:rsidR="0025101B">
        <w:t>.</w:t>
      </w:r>
      <w:r>
        <w:t xml:space="preserve"> </w:t>
      </w:r>
      <w:r w:rsidR="0025101B">
        <w:t>A</w:t>
      </w:r>
      <w:r>
        <w:t>s a result</w:t>
      </w:r>
      <w:r w:rsidR="0025101B">
        <w:t>,</w:t>
      </w:r>
      <w:r>
        <w:t xml:space="preserve"> Xenophon describes a mass rout of the Lacedaemonian cavalry which then proceeded to retreat into their own phalanx line on the left flank which then disrupt</w:t>
      </w:r>
      <w:r w:rsidR="0025101B">
        <w:t>ed</w:t>
      </w:r>
      <w:r>
        <w:t xml:space="preserve"> their entire formation.</w:t>
      </w:r>
      <w:r>
        <w:rPr>
          <w:rStyle w:val="FootnoteReference"/>
        </w:rPr>
        <w:footnoteReference w:id="14"/>
      </w:r>
      <w:r>
        <w:t xml:space="preserve"> Thus severely damaging their capability to fight as a cohesive unit.  This view is supported by Sidnell, who concludes that this was the only way that the Spartans and Lacedaemonians could have been prevented from outflanking the oblique formation of the Thebans.</w:t>
      </w:r>
      <w:r>
        <w:rPr>
          <w:rStyle w:val="FootnoteReference"/>
        </w:rPr>
        <w:footnoteReference w:id="15"/>
      </w:r>
      <w:r>
        <w:t xml:space="preserve"> This therefore provides evidence that contradicts Goldsworthy’s assertion of the depth of the phalanx being the key factor as to why the Thebans defeated the Spartans at Leuctra. Whilst it may be</w:t>
      </w:r>
      <w:r w:rsidR="0025101B">
        <w:t xml:space="preserve"> viable to dismiss </w:t>
      </w:r>
      <w:r>
        <w:t xml:space="preserve">Xenophon </w:t>
      </w:r>
      <w:r w:rsidR="0025101B">
        <w:t>as a source as he is</w:t>
      </w:r>
      <w:r>
        <w:t xml:space="preserve"> known for his pro-Spartan viewpoint and Oligarchic tendencies,</w:t>
      </w:r>
      <w:r>
        <w:rPr>
          <w:rStyle w:val="FootnoteReference"/>
        </w:rPr>
        <w:footnoteReference w:id="16"/>
      </w:r>
      <w:r>
        <w:t xml:space="preserve"> it’s consistency could therefore be questioned as a result. One could thus make the point that Xenophon’s account of the battle could be somewhat inaccurate as he could potentially be trying to show the Lacedaemonians in a negative light to lay the blame for the defeat of the Spartans. Evidence that could suggest that other ancient historians that are not affiliated with Sparta, such as Diodorus, put</w:t>
      </w:r>
      <w:r w:rsidR="00391011">
        <w:t>s</w:t>
      </w:r>
      <w:r>
        <w:t xml:space="preserve"> the onus on the Theban victory being the valour and denseness of the Thebans.</w:t>
      </w:r>
      <w:r>
        <w:rPr>
          <w:rStyle w:val="FootnoteReference"/>
        </w:rPr>
        <w:footnoteReference w:id="17"/>
      </w:r>
      <w:r>
        <w:t xml:space="preserve"> Whilst this may seem to support Goldsworthy’s thesis, one must be aware that Diodorus is himself writing from many centuries later and his view of the battle bears similiarity with pro-Athenian sources on the battle of which there are now only fragments.</w:t>
      </w:r>
      <w:r>
        <w:rPr>
          <w:rStyle w:val="FootnoteReference"/>
        </w:rPr>
        <w:footnoteReference w:id="18"/>
      </w:r>
      <w:r w:rsidRPr="000D3D23">
        <w:t xml:space="preserve"> </w:t>
      </w:r>
      <w:r>
        <w:t>One such fragment comes from a speech by Athenian statesmen Dinarchus, who pins the entire reason for the Theban victory on the strength of the Theban Sacred band.</w:t>
      </w:r>
      <w:r>
        <w:rPr>
          <w:rStyle w:val="FootnoteReference"/>
        </w:rPr>
        <w:footnoteReference w:id="19"/>
      </w:r>
      <w:r w:rsidR="00391011">
        <w:t xml:space="preserve"> This </w:t>
      </w:r>
      <w:r>
        <w:t xml:space="preserve"> reflects the fact that Athens and Thebes at that time were all</w:t>
      </w:r>
      <w:r w:rsidR="00EA7E6B">
        <w:t>ied</w:t>
      </w:r>
      <w:r>
        <w:t xml:space="preserve"> with one another and the strength of the Thebans was a good example to follow. Therefore the fact that the works of Diodorus present a similar notion raise an interesting point as to the validity of Diodorus, with the source that he used for the battle is reported by Marincola as being Ephorus which could raise questions as to where Diodorus is getting his sources from.</w:t>
      </w:r>
      <w:r>
        <w:rPr>
          <w:rStyle w:val="FootnoteReference"/>
        </w:rPr>
        <w:footnoteReference w:id="20"/>
      </w:r>
      <w:r>
        <w:t xml:space="preserve"> Therefore one can interpret this </w:t>
      </w:r>
      <w:r w:rsidR="009A39A6">
        <w:t>information</w:t>
      </w:r>
      <w:r>
        <w:t xml:space="preserve"> as being just as contestable as Xenophon, also evidenced by the fact that Diodorus is known to exaggerate figures and events greatly.</w:t>
      </w:r>
      <w:r>
        <w:rPr>
          <w:rStyle w:val="FootnoteReference"/>
        </w:rPr>
        <w:footnoteReference w:id="21"/>
      </w:r>
      <w:r>
        <w:t xml:space="preserve"> There is also a debate amongst scholar</w:t>
      </w:r>
      <w:r w:rsidR="00391011">
        <w:t>s</w:t>
      </w:r>
      <w:r>
        <w:t xml:space="preserve"> as to whether he is writing his own history or just copying from others such as Ephorus, as Mantz reflects many other scholars take note of his many mistakes as he just abbreviates the works of others.</w:t>
      </w:r>
      <w:r>
        <w:rPr>
          <w:rStyle w:val="FootnoteReference"/>
        </w:rPr>
        <w:footnoteReference w:id="22"/>
      </w:r>
      <w:r>
        <w:t xml:space="preserve"> This can therefore give credence to the </w:t>
      </w:r>
      <w:r w:rsidR="007E6D2A">
        <w:t>view</w:t>
      </w:r>
      <w:r>
        <w:t xml:space="preserve"> that Diodorus is using these accounts of the battle and is, much like Xenophon, not entirely objective with his depiction of the battle. This is also evidenced by the fact that the only three historians to write accounts on Leuctra, two of them come from many centuries later.</w:t>
      </w:r>
      <w:r>
        <w:rPr>
          <w:rStyle w:val="FootnoteReference"/>
        </w:rPr>
        <w:footnoteReference w:id="23"/>
      </w:r>
      <w:r>
        <w:t xml:space="preserve"> Therefore one can only examine the facts that are consistent across all three sources and in all three  of the attributing factors is that the Spartan King Cleombrotus died </w:t>
      </w:r>
      <w:r w:rsidR="00391011">
        <w:t>during the</w:t>
      </w:r>
      <w:r>
        <w:t xml:space="preserve"> battle and that this was wha</w:t>
      </w:r>
      <w:r w:rsidR="00391011">
        <w:t xml:space="preserve">t therefore </w:t>
      </w:r>
      <w:r>
        <w:t xml:space="preserve"> broke the morale of the Lacedaemonians.</w:t>
      </w:r>
      <w:r>
        <w:rPr>
          <w:rStyle w:val="FootnoteReference"/>
        </w:rPr>
        <w:footnoteReference w:id="24"/>
      </w:r>
      <w:r>
        <w:t xml:space="preserve"> In a similar vein they all decree that the Spartans were initially holding off the Thebans. All of this evidence supports the </w:t>
      </w:r>
      <w:r w:rsidR="009A39A6">
        <w:t>view</w:t>
      </w:r>
      <w:r>
        <w:t xml:space="preserve">point that the depth of the Theban phalanx was not the decisive factor as to why the Thebans won at Leuctra as there is </w:t>
      </w:r>
      <w:r>
        <w:lastRenderedPageBreak/>
        <w:t>incontestable evidence pointing to a number of other factors</w:t>
      </w:r>
      <w:r w:rsidR="009A39A6">
        <w:t>,</w:t>
      </w:r>
      <w:r>
        <w:t xml:space="preserve"> such as the use of the cavalry and the fear effect caused by the death of Cleombrotus. Thus, it is impossible to suggest, as Goldsworthy does,</w:t>
      </w:r>
      <w:r>
        <w:rPr>
          <w:rStyle w:val="FootnoteReference"/>
        </w:rPr>
        <w:footnoteReference w:id="25"/>
      </w:r>
      <w:r>
        <w:t xml:space="preserve"> that the depth was the only factor</w:t>
      </w:r>
      <w:r w:rsidR="009A39A6">
        <w:t>,</w:t>
      </w:r>
      <w:r>
        <w:t xml:space="preserve"> as there are many and it is also hard to draw any conclusions from the sources since they vary on their accounts of the battle.</w:t>
      </w:r>
    </w:p>
    <w:p w14:paraId="7DC2DD35" w14:textId="392E499B" w:rsidR="009D0F4D" w:rsidRDefault="000C73E6" w:rsidP="001F463D">
      <w:pPr>
        <w:spacing w:line="480" w:lineRule="auto"/>
      </w:pPr>
      <w:r>
        <w:t xml:space="preserve">One key piece of </w:t>
      </w:r>
      <w:r w:rsidR="00FE05A1">
        <w:t xml:space="preserve">evidence that goes against Goldsworthy’s theory of the Othismos and the phalanx depth is the second battle of Mantinea. During this </w:t>
      </w:r>
      <w:r w:rsidR="009A39A6">
        <w:t>conflict</w:t>
      </w:r>
      <w:r w:rsidR="00FE05A1">
        <w:t xml:space="preserve"> Xenophon, whom is the main source on this battle, makes no real reference to the</w:t>
      </w:r>
      <w:r w:rsidR="009D0F4D">
        <w:t xml:space="preserve"> depth of the</w:t>
      </w:r>
      <w:r w:rsidR="00FE05A1">
        <w:t xml:space="preserve"> phalanx playing a key part in the battle.</w:t>
      </w:r>
      <w:r w:rsidR="00FE05A1">
        <w:rPr>
          <w:rStyle w:val="FootnoteReference"/>
        </w:rPr>
        <w:footnoteReference w:id="26"/>
      </w:r>
      <w:r w:rsidR="009D0F4D">
        <w:t xml:space="preserve"> Interestingly proclaiming that </w:t>
      </w:r>
      <w:r w:rsidR="00D76DC0">
        <w:t>Theban general Epaminondas ‘arranged his battleline at great length’.</w:t>
      </w:r>
      <w:r w:rsidR="00D76DC0">
        <w:rPr>
          <w:rStyle w:val="FootnoteReference"/>
        </w:rPr>
        <w:footnoteReference w:id="27"/>
      </w:r>
      <w:r w:rsidR="00D76DC0">
        <w:t xml:space="preserve"> This would seem to completely contradict the original thesis from Goldsworthy, whom repeatedly states that the depth of the phalanx is the concluding factor. This oversight </w:t>
      </w:r>
      <w:r w:rsidR="003D33EA">
        <w:t xml:space="preserve">in </w:t>
      </w:r>
      <w:r w:rsidR="00D76DC0">
        <w:t xml:space="preserve">itself has led to criticism from other historians </w:t>
      </w:r>
      <w:r w:rsidR="003D33EA">
        <w:t xml:space="preserve">such as </w:t>
      </w:r>
      <w:r w:rsidR="00471957">
        <w:t xml:space="preserve">Matthew says on the Goldsworthy article itself, ‘the existence of such diametrically opposing viewpoints indicates that the very nature of hoplite warfare is far from comprehensively understood by modern scholarship’. </w:t>
      </w:r>
      <w:r w:rsidR="00AD4D05">
        <w:rPr>
          <w:rStyle w:val="FootnoteReference"/>
        </w:rPr>
        <w:footnoteReference w:id="28"/>
      </w:r>
      <w:r w:rsidR="00471957">
        <w:t>Th</w:t>
      </w:r>
      <w:r w:rsidR="003D33EA">
        <w:t>is suggests that</w:t>
      </w:r>
      <w:r w:rsidR="00471957">
        <w:t xml:space="preserve"> since there are so many conflicting opinions and viewpoints on the nature of hoplite warfare and Othismos. It thus weakens Goldsworthy’s interpretation of the source material, even in the Hellenica Xenophon essentially proclaims that the battle of Mantinea was fought to a standstill with both sides suffering massive casualties to the point where no side could claim victory. </w:t>
      </w:r>
      <w:r w:rsidR="00471957">
        <w:rPr>
          <w:rStyle w:val="FootnoteReference"/>
        </w:rPr>
        <w:footnoteReference w:id="29"/>
      </w:r>
      <w:r w:rsidR="00471957">
        <w:t xml:space="preserve"> This thus makes Goldsworthy’s </w:t>
      </w:r>
      <w:r w:rsidR="00957EAA">
        <w:t xml:space="preserve">thesis simply impossible to conclude. Hanson goes further and states that as a result of the second battle of Mantinea, Hoplite Militias rarely fought in pitched battles, so great were the casualties that </w:t>
      </w:r>
      <w:r w:rsidR="00AD4D05">
        <w:t>all the militia did not want to fight in a pitched battle. This clearly provides evidence that the battle lines themselves did not have much of an impact since if they had then clearly the Theban strategy of having a deeper phalanx would have worked, but in this key example it did not. Therefore</w:t>
      </w:r>
      <w:r w:rsidR="0035189E">
        <w:t>,</w:t>
      </w:r>
      <w:r w:rsidR="00AD4D05">
        <w:t xml:space="preserve"> for Goldsworthy to generalise battles in such a way as that the </w:t>
      </w:r>
      <w:r w:rsidR="00B95767">
        <w:t>depth of the lines were all that mattered is simply impossible. As the Second battle of Mantinea essentially was an exemplar of the brutal reality of Othismos, in that two equally matched armies in strength and number clashed whilst using similar battle tactics.</w:t>
      </w:r>
      <w:r w:rsidR="00B95767">
        <w:rPr>
          <w:rStyle w:val="FootnoteReference"/>
        </w:rPr>
        <w:footnoteReference w:id="30"/>
      </w:r>
      <w:r w:rsidR="00A15307">
        <w:t xml:space="preserve"> Expanding on this</w:t>
      </w:r>
      <w:r w:rsidR="0035189E">
        <w:t xml:space="preserve">, </w:t>
      </w:r>
      <w:r w:rsidR="00A15307">
        <w:t>Hornblower explains that there were many reasons as to why the Theban’s initially had such success in their campaigns</w:t>
      </w:r>
      <w:r w:rsidR="0035189E">
        <w:t xml:space="preserve">, </w:t>
      </w:r>
      <w:r w:rsidR="00713859">
        <w:t>because the Spartans had massive manpower problems and could not raise the forces necessary to stop the Thebans.</w:t>
      </w:r>
      <w:r w:rsidR="00713859">
        <w:rPr>
          <w:rStyle w:val="FootnoteReference"/>
        </w:rPr>
        <w:footnoteReference w:id="31"/>
      </w:r>
      <w:r w:rsidR="00713859">
        <w:t xml:space="preserve"> </w:t>
      </w:r>
      <w:r w:rsidR="00C74DB2">
        <w:t>Also the only known and surviving source of information of the second battle of Mantinea is</w:t>
      </w:r>
      <w:r w:rsidR="00395634">
        <w:t xml:space="preserve"> Xenophon and Xenophon clearly refers to the depth of the phalanx as a non-factor</w:t>
      </w:r>
      <w:r w:rsidR="0035189E">
        <w:t xml:space="preserve"> and even this is some places</w:t>
      </w:r>
      <w:r w:rsidR="00395634">
        <w:rPr>
          <w:rStyle w:val="FootnoteReference"/>
        </w:rPr>
        <w:footnoteReference w:id="32"/>
      </w:r>
      <w:r w:rsidR="00395634">
        <w:t xml:space="preserve"> </w:t>
      </w:r>
      <w:r w:rsidR="0035189E">
        <w:t xml:space="preserve">this  therefore </w:t>
      </w:r>
      <w:r w:rsidR="00395634">
        <w:t xml:space="preserve">makes it incredibly difficult to draw any sort of conclusion since Xenophon </w:t>
      </w:r>
      <w:r w:rsidR="008E31FF">
        <w:t>clearly does not make the depth of the phalanx a major factor and it is the same with Leuctra. Therefore</w:t>
      </w:r>
      <w:r w:rsidR="0035189E">
        <w:t>,</w:t>
      </w:r>
      <w:r w:rsidR="008E31FF">
        <w:t xml:space="preserve"> for Goldsworthy to use Xenophon as evidence to try and prove his thesis is simply impossible, as Xenophon never declares it as being pivotal at all.</w:t>
      </w:r>
    </w:p>
    <w:p w14:paraId="760E33FD" w14:textId="5E79E5C7" w:rsidR="00485598" w:rsidRDefault="00485598" w:rsidP="001F463D">
      <w:pPr>
        <w:spacing w:line="480" w:lineRule="auto"/>
      </w:pPr>
      <w:r>
        <w:t>Leading on from this point is the earlier battle of Delium</w:t>
      </w:r>
      <w:r w:rsidR="007428DD">
        <w:t xml:space="preserve">, Goldsworthy essentially argues that because the Athenians at the battle had a </w:t>
      </w:r>
      <w:r w:rsidR="007E6D2A">
        <w:t xml:space="preserve">narrow </w:t>
      </w:r>
      <w:r w:rsidR="007428DD">
        <w:t>and therefore much wider phalanx</w:t>
      </w:r>
      <w:r w:rsidR="00BB5310">
        <w:t xml:space="preserve"> they therefore could not concentrate their forces as they were impeded on both sides by water courses.</w:t>
      </w:r>
      <w:r w:rsidR="00BB5310">
        <w:rPr>
          <w:rStyle w:val="FootnoteReference"/>
        </w:rPr>
        <w:footnoteReference w:id="33"/>
      </w:r>
      <w:r w:rsidR="00853148">
        <w:t xml:space="preserve"> However Goldsworthy clearly only uses a small portion of the source material in Thucydides as evidence for </w:t>
      </w:r>
      <w:r w:rsidR="00853148">
        <w:lastRenderedPageBreak/>
        <w:t xml:space="preserve">his thesis. His evidence being the section where Thucydides mentions that </w:t>
      </w:r>
      <w:r w:rsidR="007E1E82">
        <w:t>the Theban line was ’25 shields deep.’</w:t>
      </w:r>
      <w:r w:rsidR="007E1E82">
        <w:rPr>
          <w:rStyle w:val="FootnoteReference"/>
        </w:rPr>
        <w:footnoteReference w:id="34"/>
      </w:r>
      <w:r w:rsidR="0016275E">
        <w:t xml:space="preserve"> This is the only quote from Thucydides he uses to provide evidence </w:t>
      </w:r>
      <w:r w:rsidR="007E6D2A">
        <w:t>for the theory of phalanx depth’s being the key determining factor</w:t>
      </w:r>
      <w:r w:rsidR="00C010E1">
        <w:t>. However</w:t>
      </w:r>
      <w:r w:rsidR="008255E4">
        <w:t>,</w:t>
      </w:r>
      <w:r w:rsidR="00C010E1">
        <w:t xml:space="preserve"> the</w:t>
      </w:r>
      <w:r w:rsidR="008255E4">
        <w:t xml:space="preserve"> source material is far more complicated as nowhere does Thucydides specifically state that the depth of the phalanx line ever played a part in the outcome of the battle</w:t>
      </w:r>
      <w:r w:rsidR="0036736E">
        <w:t>. If anything</w:t>
      </w:r>
      <w:r w:rsidR="007E6D2A">
        <w:t>,</w:t>
      </w:r>
      <w:r w:rsidR="0036736E">
        <w:t xml:space="preserve"> Thucydides explicitly states that the fighting was chaotic, as both sides essentially charged at each other at full speed.</w:t>
      </w:r>
      <w:r w:rsidR="0036736E">
        <w:rPr>
          <w:rStyle w:val="FootnoteReference"/>
        </w:rPr>
        <w:footnoteReference w:id="35"/>
      </w:r>
      <w:r w:rsidR="0036736E">
        <w:t xml:space="preserve"> Although the source also suggests that there was ‘no close combat fighting’</w:t>
      </w:r>
      <w:r w:rsidR="0036736E">
        <w:rPr>
          <w:rStyle w:val="FootnoteReference"/>
        </w:rPr>
        <w:footnoteReference w:id="36"/>
      </w:r>
      <w:r w:rsidR="0036736E">
        <w:t>and that</w:t>
      </w:r>
      <w:r w:rsidR="00D313F7">
        <w:t xml:space="preserve"> combat was ‘shield against shield’</w:t>
      </w:r>
      <w:r w:rsidR="00D313F7">
        <w:rPr>
          <w:rStyle w:val="FootnoteReference"/>
        </w:rPr>
        <w:footnoteReference w:id="37"/>
      </w:r>
      <w:r w:rsidR="00D313F7">
        <w:t>. This evidence contradicts Goldsworthy’s</w:t>
      </w:r>
      <w:r w:rsidR="00646F92">
        <w:t xml:space="preserve"> and the revisionist </w:t>
      </w:r>
      <w:r w:rsidR="00D313F7">
        <w:t>assessment of Othismos entirely since he argues that the phalanx formations were loose so that the men at the front could fight</w:t>
      </w:r>
      <w:r w:rsidR="00B97311">
        <w:t xml:space="preserve"> and the source material suggests otherwise as the Hoplites shoved against each other</w:t>
      </w:r>
      <w:r w:rsidR="006D194D">
        <w:t>, therefore giving credence to the theory of scholars such as Luginbull whom uses Delium as an example to suggest that hoplite battle lines clashing was inevitable</w:t>
      </w:r>
      <w:r w:rsidR="00D313F7">
        <w:t>.</w:t>
      </w:r>
      <w:r w:rsidR="006D194D">
        <w:rPr>
          <w:rStyle w:val="FootnoteReference"/>
        </w:rPr>
        <w:footnoteReference w:id="38"/>
      </w:r>
      <w:r w:rsidR="00D313F7">
        <w:t xml:space="preserve"> Since Thucydides is the only source of evidence for this battle it is incredibly hard for any scholar </w:t>
      </w:r>
      <w:r w:rsidR="00EA66EB">
        <w:t>to challenge or dispute it, since he is the only real surviving text. Therefore, Goldsworthy has clearly ignored key sections of Thucydides to promote his argument, as shown by the fact that the Athenians originally found success against the much deeper Theban phalanx</w:t>
      </w:r>
      <w:r w:rsidR="00C52904">
        <w:rPr>
          <w:rStyle w:val="FootnoteReference"/>
        </w:rPr>
        <w:footnoteReference w:id="39"/>
      </w:r>
      <w:r w:rsidR="007D1480">
        <w:t xml:space="preserve"> and that realistically the only reason the Thebans won was the fact that the men in the Athenian phalanx became confused and subsequently fought their own men in ignorance.</w:t>
      </w:r>
      <w:r w:rsidR="007D1480">
        <w:rPr>
          <w:rStyle w:val="FootnoteReference"/>
        </w:rPr>
        <w:footnoteReference w:id="40"/>
      </w:r>
      <w:r w:rsidR="007D1480">
        <w:t xml:space="preserve"> Therefore because it is incredibly hard to dismiss the validity of Thucydides’ account of this battle, the evidence he provides completely counters Goldsworthy’s main thesis</w:t>
      </w:r>
    </w:p>
    <w:p w14:paraId="13E2C8AA" w14:textId="3E4DE8FE" w:rsidR="004315B1" w:rsidRDefault="0073632D" w:rsidP="001F463D">
      <w:pPr>
        <w:spacing w:line="480" w:lineRule="auto"/>
      </w:pPr>
      <w:r>
        <w:t xml:space="preserve">One source that perhaps might be more </w:t>
      </w:r>
      <w:r w:rsidR="00EB11B4">
        <w:t>illuminating and</w:t>
      </w:r>
      <w:r>
        <w:t xml:space="preserve"> that Goldsworthy fails to mention is </w:t>
      </w:r>
      <w:r w:rsidR="00EB11B4">
        <w:t xml:space="preserve">the </w:t>
      </w:r>
      <w:r>
        <w:t>2</w:t>
      </w:r>
      <w:r w:rsidRPr="0073632D">
        <w:rPr>
          <w:vertAlign w:val="superscript"/>
        </w:rPr>
        <w:t>nd</w:t>
      </w:r>
      <w:r>
        <w:t xml:space="preserve"> century AD writer Pausanius. As despite the fact he is writing half a millennia later tha</w:t>
      </w:r>
      <w:r w:rsidR="006B7A91">
        <w:t>n the</w:t>
      </w:r>
      <w:r>
        <w:t xml:space="preserve"> actual events,</w:t>
      </w:r>
      <w:r w:rsidR="00A04817">
        <w:t xml:space="preserve"> Pausanius arguably provides a more truthful and factual account of events, since the sources he refers to are Ephorus, like Diodoru</w:t>
      </w:r>
      <w:r w:rsidR="00182640">
        <w:t>s. However</w:t>
      </w:r>
      <w:r w:rsidR="00A04817">
        <w:t xml:space="preserve"> according to historian Stewart</w:t>
      </w:r>
      <w:r w:rsidR="00182640">
        <w:t xml:space="preserve"> Pausanius’</w:t>
      </w:r>
      <w:r w:rsidR="00A04817">
        <w:t xml:space="preserve"> </w:t>
      </w:r>
      <w:r w:rsidR="00D40EFF" w:rsidRPr="00D40EFF">
        <w:t>honesty is unquestionable, and his value without par</w:t>
      </w:r>
      <w:r w:rsidR="00D40EFF">
        <w:t>’</w:t>
      </w:r>
      <w:r w:rsidR="00B248EF">
        <w:t>.</w:t>
      </w:r>
      <w:r w:rsidR="00D40EFF">
        <w:rPr>
          <w:rStyle w:val="FootnoteReference"/>
        </w:rPr>
        <w:footnoteReference w:id="41"/>
      </w:r>
      <w:r w:rsidR="00B248EF">
        <w:t xml:space="preserve"> Therefore, one can reasonably argue that the </w:t>
      </w:r>
      <w:r w:rsidR="000C1B78">
        <w:t xml:space="preserve">account provided by Pausanius </w:t>
      </w:r>
      <w:r w:rsidR="00EB11B4">
        <w:t>adds</w:t>
      </w:r>
      <w:r w:rsidR="000C1B78">
        <w:t xml:space="preserve"> more weight to the argument. For example</w:t>
      </w:r>
      <w:r w:rsidR="006B7A91">
        <w:t>,</w:t>
      </w:r>
      <w:r w:rsidR="000C1B78">
        <w:t xml:space="preserve"> Pausanius reports that the Lacedaemonians and the Thebans were equal in terms of actual skill and that the only reason that the Lacedaemonians did not stand their ground was that they did not exactly like the Spartans and were thus more than willing to retreat</w:t>
      </w:r>
      <w:r w:rsidR="008857BF">
        <w:t>.</w:t>
      </w:r>
      <w:r w:rsidR="00070D23">
        <w:rPr>
          <w:rStyle w:val="FootnoteReference"/>
        </w:rPr>
        <w:footnoteReference w:id="42"/>
      </w:r>
      <w:r w:rsidR="008857BF">
        <w:t xml:space="preserve"> This clearly implies that the battle had nothing to do with the depth of the Phalanx, yet Goldsworthy clearly ignores this source</w:t>
      </w:r>
      <w:r w:rsidR="00666CD4">
        <w:t>,</w:t>
      </w:r>
      <w:r w:rsidR="008857BF">
        <w:t xml:space="preserve"> as a result</w:t>
      </w:r>
      <w:r w:rsidR="00666CD4">
        <w:t>,</w:t>
      </w:r>
      <w:r w:rsidR="008857BF">
        <w:t xml:space="preserve"> his argument ultimately fails to provide a comprehensive </w:t>
      </w:r>
      <w:r w:rsidR="00666CD4">
        <w:t xml:space="preserve">and wider </w:t>
      </w:r>
      <w:r w:rsidR="008857BF">
        <w:t>analysis of the ancient sources as they are more numerous than just Xenophon and Thucydides.</w:t>
      </w:r>
      <w:r w:rsidR="00CF04C5">
        <w:t xml:space="preserve"> </w:t>
      </w:r>
    </w:p>
    <w:p w14:paraId="2508094E" w14:textId="422A41B3" w:rsidR="008E31FF" w:rsidRDefault="008E31FF" w:rsidP="001F463D">
      <w:pPr>
        <w:spacing w:line="480" w:lineRule="auto"/>
      </w:pPr>
      <w:r>
        <w:t xml:space="preserve">In Conclusion, whilst Goldsworthy makes a worthy attempt at promoting the idea of the depth of the phalanx </w:t>
      </w:r>
      <w:r w:rsidR="00C04E20">
        <w:t>e</w:t>
      </w:r>
      <w:r>
        <w:t xml:space="preserve">vidence clearly suggests that there are far more key factors in determining the role of Othismos </w:t>
      </w:r>
      <w:r w:rsidR="0023411A">
        <w:t>and of hoplite warfare in general. For example, whilst hoplite warfare was most certainly more chaotic and complicated than a rugby scrum. Goldsworthy ultimately fails to provide any counter evidence to the theories of Lazenby</w:t>
      </w:r>
      <w:r w:rsidR="0023411A">
        <w:rPr>
          <w:rStyle w:val="FootnoteReference"/>
        </w:rPr>
        <w:footnoteReference w:id="43"/>
      </w:r>
      <w:r w:rsidR="0023411A">
        <w:t xml:space="preserve"> and Anderson</w:t>
      </w:r>
      <w:r w:rsidR="00250281">
        <w:rPr>
          <w:rStyle w:val="FootnoteReference"/>
        </w:rPr>
        <w:footnoteReference w:id="44"/>
      </w:r>
      <w:r w:rsidR="0023411A">
        <w:t xml:space="preserve"> as there are </w:t>
      </w:r>
      <w:r w:rsidR="00250281">
        <w:t xml:space="preserve">consistent references to </w:t>
      </w:r>
      <w:r w:rsidR="00250281">
        <w:lastRenderedPageBreak/>
        <w:t>massed shoving in sources such as Xenophon and Thucydides and since they are really the only primary sources we have it is incredibly hard to argue against them, or indeed to try and argue an ulterior point that phalanx depth was the only determining factor in battle and as the evidence shows this was simply not the case</w:t>
      </w:r>
      <w:r w:rsidR="00A60A9E">
        <w:t xml:space="preserve">. </w:t>
      </w:r>
      <w:r w:rsidR="00C04E20">
        <w:t>C</w:t>
      </w:r>
      <w:r w:rsidR="00A60A9E">
        <w:t>learly in many battles the deeper phalanx was not entirely indictative of a victory and even when this strategy did work. There were far more clear examples, such as the cavalry at Leuctra and the terrain of Delium. Also</w:t>
      </w:r>
      <w:r w:rsidR="009F7075">
        <w:t>,</w:t>
      </w:r>
      <w:r w:rsidR="00A60A9E">
        <w:t xml:space="preserve"> whilst ancient scholars do reference the phalanx depth, they never talk about it extensively or provide evidence that proves that it was the key factor in determining</w:t>
      </w:r>
      <w:r w:rsidR="00C04E20">
        <w:t xml:space="preserve"> the outcome of a</w:t>
      </w:r>
      <w:r w:rsidR="00A60A9E">
        <w:t xml:space="preserve"> battle </w:t>
      </w:r>
      <w:r w:rsidR="001D57AC">
        <w:t>and will always talk at length about other factors such as the use of light troops, cavalry and the training of the troops themselves. Therefore</w:t>
      </w:r>
      <w:r w:rsidR="009F7075">
        <w:t>,</w:t>
      </w:r>
      <w:r w:rsidR="001D57AC">
        <w:t xml:space="preserve"> this clearly shows that Goldsworthy’s thesis has no real grounding in source material to </w:t>
      </w:r>
      <w:r w:rsidR="00C04E20">
        <w:t>validate it.</w:t>
      </w:r>
    </w:p>
    <w:p w14:paraId="6A274046" w14:textId="7ED9ABDF" w:rsidR="001F463D" w:rsidRDefault="001F463D" w:rsidP="001F463D">
      <w:pPr>
        <w:spacing w:line="480" w:lineRule="auto"/>
      </w:pPr>
    </w:p>
    <w:p w14:paraId="7FA3802C" w14:textId="3E79030F" w:rsidR="001F463D" w:rsidRDefault="001F463D" w:rsidP="001F463D">
      <w:pPr>
        <w:spacing w:line="480" w:lineRule="auto"/>
      </w:pPr>
    </w:p>
    <w:p w14:paraId="43771FA7" w14:textId="4C063544" w:rsidR="001F463D" w:rsidRDefault="001F463D" w:rsidP="001F463D">
      <w:pPr>
        <w:spacing w:line="480" w:lineRule="auto"/>
      </w:pPr>
    </w:p>
    <w:p w14:paraId="25364540" w14:textId="2E0B7008" w:rsidR="001F463D" w:rsidRDefault="001F463D" w:rsidP="001F463D">
      <w:pPr>
        <w:spacing w:line="480" w:lineRule="auto"/>
      </w:pPr>
    </w:p>
    <w:p w14:paraId="07D5BD33" w14:textId="2DC7FC49" w:rsidR="001F463D" w:rsidRDefault="001F463D" w:rsidP="001F463D">
      <w:pPr>
        <w:spacing w:line="480" w:lineRule="auto"/>
      </w:pPr>
    </w:p>
    <w:p w14:paraId="6C263D2E" w14:textId="1206048D" w:rsidR="001F463D" w:rsidRDefault="001F463D" w:rsidP="001F463D">
      <w:pPr>
        <w:spacing w:line="480" w:lineRule="auto"/>
      </w:pPr>
    </w:p>
    <w:p w14:paraId="0BE94C00" w14:textId="10154703" w:rsidR="001F463D" w:rsidRDefault="001F463D" w:rsidP="001F463D">
      <w:pPr>
        <w:spacing w:line="480" w:lineRule="auto"/>
      </w:pPr>
    </w:p>
    <w:p w14:paraId="1B51FB9C" w14:textId="332E4805" w:rsidR="001F463D" w:rsidRDefault="001F463D" w:rsidP="001F463D">
      <w:pPr>
        <w:spacing w:line="480" w:lineRule="auto"/>
      </w:pPr>
    </w:p>
    <w:p w14:paraId="118DB213" w14:textId="03F5369B" w:rsidR="001F463D" w:rsidRDefault="001F463D" w:rsidP="001F463D">
      <w:pPr>
        <w:spacing w:line="480" w:lineRule="auto"/>
      </w:pPr>
    </w:p>
    <w:p w14:paraId="713C9885" w14:textId="3CB419B5" w:rsidR="001F463D" w:rsidRDefault="001F463D" w:rsidP="001F463D">
      <w:pPr>
        <w:spacing w:line="480" w:lineRule="auto"/>
      </w:pPr>
    </w:p>
    <w:p w14:paraId="644B041A" w14:textId="2CE940FF" w:rsidR="001F463D" w:rsidRDefault="001F463D" w:rsidP="001F463D">
      <w:pPr>
        <w:spacing w:line="480" w:lineRule="auto"/>
      </w:pPr>
    </w:p>
    <w:p w14:paraId="0B6F5187" w14:textId="4897682E" w:rsidR="001F463D" w:rsidRDefault="001F463D" w:rsidP="001F463D">
      <w:pPr>
        <w:spacing w:line="480" w:lineRule="auto"/>
      </w:pPr>
    </w:p>
    <w:p w14:paraId="73849921" w14:textId="40F380D2" w:rsidR="001F463D" w:rsidRDefault="001F463D" w:rsidP="001F463D">
      <w:pPr>
        <w:spacing w:line="480" w:lineRule="auto"/>
      </w:pPr>
    </w:p>
    <w:p w14:paraId="58A1DF9D" w14:textId="550C7661" w:rsidR="001F463D" w:rsidRDefault="001F463D" w:rsidP="001F463D">
      <w:pPr>
        <w:spacing w:line="480" w:lineRule="auto"/>
      </w:pPr>
    </w:p>
    <w:p w14:paraId="5A265A1A" w14:textId="0C5B82BF" w:rsidR="001F463D" w:rsidRDefault="001F463D" w:rsidP="001F463D">
      <w:pPr>
        <w:spacing w:line="480" w:lineRule="auto"/>
      </w:pPr>
    </w:p>
    <w:p w14:paraId="2DB3910F" w14:textId="5CD0C4B7" w:rsidR="001F463D" w:rsidRDefault="001F463D" w:rsidP="001F463D">
      <w:pPr>
        <w:spacing w:line="480" w:lineRule="auto"/>
      </w:pPr>
    </w:p>
    <w:p w14:paraId="50177945" w14:textId="2F942F46" w:rsidR="001F463D" w:rsidRDefault="001F463D" w:rsidP="001F463D">
      <w:pPr>
        <w:spacing w:line="480" w:lineRule="auto"/>
      </w:pPr>
    </w:p>
    <w:p w14:paraId="62E656C9" w14:textId="399C4C5D" w:rsidR="001F463D" w:rsidRDefault="001F463D" w:rsidP="001F463D">
      <w:pPr>
        <w:spacing w:line="480" w:lineRule="auto"/>
      </w:pPr>
    </w:p>
    <w:p w14:paraId="3AF81817" w14:textId="7053502F" w:rsidR="001F463D" w:rsidRDefault="001F463D" w:rsidP="001F463D">
      <w:pPr>
        <w:spacing w:line="480" w:lineRule="auto"/>
      </w:pPr>
      <w:r>
        <w:t>Bibliography:</w:t>
      </w:r>
      <w:bookmarkStart w:id="0" w:name="_GoBack"/>
      <w:bookmarkEnd w:id="0"/>
    </w:p>
    <w:p w14:paraId="314E2C93" w14:textId="4D0D26C7" w:rsidR="00372AF2" w:rsidRDefault="00220C72" w:rsidP="001F463D">
      <w:pPr>
        <w:spacing w:line="480" w:lineRule="auto"/>
      </w:pPr>
      <w:r>
        <w:t xml:space="preserve">Ancient Scholars: </w:t>
      </w:r>
    </w:p>
    <w:p w14:paraId="313D93AD" w14:textId="2C949948" w:rsidR="000438EA" w:rsidRPr="000438EA" w:rsidRDefault="000438EA" w:rsidP="001F463D">
      <w:pPr>
        <w:spacing w:line="480" w:lineRule="auto"/>
      </w:pPr>
      <w:r>
        <w:t xml:space="preserve">Dinarchus. </w:t>
      </w:r>
      <w:r>
        <w:rPr>
          <w:i/>
        </w:rPr>
        <w:t>Against Demosthenes.</w:t>
      </w:r>
      <w:r>
        <w:t xml:space="preserve"> 1962</w:t>
      </w:r>
      <w:r>
        <w:rPr>
          <w:i/>
        </w:rPr>
        <w:t xml:space="preserve"> </w:t>
      </w:r>
      <w:r>
        <w:t>J. O. Blurtt. Londo</w:t>
      </w:r>
      <w:r w:rsidR="00BC0662">
        <w:t>n. William Heinemann LTD</w:t>
      </w:r>
    </w:p>
    <w:p w14:paraId="7BA65977" w14:textId="7CAD5B88" w:rsidR="000438EA" w:rsidRDefault="00C90C2F" w:rsidP="001F463D">
      <w:pPr>
        <w:spacing w:line="480" w:lineRule="auto"/>
      </w:pPr>
      <w:r>
        <w:t xml:space="preserve">Diodorus Siculus. </w:t>
      </w:r>
      <w:r>
        <w:rPr>
          <w:i/>
        </w:rPr>
        <w:t>Bibliotheke.</w:t>
      </w:r>
      <w:r w:rsidR="0048282C">
        <w:rPr>
          <w:i/>
        </w:rPr>
        <w:t xml:space="preserve"> </w:t>
      </w:r>
      <w:r w:rsidR="0048282C">
        <w:t>1989.</w:t>
      </w:r>
      <w:r w:rsidR="0048282C">
        <w:rPr>
          <w:i/>
        </w:rPr>
        <w:t xml:space="preserve"> </w:t>
      </w:r>
      <w:r w:rsidR="0048282C">
        <w:t>C.H. Oldfather. Cambridge, Massachusetts. Harvard University Press.</w:t>
      </w:r>
    </w:p>
    <w:p w14:paraId="71231511" w14:textId="4479E384" w:rsidR="000438EA" w:rsidRDefault="000438EA" w:rsidP="001F463D">
      <w:pPr>
        <w:spacing w:line="480" w:lineRule="auto"/>
      </w:pPr>
      <w:r>
        <w:t xml:space="preserve">Pausanius. </w:t>
      </w:r>
      <w:r w:rsidRPr="000438EA">
        <w:rPr>
          <w:i/>
        </w:rPr>
        <w:t>Description of Greece</w:t>
      </w:r>
      <w:r>
        <w:rPr>
          <w:i/>
        </w:rPr>
        <w:t xml:space="preserve">. </w:t>
      </w:r>
      <w:r>
        <w:t>1918</w:t>
      </w:r>
      <w:r w:rsidR="00BC0662">
        <w:t>.</w:t>
      </w:r>
      <w:r>
        <w:rPr>
          <w:i/>
        </w:rPr>
        <w:t xml:space="preserve"> </w:t>
      </w:r>
      <w:r>
        <w:t>W.H.S. Jones. London. William Heinemann LTD.</w:t>
      </w:r>
    </w:p>
    <w:p w14:paraId="131A07C9" w14:textId="010956C0" w:rsidR="00AD296C" w:rsidRPr="00AD296C" w:rsidRDefault="00AD296C" w:rsidP="001F463D">
      <w:pPr>
        <w:spacing w:line="480" w:lineRule="auto"/>
      </w:pPr>
      <w:r>
        <w:t xml:space="preserve">Plutarch. </w:t>
      </w:r>
      <w:r>
        <w:rPr>
          <w:i/>
        </w:rPr>
        <w:t>Parallel Lives, the Life of</w:t>
      </w:r>
      <w:r>
        <w:t xml:space="preserve"> </w:t>
      </w:r>
      <w:r>
        <w:rPr>
          <w:i/>
        </w:rPr>
        <w:t xml:space="preserve">Pelopidas. </w:t>
      </w:r>
      <w:r>
        <w:t xml:space="preserve">1917. E. Thayer. Harvard. Loeb Classical Library  </w:t>
      </w:r>
    </w:p>
    <w:p w14:paraId="4D4A8D31" w14:textId="1BB7DD75" w:rsidR="009F7075" w:rsidRDefault="009F7075" w:rsidP="001F463D">
      <w:pPr>
        <w:spacing w:line="480" w:lineRule="auto"/>
      </w:pPr>
      <w:r>
        <w:t xml:space="preserve">Thucydides. </w:t>
      </w:r>
      <w:r>
        <w:rPr>
          <w:i/>
        </w:rPr>
        <w:t>History of the Peloponnesian War.</w:t>
      </w:r>
      <w:r w:rsidR="00C90C2F">
        <w:t xml:space="preserve"> 1843</w:t>
      </w:r>
      <w:r w:rsidR="00BC0662">
        <w:t>.</w:t>
      </w:r>
      <w:r w:rsidR="00C90C2F">
        <w:rPr>
          <w:i/>
        </w:rPr>
        <w:t xml:space="preserve"> </w:t>
      </w:r>
      <w:r w:rsidR="00C90C2F">
        <w:t>T. Hobbes. London. Bohn</w:t>
      </w:r>
    </w:p>
    <w:p w14:paraId="77B79FE0" w14:textId="324871B1" w:rsidR="00D34510" w:rsidRPr="00D34510" w:rsidRDefault="00D34510" w:rsidP="001F463D">
      <w:pPr>
        <w:spacing w:line="480" w:lineRule="auto"/>
      </w:pPr>
      <w:r>
        <w:t xml:space="preserve">Thucydides. </w:t>
      </w:r>
      <w:r>
        <w:rPr>
          <w:i/>
        </w:rPr>
        <w:t xml:space="preserve">History of the Peloponnesian War. </w:t>
      </w:r>
      <w:r w:rsidR="003402C2">
        <w:t>1920. C.F. Smith. London: William Heinemann LTD</w:t>
      </w:r>
    </w:p>
    <w:p w14:paraId="116A43BE" w14:textId="40263D43" w:rsidR="003402C2" w:rsidRPr="00D34510" w:rsidRDefault="00220C72" w:rsidP="001F463D">
      <w:pPr>
        <w:spacing w:line="480" w:lineRule="auto"/>
      </w:pPr>
      <w:r>
        <w:t xml:space="preserve">Xenophon. </w:t>
      </w:r>
      <w:r w:rsidR="00A66E26">
        <w:rPr>
          <w:i/>
        </w:rPr>
        <w:t xml:space="preserve">Hellenica. </w:t>
      </w:r>
      <w:r w:rsidR="009F7075">
        <w:t>C.L. Brownson. 1921. Cambridge</w:t>
      </w:r>
      <w:r w:rsidR="0048282C">
        <w:t>, Massachusetts</w:t>
      </w:r>
      <w:r w:rsidR="009F7075">
        <w:t>. Harvard University Press.</w:t>
      </w:r>
    </w:p>
    <w:p w14:paraId="765CD962" w14:textId="3D8125D7" w:rsidR="00F22750" w:rsidRDefault="00F22750" w:rsidP="001F463D">
      <w:pPr>
        <w:spacing w:line="480" w:lineRule="auto"/>
      </w:pPr>
      <w:r>
        <w:t>Modern Scholars:</w:t>
      </w:r>
    </w:p>
    <w:p w14:paraId="5F752543" w14:textId="615F1340" w:rsidR="00372AF2" w:rsidRPr="00372AF2" w:rsidRDefault="00372AF2" w:rsidP="001F463D">
      <w:pPr>
        <w:spacing w:line="480" w:lineRule="auto"/>
      </w:pPr>
      <w:r>
        <w:t xml:space="preserve">Anderson. J.K. 1971. </w:t>
      </w:r>
      <w:r w:rsidRPr="00372AF2">
        <w:rPr>
          <w:i/>
        </w:rPr>
        <w:t>Military Theory and Practice in the Age of Xenophon.</w:t>
      </w:r>
      <w:r>
        <w:rPr>
          <w:i/>
        </w:rPr>
        <w:t xml:space="preserve"> </w:t>
      </w:r>
      <w:r>
        <w:t>Chicago: University of Chicago Press</w:t>
      </w:r>
    </w:p>
    <w:p w14:paraId="7507F080" w14:textId="14784EB3" w:rsidR="00F22750" w:rsidRDefault="00E52538" w:rsidP="001F463D">
      <w:pPr>
        <w:spacing w:line="480" w:lineRule="auto"/>
      </w:pPr>
      <w:r>
        <w:t>Cawkwell. G.</w:t>
      </w:r>
      <w:r w:rsidR="00641AB0">
        <w:t xml:space="preserve"> 1983.</w:t>
      </w:r>
      <w:r>
        <w:t xml:space="preserve"> </w:t>
      </w:r>
      <w:r>
        <w:rPr>
          <w:i/>
        </w:rPr>
        <w:t>Phillip of Macedon</w:t>
      </w:r>
      <w:r w:rsidR="00641AB0">
        <w:rPr>
          <w:i/>
        </w:rPr>
        <w:t xml:space="preserve">. </w:t>
      </w:r>
      <w:r w:rsidR="00641AB0">
        <w:t>Oxford.</w:t>
      </w:r>
      <w:r w:rsidR="00641AB0">
        <w:rPr>
          <w:i/>
        </w:rPr>
        <w:t xml:space="preserve"> </w:t>
      </w:r>
      <w:r w:rsidR="00641AB0">
        <w:t xml:space="preserve">Oxford University Press. </w:t>
      </w:r>
    </w:p>
    <w:p w14:paraId="2EE2A5F7" w14:textId="3A36ED8E" w:rsidR="00C605FC" w:rsidRDefault="00164265" w:rsidP="001F463D">
      <w:pPr>
        <w:pStyle w:val="Header"/>
        <w:spacing w:after="240" w:line="480" w:lineRule="auto"/>
      </w:pPr>
      <w:r>
        <w:t xml:space="preserve">Goldsworthy. A. 1997. </w:t>
      </w:r>
      <w:r w:rsidR="00FA2CCB" w:rsidRPr="00FA2CCB">
        <w:rPr>
          <w:i/>
        </w:rPr>
        <w:t>The Othismos, Myths and Heresies: The Nature of Hoplite Battle</w:t>
      </w:r>
      <w:r w:rsidR="00FA2CCB">
        <w:rPr>
          <w:i/>
        </w:rPr>
        <w:t xml:space="preserve">. </w:t>
      </w:r>
      <w:r w:rsidR="00C605FC">
        <w:t>New York. Sage Publishing.</w:t>
      </w:r>
    </w:p>
    <w:p w14:paraId="6844237F" w14:textId="62623721" w:rsidR="00C605FC" w:rsidRPr="00A71A29" w:rsidRDefault="00C605FC" w:rsidP="001F463D">
      <w:pPr>
        <w:pStyle w:val="Header"/>
        <w:spacing w:after="240" w:line="480" w:lineRule="auto"/>
      </w:pPr>
      <w:r>
        <w:t xml:space="preserve">Hornblower. S. 1983. </w:t>
      </w:r>
      <w:r w:rsidRPr="00C605FC">
        <w:rPr>
          <w:i/>
        </w:rPr>
        <w:t>The Greek World 479-323 BC (The Routledge History of the Ancient World)</w:t>
      </w:r>
      <w:r w:rsidR="00A71A29">
        <w:rPr>
          <w:i/>
        </w:rPr>
        <w:t xml:space="preserve">. </w:t>
      </w:r>
      <w:r w:rsidR="00A71A29">
        <w:t>London: Routledge</w:t>
      </w:r>
    </w:p>
    <w:p w14:paraId="36BF9047" w14:textId="639EFD00" w:rsidR="00164265" w:rsidRDefault="00932E09" w:rsidP="001F463D">
      <w:pPr>
        <w:spacing w:line="480" w:lineRule="auto"/>
      </w:pPr>
      <w:r w:rsidRPr="00816A61">
        <w:t>J</w:t>
      </w:r>
      <w:r>
        <w:t>o</w:t>
      </w:r>
      <w:r w:rsidRPr="00816A61">
        <w:t>hn</w:t>
      </w:r>
      <w:r>
        <w:t>. L.</w:t>
      </w:r>
      <w:r w:rsidRPr="00816A61">
        <w:t xml:space="preserve"> 2005. "</w:t>
      </w:r>
      <w:r w:rsidRPr="00932E09">
        <w:rPr>
          <w:i/>
        </w:rPr>
        <w:t>Xenophon's Anabasis and the Origins of Military Autobiography". Arms and the Self: War, the Military, and Autobiographical Discourse</w:t>
      </w:r>
      <w:r w:rsidRPr="00816A61">
        <w:t>. Kent,</w:t>
      </w:r>
      <w:r>
        <w:t xml:space="preserve"> Ohio</w:t>
      </w:r>
      <w:r w:rsidR="00A04817">
        <w:t>.</w:t>
      </w:r>
      <w:r>
        <w:t xml:space="preserve"> </w:t>
      </w:r>
      <w:r w:rsidRPr="00816A61">
        <w:t>Kent State U</w:t>
      </w:r>
      <w:r>
        <w:t>niversity</w:t>
      </w:r>
      <w:r w:rsidRPr="00816A61">
        <w:t xml:space="preserve"> Press.</w:t>
      </w:r>
    </w:p>
    <w:p w14:paraId="7C43BBD7" w14:textId="4FC3B242" w:rsidR="00E26150" w:rsidRPr="00E26150" w:rsidRDefault="00E26150" w:rsidP="001F463D">
      <w:pPr>
        <w:spacing w:line="480" w:lineRule="auto"/>
      </w:pPr>
      <w:r>
        <w:t xml:space="preserve">Kellogg. D. 2012. </w:t>
      </w:r>
      <w:r>
        <w:rPr>
          <w:i/>
        </w:rPr>
        <w:t xml:space="preserve">Ephoros. </w:t>
      </w:r>
      <w:r>
        <w:t>London. Wiley Online Lib</w:t>
      </w:r>
      <w:r w:rsidR="007C459F">
        <w:t>rary</w:t>
      </w:r>
    </w:p>
    <w:p w14:paraId="3DE4B35F" w14:textId="2C8EE3D1" w:rsidR="00641AB0" w:rsidRDefault="00641AB0" w:rsidP="001F463D">
      <w:pPr>
        <w:spacing w:line="480" w:lineRule="auto"/>
      </w:pPr>
      <w:r>
        <w:t xml:space="preserve">Krentz. P. </w:t>
      </w:r>
      <w:r w:rsidR="00816A61">
        <w:t xml:space="preserve">1985. </w:t>
      </w:r>
      <w:r w:rsidR="00816A61">
        <w:rPr>
          <w:i/>
        </w:rPr>
        <w:t xml:space="preserve">The Nature of Hoplite Battle. </w:t>
      </w:r>
      <w:r w:rsidR="00816A61">
        <w:t>Oakland. University of California Press.</w:t>
      </w:r>
    </w:p>
    <w:p w14:paraId="653BEF6C" w14:textId="77777777" w:rsidR="006D194D" w:rsidRDefault="007C459F" w:rsidP="001F463D">
      <w:pPr>
        <w:tabs>
          <w:tab w:val="right" w:pos="9026"/>
        </w:tabs>
        <w:spacing w:line="480" w:lineRule="auto"/>
      </w:pPr>
      <w:r>
        <w:t xml:space="preserve">Lazenby. J. 1991. </w:t>
      </w:r>
      <w:r>
        <w:rPr>
          <w:i/>
        </w:rPr>
        <w:t xml:space="preserve">The Killing Zone. </w:t>
      </w:r>
      <w:r>
        <w:t>Manchester. Manchester University Press.</w:t>
      </w:r>
    </w:p>
    <w:p w14:paraId="5B811AF6" w14:textId="77777777" w:rsidR="00DE3F54" w:rsidRDefault="006D194D" w:rsidP="001F463D">
      <w:pPr>
        <w:tabs>
          <w:tab w:val="right" w:pos="9026"/>
        </w:tabs>
        <w:spacing w:line="480" w:lineRule="auto"/>
      </w:pPr>
      <w:r>
        <w:t xml:space="preserve">Luginbull. R.D. 1994. </w:t>
      </w:r>
      <w:r w:rsidRPr="006D194D">
        <w:rPr>
          <w:i/>
        </w:rPr>
        <w:t>Othismos: The Importance of the Mass-Shove in Hoplite Warfare</w:t>
      </w:r>
      <w:r>
        <w:rPr>
          <w:i/>
        </w:rPr>
        <w:t xml:space="preserve">. </w:t>
      </w:r>
      <w:r>
        <w:t>Phoenix. Classical Association of Canada</w:t>
      </w:r>
    </w:p>
    <w:p w14:paraId="77778150" w14:textId="60829752" w:rsidR="00FA2CCB" w:rsidRDefault="00DE3F54" w:rsidP="001F463D">
      <w:pPr>
        <w:tabs>
          <w:tab w:val="right" w:pos="9026"/>
        </w:tabs>
        <w:spacing w:line="480" w:lineRule="auto"/>
      </w:pPr>
      <w:r>
        <w:t xml:space="preserve">Marincola. </w:t>
      </w:r>
      <w:r w:rsidR="00C85D35">
        <w:t>J.</w:t>
      </w:r>
      <w:r w:rsidR="007A0592">
        <w:t xml:space="preserve"> 2007.</w:t>
      </w:r>
      <w:r w:rsidR="00C85D35">
        <w:t xml:space="preserve"> </w:t>
      </w:r>
      <w:r w:rsidR="00C85D35" w:rsidRPr="00C85D35">
        <w:rPr>
          <w:i/>
        </w:rPr>
        <w:t>Universal History from Ephorus to Diodorus</w:t>
      </w:r>
      <w:r w:rsidR="00C85D35">
        <w:rPr>
          <w:i/>
        </w:rPr>
        <w:t>.</w:t>
      </w:r>
      <w:r w:rsidR="007A0592">
        <w:t xml:space="preserve"> Hoboken. Blackwell Publishing</w:t>
      </w:r>
      <w:r w:rsidR="00521A26" w:rsidRPr="006D194D">
        <w:rPr>
          <w:i/>
        </w:rPr>
        <w:tab/>
      </w:r>
    </w:p>
    <w:p w14:paraId="1139B163" w14:textId="15CF3ECB" w:rsidR="00521A26" w:rsidRDefault="00521A26" w:rsidP="001F463D">
      <w:pPr>
        <w:spacing w:line="480" w:lineRule="auto"/>
      </w:pPr>
      <w:r>
        <w:t>Matthew.C.A. 2012.</w:t>
      </w:r>
      <w:r>
        <w:rPr>
          <w:i/>
        </w:rPr>
        <w:t xml:space="preserve"> </w:t>
      </w:r>
      <w:r w:rsidRPr="00521A26">
        <w:rPr>
          <w:i/>
        </w:rPr>
        <w:t>A Storm of Spears: Understanding the Greek Hoplite in Action</w:t>
      </w:r>
      <w:r>
        <w:rPr>
          <w:i/>
        </w:rPr>
        <w:t xml:space="preserve">. </w:t>
      </w:r>
      <w:r>
        <w:t>Huddersfield. Pen and Sword Books limited.</w:t>
      </w:r>
    </w:p>
    <w:p w14:paraId="4AA8B269" w14:textId="671E3C40" w:rsidR="007E59FD" w:rsidRDefault="007E59FD" w:rsidP="001F463D">
      <w:pPr>
        <w:spacing w:line="480" w:lineRule="auto"/>
      </w:pPr>
      <w:r>
        <w:lastRenderedPageBreak/>
        <w:t>Pownall. F.</w:t>
      </w:r>
      <w:r w:rsidR="00032403">
        <w:t xml:space="preserve"> 2010</w:t>
      </w:r>
      <w:r>
        <w:t xml:space="preserve"> </w:t>
      </w:r>
      <w:r>
        <w:rPr>
          <w:i/>
        </w:rPr>
        <w:t>Lessons from the past: The Moral use of History in Fourth Century Prose.</w:t>
      </w:r>
      <w:r>
        <w:t xml:space="preserve"> Michigan: University of </w:t>
      </w:r>
      <w:r w:rsidR="00032403">
        <w:t>Michigan press</w:t>
      </w:r>
    </w:p>
    <w:p w14:paraId="657220E1" w14:textId="36D35BF6" w:rsidR="00B13A1C" w:rsidRPr="00B13A1C" w:rsidRDefault="00B13A1C" w:rsidP="001F463D">
      <w:pPr>
        <w:spacing w:line="480" w:lineRule="auto"/>
      </w:pPr>
      <w:r>
        <w:t>Sheridan. B. 2001</w:t>
      </w:r>
      <w:r w:rsidRPr="00B13A1C">
        <w:t xml:space="preserve"> </w:t>
      </w:r>
      <w:r w:rsidRPr="00B13A1C">
        <w:rPr>
          <w:i/>
        </w:rPr>
        <w:t xml:space="preserve">Sicily’s artful Historian: </w:t>
      </w:r>
      <w:r w:rsidRPr="00B13A1C">
        <w:rPr>
          <w:i/>
        </w:rPr>
        <w:t>An investigation into the historical thought and method of Diodorus Siculus’</w:t>
      </w:r>
      <w:r>
        <w:t xml:space="preserve"> Maynooth. National University of Ireland </w:t>
      </w:r>
    </w:p>
    <w:p w14:paraId="525A54C0" w14:textId="22FB6830" w:rsidR="00C605FC" w:rsidRDefault="00A71A29" w:rsidP="001F463D">
      <w:pPr>
        <w:spacing w:line="480" w:lineRule="auto"/>
      </w:pPr>
      <w:r>
        <w:t xml:space="preserve">Sidnell. P. 1991 </w:t>
      </w:r>
      <w:r w:rsidRPr="00A71A29">
        <w:rPr>
          <w:i/>
        </w:rPr>
        <w:t>Warhorse: Cavalry in Ancient Warfare</w:t>
      </w:r>
      <w:r>
        <w:rPr>
          <w:i/>
        </w:rPr>
        <w:t>.</w:t>
      </w:r>
      <w:r>
        <w:t xml:space="preserve"> Londo</w:t>
      </w:r>
      <w:r w:rsidR="00521A26">
        <w:t>n: Continuum</w:t>
      </w:r>
    </w:p>
    <w:p w14:paraId="21D8CEDC" w14:textId="39441FC6" w:rsidR="00D40EFF" w:rsidRPr="00D40EFF" w:rsidRDefault="00D40EFF" w:rsidP="001F463D">
      <w:pPr>
        <w:spacing w:line="480" w:lineRule="auto"/>
      </w:pPr>
      <w:r>
        <w:t xml:space="preserve">Stewart. A. 1990. </w:t>
      </w:r>
      <w:r w:rsidRPr="00D40EFF">
        <w:rPr>
          <w:i/>
        </w:rPr>
        <w:t>One Hundred Greek Sculptors: Their Careers and Extant Works,</w:t>
      </w:r>
      <w:r>
        <w:t xml:space="preserve"> London. Kings College</w:t>
      </w:r>
    </w:p>
    <w:p w14:paraId="4557C158" w14:textId="77777777" w:rsidR="007C459F" w:rsidRPr="007C459F" w:rsidRDefault="007C459F" w:rsidP="001F463D">
      <w:pPr>
        <w:spacing w:line="480" w:lineRule="auto"/>
      </w:pPr>
    </w:p>
    <w:p w14:paraId="7A3C3729" w14:textId="77777777" w:rsidR="009F7075" w:rsidRPr="00A66E26" w:rsidRDefault="009F7075" w:rsidP="00783D94"/>
    <w:sectPr w:rsidR="009F7075" w:rsidRPr="00A66E26">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43309D" w14:textId="77777777" w:rsidR="00C04E20" w:rsidRDefault="00C04E20" w:rsidP="001F5AF7">
      <w:pPr>
        <w:spacing w:after="0" w:line="240" w:lineRule="auto"/>
      </w:pPr>
      <w:r>
        <w:separator/>
      </w:r>
    </w:p>
  </w:endnote>
  <w:endnote w:type="continuationSeparator" w:id="0">
    <w:p w14:paraId="5BC2B54D" w14:textId="77777777" w:rsidR="00C04E20" w:rsidRDefault="00C04E20" w:rsidP="001F5A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781B25" w14:textId="77777777" w:rsidR="00C04E20" w:rsidRDefault="00C04E20" w:rsidP="001F5AF7">
      <w:pPr>
        <w:spacing w:after="0" w:line="240" w:lineRule="auto"/>
      </w:pPr>
      <w:r>
        <w:separator/>
      </w:r>
    </w:p>
  </w:footnote>
  <w:footnote w:type="continuationSeparator" w:id="0">
    <w:p w14:paraId="1BE70DF3" w14:textId="77777777" w:rsidR="00C04E20" w:rsidRDefault="00C04E20" w:rsidP="001F5AF7">
      <w:pPr>
        <w:spacing w:after="0" w:line="240" w:lineRule="auto"/>
      </w:pPr>
      <w:r>
        <w:continuationSeparator/>
      </w:r>
    </w:p>
  </w:footnote>
  <w:footnote w:id="1">
    <w:p w14:paraId="3C911FFD" w14:textId="77777777" w:rsidR="009E12C8" w:rsidRDefault="009E12C8" w:rsidP="009E12C8">
      <w:pPr>
        <w:pStyle w:val="FootnoteText"/>
      </w:pPr>
      <w:r>
        <w:rPr>
          <w:rStyle w:val="FootnoteReference"/>
        </w:rPr>
        <w:footnoteRef/>
      </w:r>
      <w:r>
        <w:t xml:space="preserve"> Krentz 1985. 50. Cawkwell 1978. 151</w:t>
      </w:r>
    </w:p>
  </w:footnote>
  <w:footnote w:id="2">
    <w:p w14:paraId="06325D2E" w14:textId="0F502B22" w:rsidR="009E12C8" w:rsidRDefault="009E12C8">
      <w:pPr>
        <w:pStyle w:val="FootnoteText"/>
      </w:pPr>
      <w:r>
        <w:rPr>
          <w:rStyle w:val="FootnoteReference"/>
        </w:rPr>
        <w:footnoteRef/>
      </w:r>
      <w:r>
        <w:t xml:space="preserve"> </w:t>
      </w:r>
      <w:r>
        <w:t>Lazenby.1991</w:t>
      </w:r>
      <w:r w:rsidR="00964EBE">
        <w:t>.</w:t>
      </w:r>
      <w:r>
        <w:t xml:space="preserve"> 8</w:t>
      </w:r>
    </w:p>
  </w:footnote>
  <w:footnote w:id="3">
    <w:p w14:paraId="4A54183B" w14:textId="065C582C" w:rsidR="00C04E20" w:rsidRDefault="00C04E20">
      <w:pPr>
        <w:pStyle w:val="FootnoteText"/>
      </w:pPr>
      <w:r>
        <w:rPr>
          <w:rStyle w:val="FootnoteReference"/>
        </w:rPr>
        <w:footnoteRef/>
      </w:r>
      <w:r>
        <w:t xml:space="preserve"> Thuc. 4.96.2</w:t>
      </w:r>
    </w:p>
  </w:footnote>
  <w:footnote w:id="4">
    <w:p w14:paraId="63FC1AEF" w14:textId="5F5D138A" w:rsidR="00C04E20" w:rsidRDefault="00C04E20">
      <w:pPr>
        <w:pStyle w:val="FootnoteText"/>
      </w:pPr>
      <w:r>
        <w:rPr>
          <w:rStyle w:val="FootnoteReference"/>
        </w:rPr>
        <w:footnoteRef/>
      </w:r>
      <w:r>
        <w:t xml:space="preserve"> Krentz. 1985. 57</w:t>
      </w:r>
    </w:p>
  </w:footnote>
  <w:footnote w:id="5">
    <w:p w14:paraId="30ADC380" w14:textId="011E0348" w:rsidR="00C04E20" w:rsidRDefault="00C04E20">
      <w:pPr>
        <w:pStyle w:val="FootnoteText"/>
      </w:pPr>
      <w:r>
        <w:rPr>
          <w:rStyle w:val="FootnoteReference"/>
        </w:rPr>
        <w:footnoteRef/>
      </w:r>
      <w:r>
        <w:t xml:space="preserve"> Goldsworthy 1997 5</w:t>
      </w:r>
    </w:p>
  </w:footnote>
  <w:footnote w:id="6">
    <w:p w14:paraId="0A72B341" w14:textId="5380EC25" w:rsidR="00C04E20" w:rsidRDefault="00C04E20">
      <w:pPr>
        <w:pStyle w:val="FootnoteText"/>
      </w:pPr>
      <w:r>
        <w:rPr>
          <w:rStyle w:val="FootnoteReference"/>
        </w:rPr>
        <w:footnoteRef/>
      </w:r>
      <w:r>
        <w:t xml:space="preserve"> Goldsworthy 1997 7</w:t>
      </w:r>
    </w:p>
  </w:footnote>
  <w:footnote w:id="7">
    <w:p w14:paraId="236C9B2B" w14:textId="0284A4EC" w:rsidR="00C04E20" w:rsidRDefault="00C04E20">
      <w:pPr>
        <w:pStyle w:val="FootnoteText"/>
      </w:pPr>
      <w:r>
        <w:rPr>
          <w:rStyle w:val="FootnoteReference"/>
        </w:rPr>
        <w:footnoteRef/>
      </w:r>
      <w:r>
        <w:t xml:space="preserve"> Goldsworthy 1997 25</w:t>
      </w:r>
    </w:p>
  </w:footnote>
  <w:footnote w:id="8">
    <w:p w14:paraId="47C837B1" w14:textId="348A3173" w:rsidR="00C04E20" w:rsidRDefault="00C04E20">
      <w:pPr>
        <w:pStyle w:val="FootnoteText"/>
      </w:pPr>
      <w:r>
        <w:rPr>
          <w:rStyle w:val="FootnoteReference"/>
        </w:rPr>
        <w:footnoteRef/>
      </w:r>
      <w:r>
        <w:t xml:space="preserve"> Goldsworthy 1997 5</w:t>
      </w:r>
    </w:p>
  </w:footnote>
  <w:footnote w:id="9">
    <w:p w14:paraId="061DDFF8" w14:textId="5A368C11" w:rsidR="00DF2AC1" w:rsidRDefault="00DF2AC1">
      <w:pPr>
        <w:pStyle w:val="FootnoteText"/>
      </w:pPr>
      <w:r>
        <w:rPr>
          <w:rStyle w:val="FootnoteReference"/>
        </w:rPr>
        <w:footnoteRef/>
      </w:r>
      <w:r>
        <w:t xml:space="preserve"> Goldsworthy 1997 6</w:t>
      </w:r>
    </w:p>
  </w:footnote>
  <w:footnote w:id="10">
    <w:p w14:paraId="24F6EB3C" w14:textId="77777777" w:rsidR="00C04E20" w:rsidRDefault="00C04E20" w:rsidP="003E60DC">
      <w:pPr>
        <w:pStyle w:val="FootnoteText"/>
      </w:pPr>
      <w:r>
        <w:rPr>
          <w:rStyle w:val="FootnoteReference"/>
        </w:rPr>
        <w:footnoteRef/>
      </w:r>
      <w:r>
        <w:t xml:space="preserve"> Goldsworthy 1997 22</w:t>
      </w:r>
    </w:p>
  </w:footnote>
  <w:footnote w:id="11">
    <w:p w14:paraId="2FAB2DB9" w14:textId="77777777" w:rsidR="00C04E20" w:rsidRDefault="00C04E20" w:rsidP="003E60DC">
      <w:pPr>
        <w:pStyle w:val="FootnoteText"/>
      </w:pPr>
      <w:r>
        <w:rPr>
          <w:rStyle w:val="FootnoteReference"/>
        </w:rPr>
        <w:footnoteRef/>
      </w:r>
      <w:r>
        <w:t xml:space="preserve"> Goldsworthy 1997 22</w:t>
      </w:r>
    </w:p>
  </w:footnote>
  <w:footnote w:id="12">
    <w:p w14:paraId="5505CC47" w14:textId="77777777" w:rsidR="00C04E20" w:rsidRDefault="00C04E20" w:rsidP="003E60DC">
      <w:pPr>
        <w:pStyle w:val="FootnoteText"/>
      </w:pPr>
      <w:r>
        <w:rPr>
          <w:rStyle w:val="FootnoteReference"/>
        </w:rPr>
        <w:footnoteRef/>
      </w:r>
      <w:r>
        <w:t xml:space="preserve"> Xen. Hell. 6.4. 10</w:t>
      </w:r>
    </w:p>
  </w:footnote>
  <w:footnote w:id="13">
    <w:p w14:paraId="5A7A90DD" w14:textId="77777777" w:rsidR="00C04E20" w:rsidRDefault="00C04E20" w:rsidP="003E60DC">
      <w:pPr>
        <w:pStyle w:val="FootnoteText"/>
      </w:pPr>
      <w:r>
        <w:rPr>
          <w:rStyle w:val="FootnoteReference"/>
        </w:rPr>
        <w:footnoteRef/>
      </w:r>
      <w:r>
        <w:t xml:space="preserve"> Xen. Hell. 6.4. 10</w:t>
      </w:r>
    </w:p>
  </w:footnote>
  <w:footnote w:id="14">
    <w:p w14:paraId="2B145CA8" w14:textId="77777777" w:rsidR="00C04E20" w:rsidRDefault="00C04E20" w:rsidP="003E60DC">
      <w:pPr>
        <w:pStyle w:val="FootnoteText"/>
      </w:pPr>
      <w:r>
        <w:rPr>
          <w:rStyle w:val="FootnoteReference"/>
        </w:rPr>
        <w:footnoteRef/>
      </w:r>
      <w:r>
        <w:t xml:space="preserve"> Xen. Hell. 6.4. 13</w:t>
      </w:r>
    </w:p>
  </w:footnote>
  <w:footnote w:id="15">
    <w:p w14:paraId="473361DD" w14:textId="734B13BB" w:rsidR="00C04E20" w:rsidRDefault="00C04E20" w:rsidP="003E60DC">
      <w:pPr>
        <w:pStyle w:val="FootnoteText"/>
      </w:pPr>
      <w:r>
        <w:rPr>
          <w:rStyle w:val="FootnoteReference"/>
        </w:rPr>
        <w:footnoteRef/>
      </w:r>
      <w:r>
        <w:t xml:space="preserve"> Sidnell 2007 63</w:t>
      </w:r>
    </w:p>
  </w:footnote>
  <w:footnote w:id="16">
    <w:p w14:paraId="193E240B" w14:textId="77777777" w:rsidR="00C04E20" w:rsidRDefault="00C04E20" w:rsidP="003E60DC">
      <w:pPr>
        <w:pStyle w:val="FootnoteText"/>
      </w:pPr>
      <w:r>
        <w:rPr>
          <w:rStyle w:val="FootnoteReference"/>
        </w:rPr>
        <w:footnoteRef/>
      </w:r>
      <w:r>
        <w:t xml:space="preserve"> John 2005 50</w:t>
      </w:r>
    </w:p>
  </w:footnote>
  <w:footnote w:id="17">
    <w:p w14:paraId="7FF97BC8" w14:textId="77777777" w:rsidR="00C04E20" w:rsidRDefault="00C04E20" w:rsidP="003E60DC">
      <w:pPr>
        <w:pStyle w:val="FootnoteText"/>
      </w:pPr>
      <w:r>
        <w:rPr>
          <w:rStyle w:val="FootnoteReference"/>
        </w:rPr>
        <w:footnoteRef/>
      </w:r>
      <w:r>
        <w:t xml:space="preserve"> Diod. 15. 55</w:t>
      </w:r>
    </w:p>
  </w:footnote>
  <w:footnote w:id="18">
    <w:p w14:paraId="210E93EE" w14:textId="77777777" w:rsidR="00C04E20" w:rsidRDefault="00C04E20" w:rsidP="003E60DC">
      <w:pPr>
        <w:pStyle w:val="FootnoteText"/>
      </w:pPr>
      <w:r>
        <w:rPr>
          <w:rStyle w:val="FootnoteReference"/>
        </w:rPr>
        <w:footnoteRef/>
      </w:r>
      <w:r>
        <w:t xml:space="preserve"> Pownall 2010 115</w:t>
      </w:r>
    </w:p>
  </w:footnote>
  <w:footnote w:id="19">
    <w:p w14:paraId="474DD712" w14:textId="77777777" w:rsidR="00C04E20" w:rsidRDefault="00C04E20" w:rsidP="003E60DC">
      <w:pPr>
        <w:pStyle w:val="FootnoteText"/>
      </w:pPr>
      <w:r>
        <w:rPr>
          <w:rStyle w:val="FootnoteReference"/>
        </w:rPr>
        <w:footnoteRef/>
      </w:r>
      <w:r>
        <w:t xml:space="preserve"> Din. 1. 73</w:t>
      </w:r>
    </w:p>
  </w:footnote>
  <w:footnote w:id="20">
    <w:p w14:paraId="10409D91" w14:textId="0953A2F4" w:rsidR="00C04E20" w:rsidRDefault="00C04E20" w:rsidP="003E60DC">
      <w:pPr>
        <w:pStyle w:val="FootnoteText"/>
      </w:pPr>
      <w:r>
        <w:rPr>
          <w:rStyle w:val="FootnoteReference"/>
        </w:rPr>
        <w:footnoteRef/>
      </w:r>
      <w:r>
        <w:t xml:space="preserve"> Marincola 20</w:t>
      </w:r>
      <w:r w:rsidR="007A0592">
        <w:t>0</w:t>
      </w:r>
      <w:r>
        <w:t>7 2</w:t>
      </w:r>
    </w:p>
  </w:footnote>
  <w:footnote w:id="21">
    <w:p w14:paraId="19E976DB" w14:textId="77777777" w:rsidR="00C04E20" w:rsidRDefault="00C04E20" w:rsidP="003E60DC">
      <w:pPr>
        <w:pStyle w:val="FootnoteText"/>
      </w:pPr>
      <w:r>
        <w:rPr>
          <w:rStyle w:val="FootnoteReference"/>
        </w:rPr>
        <w:footnoteRef/>
      </w:r>
      <w:r>
        <w:t xml:space="preserve"> Sheridan 2001 2</w:t>
      </w:r>
    </w:p>
  </w:footnote>
  <w:footnote w:id="22">
    <w:p w14:paraId="2C81655C" w14:textId="20FABB8C" w:rsidR="00C04E20" w:rsidRDefault="00C04E20" w:rsidP="003E60DC">
      <w:pPr>
        <w:pStyle w:val="FootnoteText"/>
      </w:pPr>
      <w:r>
        <w:rPr>
          <w:rStyle w:val="FootnoteReference"/>
        </w:rPr>
        <w:footnoteRef/>
      </w:r>
      <w:r>
        <w:t xml:space="preserve"> Kellogg. 2012 70</w:t>
      </w:r>
    </w:p>
  </w:footnote>
  <w:footnote w:id="23">
    <w:p w14:paraId="7B1A3DEE" w14:textId="77777777" w:rsidR="00C04E20" w:rsidRDefault="00C04E20" w:rsidP="003E60DC">
      <w:pPr>
        <w:pStyle w:val="FootnoteText"/>
      </w:pPr>
      <w:r>
        <w:rPr>
          <w:rStyle w:val="FootnoteReference"/>
        </w:rPr>
        <w:footnoteRef/>
      </w:r>
      <w:r>
        <w:t xml:space="preserve"> Sidnell 2007 53</w:t>
      </w:r>
    </w:p>
  </w:footnote>
  <w:footnote w:id="24">
    <w:p w14:paraId="38C6C68D" w14:textId="77777777" w:rsidR="00C04E20" w:rsidRDefault="00C04E20" w:rsidP="003E60DC">
      <w:pPr>
        <w:pStyle w:val="FootnoteText"/>
      </w:pPr>
      <w:r>
        <w:rPr>
          <w:rStyle w:val="FootnoteReference"/>
        </w:rPr>
        <w:footnoteRef/>
      </w:r>
      <w:r>
        <w:t xml:space="preserve"> Plut. Pel. 24. Diod. 15. 55. Xen. Hell. 6.4. 10</w:t>
      </w:r>
    </w:p>
  </w:footnote>
  <w:footnote w:id="25">
    <w:p w14:paraId="3CBBE910" w14:textId="77777777" w:rsidR="00C04E20" w:rsidRDefault="00C04E20" w:rsidP="003E60DC">
      <w:pPr>
        <w:pStyle w:val="FootnoteText"/>
      </w:pPr>
      <w:r>
        <w:rPr>
          <w:rStyle w:val="FootnoteReference"/>
        </w:rPr>
        <w:footnoteRef/>
      </w:r>
      <w:r>
        <w:t xml:space="preserve"> Goldsworthy 1997. 23</w:t>
      </w:r>
    </w:p>
  </w:footnote>
  <w:footnote w:id="26">
    <w:p w14:paraId="303158E8" w14:textId="4984581F" w:rsidR="00C04E20" w:rsidRDefault="00C04E20">
      <w:pPr>
        <w:pStyle w:val="FootnoteText"/>
      </w:pPr>
      <w:r>
        <w:rPr>
          <w:rStyle w:val="FootnoteReference"/>
        </w:rPr>
        <w:footnoteRef/>
      </w:r>
      <w:r>
        <w:t xml:space="preserve"> Xen. Hell. 7.5</w:t>
      </w:r>
    </w:p>
  </w:footnote>
  <w:footnote w:id="27">
    <w:p w14:paraId="77779BF2" w14:textId="627F3422" w:rsidR="00C04E20" w:rsidRDefault="00C04E20">
      <w:pPr>
        <w:pStyle w:val="FootnoteText"/>
      </w:pPr>
      <w:r>
        <w:rPr>
          <w:rStyle w:val="FootnoteReference"/>
        </w:rPr>
        <w:footnoteRef/>
      </w:r>
      <w:r>
        <w:t xml:space="preserve"> Xen Hell. 7.5</w:t>
      </w:r>
    </w:p>
  </w:footnote>
  <w:footnote w:id="28">
    <w:p w14:paraId="124F917D" w14:textId="386DCC45" w:rsidR="00C04E20" w:rsidRDefault="00C04E20">
      <w:pPr>
        <w:pStyle w:val="FootnoteText"/>
      </w:pPr>
      <w:r>
        <w:rPr>
          <w:rStyle w:val="FootnoteReference"/>
        </w:rPr>
        <w:footnoteRef/>
      </w:r>
      <w:r>
        <w:t xml:space="preserve"> Matthew 2012 396</w:t>
      </w:r>
    </w:p>
  </w:footnote>
  <w:footnote w:id="29">
    <w:p w14:paraId="0DA2E31A" w14:textId="62C15FDE" w:rsidR="00C04E20" w:rsidRDefault="00C04E20">
      <w:pPr>
        <w:pStyle w:val="FootnoteText"/>
      </w:pPr>
      <w:r>
        <w:rPr>
          <w:rStyle w:val="FootnoteReference"/>
        </w:rPr>
        <w:footnoteRef/>
      </w:r>
      <w:r>
        <w:t xml:space="preserve"> Xen. Hell. 7.5</w:t>
      </w:r>
    </w:p>
  </w:footnote>
  <w:footnote w:id="30">
    <w:p w14:paraId="13B65F64" w14:textId="57956F5B" w:rsidR="00C04E20" w:rsidRDefault="00C04E20">
      <w:pPr>
        <w:pStyle w:val="FootnoteText"/>
      </w:pPr>
      <w:r>
        <w:rPr>
          <w:rStyle w:val="FootnoteReference"/>
        </w:rPr>
        <w:footnoteRef/>
      </w:r>
      <w:r>
        <w:t xml:space="preserve"> Hornblower 1983 250</w:t>
      </w:r>
    </w:p>
  </w:footnote>
  <w:footnote w:id="31">
    <w:p w14:paraId="3CD4A309" w14:textId="36BA086A" w:rsidR="00C04E20" w:rsidRDefault="00C04E20">
      <w:pPr>
        <w:pStyle w:val="FootnoteText"/>
      </w:pPr>
      <w:r>
        <w:rPr>
          <w:rStyle w:val="FootnoteReference"/>
        </w:rPr>
        <w:footnoteRef/>
      </w:r>
      <w:r>
        <w:t xml:space="preserve"> Hornblower 1983 250</w:t>
      </w:r>
    </w:p>
  </w:footnote>
  <w:footnote w:id="32">
    <w:p w14:paraId="2F73020E" w14:textId="3037FA0C" w:rsidR="00C04E20" w:rsidRDefault="00C04E20">
      <w:pPr>
        <w:pStyle w:val="FootnoteText"/>
      </w:pPr>
      <w:r>
        <w:rPr>
          <w:rStyle w:val="FootnoteReference"/>
        </w:rPr>
        <w:footnoteRef/>
      </w:r>
      <w:r>
        <w:t xml:space="preserve"> Xen. Hell. 7.5</w:t>
      </w:r>
    </w:p>
  </w:footnote>
  <w:footnote w:id="33">
    <w:p w14:paraId="6E59AFAD" w14:textId="22EC499A" w:rsidR="00C04E20" w:rsidRDefault="00C04E20">
      <w:pPr>
        <w:pStyle w:val="FootnoteText"/>
      </w:pPr>
      <w:r>
        <w:rPr>
          <w:rStyle w:val="FootnoteReference"/>
        </w:rPr>
        <w:footnoteRef/>
      </w:r>
      <w:r>
        <w:t xml:space="preserve"> Goldsworthy 1997 8</w:t>
      </w:r>
    </w:p>
  </w:footnote>
  <w:footnote w:id="34">
    <w:p w14:paraId="166D7B63" w14:textId="58600F56" w:rsidR="00C04E20" w:rsidRDefault="00C04E20">
      <w:pPr>
        <w:pStyle w:val="FootnoteText"/>
      </w:pPr>
      <w:r>
        <w:rPr>
          <w:rStyle w:val="FootnoteReference"/>
        </w:rPr>
        <w:footnoteRef/>
      </w:r>
      <w:r>
        <w:t xml:space="preserve"> Thuc. </w:t>
      </w:r>
      <w:r w:rsidR="0036736E">
        <w:t>4.94</w:t>
      </w:r>
    </w:p>
  </w:footnote>
  <w:footnote w:id="35">
    <w:p w14:paraId="067D1F7E" w14:textId="47F4F0D4" w:rsidR="0036736E" w:rsidRDefault="0036736E">
      <w:pPr>
        <w:pStyle w:val="FootnoteText"/>
      </w:pPr>
      <w:r>
        <w:rPr>
          <w:rStyle w:val="FootnoteReference"/>
        </w:rPr>
        <w:footnoteRef/>
      </w:r>
      <w:r>
        <w:t xml:space="preserve"> Thuc. 4.94</w:t>
      </w:r>
    </w:p>
  </w:footnote>
  <w:footnote w:id="36">
    <w:p w14:paraId="1339B363" w14:textId="004E914D" w:rsidR="0036736E" w:rsidRDefault="0036736E">
      <w:pPr>
        <w:pStyle w:val="FootnoteText"/>
      </w:pPr>
      <w:r>
        <w:rPr>
          <w:rStyle w:val="FootnoteReference"/>
        </w:rPr>
        <w:footnoteRef/>
      </w:r>
      <w:r>
        <w:t xml:space="preserve"> Thuc. 4.94</w:t>
      </w:r>
    </w:p>
  </w:footnote>
  <w:footnote w:id="37">
    <w:p w14:paraId="166634E4" w14:textId="53D2E168" w:rsidR="00D313F7" w:rsidRDefault="00D313F7">
      <w:pPr>
        <w:pStyle w:val="FootnoteText"/>
      </w:pPr>
      <w:r>
        <w:rPr>
          <w:rStyle w:val="FootnoteReference"/>
        </w:rPr>
        <w:footnoteRef/>
      </w:r>
      <w:r>
        <w:t xml:space="preserve"> Thuc. 4.94</w:t>
      </w:r>
    </w:p>
  </w:footnote>
  <w:footnote w:id="38">
    <w:p w14:paraId="3669B9C0" w14:textId="6AB44D8F" w:rsidR="006D194D" w:rsidRDefault="006D194D">
      <w:pPr>
        <w:pStyle w:val="FootnoteText"/>
      </w:pPr>
      <w:r>
        <w:rPr>
          <w:rStyle w:val="FootnoteReference"/>
        </w:rPr>
        <w:footnoteRef/>
      </w:r>
      <w:r>
        <w:t xml:space="preserve"> Luginbull 1994. 58</w:t>
      </w:r>
    </w:p>
  </w:footnote>
  <w:footnote w:id="39">
    <w:p w14:paraId="06641151" w14:textId="5EF19733" w:rsidR="00C52904" w:rsidRDefault="00C52904">
      <w:pPr>
        <w:pStyle w:val="FootnoteText"/>
      </w:pPr>
      <w:r>
        <w:rPr>
          <w:rStyle w:val="FootnoteReference"/>
        </w:rPr>
        <w:footnoteRef/>
      </w:r>
      <w:r>
        <w:t xml:space="preserve"> Thuc. 4.95</w:t>
      </w:r>
    </w:p>
  </w:footnote>
  <w:footnote w:id="40">
    <w:p w14:paraId="62EDC7DD" w14:textId="44E330F7" w:rsidR="007D1480" w:rsidRDefault="007D1480">
      <w:pPr>
        <w:pStyle w:val="FootnoteText"/>
      </w:pPr>
      <w:r>
        <w:rPr>
          <w:rStyle w:val="FootnoteReference"/>
        </w:rPr>
        <w:footnoteRef/>
      </w:r>
      <w:r>
        <w:t xml:space="preserve"> Thuc. 4. 96</w:t>
      </w:r>
    </w:p>
  </w:footnote>
  <w:footnote w:id="41">
    <w:p w14:paraId="37D761FE" w14:textId="5D9B1EDA" w:rsidR="00C04E20" w:rsidRDefault="00C04E20">
      <w:pPr>
        <w:pStyle w:val="FootnoteText"/>
      </w:pPr>
      <w:r>
        <w:rPr>
          <w:rStyle w:val="FootnoteReference"/>
        </w:rPr>
        <w:footnoteRef/>
      </w:r>
      <w:r>
        <w:t xml:space="preserve"> Stewart 1990. 1</w:t>
      </w:r>
    </w:p>
  </w:footnote>
  <w:footnote w:id="42">
    <w:p w14:paraId="4B1D0CB4" w14:textId="4E1A8815" w:rsidR="00C04E20" w:rsidRDefault="00C04E20">
      <w:pPr>
        <w:pStyle w:val="FootnoteText"/>
      </w:pPr>
      <w:r>
        <w:rPr>
          <w:rStyle w:val="FootnoteReference"/>
        </w:rPr>
        <w:footnoteRef/>
      </w:r>
      <w:r>
        <w:t xml:space="preserve"> Paus. 9.13.9</w:t>
      </w:r>
    </w:p>
  </w:footnote>
  <w:footnote w:id="43">
    <w:p w14:paraId="7BBD9CDF" w14:textId="16D7EDD4" w:rsidR="00C04E20" w:rsidRDefault="00C04E20">
      <w:pPr>
        <w:pStyle w:val="FootnoteText"/>
      </w:pPr>
      <w:r>
        <w:rPr>
          <w:rStyle w:val="FootnoteReference"/>
        </w:rPr>
        <w:footnoteRef/>
      </w:r>
      <w:r>
        <w:t xml:space="preserve"> Lazenby.1991 8</w:t>
      </w:r>
    </w:p>
  </w:footnote>
  <w:footnote w:id="44">
    <w:p w14:paraId="43D81B12" w14:textId="20EF7A7C" w:rsidR="00C04E20" w:rsidRDefault="00C04E20">
      <w:pPr>
        <w:pStyle w:val="FootnoteText"/>
      </w:pPr>
      <w:r>
        <w:rPr>
          <w:rStyle w:val="FootnoteReference"/>
        </w:rPr>
        <w:footnoteRef/>
      </w:r>
      <w:r>
        <w:t xml:space="preserve"> Anderson 176</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AD168F" w14:textId="3B4C93C2" w:rsidR="00C04E20" w:rsidRDefault="00C04E20">
    <w:pPr>
      <w:pStyle w:val="Header"/>
    </w:pPr>
    <w:r>
      <w:t>T</w:t>
    </w:r>
    <w:r w:rsidRPr="001F5AF7">
      <w:t>he Othismos, Myths and Heresies: The Nature of Hoplite Battle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AF7"/>
    <w:rsid w:val="00004AA4"/>
    <w:rsid w:val="00032403"/>
    <w:rsid w:val="000438EA"/>
    <w:rsid w:val="00070D23"/>
    <w:rsid w:val="00092832"/>
    <w:rsid w:val="000A699D"/>
    <w:rsid w:val="000C1B78"/>
    <w:rsid w:val="000C4115"/>
    <w:rsid w:val="000C73E6"/>
    <w:rsid w:val="000D40BB"/>
    <w:rsid w:val="000D713C"/>
    <w:rsid w:val="000E532C"/>
    <w:rsid w:val="000E5610"/>
    <w:rsid w:val="00144848"/>
    <w:rsid w:val="001531DE"/>
    <w:rsid w:val="0016275E"/>
    <w:rsid w:val="00164265"/>
    <w:rsid w:val="00182640"/>
    <w:rsid w:val="001A4A2C"/>
    <w:rsid w:val="001C1C65"/>
    <w:rsid w:val="001D57AC"/>
    <w:rsid w:val="001F463D"/>
    <w:rsid w:val="001F5AF7"/>
    <w:rsid w:val="0020231B"/>
    <w:rsid w:val="00220C72"/>
    <w:rsid w:val="00221F2F"/>
    <w:rsid w:val="0023411A"/>
    <w:rsid w:val="002501D5"/>
    <w:rsid w:val="00250281"/>
    <w:rsid w:val="0025101B"/>
    <w:rsid w:val="00266F2C"/>
    <w:rsid w:val="00280FD0"/>
    <w:rsid w:val="002A6451"/>
    <w:rsid w:val="002B7111"/>
    <w:rsid w:val="00302EF9"/>
    <w:rsid w:val="003124A8"/>
    <w:rsid w:val="003402C2"/>
    <w:rsid w:val="0035189E"/>
    <w:rsid w:val="0036417E"/>
    <w:rsid w:val="0036736E"/>
    <w:rsid w:val="00372AF2"/>
    <w:rsid w:val="00391011"/>
    <w:rsid w:val="00392182"/>
    <w:rsid w:val="00395634"/>
    <w:rsid w:val="003A2B4A"/>
    <w:rsid w:val="003D1463"/>
    <w:rsid w:val="003D33EA"/>
    <w:rsid w:val="003E60DC"/>
    <w:rsid w:val="004000E1"/>
    <w:rsid w:val="0041024C"/>
    <w:rsid w:val="004115C1"/>
    <w:rsid w:val="004315B1"/>
    <w:rsid w:val="00471957"/>
    <w:rsid w:val="004816E5"/>
    <w:rsid w:val="0048282C"/>
    <w:rsid w:val="00485598"/>
    <w:rsid w:val="004D5878"/>
    <w:rsid w:val="004E5015"/>
    <w:rsid w:val="004F3734"/>
    <w:rsid w:val="00521A26"/>
    <w:rsid w:val="0055280E"/>
    <w:rsid w:val="005617A5"/>
    <w:rsid w:val="00571FDE"/>
    <w:rsid w:val="005917FD"/>
    <w:rsid w:val="005A2840"/>
    <w:rsid w:val="005A5932"/>
    <w:rsid w:val="005B3AE8"/>
    <w:rsid w:val="005D19C9"/>
    <w:rsid w:val="005D3A03"/>
    <w:rsid w:val="005F434D"/>
    <w:rsid w:val="005F55FB"/>
    <w:rsid w:val="00613028"/>
    <w:rsid w:val="00631E00"/>
    <w:rsid w:val="00641AB0"/>
    <w:rsid w:val="00646F92"/>
    <w:rsid w:val="00666CD4"/>
    <w:rsid w:val="006B7A91"/>
    <w:rsid w:val="006D194D"/>
    <w:rsid w:val="006F0250"/>
    <w:rsid w:val="006F7F6A"/>
    <w:rsid w:val="00713859"/>
    <w:rsid w:val="00713E95"/>
    <w:rsid w:val="007226D4"/>
    <w:rsid w:val="00727A3B"/>
    <w:rsid w:val="0073632D"/>
    <w:rsid w:val="007428DD"/>
    <w:rsid w:val="00783D94"/>
    <w:rsid w:val="007A0592"/>
    <w:rsid w:val="007A5046"/>
    <w:rsid w:val="007B2D33"/>
    <w:rsid w:val="007C459F"/>
    <w:rsid w:val="007D1480"/>
    <w:rsid w:val="007E1E82"/>
    <w:rsid w:val="007E59FD"/>
    <w:rsid w:val="007E6D2A"/>
    <w:rsid w:val="00816A61"/>
    <w:rsid w:val="008255E4"/>
    <w:rsid w:val="00842DB5"/>
    <w:rsid w:val="00853148"/>
    <w:rsid w:val="008857BF"/>
    <w:rsid w:val="008B4A4E"/>
    <w:rsid w:val="008D08DA"/>
    <w:rsid w:val="008E2C03"/>
    <w:rsid w:val="008E31FF"/>
    <w:rsid w:val="00926A67"/>
    <w:rsid w:val="00932E09"/>
    <w:rsid w:val="00957EAA"/>
    <w:rsid w:val="00964EBE"/>
    <w:rsid w:val="00967506"/>
    <w:rsid w:val="009A39A6"/>
    <w:rsid w:val="009D0F4D"/>
    <w:rsid w:val="009E12C8"/>
    <w:rsid w:val="009F7075"/>
    <w:rsid w:val="009F7DE2"/>
    <w:rsid w:val="00A04817"/>
    <w:rsid w:val="00A15307"/>
    <w:rsid w:val="00A34C27"/>
    <w:rsid w:val="00A60A9E"/>
    <w:rsid w:val="00A66E26"/>
    <w:rsid w:val="00A71A29"/>
    <w:rsid w:val="00AD296C"/>
    <w:rsid w:val="00AD4D05"/>
    <w:rsid w:val="00B13A1C"/>
    <w:rsid w:val="00B248EF"/>
    <w:rsid w:val="00B661A0"/>
    <w:rsid w:val="00B7485B"/>
    <w:rsid w:val="00B95767"/>
    <w:rsid w:val="00B97311"/>
    <w:rsid w:val="00BB0242"/>
    <w:rsid w:val="00BB5310"/>
    <w:rsid w:val="00BC0662"/>
    <w:rsid w:val="00BF37A1"/>
    <w:rsid w:val="00C010E1"/>
    <w:rsid w:val="00C04E20"/>
    <w:rsid w:val="00C101FF"/>
    <w:rsid w:val="00C33E55"/>
    <w:rsid w:val="00C441A5"/>
    <w:rsid w:val="00C52904"/>
    <w:rsid w:val="00C605FC"/>
    <w:rsid w:val="00C72D42"/>
    <w:rsid w:val="00C74DB2"/>
    <w:rsid w:val="00C85D35"/>
    <w:rsid w:val="00C90C2F"/>
    <w:rsid w:val="00CC47FF"/>
    <w:rsid w:val="00CD1D96"/>
    <w:rsid w:val="00CF04C5"/>
    <w:rsid w:val="00D14D0B"/>
    <w:rsid w:val="00D313F7"/>
    <w:rsid w:val="00D34510"/>
    <w:rsid w:val="00D40EFF"/>
    <w:rsid w:val="00D50D1B"/>
    <w:rsid w:val="00D66E50"/>
    <w:rsid w:val="00D76DC0"/>
    <w:rsid w:val="00DE3F54"/>
    <w:rsid w:val="00DF2AC1"/>
    <w:rsid w:val="00DF59CF"/>
    <w:rsid w:val="00E24AB4"/>
    <w:rsid w:val="00E26150"/>
    <w:rsid w:val="00E37049"/>
    <w:rsid w:val="00E52538"/>
    <w:rsid w:val="00E66A9C"/>
    <w:rsid w:val="00EA66EB"/>
    <w:rsid w:val="00EA7E6B"/>
    <w:rsid w:val="00EB11B4"/>
    <w:rsid w:val="00EB2E50"/>
    <w:rsid w:val="00EC1D7B"/>
    <w:rsid w:val="00ED2E8E"/>
    <w:rsid w:val="00F22750"/>
    <w:rsid w:val="00FA2CCB"/>
    <w:rsid w:val="00FC3638"/>
    <w:rsid w:val="00FE05A1"/>
    <w:rsid w:val="00FE3814"/>
    <w:rsid w:val="00FE6DB0"/>
    <w:rsid w:val="00FE73AD"/>
    <w:rsid w:val="00FF79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E7C8EB"/>
  <w15:chartTrackingRefBased/>
  <w15:docId w15:val="{D3E6DA23-E75D-4253-A7EE-95F72734AE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372A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F5A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F5AF7"/>
  </w:style>
  <w:style w:type="paragraph" w:styleId="Footer">
    <w:name w:val="footer"/>
    <w:basedOn w:val="Normal"/>
    <w:link w:val="FooterChar"/>
    <w:uiPriority w:val="99"/>
    <w:unhideWhenUsed/>
    <w:rsid w:val="001F5A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F5AF7"/>
  </w:style>
  <w:style w:type="paragraph" w:styleId="FootnoteText">
    <w:name w:val="footnote text"/>
    <w:basedOn w:val="Normal"/>
    <w:link w:val="FootnoteTextChar"/>
    <w:uiPriority w:val="99"/>
    <w:semiHidden/>
    <w:unhideWhenUsed/>
    <w:rsid w:val="005917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917FD"/>
    <w:rPr>
      <w:sz w:val="20"/>
      <w:szCs w:val="20"/>
    </w:rPr>
  </w:style>
  <w:style w:type="character" w:styleId="FootnoteReference">
    <w:name w:val="footnote reference"/>
    <w:basedOn w:val="DefaultParagraphFont"/>
    <w:uiPriority w:val="99"/>
    <w:semiHidden/>
    <w:unhideWhenUsed/>
    <w:rsid w:val="005917FD"/>
    <w:rPr>
      <w:vertAlign w:val="superscript"/>
    </w:rPr>
  </w:style>
  <w:style w:type="character" w:styleId="CommentReference">
    <w:name w:val="annotation reference"/>
    <w:basedOn w:val="DefaultParagraphFont"/>
    <w:uiPriority w:val="99"/>
    <w:semiHidden/>
    <w:unhideWhenUsed/>
    <w:rsid w:val="007A5046"/>
    <w:rPr>
      <w:sz w:val="16"/>
      <w:szCs w:val="16"/>
    </w:rPr>
  </w:style>
  <w:style w:type="paragraph" w:styleId="CommentText">
    <w:name w:val="annotation text"/>
    <w:basedOn w:val="Normal"/>
    <w:link w:val="CommentTextChar"/>
    <w:uiPriority w:val="99"/>
    <w:semiHidden/>
    <w:unhideWhenUsed/>
    <w:rsid w:val="007A5046"/>
    <w:pPr>
      <w:spacing w:line="240" w:lineRule="auto"/>
    </w:pPr>
    <w:rPr>
      <w:sz w:val="20"/>
      <w:szCs w:val="20"/>
    </w:rPr>
  </w:style>
  <w:style w:type="character" w:customStyle="1" w:styleId="CommentTextChar">
    <w:name w:val="Comment Text Char"/>
    <w:basedOn w:val="DefaultParagraphFont"/>
    <w:link w:val="CommentText"/>
    <w:uiPriority w:val="99"/>
    <w:semiHidden/>
    <w:rsid w:val="007A5046"/>
    <w:rPr>
      <w:sz w:val="20"/>
      <w:szCs w:val="20"/>
    </w:rPr>
  </w:style>
  <w:style w:type="paragraph" w:styleId="CommentSubject">
    <w:name w:val="annotation subject"/>
    <w:basedOn w:val="CommentText"/>
    <w:next w:val="CommentText"/>
    <w:link w:val="CommentSubjectChar"/>
    <w:uiPriority w:val="99"/>
    <w:semiHidden/>
    <w:unhideWhenUsed/>
    <w:rsid w:val="007A5046"/>
    <w:rPr>
      <w:b/>
      <w:bCs/>
    </w:rPr>
  </w:style>
  <w:style w:type="character" w:customStyle="1" w:styleId="CommentSubjectChar">
    <w:name w:val="Comment Subject Char"/>
    <w:basedOn w:val="CommentTextChar"/>
    <w:link w:val="CommentSubject"/>
    <w:uiPriority w:val="99"/>
    <w:semiHidden/>
    <w:rsid w:val="007A5046"/>
    <w:rPr>
      <w:b/>
      <w:bCs/>
      <w:sz w:val="20"/>
      <w:szCs w:val="20"/>
    </w:rPr>
  </w:style>
  <w:style w:type="paragraph" w:styleId="BalloonText">
    <w:name w:val="Balloon Text"/>
    <w:basedOn w:val="Normal"/>
    <w:link w:val="BalloonTextChar"/>
    <w:uiPriority w:val="99"/>
    <w:semiHidden/>
    <w:unhideWhenUsed/>
    <w:rsid w:val="007A50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A5046"/>
    <w:rPr>
      <w:rFonts w:ascii="Segoe UI" w:hAnsi="Segoe UI" w:cs="Segoe UI"/>
      <w:sz w:val="18"/>
      <w:szCs w:val="18"/>
    </w:rPr>
  </w:style>
  <w:style w:type="character" w:customStyle="1" w:styleId="Heading1Char">
    <w:name w:val="Heading 1 Char"/>
    <w:basedOn w:val="DefaultParagraphFont"/>
    <w:link w:val="Heading1"/>
    <w:uiPriority w:val="9"/>
    <w:rsid w:val="00372AF2"/>
    <w:rPr>
      <w:rFonts w:ascii="Times New Roman" w:eastAsia="Times New Roman" w:hAnsi="Times New Roman" w:cs="Times New Roman"/>
      <w:b/>
      <w:bCs/>
      <w:kern w:val="36"/>
      <w:sz w:val="48"/>
      <w:szCs w:val="48"/>
      <w:lang w:eastAsia="en-GB"/>
    </w:rPr>
  </w:style>
  <w:style w:type="character" w:customStyle="1" w:styleId="nlmsource">
    <w:name w:val="nlm_source"/>
    <w:basedOn w:val="DefaultParagraphFont"/>
    <w:rsid w:val="00372A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8835033">
      <w:bodyDiv w:val="1"/>
      <w:marLeft w:val="0"/>
      <w:marRight w:val="0"/>
      <w:marTop w:val="0"/>
      <w:marBottom w:val="0"/>
      <w:divBdr>
        <w:top w:val="none" w:sz="0" w:space="0" w:color="auto"/>
        <w:left w:val="none" w:sz="0" w:space="0" w:color="auto"/>
        <w:bottom w:val="none" w:sz="0" w:space="0" w:color="auto"/>
        <w:right w:val="none" w:sz="0" w:space="0" w:color="auto"/>
      </w:divBdr>
    </w:div>
    <w:div w:id="796144554">
      <w:bodyDiv w:val="1"/>
      <w:marLeft w:val="0"/>
      <w:marRight w:val="0"/>
      <w:marTop w:val="0"/>
      <w:marBottom w:val="0"/>
      <w:divBdr>
        <w:top w:val="none" w:sz="0" w:space="0" w:color="auto"/>
        <w:left w:val="none" w:sz="0" w:space="0" w:color="auto"/>
        <w:bottom w:val="none" w:sz="0" w:space="0" w:color="auto"/>
        <w:right w:val="none" w:sz="0" w:space="0" w:color="auto"/>
      </w:divBdr>
    </w:div>
    <w:div w:id="799303510">
      <w:bodyDiv w:val="1"/>
      <w:marLeft w:val="0"/>
      <w:marRight w:val="0"/>
      <w:marTop w:val="0"/>
      <w:marBottom w:val="0"/>
      <w:divBdr>
        <w:top w:val="none" w:sz="0" w:space="0" w:color="auto"/>
        <w:left w:val="none" w:sz="0" w:space="0" w:color="auto"/>
        <w:bottom w:val="none" w:sz="0" w:space="0" w:color="auto"/>
        <w:right w:val="none" w:sz="0" w:space="0" w:color="auto"/>
      </w:divBdr>
    </w:div>
    <w:div w:id="1185635836">
      <w:bodyDiv w:val="1"/>
      <w:marLeft w:val="0"/>
      <w:marRight w:val="0"/>
      <w:marTop w:val="0"/>
      <w:marBottom w:val="0"/>
      <w:divBdr>
        <w:top w:val="none" w:sz="0" w:space="0" w:color="auto"/>
        <w:left w:val="none" w:sz="0" w:space="0" w:color="auto"/>
        <w:bottom w:val="none" w:sz="0" w:space="0" w:color="auto"/>
        <w:right w:val="none" w:sz="0" w:space="0" w:color="auto"/>
      </w:divBdr>
      <w:divsChild>
        <w:div w:id="385498199">
          <w:marLeft w:val="0"/>
          <w:marRight w:val="0"/>
          <w:marTop w:val="0"/>
          <w:marBottom w:val="0"/>
          <w:divBdr>
            <w:top w:val="none" w:sz="0" w:space="0" w:color="auto"/>
            <w:left w:val="none" w:sz="0" w:space="0" w:color="auto"/>
            <w:bottom w:val="none" w:sz="0" w:space="0" w:color="auto"/>
            <w:right w:val="none" w:sz="0" w:space="0" w:color="auto"/>
          </w:divBdr>
          <w:divsChild>
            <w:div w:id="316805499">
              <w:marLeft w:val="0"/>
              <w:marRight w:val="0"/>
              <w:marTop w:val="0"/>
              <w:marBottom w:val="0"/>
              <w:divBdr>
                <w:top w:val="none" w:sz="0" w:space="0" w:color="auto"/>
                <w:left w:val="none" w:sz="0" w:space="0" w:color="auto"/>
                <w:bottom w:val="none" w:sz="0" w:space="0" w:color="auto"/>
                <w:right w:val="none" w:sz="0" w:space="0" w:color="auto"/>
              </w:divBdr>
              <w:divsChild>
                <w:div w:id="1553997433">
                  <w:marLeft w:val="0"/>
                  <w:marRight w:val="0"/>
                  <w:marTop w:val="300"/>
                  <w:marBottom w:val="0"/>
                  <w:divBdr>
                    <w:top w:val="none" w:sz="0" w:space="0" w:color="auto"/>
                    <w:left w:val="none" w:sz="0" w:space="0" w:color="auto"/>
                    <w:bottom w:val="none" w:sz="0" w:space="0" w:color="auto"/>
                    <w:right w:val="none" w:sz="0" w:space="0" w:color="auto"/>
                  </w:divBdr>
                </w:div>
              </w:divsChild>
            </w:div>
            <w:div w:id="597720309">
              <w:marLeft w:val="0"/>
              <w:marRight w:val="0"/>
              <w:marTop w:val="720"/>
              <w:marBottom w:val="120"/>
              <w:divBdr>
                <w:top w:val="none" w:sz="0" w:space="0" w:color="auto"/>
                <w:left w:val="none" w:sz="0" w:space="0" w:color="auto"/>
                <w:bottom w:val="none" w:sz="0" w:space="0" w:color="auto"/>
                <w:right w:val="none" w:sz="0" w:space="0" w:color="auto"/>
              </w:divBdr>
            </w:div>
            <w:div w:id="788939551">
              <w:marLeft w:val="0"/>
              <w:marRight w:val="0"/>
              <w:marTop w:val="480"/>
              <w:marBottom w:val="120"/>
              <w:divBdr>
                <w:top w:val="none" w:sz="0" w:space="0" w:color="auto"/>
                <w:left w:val="none" w:sz="0" w:space="0" w:color="auto"/>
                <w:bottom w:val="none" w:sz="0" w:space="0" w:color="auto"/>
                <w:right w:val="none" w:sz="0" w:space="0" w:color="auto"/>
              </w:divBdr>
            </w:div>
          </w:divsChild>
        </w:div>
        <w:div w:id="657612265">
          <w:marLeft w:val="0"/>
          <w:marRight w:val="0"/>
          <w:marTop w:val="0"/>
          <w:marBottom w:val="0"/>
          <w:divBdr>
            <w:top w:val="none" w:sz="0" w:space="0" w:color="auto"/>
            <w:left w:val="none" w:sz="0" w:space="0" w:color="auto"/>
            <w:bottom w:val="none" w:sz="0" w:space="0" w:color="auto"/>
            <w:right w:val="none" w:sz="0" w:space="0" w:color="auto"/>
          </w:divBdr>
          <w:divsChild>
            <w:div w:id="173855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387418">
      <w:bodyDiv w:val="1"/>
      <w:marLeft w:val="0"/>
      <w:marRight w:val="0"/>
      <w:marTop w:val="0"/>
      <w:marBottom w:val="0"/>
      <w:divBdr>
        <w:top w:val="none" w:sz="0" w:space="0" w:color="auto"/>
        <w:left w:val="none" w:sz="0" w:space="0" w:color="auto"/>
        <w:bottom w:val="none" w:sz="0" w:space="0" w:color="auto"/>
        <w:right w:val="none" w:sz="0" w:space="0" w:color="auto"/>
      </w:divBdr>
    </w:div>
    <w:div w:id="1666938067">
      <w:bodyDiv w:val="1"/>
      <w:marLeft w:val="0"/>
      <w:marRight w:val="0"/>
      <w:marTop w:val="0"/>
      <w:marBottom w:val="0"/>
      <w:divBdr>
        <w:top w:val="none" w:sz="0" w:space="0" w:color="auto"/>
        <w:left w:val="none" w:sz="0" w:space="0" w:color="auto"/>
        <w:bottom w:val="none" w:sz="0" w:space="0" w:color="auto"/>
        <w:right w:val="none" w:sz="0" w:space="0" w:color="auto"/>
      </w:divBdr>
    </w:div>
    <w:div w:id="19756778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185859-1D7F-48A4-91BF-593E5A934F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10</Pages>
  <Words>2833</Words>
  <Characters>14573</Characters>
  <Application>Microsoft Office Word</Application>
  <DocSecurity>0</DocSecurity>
  <Lines>194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Raybould</dc:creator>
  <cp:keywords/>
  <dc:description/>
  <cp:lastModifiedBy>Liam Raybould</cp:lastModifiedBy>
  <cp:revision>7</cp:revision>
  <dcterms:created xsi:type="dcterms:W3CDTF">2018-03-22T19:20:00Z</dcterms:created>
  <dcterms:modified xsi:type="dcterms:W3CDTF">2018-03-22T19:42:00Z</dcterms:modified>
</cp:coreProperties>
</file>