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47D16D" w14:textId="77777777" w:rsidR="00530E16" w:rsidRDefault="004468F8" w:rsidP="007D40F0">
      <w:pPr>
        <w:pBdr>
          <w:top w:val="nil"/>
          <w:left w:val="nil"/>
          <w:bottom w:val="nil"/>
          <w:right w:val="nil"/>
          <w:between w:val="nil"/>
        </w:pBdr>
        <w:spacing w:after="0" w:line="240" w:lineRule="auto"/>
        <w:jc w:val="both"/>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6A072658" wp14:editId="2F56F27C">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E08CA33"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05EFD4D0"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6A072658" id="Group 1" o:spid="_x0000_s1026" style="position:absolute;left:0;text-align:left;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5E08CA33"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05EFD4D0"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35A143D5" wp14:editId="06B4127B">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630C1B3E"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27DF8AE"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35A143D5" id="Rectangle 35" o:spid="_x0000_s1055" style="position:absolute;left:0;text-align:left;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630C1B3E"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27DF8AE"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3F3A16BE" w14:textId="77777777" w:rsidR="00530E16" w:rsidRDefault="004468F8" w:rsidP="007D40F0">
      <w:pPr>
        <w:jc w:val="both"/>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4535B2D4" wp14:editId="381A470F">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204EA822" w14:textId="77777777" w:rsidR="00530E16" w:rsidRDefault="004468F8">
                            <w:pPr>
                              <w:spacing w:after="0" w:line="240" w:lineRule="auto"/>
                              <w:textDirection w:val="btLr"/>
                            </w:pPr>
                            <w:r>
                              <w:rPr>
                                <w:rFonts w:ascii="Play" w:eastAsia="Play" w:hAnsi="Play" w:cs="Play"/>
                                <w:color w:val="262626"/>
                                <w:sz w:val="72"/>
                              </w:rPr>
                              <w:t>Individual Report</w:t>
                            </w:r>
                          </w:p>
                          <w:p w14:paraId="0494E2D1" w14:textId="77777777" w:rsidR="00530E16" w:rsidRDefault="004468F8">
                            <w:pPr>
                              <w:spacing w:before="120" w:line="277" w:lineRule="auto"/>
                              <w:textDirection w:val="btLr"/>
                            </w:pPr>
                            <w:r>
                              <w:rPr>
                                <w:color w:val="404040"/>
                                <w:sz w:val="36"/>
                              </w:rPr>
                              <w:t>Module Name: Digital Skills and Research Methods</w:t>
                            </w:r>
                          </w:p>
                          <w:p w14:paraId="5ECE23D2" w14:textId="77777777" w:rsidR="00530E16" w:rsidRDefault="004468F8">
                            <w:pPr>
                              <w:spacing w:before="120" w:line="277" w:lineRule="auto"/>
                              <w:textDirection w:val="btLr"/>
                            </w:pPr>
                            <w:r>
                              <w:rPr>
                                <w:color w:val="404040"/>
                                <w:sz w:val="36"/>
                              </w:rPr>
                              <w:t>Module Code: LCHS 4007</w:t>
                            </w:r>
                          </w:p>
                          <w:p w14:paraId="25411C76" w14:textId="017BEBAC" w:rsidR="00530E16" w:rsidRPr="0023667B" w:rsidRDefault="004468F8">
                            <w:pPr>
                              <w:spacing w:before="120" w:line="277" w:lineRule="auto"/>
                              <w:textDirection w:val="btLr"/>
                            </w:pPr>
                            <w:r>
                              <w:rPr>
                                <w:color w:val="404040"/>
                                <w:sz w:val="36"/>
                              </w:rPr>
                              <w:t xml:space="preserve">Student name: </w:t>
                            </w:r>
                            <w:r w:rsidR="0023667B" w:rsidRPr="0023667B">
                              <w:rPr>
                                <w:color w:val="404040"/>
                                <w:sz w:val="36"/>
                              </w:rPr>
                              <w:t>Kateryna Churaieva</w:t>
                            </w:r>
                          </w:p>
                          <w:p w14:paraId="4DEDA74B" w14:textId="7C630972" w:rsidR="00530E16" w:rsidRDefault="004468F8">
                            <w:pPr>
                              <w:spacing w:before="120" w:line="277" w:lineRule="auto"/>
                              <w:textDirection w:val="btLr"/>
                            </w:pPr>
                            <w:r>
                              <w:rPr>
                                <w:color w:val="404040"/>
                                <w:sz w:val="36"/>
                              </w:rPr>
                              <w:t>Student ID:</w:t>
                            </w:r>
                            <w:r w:rsidR="0023667B">
                              <w:rPr>
                                <w:color w:val="404040"/>
                                <w:sz w:val="36"/>
                              </w:rPr>
                              <w:t xml:space="preserve"> 2532697</w:t>
                            </w:r>
                          </w:p>
                          <w:p w14:paraId="3137CC94" w14:textId="376B04D8" w:rsidR="00530E16" w:rsidRDefault="004468F8">
                            <w:pPr>
                              <w:spacing w:before="120" w:line="277" w:lineRule="auto"/>
                              <w:textDirection w:val="btLr"/>
                            </w:pPr>
                            <w:r>
                              <w:rPr>
                                <w:color w:val="404040"/>
                                <w:sz w:val="36"/>
                              </w:rPr>
                              <w:t xml:space="preserve">Lecturer’s Name: </w:t>
                            </w:r>
                            <w:r w:rsidR="0023667B" w:rsidRPr="0023667B">
                              <w:rPr>
                                <w:color w:val="404040"/>
                                <w:sz w:val="36"/>
                              </w:rPr>
                              <w:t>Kwame Assa-Agyei</w:t>
                            </w:r>
                          </w:p>
                        </w:txbxContent>
                      </wps:txbx>
                      <wps:bodyPr spcFirstLastPara="1" wrap="square" lIns="0" tIns="0" rIns="0" bIns="0" anchor="t" anchorCtr="0">
                        <a:noAutofit/>
                      </wps:bodyPr>
                    </wps:wsp>
                  </a:graphicData>
                </a:graphic>
              </wp:anchor>
            </w:drawing>
          </mc:Choice>
          <mc:Fallback>
            <w:pict>
              <v:rect w14:anchorId="4535B2D4" id="Rectangle 33" o:spid="_x0000_s1056" style="position:absolute;left:0;text-align:left;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204EA822" w14:textId="77777777" w:rsidR="00530E16" w:rsidRDefault="004468F8">
                      <w:pPr>
                        <w:spacing w:after="0" w:line="240" w:lineRule="auto"/>
                        <w:textDirection w:val="btLr"/>
                      </w:pPr>
                      <w:r>
                        <w:rPr>
                          <w:rFonts w:ascii="Play" w:eastAsia="Play" w:hAnsi="Play" w:cs="Play"/>
                          <w:color w:val="262626"/>
                          <w:sz w:val="72"/>
                        </w:rPr>
                        <w:t>Individual Report</w:t>
                      </w:r>
                    </w:p>
                    <w:p w14:paraId="0494E2D1" w14:textId="77777777" w:rsidR="00530E16" w:rsidRDefault="004468F8">
                      <w:pPr>
                        <w:spacing w:before="120" w:line="277" w:lineRule="auto"/>
                        <w:textDirection w:val="btLr"/>
                      </w:pPr>
                      <w:r>
                        <w:rPr>
                          <w:color w:val="404040"/>
                          <w:sz w:val="36"/>
                        </w:rPr>
                        <w:t>Module Name: Digital Skills and Research Methods</w:t>
                      </w:r>
                    </w:p>
                    <w:p w14:paraId="5ECE23D2" w14:textId="77777777" w:rsidR="00530E16" w:rsidRDefault="004468F8">
                      <w:pPr>
                        <w:spacing w:before="120" w:line="277" w:lineRule="auto"/>
                        <w:textDirection w:val="btLr"/>
                      </w:pPr>
                      <w:r>
                        <w:rPr>
                          <w:color w:val="404040"/>
                          <w:sz w:val="36"/>
                        </w:rPr>
                        <w:t>Module Code: LCHS 4007</w:t>
                      </w:r>
                    </w:p>
                    <w:p w14:paraId="25411C76" w14:textId="017BEBAC" w:rsidR="00530E16" w:rsidRPr="0023667B" w:rsidRDefault="004468F8">
                      <w:pPr>
                        <w:spacing w:before="120" w:line="277" w:lineRule="auto"/>
                        <w:textDirection w:val="btLr"/>
                      </w:pPr>
                      <w:r>
                        <w:rPr>
                          <w:color w:val="404040"/>
                          <w:sz w:val="36"/>
                        </w:rPr>
                        <w:t xml:space="preserve">Student name: </w:t>
                      </w:r>
                      <w:r w:rsidR="0023667B" w:rsidRPr="0023667B">
                        <w:rPr>
                          <w:color w:val="404040"/>
                          <w:sz w:val="36"/>
                        </w:rPr>
                        <w:t>Kateryna Churaieva</w:t>
                      </w:r>
                    </w:p>
                    <w:p w14:paraId="4DEDA74B" w14:textId="7C630972" w:rsidR="00530E16" w:rsidRDefault="004468F8">
                      <w:pPr>
                        <w:spacing w:before="120" w:line="277" w:lineRule="auto"/>
                        <w:textDirection w:val="btLr"/>
                      </w:pPr>
                      <w:r>
                        <w:rPr>
                          <w:color w:val="404040"/>
                          <w:sz w:val="36"/>
                        </w:rPr>
                        <w:t>Student ID:</w:t>
                      </w:r>
                      <w:r w:rsidR="0023667B">
                        <w:rPr>
                          <w:color w:val="404040"/>
                          <w:sz w:val="36"/>
                        </w:rPr>
                        <w:t xml:space="preserve"> 2532697</w:t>
                      </w:r>
                    </w:p>
                    <w:p w14:paraId="3137CC94" w14:textId="376B04D8" w:rsidR="00530E16" w:rsidRDefault="004468F8">
                      <w:pPr>
                        <w:spacing w:before="120" w:line="277" w:lineRule="auto"/>
                        <w:textDirection w:val="btLr"/>
                      </w:pPr>
                      <w:r>
                        <w:rPr>
                          <w:color w:val="404040"/>
                          <w:sz w:val="36"/>
                        </w:rPr>
                        <w:t xml:space="preserve">Lecturer’s Name: </w:t>
                      </w:r>
                      <w:r w:rsidR="0023667B" w:rsidRPr="0023667B">
                        <w:rPr>
                          <w:color w:val="404040"/>
                          <w:sz w:val="36"/>
                        </w:rPr>
                        <w:t>Kwame Assa-Agyei</w:t>
                      </w:r>
                    </w:p>
                  </w:txbxContent>
                </v:textbox>
                <w10:wrap anchorx="page" anchory="page"/>
              </v:rect>
            </w:pict>
          </mc:Fallback>
        </mc:AlternateContent>
      </w:r>
      <w:r>
        <w:br w:type="page"/>
      </w:r>
    </w:p>
    <w:p w14:paraId="32875030" w14:textId="77777777" w:rsidR="00530E16" w:rsidRDefault="00530E16" w:rsidP="007D40F0">
      <w:pPr>
        <w:jc w:val="both"/>
        <w:rPr>
          <w:rFonts w:ascii="Arial" w:eastAsia="Arial" w:hAnsi="Arial" w:cs="Arial"/>
        </w:rPr>
      </w:pPr>
    </w:p>
    <w:p w14:paraId="0C1C2120" w14:textId="77777777" w:rsidR="00530E16" w:rsidRDefault="004468F8" w:rsidP="007D40F0">
      <w:pPr>
        <w:keepNext/>
        <w:keepLines/>
        <w:pBdr>
          <w:top w:val="nil"/>
          <w:left w:val="nil"/>
          <w:bottom w:val="nil"/>
          <w:right w:val="nil"/>
          <w:between w:val="nil"/>
        </w:pBdr>
        <w:spacing w:before="240" w:after="0" w:line="259" w:lineRule="auto"/>
        <w:jc w:val="both"/>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2E2F7A61" w14:textId="4C378729" w:rsidR="00432D05" w:rsidRDefault="004468F8" w:rsidP="007D40F0">
          <w:pPr>
            <w:pStyle w:val="TOC1"/>
            <w:tabs>
              <w:tab w:val="right" w:leader="dot" w:pos="9016"/>
            </w:tabs>
            <w:jc w:val="both"/>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2611E6">
              <w:rPr>
                <w:noProof/>
                <w:webHidden/>
              </w:rPr>
              <w:t>2</w:t>
            </w:r>
            <w:r w:rsidR="00432D05">
              <w:rPr>
                <w:noProof/>
                <w:webHidden/>
              </w:rPr>
              <w:fldChar w:fldCharType="end"/>
            </w:r>
          </w:hyperlink>
        </w:p>
        <w:p w14:paraId="6E76A617" w14:textId="5060B5FB" w:rsidR="00432D05" w:rsidRDefault="00432D05" w:rsidP="007D40F0">
          <w:pPr>
            <w:pStyle w:val="TOC1"/>
            <w:tabs>
              <w:tab w:val="right" w:leader="dot" w:pos="9016"/>
            </w:tabs>
            <w:jc w:val="both"/>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sidR="002611E6">
              <w:rPr>
                <w:noProof/>
                <w:webHidden/>
              </w:rPr>
              <w:t>2</w:t>
            </w:r>
            <w:r>
              <w:rPr>
                <w:noProof/>
                <w:webHidden/>
              </w:rPr>
              <w:fldChar w:fldCharType="end"/>
            </w:r>
          </w:hyperlink>
        </w:p>
        <w:p w14:paraId="58CEABCD" w14:textId="05573E78" w:rsidR="00432D05" w:rsidRDefault="00432D05" w:rsidP="007D40F0">
          <w:pPr>
            <w:pStyle w:val="TOC2"/>
            <w:tabs>
              <w:tab w:val="right" w:leader="dot" w:pos="9016"/>
            </w:tabs>
            <w:jc w:val="both"/>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sidR="002611E6">
              <w:rPr>
                <w:noProof/>
                <w:webHidden/>
              </w:rPr>
              <w:t>2</w:t>
            </w:r>
            <w:r>
              <w:rPr>
                <w:noProof/>
                <w:webHidden/>
              </w:rPr>
              <w:fldChar w:fldCharType="end"/>
            </w:r>
          </w:hyperlink>
        </w:p>
        <w:p w14:paraId="0BA1C399" w14:textId="602F9CCE" w:rsidR="00432D05" w:rsidRDefault="00432D05" w:rsidP="007D40F0">
          <w:pPr>
            <w:pStyle w:val="TOC2"/>
            <w:tabs>
              <w:tab w:val="right" w:leader="dot" w:pos="9016"/>
            </w:tabs>
            <w:jc w:val="both"/>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sidR="002611E6">
              <w:rPr>
                <w:noProof/>
                <w:webHidden/>
              </w:rPr>
              <w:t>3</w:t>
            </w:r>
            <w:r>
              <w:rPr>
                <w:noProof/>
                <w:webHidden/>
              </w:rPr>
              <w:fldChar w:fldCharType="end"/>
            </w:r>
          </w:hyperlink>
        </w:p>
        <w:p w14:paraId="57D97C2D" w14:textId="06F19202" w:rsidR="00432D05" w:rsidRDefault="00432D05" w:rsidP="007D40F0">
          <w:pPr>
            <w:pStyle w:val="TOC1"/>
            <w:tabs>
              <w:tab w:val="right" w:leader="dot" w:pos="9016"/>
            </w:tabs>
            <w:jc w:val="both"/>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sidR="002611E6">
              <w:rPr>
                <w:noProof/>
                <w:webHidden/>
              </w:rPr>
              <w:t>3</w:t>
            </w:r>
            <w:r>
              <w:rPr>
                <w:noProof/>
                <w:webHidden/>
              </w:rPr>
              <w:fldChar w:fldCharType="end"/>
            </w:r>
          </w:hyperlink>
        </w:p>
        <w:p w14:paraId="4D7DC202" w14:textId="14B99BCB" w:rsidR="00432D05" w:rsidRDefault="00432D05" w:rsidP="007D40F0">
          <w:pPr>
            <w:pStyle w:val="TOC2"/>
            <w:tabs>
              <w:tab w:val="right" w:leader="dot" w:pos="9016"/>
            </w:tabs>
            <w:jc w:val="both"/>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sidR="002611E6">
              <w:rPr>
                <w:noProof/>
                <w:webHidden/>
              </w:rPr>
              <w:t>3</w:t>
            </w:r>
            <w:r>
              <w:rPr>
                <w:noProof/>
                <w:webHidden/>
              </w:rPr>
              <w:fldChar w:fldCharType="end"/>
            </w:r>
          </w:hyperlink>
        </w:p>
        <w:p w14:paraId="6C88A3A3" w14:textId="540A40CA" w:rsidR="00432D05" w:rsidRDefault="00432D05" w:rsidP="007D40F0">
          <w:pPr>
            <w:pStyle w:val="TOC2"/>
            <w:tabs>
              <w:tab w:val="right" w:leader="dot" w:pos="9016"/>
            </w:tabs>
            <w:jc w:val="both"/>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sidR="002611E6">
              <w:rPr>
                <w:noProof/>
                <w:webHidden/>
              </w:rPr>
              <w:t>4</w:t>
            </w:r>
            <w:r>
              <w:rPr>
                <w:noProof/>
                <w:webHidden/>
              </w:rPr>
              <w:fldChar w:fldCharType="end"/>
            </w:r>
          </w:hyperlink>
        </w:p>
        <w:p w14:paraId="50FA870B" w14:textId="2FD3864A" w:rsidR="00432D05" w:rsidRDefault="00432D05" w:rsidP="007D40F0">
          <w:pPr>
            <w:pStyle w:val="TOC2"/>
            <w:tabs>
              <w:tab w:val="right" w:leader="dot" w:pos="9016"/>
            </w:tabs>
            <w:jc w:val="both"/>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sidR="002611E6">
              <w:rPr>
                <w:noProof/>
                <w:webHidden/>
              </w:rPr>
              <w:t>4</w:t>
            </w:r>
            <w:r>
              <w:rPr>
                <w:noProof/>
                <w:webHidden/>
              </w:rPr>
              <w:fldChar w:fldCharType="end"/>
            </w:r>
          </w:hyperlink>
        </w:p>
        <w:p w14:paraId="361BA151" w14:textId="3257670D" w:rsidR="00432D05" w:rsidRDefault="00432D05" w:rsidP="007D40F0">
          <w:pPr>
            <w:pStyle w:val="TOC2"/>
            <w:tabs>
              <w:tab w:val="right" w:leader="dot" w:pos="9016"/>
            </w:tabs>
            <w:jc w:val="both"/>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sidR="002611E6">
              <w:rPr>
                <w:noProof/>
                <w:webHidden/>
              </w:rPr>
              <w:t>5</w:t>
            </w:r>
            <w:r>
              <w:rPr>
                <w:noProof/>
                <w:webHidden/>
              </w:rPr>
              <w:fldChar w:fldCharType="end"/>
            </w:r>
          </w:hyperlink>
        </w:p>
        <w:p w14:paraId="5D085E9D" w14:textId="0772ACA1" w:rsidR="00432D05" w:rsidRDefault="00432D05" w:rsidP="007D40F0">
          <w:pPr>
            <w:pStyle w:val="TOC1"/>
            <w:tabs>
              <w:tab w:val="right" w:leader="dot" w:pos="9016"/>
            </w:tabs>
            <w:jc w:val="both"/>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sidR="002611E6">
              <w:rPr>
                <w:noProof/>
                <w:webHidden/>
              </w:rPr>
              <w:t>5</w:t>
            </w:r>
            <w:r>
              <w:rPr>
                <w:noProof/>
                <w:webHidden/>
              </w:rPr>
              <w:fldChar w:fldCharType="end"/>
            </w:r>
          </w:hyperlink>
        </w:p>
        <w:p w14:paraId="2522A419" w14:textId="42EF9F2A" w:rsidR="00432D05" w:rsidRDefault="00432D05" w:rsidP="007D40F0">
          <w:pPr>
            <w:pStyle w:val="TOC2"/>
            <w:tabs>
              <w:tab w:val="right" w:leader="dot" w:pos="9016"/>
            </w:tabs>
            <w:jc w:val="both"/>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sidR="002611E6">
              <w:rPr>
                <w:noProof/>
                <w:webHidden/>
              </w:rPr>
              <w:t>5</w:t>
            </w:r>
            <w:r>
              <w:rPr>
                <w:noProof/>
                <w:webHidden/>
              </w:rPr>
              <w:fldChar w:fldCharType="end"/>
            </w:r>
          </w:hyperlink>
        </w:p>
        <w:p w14:paraId="3CFE1E9C" w14:textId="5F6E9FBC" w:rsidR="00432D05" w:rsidRDefault="00432D05" w:rsidP="007D40F0">
          <w:pPr>
            <w:pStyle w:val="TOC2"/>
            <w:tabs>
              <w:tab w:val="right" w:leader="dot" w:pos="9016"/>
            </w:tabs>
            <w:jc w:val="both"/>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sidR="002611E6">
              <w:rPr>
                <w:noProof/>
                <w:webHidden/>
              </w:rPr>
              <w:t>6</w:t>
            </w:r>
            <w:r>
              <w:rPr>
                <w:noProof/>
                <w:webHidden/>
              </w:rPr>
              <w:fldChar w:fldCharType="end"/>
            </w:r>
          </w:hyperlink>
        </w:p>
        <w:p w14:paraId="7BE9241B" w14:textId="4EA46123" w:rsidR="00432D05" w:rsidRDefault="00432D05" w:rsidP="007D40F0">
          <w:pPr>
            <w:pStyle w:val="TOC1"/>
            <w:tabs>
              <w:tab w:val="right" w:leader="dot" w:pos="9016"/>
            </w:tabs>
            <w:jc w:val="both"/>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sidR="002611E6">
              <w:rPr>
                <w:noProof/>
                <w:webHidden/>
              </w:rPr>
              <w:t>6</w:t>
            </w:r>
            <w:r>
              <w:rPr>
                <w:noProof/>
                <w:webHidden/>
              </w:rPr>
              <w:fldChar w:fldCharType="end"/>
            </w:r>
          </w:hyperlink>
        </w:p>
        <w:p w14:paraId="3A1B0D0E" w14:textId="1D561334" w:rsidR="00432D05" w:rsidRDefault="00432D05" w:rsidP="007D40F0">
          <w:pPr>
            <w:pStyle w:val="TOC2"/>
            <w:tabs>
              <w:tab w:val="right" w:leader="dot" w:pos="9016"/>
            </w:tabs>
            <w:jc w:val="both"/>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sidR="002611E6">
              <w:rPr>
                <w:noProof/>
                <w:webHidden/>
              </w:rPr>
              <w:t>6</w:t>
            </w:r>
            <w:r>
              <w:rPr>
                <w:noProof/>
                <w:webHidden/>
              </w:rPr>
              <w:fldChar w:fldCharType="end"/>
            </w:r>
          </w:hyperlink>
        </w:p>
        <w:p w14:paraId="3AD0A5A2" w14:textId="4101749C" w:rsidR="00432D05" w:rsidRDefault="00432D05" w:rsidP="007D40F0">
          <w:pPr>
            <w:pStyle w:val="TOC2"/>
            <w:tabs>
              <w:tab w:val="right" w:leader="dot" w:pos="9016"/>
            </w:tabs>
            <w:jc w:val="both"/>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sidR="002611E6">
              <w:rPr>
                <w:noProof/>
                <w:webHidden/>
              </w:rPr>
              <w:t>6</w:t>
            </w:r>
            <w:r>
              <w:rPr>
                <w:noProof/>
                <w:webHidden/>
              </w:rPr>
              <w:fldChar w:fldCharType="end"/>
            </w:r>
          </w:hyperlink>
        </w:p>
        <w:p w14:paraId="716EFFA1" w14:textId="00295F37" w:rsidR="00432D05" w:rsidRDefault="00432D05" w:rsidP="007D40F0">
          <w:pPr>
            <w:pStyle w:val="TOC2"/>
            <w:tabs>
              <w:tab w:val="right" w:leader="dot" w:pos="9016"/>
            </w:tabs>
            <w:jc w:val="both"/>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sidR="002611E6">
              <w:rPr>
                <w:noProof/>
                <w:webHidden/>
              </w:rPr>
              <w:t>7</w:t>
            </w:r>
            <w:r>
              <w:rPr>
                <w:noProof/>
                <w:webHidden/>
              </w:rPr>
              <w:fldChar w:fldCharType="end"/>
            </w:r>
          </w:hyperlink>
        </w:p>
        <w:p w14:paraId="4A51C424" w14:textId="19B702D6" w:rsidR="00432D05" w:rsidRDefault="00432D05" w:rsidP="007D40F0">
          <w:pPr>
            <w:pStyle w:val="TOC1"/>
            <w:tabs>
              <w:tab w:val="right" w:leader="dot" w:pos="9016"/>
            </w:tabs>
            <w:jc w:val="both"/>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sidR="002611E6">
              <w:rPr>
                <w:noProof/>
                <w:webHidden/>
              </w:rPr>
              <w:t>7</w:t>
            </w:r>
            <w:r>
              <w:rPr>
                <w:noProof/>
                <w:webHidden/>
              </w:rPr>
              <w:fldChar w:fldCharType="end"/>
            </w:r>
          </w:hyperlink>
        </w:p>
        <w:p w14:paraId="3DDE6E46" w14:textId="6C1489C1" w:rsidR="00432D05" w:rsidRDefault="00432D05" w:rsidP="007D40F0">
          <w:pPr>
            <w:pStyle w:val="TOC1"/>
            <w:tabs>
              <w:tab w:val="right" w:leader="dot" w:pos="9016"/>
            </w:tabs>
            <w:jc w:val="both"/>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sidR="002611E6">
              <w:rPr>
                <w:noProof/>
                <w:webHidden/>
              </w:rPr>
              <w:t>8</w:t>
            </w:r>
            <w:r>
              <w:rPr>
                <w:noProof/>
                <w:webHidden/>
              </w:rPr>
              <w:fldChar w:fldCharType="end"/>
            </w:r>
          </w:hyperlink>
        </w:p>
        <w:p w14:paraId="19393B10" w14:textId="77777777" w:rsidR="00530E16" w:rsidRPr="00CF650B" w:rsidRDefault="004468F8" w:rsidP="007D40F0">
          <w:pPr>
            <w:jc w:val="both"/>
          </w:pPr>
          <w:r>
            <w:fldChar w:fldCharType="end"/>
          </w:r>
        </w:p>
      </w:sdtContent>
    </w:sdt>
    <w:p w14:paraId="439BA12A" w14:textId="77777777" w:rsidR="00530E16" w:rsidRDefault="00530E16" w:rsidP="007D40F0">
      <w:pPr>
        <w:jc w:val="both"/>
        <w:rPr>
          <w:rFonts w:ascii="Arial" w:eastAsia="Arial" w:hAnsi="Arial" w:cs="Arial"/>
        </w:rPr>
      </w:pPr>
    </w:p>
    <w:p w14:paraId="4482A59E" w14:textId="77777777" w:rsidR="00530E16" w:rsidRDefault="00530E16" w:rsidP="007D40F0">
      <w:pPr>
        <w:jc w:val="both"/>
        <w:rPr>
          <w:rFonts w:ascii="Arial" w:eastAsia="Arial" w:hAnsi="Arial" w:cs="Arial"/>
        </w:rPr>
      </w:pPr>
    </w:p>
    <w:p w14:paraId="631884AC" w14:textId="77777777" w:rsidR="00530E16" w:rsidRDefault="00530E16" w:rsidP="007D40F0">
      <w:pPr>
        <w:jc w:val="both"/>
        <w:rPr>
          <w:rFonts w:ascii="Arial" w:eastAsia="Arial" w:hAnsi="Arial" w:cs="Arial"/>
        </w:rPr>
      </w:pPr>
    </w:p>
    <w:p w14:paraId="3EA6B85D" w14:textId="77777777" w:rsidR="00530E16" w:rsidRDefault="00530E16" w:rsidP="007D40F0">
      <w:pPr>
        <w:jc w:val="both"/>
        <w:rPr>
          <w:rFonts w:ascii="Arial" w:eastAsia="Arial" w:hAnsi="Arial" w:cs="Arial"/>
        </w:rPr>
      </w:pPr>
    </w:p>
    <w:p w14:paraId="1CFBA79F" w14:textId="77777777" w:rsidR="00530E16" w:rsidRDefault="00530E16" w:rsidP="007D40F0">
      <w:pPr>
        <w:jc w:val="both"/>
        <w:rPr>
          <w:rFonts w:ascii="Arial" w:eastAsia="Arial" w:hAnsi="Arial" w:cs="Arial"/>
        </w:rPr>
      </w:pPr>
    </w:p>
    <w:p w14:paraId="7D5A3E73" w14:textId="77777777" w:rsidR="00530E16" w:rsidRDefault="00530E16" w:rsidP="007D40F0">
      <w:pPr>
        <w:jc w:val="both"/>
        <w:rPr>
          <w:rFonts w:ascii="Arial" w:eastAsia="Arial" w:hAnsi="Arial" w:cs="Arial"/>
        </w:rPr>
      </w:pPr>
    </w:p>
    <w:p w14:paraId="0A1AAAC1" w14:textId="77777777" w:rsidR="00530E16" w:rsidRDefault="00530E16" w:rsidP="007D40F0">
      <w:pPr>
        <w:jc w:val="both"/>
        <w:rPr>
          <w:rFonts w:ascii="Arial" w:eastAsia="Arial" w:hAnsi="Arial" w:cs="Arial"/>
        </w:rPr>
      </w:pPr>
    </w:p>
    <w:p w14:paraId="3C157406" w14:textId="77777777" w:rsidR="00530E16" w:rsidRDefault="00530E16" w:rsidP="007D40F0">
      <w:pPr>
        <w:jc w:val="both"/>
        <w:rPr>
          <w:rFonts w:ascii="Arial" w:eastAsia="Arial" w:hAnsi="Arial" w:cs="Arial"/>
        </w:rPr>
      </w:pPr>
    </w:p>
    <w:p w14:paraId="1E10CFB7" w14:textId="77777777" w:rsidR="00530E16" w:rsidRDefault="00530E16" w:rsidP="007D40F0">
      <w:pPr>
        <w:jc w:val="both"/>
        <w:rPr>
          <w:rFonts w:ascii="Arial" w:eastAsia="Arial" w:hAnsi="Arial" w:cs="Arial"/>
        </w:rPr>
      </w:pPr>
    </w:p>
    <w:p w14:paraId="05FD688A" w14:textId="77777777" w:rsidR="002A1842" w:rsidRDefault="002A1842" w:rsidP="007D40F0">
      <w:pPr>
        <w:jc w:val="both"/>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65A02D6E" w14:textId="77777777" w:rsidR="00530E16" w:rsidRDefault="00530E16" w:rsidP="007D40F0">
      <w:pPr>
        <w:jc w:val="both"/>
        <w:rPr>
          <w:rFonts w:ascii="Arial" w:eastAsia="Arial" w:hAnsi="Arial" w:cs="Arial"/>
        </w:rPr>
      </w:pPr>
    </w:p>
    <w:p w14:paraId="4CFBB0BF" w14:textId="77777777" w:rsidR="00575E73" w:rsidRPr="00575E73" w:rsidRDefault="00575E73" w:rsidP="007D40F0">
      <w:pPr>
        <w:pStyle w:val="Heading1"/>
        <w:jc w:val="both"/>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5D6BC392" w14:textId="77777777" w:rsidR="00504DE5" w:rsidRPr="000C4CA8" w:rsidRDefault="00504DE5" w:rsidP="007D40F0">
      <w:pPr>
        <w:spacing w:line="360" w:lineRule="auto"/>
        <w:jc w:val="both"/>
        <w:rPr>
          <w:rFonts w:ascii="Arial" w:eastAsia="Arial" w:hAnsi="Arial" w:cs="Arial"/>
          <w:sz w:val="22"/>
          <w:szCs w:val="22"/>
        </w:rPr>
      </w:pPr>
      <w:r w:rsidRPr="000C4CA8">
        <w:rPr>
          <w:rFonts w:ascii="Arial" w:eastAsia="Arial" w:hAnsi="Arial" w:cs="Arial"/>
          <w:sz w:val="22"/>
          <w:szCs w:val="22"/>
        </w:rPr>
        <w:t>Research Report: Healthcare Technologies</w:t>
      </w:r>
    </w:p>
    <w:p w14:paraId="7C5EF2F3" w14:textId="17162924" w:rsidR="00575E73" w:rsidRPr="000C4CA8" w:rsidRDefault="00504DE5" w:rsidP="007D40F0">
      <w:pPr>
        <w:spacing w:line="360" w:lineRule="auto"/>
        <w:jc w:val="both"/>
        <w:rPr>
          <w:rFonts w:ascii="Arial" w:eastAsia="Arial" w:hAnsi="Arial" w:cs="Arial"/>
          <w:sz w:val="22"/>
          <w:szCs w:val="22"/>
        </w:rPr>
      </w:pPr>
      <w:r w:rsidRPr="000C4CA8">
        <w:rPr>
          <w:rFonts w:ascii="Arial" w:eastAsia="Arial" w:hAnsi="Arial" w:cs="Arial"/>
          <w:sz w:val="22"/>
          <w:szCs w:val="22"/>
        </w:rPr>
        <w:t>Topic: Digital Inequality and Language Barriers:</w:t>
      </w:r>
      <w:r w:rsidR="00107B17" w:rsidRPr="000C4CA8">
        <w:rPr>
          <w:rFonts w:ascii="Arial" w:hAnsi="Arial" w:cs="Arial"/>
        </w:rPr>
        <w:t xml:space="preserve"> </w:t>
      </w:r>
      <w:r w:rsidR="00107B17" w:rsidRPr="000C4CA8">
        <w:rPr>
          <w:rFonts w:ascii="Arial" w:eastAsia="Arial" w:hAnsi="Arial" w:cs="Arial"/>
          <w:sz w:val="22"/>
          <w:szCs w:val="22"/>
        </w:rPr>
        <w:t>The accessibility of healthcare technologies for refugees and migrants in the</w:t>
      </w:r>
      <w:r w:rsidRPr="000C4CA8">
        <w:rPr>
          <w:rFonts w:ascii="Arial" w:eastAsia="Arial" w:hAnsi="Arial" w:cs="Arial"/>
          <w:sz w:val="22"/>
          <w:szCs w:val="22"/>
        </w:rPr>
        <w:t xml:space="preserve"> United Kingdom.</w:t>
      </w:r>
    </w:p>
    <w:p w14:paraId="52BB9FA8" w14:textId="6E7493E4" w:rsidR="00504DE5" w:rsidRPr="000C4CA8" w:rsidRDefault="00504DE5" w:rsidP="007D40F0">
      <w:pPr>
        <w:spacing w:line="360" w:lineRule="auto"/>
        <w:jc w:val="both"/>
        <w:rPr>
          <w:rFonts w:ascii="Arial" w:eastAsia="Arial" w:hAnsi="Arial" w:cs="Arial"/>
          <w:sz w:val="22"/>
          <w:szCs w:val="22"/>
        </w:rPr>
      </w:pPr>
      <w:r w:rsidRPr="000C4CA8">
        <w:rPr>
          <w:rFonts w:ascii="Arial" w:eastAsia="Arial" w:hAnsi="Arial" w:cs="Arial"/>
          <w:sz w:val="22"/>
          <w:szCs w:val="22"/>
        </w:rPr>
        <w:t>This report examines the issue of access to digital healthcare services among non</w:t>
      </w:r>
      <w:r w:rsidRPr="000C4CA8">
        <w:rPr>
          <w:rFonts w:ascii="Cambria Math" w:eastAsia="Arial" w:hAnsi="Cambria Math" w:cs="Cambria Math"/>
          <w:sz w:val="22"/>
          <w:szCs w:val="22"/>
        </w:rPr>
        <w:t>‑</w:t>
      </w:r>
      <w:r w:rsidRPr="000C4CA8">
        <w:rPr>
          <w:rFonts w:ascii="Arial" w:eastAsia="Arial" w:hAnsi="Arial" w:cs="Arial"/>
          <w:sz w:val="22"/>
          <w:szCs w:val="22"/>
        </w:rPr>
        <w:t>English</w:t>
      </w:r>
      <w:r w:rsidRPr="000C4CA8">
        <w:rPr>
          <w:rFonts w:ascii="Cambria Math" w:eastAsia="Arial" w:hAnsi="Cambria Math" w:cs="Cambria Math"/>
          <w:sz w:val="22"/>
          <w:szCs w:val="22"/>
        </w:rPr>
        <w:t>‑</w:t>
      </w:r>
      <w:r w:rsidRPr="000C4CA8">
        <w:rPr>
          <w:rFonts w:ascii="Arial" w:eastAsia="Arial" w:hAnsi="Arial" w:cs="Arial"/>
          <w:sz w:val="22"/>
          <w:szCs w:val="22"/>
        </w:rPr>
        <w:t>speaking (ESOL) individuals, including migrant communities, in the United Kingdom. As the National Health Service increasingly adopts digital systems such as mobile applications, online appointment booking, and remote consultations, these populations face heightened risks of exclusion. The introduction outlines the relevance of this topic, explains why ESOL groups are disproportionately affected, and presents the focus of the report. The following sections analyse the challenges associated with digital healthcare access and describe the research methods and data</w:t>
      </w:r>
      <w:r w:rsidRPr="000C4CA8">
        <w:rPr>
          <w:rFonts w:ascii="Cambria Math" w:eastAsia="Arial" w:hAnsi="Cambria Math" w:cs="Cambria Math"/>
          <w:sz w:val="22"/>
          <w:szCs w:val="22"/>
        </w:rPr>
        <w:t>‑</w:t>
      </w:r>
      <w:r w:rsidRPr="000C4CA8">
        <w:rPr>
          <w:rFonts w:ascii="Arial" w:eastAsia="Arial" w:hAnsi="Arial" w:cs="Arial"/>
          <w:sz w:val="22"/>
          <w:szCs w:val="22"/>
        </w:rPr>
        <w:t>collection approaches used to explore this problem.</w:t>
      </w:r>
    </w:p>
    <w:p w14:paraId="619B3E86" w14:textId="77777777" w:rsidR="00575E73" w:rsidRPr="00575E73" w:rsidRDefault="00575E73" w:rsidP="007D40F0">
      <w:pPr>
        <w:pStyle w:val="Heading1"/>
        <w:jc w:val="both"/>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1BBA8A66" w14:textId="77777777" w:rsidR="00575E73" w:rsidRPr="00575E73" w:rsidRDefault="00575E73" w:rsidP="007D40F0">
      <w:pPr>
        <w:pStyle w:val="Heading2"/>
        <w:jc w:val="both"/>
        <w:rPr>
          <w:rFonts w:eastAsia="Arial"/>
        </w:rPr>
      </w:pPr>
      <w:bookmarkStart w:id="2" w:name="_Toc225024737"/>
      <w:r w:rsidRPr="00575E73">
        <w:rPr>
          <w:rFonts w:eastAsia="Arial"/>
        </w:rPr>
        <w:t>1.1 The Issue and Why It Matters</w:t>
      </w:r>
      <w:bookmarkEnd w:id="2"/>
    </w:p>
    <w:p w14:paraId="3A5968BF" w14:textId="77777777" w:rsidR="007A4A84" w:rsidRPr="00187306" w:rsidRDefault="007A4A84" w:rsidP="007D40F0">
      <w:pPr>
        <w:spacing w:line="360" w:lineRule="auto"/>
        <w:jc w:val="both"/>
        <w:rPr>
          <w:rFonts w:ascii="Arial" w:eastAsia="Arial" w:hAnsi="Arial" w:cs="Arial"/>
          <w:sz w:val="22"/>
          <w:szCs w:val="22"/>
        </w:rPr>
      </w:pPr>
      <w:r w:rsidRPr="00187306">
        <w:rPr>
          <w:rFonts w:ascii="Arial" w:eastAsia="Arial" w:hAnsi="Arial" w:cs="Arial"/>
          <w:sz w:val="22"/>
          <w:szCs w:val="22"/>
        </w:rPr>
        <w:t>Problem Definition</w:t>
      </w:r>
    </w:p>
    <w:p w14:paraId="31B00E6B" w14:textId="5F68F54C" w:rsidR="00A9255D" w:rsidRPr="00187306" w:rsidRDefault="00A9255D" w:rsidP="007D40F0">
      <w:pPr>
        <w:spacing w:line="360" w:lineRule="auto"/>
        <w:jc w:val="both"/>
        <w:rPr>
          <w:rFonts w:ascii="Arial" w:eastAsia="Arial" w:hAnsi="Arial" w:cs="Arial"/>
          <w:sz w:val="22"/>
          <w:szCs w:val="22"/>
        </w:rPr>
      </w:pPr>
      <w:r w:rsidRPr="00187306">
        <w:rPr>
          <w:rFonts w:ascii="Arial" w:eastAsia="Arial" w:hAnsi="Arial" w:cs="Arial"/>
          <w:sz w:val="22"/>
          <w:szCs w:val="22"/>
        </w:rPr>
        <w:t>The main challenge is that most digital healthcare tools in the UK, such as the NHS App and e</w:t>
      </w:r>
      <w:r w:rsidRPr="00187306">
        <w:rPr>
          <w:rFonts w:ascii="Cambria Math" w:eastAsia="Arial" w:hAnsi="Cambria Math" w:cs="Cambria Math"/>
          <w:sz w:val="22"/>
          <w:szCs w:val="22"/>
        </w:rPr>
        <w:t>‑</w:t>
      </w:r>
      <w:r w:rsidRPr="00187306">
        <w:rPr>
          <w:rFonts w:ascii="Arial" w:eastAsia="Arial" w:hAnsi="Arial" w:cs="Arial"/>
          <w:sz w:val="22"/>
          <w:szCs w:val="22"/>
        </w:rPr>
        <w:t xml:space="preserve">Consult platforms, are developed primarily in English. For refugees and foreign nationals with limited language skills, completing online registration forms or describing symptoms becomes an insurmountable barrier. As a result, many people struggle to access essential services, leading to delays in diagnosis, reduced continuity of care, and increased stress when interacting with the healthcare system. This situation contributes to widening healthcare inequalities and disproportionately affects those already facing social and economic vulnerability. </w:t>
      </w:r>
      <w:r w:rsidR="00E6097F" w:rsidRPr="00187306">
        <w:rPr>
          <w:rFonts w:ascii="Arial" w:eastAsia="Arial" w:hAnsi="Arial" w:cs="Arial"/>
          <w:sz w:val="22"/>
          <w:szCs w:val="22"/>
        </w:rPr>
        <w:t>Recent findings suggest that digital exclusion substantially reduces the ability of asylum seekers in England to access healthcare services</w:t>
      </w:r>
      <w:r w:rsidR="00224EFA" w:rsidRPr="00187306">
        <w:rPr>
          <w:rFonts w:ascii="Arial" w:eastAsia="Arial" w:hAnsi="Arial" w:cs="Arial"/>
          <w:sz w:val="22"/>
          <w:szCs w:val="22"/>
        </w:rPr>
        <w:t xml:space="preserve"> </w:t>
      </w:r>
      <w:r w:rsidRPr="00187306">
        <w:rPr>
          <w:rFonts w:ascii="Arial" w:eastAsia="Arial" w:hAnsi="Arial" w:cs="Arial"/>
          <w:sz w:val="22"/>
          <w:szCs w:val="22"/>
        </w:rPr>
        <w:t>(British Red Cross, 2022).</w:t>
      </w:r>
    </w:p>
    <w:p w14:paraId="3A399D33" w14:textId="77777777" w:rsidR="00923D08" w:rsidRPr="00187306" w:rsidRDefault="00923D08" w:rsidP="007D40F0">
      <w:pPr>
        <w:spacing w:line="360" w:lineRule="auto"/>
        <w:jc w:val="both"/>
        <w:rPr>
          <w:rFonts w:ascii="Arial" w:eastAsia="Arial" w:hAnsi="Arial" w:cs="Arial"/>
          <w:sz w:val="22"/>
          <w:szCs w:val="22"/>
        </w:rPr>
      </w:pPr>
      <w:r w:rsidRPr="00187306">
        <w:rPr>
          <w:rFonts w:ascii="Arial" w:eastAsia="Arial" w:hAnsi="Arial" w:cs="Arial"/>
          <w:sz w:val="22"/>
          <w:szCs w:val="22"/>
        </w:rPr>
        <w:t xml:space="preserve">Who Is Affected and Why It Matters </w:t>
      </w:r>
    </w:p>
    <w:p w14:paraId="5D6A76E0" w14:textId="0752C102" w:rsidR="00923D08" w:rsidRPr="00BF159B" w:rsidRDefault="00923D08" w:rsidP="007D40F0">
      <w:pPr>
        <w:spacing w:line="360" w:lineRule="auto"/>
        <w:jc w:val="both"/>
        <w:rPr>
          <w:rFonts w:ascii="Arial" w:eastAsia="Arial" w:hAnsi="Arial" w:cs="Arial"/>
          <w:sz w:val="22"/>
          <w:szCs w:val="22"/>
        </w:rPr>
      </w:pPr>
      <w:r w:rsidRPr="00187306">
        <w:rPr>
          <w:rFonts w:ascii="Arial" w:eastAsia="Arial" w:hAnsi="Arial" w:cs="Arial"/>
          <w:sz w:val="22"/>
          <w:szCs w:val="22"/>
        </w:rPr>
        <w:t xml:space="preserve">This issue affects asylum seekers, migrant workers, refugee families, and other ESOL communities who rely on primary healthcare services. It also impacts clinics and frontline healthcare staff, who often face communication challenges when providing care to patients unable to independently navigate digital systems. Ineffective communication can lead to clinical errors, duplicate consultations, and inappropriate use of emergency services when patients are unable to book appointments online. For healthcare organisations, this places </w:t>
      </w:r>
      <w:r w:rsidRPr="00187306">
        <w:rPr>
          <w:rFonts w:ascii="Arial" w:eastAsia="Arial" w:hAnsi="Arial" w:cs="Arial"/>
          <w:sz w:val="22"/>
          <w:szCs w:val="22"/>
        </w:rPr>
        <w:lastRenderedPageBreak/>
        <w:t>additional strain on already overstretched services and highlights the need for more inclusive digital solutions. Research conducted by Public Health England (2021) shows that language barriers significantly reduce timely access to healthcare, while recent studies highlight that migrants continue to face digital and linguistic obstacles when accessing NHS services (Whitaker et al., 2022; Rabet et al., 2024).</w:t>
      </w:r>
      <w:r w:rsidR="00F2184F" w:rsidRPr="00187306">
        <w:rPr>
          <w:rFonts w:ascii="Arial" w:eastAsia="Arial" w:hAnsi="Arial" w:cs="Arial"/>
          <w:sz w:val="22"/>
          <w:szCs w:val="22"/>
        </w:rPr>
        <w:t xml:space="preserve"> </w:t>
      </w:r>
      <w:r w:rsidR="00F2184F" w:rsidRPr="00187306">
        <w:rPr>
          <w:rFonts w:ascii="Arial" w:eastAsia="Arial" w:hAnsi="Arial" w:cs="Arial"/>
          <w:sz w:val="22"/>
          <w:szCs w:val="22"/>
        </w:rPr>
        <w:t>As NHS England emphasises, “digital exclusion is a recognised driver of health inequalities, and some groups face a much higher risk of being excluded from digital health services — including people seeking asylum, socially excluded groups, and those less fluent in English” (NHS England, 2023).</w:t>
      </w:r>
    </w:p>
    <w:p w14:paraId="0295D0D1" w14:textId="34EA6118" w:rsidR="00575E73" w:rsidRPr="00B01E59" w:rsidRDefault="00575E73" w:rsidP="007D40F0">
      <w:pPr>
        <w:pStyle w:val="Heading2"/>
        <w:jc w:val="both"/>
        <w:rPr>
          <w:rFonts w:eastAsia="Arial"/>
        </w:rPr>
      </w:pPr>
      <w:bookmarkStart w:id="3" w:name="_Toc225024738"/>
      <w:r w:rsidRPr="00575E73">
        <w:rPr>
          <w:rFonts w:eastAsia="Arial"/>
        </w:rPr>
        <w:t>1.2 Personal Reflection – Why I Chose This Topic</w:t>
      </w:r>
      <w:bookmarkEnd w:id="3"/>
    </w:p>
    <w:p w14:paraId="579204DD" w14:textId="5F9A3A6C" w:rsidR="00575E73" w:rsidRPr="007A4A84" w:rsidRDefault="00016AAD" w:rsidP="007D40F0">
      <w:pPr>
        <w:spacing w:line="360" w:lineRule="auto"/>
        <w:jc w:val="both"/>
        <w:rPr>
          <w:rFonts w:ascii="Arial" w:eastAsia="Arial" w:hAnsi="Arial" w:cs="Arial"/>
          <w:sz w:val="22"/>
          <w:szCs w:val="22"/>
        </w:rPr>
      </w:pPr>
      <w:r w:rsidRPr="00016AAD">
        <w:rPr>
          <w:rFonts w:ascii="Arial" w:eastAsia="Arial" w:hAnsi="Arial" w:cs="Arial"/>
          <w:sz w:val="22"/>
          <w:szCs w:val="22"/>
        </w:rPr>
        <w:t>This topic was chosen based on my belief that the right to health should not be determined by a person’s language skills.</w:t>
      </w:r>
      <w:r>
        <w:rPr>
          <w:rFonts w:ascii="Arial" w:eastAsia="Arial" w:hAnsi="Arial" w:cs="Arial"/>
          <w:sz w:val="22"/>
          <w:szCs w:val="22"/>
        </w:rPr>
        <w:t xml:space="preserve"> </w:t>
      </w:r>
      <w:r w:rsidR="007A4A84" w:rsidRPr="007A4A84">
        <w:rPr>
          <w:rFonts w:ascii="Arial" w:eastAsia="Arial" w:hAnsi="Arial" w:cs="Arial"/>
          <w:sz w:val="22"/>
          <w:szCs w:val="22"/>
        </w:rPr>
        <w:t>In my future career in the social care sector, it is important for me to understand how digital technologies can both unite and divide people. My personal experience also influenced this choice: I witnessed how foreign nationals and refugees struggled to describe their symptoms on online forms that do not include built-in translation tools. These situations demonstrate how digital systems can unintentionally exclude vulnerable populations, which reinforces my interest in exploring ways to make health technologies more accessible and inclusive.</w:t>
      </w:r>
    </w:p>
    <w:p w14:paraId="17D1780A" w14:textId="77777777" w:rsidR="00575E73" w:rsidRPr="00575E73" w:rsidRDefault="00575E73" w:rsidP="007D40F0">
      <w:pPr>
        <w:pStyle w:val="Heading1"/>
        <w:jc w:val="both"/>
        <w:rPr>
          <w:rFonts w:eastAsia="Arial"/>
        </w:rPr>
      </w:pPr>
      <w:bookmarkStart w:id="4" w:name="_Toc225024739"/>
      <w:r w:rsidRPr="00575E73">
        <w:rPr>
          <w:rFonts w:eastAsia="Arial"/>
        </w:rPr>
        <w:t>Task 2 – Evaluating Information Sources</w:t>
      </w:r>
      <w:bookmarkEnd w:id="4"/>
      <w:r w:rsidRPr="00575E73">
        <w:rPr>
          <w:rFonts w:eastAsia="Arial"/>
        </w:rPr>
        <w:t xml:space="preserve">  </w:t>
      </w:r>
    </w:p>
    <w:p w14:paraId="59F6E4BC" w14:textId="77777777" w:rsidR="00575E73" w:rsidRDefault="00575E73" w:rsidP="007D40F0">
      <w:pPr>
        <w:pStyle w:val="Heading2"/>
        <w:jc w:val="both"/>
        <w:rPr>
          <w:rFonts w:eastAsia="Arial"/>
        </w:rPr>
      </w:pPr>
      <w:bookmarkStart w:id="5" w:name="_Toc225024740"/>
      <w:r w:rsidRPr="00575E73">
        <w:rPr>
          <w:rFonts w:eastAsia="Arial"/>
        </w:rPr>
        <w:t>2.1 Source 1</w:t>
      </w:r>
      <w:bookmarkEnd w:id="5"/>
    </w:p>
    <w:p w14:paraId="690B894C" w14:textId="62F285CA" w:rsidR="007D40F0" w:rsidRPr="007D40F0" w:rsidRDefault="007D40F0" w:rsidP="007D40F0">
      <w:pPr>
        <w:jc w:val="both"/>
      </w:pPr>
      <w:r w:rsidRPr="007D40F0">
        <w:t>Doctors of the World (2022) Barriers to accessing NHS services: migrant experiences. London: Doctors of the World UK.</w:t>
      </w:r>
    </w:p>
    <w:p w14:paraId="7BEE5EC4" w14:textId="77777777" w:rsidR="00F97130" w:rsidRPr="00BF159B" w:rsidRDefault="00F97130" w:rsidP="007D40F0">
      <w:pPr>
        <w:spacing w:line="360" w:lineRule="auto"/>
        <w:jc w:val="both"/>
        <w:rPr>
          <w:rFonts w:ascii="Arial" w:hAnsi="Arial" w:cs="Arial"/>
          <w:sz w:val="22"/>
          <w:szCs w:val="22"/>
        </w:rPr>
      </w:pPr>
      <w:r w:rsidRPr="00BF159B">
        <w:rPr>
          <w:rFonts w:ascii="Arial" w:hAnsi="Arial" w:cs="Arial"/>
          <w:sz w:val="22"/>
          <w:szCs w:val="22"/>
        </w:rPr>
        <w:t>Summary:</w:t>
      </w:r>
    </w:p>
    <w:p w14:paraId="02B68C74" w14:textId="77777777" w:rsidR="00F97130" w:rsidRPr="00BF159B" w:rsidRDefault="00F97130" w:rsidP="007D40F0">
      <w:pPr>
        <w:spacing w:line="360" w:lineRule="auto"/>
        <w:jc w:val="both"/>
        <w:rPr>
          <w:rFonts w:ascii="Arial" w:hAnsi="Arial" w:cs="Arial"/>
          <w:sz w:val="22"/>
          <w:szCs w:val="22"/>
        </w:rPr>
      </w:pPr>
      <w:r w:rsidRPr="00BF159B">
        <w:rPr>
          <w:rFonts w:ascii="Arial" w:hAnsi="Arial" w:cs="Arial"/>
          <w:sz w:val="22"/>
          <w:szCs w:val="22"/>
        </w:rPr>
        <w:t>This report highlights the barriers migrants face when attempting to register with the NHS online. It explains how the lack of language support, limited digital literacy and complex online forms prevent many individuals from accessing basic healthcare. Real case studies show migrants struggling with English</w:t>
      </w:r>
      <w:r w:rsidRPr="00BF159B">
        <w:rPr>
          <w:rFonts w:ascii="Cambria Math" w:hAnsi="Cambria Math" w:cs="Cambria Math"/>
          <w:sz w:val="22"/>
          <w:szCs w:val="22"/>
        </w:rPr>
        <w:t>‑</w:t>
      </w:r>
      <w:r w:rsidRPr="00BF159B">
        <w:rPr>
          <w:rFonts w:ascii="Arial" w:hAnsi="Arial" w:cs="Arial"/>
          <w:sz w:val="22"/>
          <w:szCs w:val="22"/>
        </w:rPr>
        <w:t>only GP registration systems, difficulties uploading documents and confusion when navigating digital platforms without guidance.</w:t>
      </w:r>
    </w:p>
    <w:p w14:paraId="3036EC5F" w14:textId="77777777" w:rsidR="00F97130" w:rsidRPr="00BF159B" w:rsidRDefault="00F97130" w:rsidP="007D40F0">
      <w:pPr>
        <w:spacing w:line="360" w:lineRule="auto"/>
        <w:jc w:val="both"/>
        <w:rPr>
          <w:rFonts w:ascii="Arial" w:hAnsi="Arial" w:cs="Arial"/>
          <w:sz w:val="22"/>
          <w:szCs w:val="22"/>
        </w:rPr>
      </w:pPr>
      <w:r w:rsidRPr="00BF159B">
        <w:rPr>
          <w:rFonts w:ascii="Arial" w:hAnsi="Arial" w:cs="Arial"/>
          <w:sz w:val="22"/>
          <w:szCs w:val="22"/>
        </w:rPr>
        <w:t>Usefulness:</w:t>
      </w:r>
    </w:p>
    <w:p w14:paraId="4616D520" w14:textId="77777777" w:rsidR="00F97130" w:rsidRPr="00BF159B" w:rsidRDefault="00F97130" w:rsidP="007D40F0">
      <w:pPr>
        <w:spacing w:line="360" w:lineRule="auto"/>
        <w:jc w:val="both"/>
        <w:rPr>
          <w:rFonts w:ascii="Arial" w:hAnsi="Arial" w:cs="Arial"/>
          <w:sz w:val="22"/>
          <w:szCs w:val="22"/>
        </w:rPr>
      </w:pPr>
      <w:r w:rsidRPr="00BF159B">
        <w:rPr>
          <w:rFonts w:ascii="Arial" w:hAnsi="Arial" w:cs="Arial"/>
          <w:sz w:val="22"/>
          <w:szCs w:val="22"/>
        </w:rPr>
        <w:t>This source is highly useful because it provides practical, real</w:t>
      </w:r>
      <w:r w:rsidRPr="00BF159B">
        <w:rPr>
          <w:rFonts w:ascii="Cambria Math" w:hAnsi="Cambria Math" w:cs="Cambria Math"/>
          <w:sz w:val="22"/>
          <w:szCs w:val="22"/>
        </w:rPr>
        <w:t>‑</w:t>
      </w:r>
      <w:r w:rsidRPr="00BF159B">
        <w:rPr>
          <w:rFonts w:ascii="Arial" w:hAnsi="Arial" w:cs="Arial"/>
          <w:sz w:val="22"/>
          <w:szCs w:val="22"/>
        </w:rPr>
        <w:t xml:space="preserve">world evidence of how digital systems exclude people with limited English proficiency. It directly supports the topic by demonstrating that the absence of multilingual features in NHS digital tools creates significant </w:t>
      </w:r>
      <w:r w:rsidRPr="00BF159B">
        <w:rPr>
          <w:rFonts w:ascii="Arial" w:hAnsi="Arial" w:cs="Arial"/>
          <w:sz w:val="22"/>
          <w:szCs w:val="22"/>
        </w:rPr>
        <w:lastRenderedPageBreak/>
        <w:t>barriers to care. It also strengthens the argument that digital exclusion disproportionately affects vulnerable groups such as asylum seekers and newly arrived migrants.</w:t>
      </w:r>
    </w:p>
    <w:p w14:paraId="256A5491" w14:textId="76C33E86" w:rsidR="005F0DCE" w:rsidRDefault="00575E73" w:rsidP="007D40F0">
      <w:pPr>
        <w:pStyle w:val="Heading2"/>
        <w:jc w:val="both"/>
        <w:rPr>
          <w:rFonts w:eastAsia="Arial"/>
        </w:rPr>
      </w:pPr>
      <w:bookmarkStart w:id="6" w:name="_Toc225024741"/>
      <w:r w:rsidRPr="00575E73">
        <w:rPr>
          <w:rFonts w:eastAsia="Arial"/>
        </w:rPr>
        <w:t>2.2 Source 2</w:t>
      </w:r>
      <w:bookmarkStart w:id="7" w:name="_Toc225024742"/>
      <w:bookmarkEnd w:id="6"/>
    </w:p>
    <w:p w14:paraId="1207E6A3" w14:textId="4646E3F8" w:rsidR="00564CED" w:rsidRPr="00564CED" w:rsidRDefault="00564CED" w:rsidP="00564CED">
      <w:r w:rsidRPr="00564CED">
        <w:t>Healthwatch England (2021) Digital exclusion in healthcare: patient experiences of remote consultations. London: Healthwatch England.</w:t>
      </w:r>
    </w:p>
    <w:p w14:paraId="189CD121" w14:textId="77777777" w:rsidR="00B14A9B" w:rsidRPr="00BF159B" w:rsidRDefault="00B14A9B" w:rsidP="007D40F0">
      <w:pPr>
        <w:spacing w:line="360" w:lineRule="auto"/>
        <w:jc w:val="both"/>
        <w:rPr>
          <w:rFonts w:ascii="Arial" w:hAnsi="Arial" w:cs="Arial"/>
          <w:sz w:val="22"/>
          <w:szCs w:val="22"/>
        </w:rPr>
      </w:pPr>
      <w:r w:rsidRPr="00BF159B">
        <w:rPr>
          <w:rFonts w:ascii="Arial" w:hAnsi="Arial" w:cs="Arial"/>
          <w:sz w:val="22"/>
          <w:szCs w:val="22"/>
        </w:rPr>
        <w:t>Summary:</w:t>
      </w:r>
    </w:p>
    <w:p w14:paraId="530F9A8E" w14:textId="77777777" w:rsidR="00B14A9B" w:rsidRPr="00BF159B" w:rsidRDefault="00B14A9B" w:rsidP="007D40F0">
      <w:pPr>
        <w:spacing w:line="360" w:lineRule="auto"/>
        <w:jc w:val="both"/>
        <w:rPr>
          <w:rFonts w:ascii="Arial" w:hAnsi="Arial" w:cs="Arial"/>
          <w:sz w:val="22"/>
          <w:szCs w:val="22"/>
        </w:rPr>
      </w:pPr>
      <w:r w:rsidRPr="00BF159B">
        <w:rPr>
          <w:rFonts w:ascii="Arial" w:hAnsi="Arial" w:cs="Arial"/>
          <w:sz w:val="22"/>
          <w:szCs w:val="22"/>
        </w:rPr>
        <w:t>This research analyses patient feedback on the transition to remote consultations during the expansion of digital</w:t>
      </w:r>
      <w:r w:rsidRPr="00BF159B">
        <w:rPr>
          <w:rFonts w:ascii="Cambria Math" w:hAnsi="Cambria Math" w:cs="Cambria Math"/>
          <w:sz w:val="22"/>
          <w:szCs w:val="22"/>
        </w:rPr>
        <w:t>‑</w:t>
      </w:r>
      <w:r w:rsidRPr="00BF159B">
        <w:rPr>
          <w:rFonts w:ascii="Arial" w:hAnsi="Arial" w:cs="Arial"/>
          <w:sz w:val="22"/>
          <w:szCs w:val="22"/>
        </w:rPr>
        <w:t>first healthcare. It identifies groups most affected by digital exclusion, including people with limited English, older adults and those without access to digital devices or stable internet. The report highlights how remote consultations can unintentionally disadvantage patients who cannot navigate online booking systems or understand digital instructions.</w:t>
      </w:r>
    </w:p>
    <w:p w14:paraId="18A922F0" w14:textId="77777777" w:rsidR="00B14A9B" w:rsidRPr="00BF159B" w:rsidRDefault="00B14A9B" w:rsidP="007D40F0">
      <w:pPr>
        <w:spacing w:line="360" w:lineRule="auto"/>
        <w:jc w:val="both"/>
        <w:rPr>
          <w:rFonts w:ascii="Arial" w:hAnsi="Arial" w:cs="Arial"/>
          <w:sz w:val="22"/>
          <w:szCs w:val="22"/>
        </w:rPr>
      </w:pPr>
      <w:r w:rsidRPr="00BF159B">
        <w:rPr>
          <w:rFonts w:ascii="Arial" w:hAnsi="Arial" w:cs="Arial"/>
          <w:sz w:val="22"/>
          <w:szCs w:val="22"/>
        </w:rPr>
        <w:t>Usefulness:</w:t>
      </w:r>
    </w:p>
    <w:p w14:paraId="569C8278" w14:textId="15EA20CC" w:rsidR="009819CF" w:rsidRPr="00BF159B" w:rsidRDefault="009819CF" w:rsidP="007D40F0">
      <w:pPr>
        <w:spacing w:line="360" w:lineRule="auto"/>
        <w:jc w:val="both"/>
        <w:rPr>
          <w:rFonts w:ascii="Arial" w:hAnsi="Arial" w:cs="Arial"/>
          <w:sz w:val="22"/>
          <w:szCs w:val="22"/>
        </w:rPr>
      </w:pPr>
      <w:r w:rsidRPr="00BF159B">
        <w:rPr>
          <w:rFonts w:ascii="Arial" w:hAnsi="Arial" w:cs="Arial"/>
          <w:sz w:val="22"/>
          <w:szCs w:val="22"/>
        </w:rPr>
        <w:t>This source provides a broader national perspective on digital exclusion and supports evidence that people with language barriers are more likely to be excluded when healthcare services move online. It demonstrates that digital exclusion is a wider systemic challenge within the NHS and strengthens the argument that digital healthcare must be designed with accessibility in mind.</w:t>
      </w:r>
    </w:p>
    <w:p w14:paraId="12DD62CD" w14:textId="61D78DDD" w:rsidR="00575E73" w:rsidRDefault="00432D05" w:rsidP="007D40F0">
      <w:pPr>
        <w:pStyle w:val="Heading2"/>
        <w:jc w:val="both"/>
        <w:rPr>
          <w:rFonts w:eastAsia="Arial"/>
        </w:rPr>
      </w:pPr>
      <w:r w:rsidRPr="00575E73">
        <w:rPr>
          <w:rFonts w:eastAsia="Arial"/>
        </w:rPr>
        <w:t>2.3 Source</w:t>
      </w:r>
      <w:r w:rsidR="00575E73" w:rsidRPr="00575E73">
        <w:rPr>
          <w:rFonts w:eastAsia="Arial"/>
        </w:rPr>
        <w:t xml:space="preserve"> 3</w:t>
      </w:r>
      <w:bookmarkEnd w:id="7"/>
    </w:p>
    <w:p w14:paraId="6B765689" w14:textId="50CD3FC8" w:rsidR="000F1974" w:rsidRPr="000F1974" w:rsidRDefault="000F1974" w:rsidP="000F1974">
      <w:r w:rsidRPr="000F1974">
        <w:t>Rabet, R. et al. (2024) ‘Barriers and facilitators to digital primary health care access in immigrant and refugee populations: a scoping review’, Journal of Public Health, 33, pp. 2279–2298.</w:t>
      </w:r>
    </w:p>
    <w:p w14:paraId="3EDA2FF0" w14:textId="77777777" w:rsidR="00052DFB" w:rsidRPr="00BF159B" w:rsidRDefault="00052DFB" w:rsidP="007D40F0">
      <w:pPr>
        <w:spacing w:line="360" w:lineRule="auto"/>
        <w:jc w:val="both"/>
        <w:rPr>
          <w:rFonts w:ascii="Arial" w:hAnsi="Arial" w:cs="Arial"/>
          <w:sz w:val="22"/>
          <w:szCs w:val="22"/>
        </w:rPr>
      </w:pPr>
      <w:r w:rsidRPr="00BF159B">
        <w:rPr>
          <w:rFonts w:ascii="Arial" w:hAnsi="Arial" w:cs="Arial"/>
          <w:sz w:val="22"/>
          <w:szCs w:val="22"/>
        </w:rPr>
        <w:t>Summary:</w:t>
      </w:r>
    </w:p>
    <w:p w14:paraId="536DCD3F" w14:textId="77777777" w:rsidR="00052DFB" w:rsidRPr="00BF159B" w:rsidRDefault="00052DFB" w:rsidP="007D40F0">
      <w:pPr>
        <w:spacing w:line="360" w:lineRule="auto"/>
        <w:jc w:val="both"/>
        <w:rPr>
          <w:rFonts w:ascii="Arial" w:hAnsi="Arial" w:cs="Arial"/>
          <w:sz w:val="22"/>
          <w:szCs w:val="22"/>
        </w:rPr>
      </w:pPr>
      <w:r w:rsidRPr="00BF159B">
        <w:rPr>
          <w:rFonts w:ascii="Arial" w:hAnsi="Arial" w:cs="Arial"/>
          <w:sz w:val="22"/>
          <w:szCs w:val="22"/>
        </w:rPr>
        <w:t>This peer</w:t>
      </w:r>
      <w:r w:rsidRPr="00BF159B">
        <w:rPr>
          <w:rFonts w:ascii="Cambria Math" w:hAnsi="Cambria Math" w:cs="Cambria Math"/>
          <w:sz w:val="22"/>
          <w:szCs w:val="22"/>
        </w:rPr>
        <w:t>‑</w:t>
      </w:r>
      <w:r w:rsidRPr="00BF159B">
        <w:rPr>
          <w:rFonts w:ascii="Arial" w:hAnsi="Arial" w:cs="Arial"/>
          <w:sz w:val="22"/>
          <w:szCs w:val="22"/>
        </w:rPr>
        <w:t>reviewed scoping review analyses 25 studies exploring how migrants and refugees access digital primary healthcare services. It identifies key barriers such as limited English proficiency, low digital literacy, cultural perceptions of digital medicine and difficulties navigating online systems like GP registration portals and remote consultation platforms. The review also highlights facilitators, including community support, multilingual resources and culturally sensitive digital design.</w:t>
      </w:r>
    </w:p>
    <w:p w14:paraId="3667D988" w14:textId="77777777" w:rsidR="00052DFB" w:rsidRPr="00BF159B" w:rsidRDefault="00052DFB" w:rsidP="007D40F0">
      <w:pPr>
        <w:spacing w:line="360" w:lineRule="auto"/>
        <w:jc w:val="both"/>
        <w:rPr>
          <w:rFonts w:ascii="Arial" w:hAnsi="Arial" w:cs="Arial"/>
          <w:sz w:val="22"/>
          <w:szCs w:val="22"/>
        </w:rPr>
      </w:pPr>
      <w:r w:rsidRPr="00BF159B">
        <w:rPr>
          <w:rFonts w:ascii="Arial" w:hAnsi="Arial" w:cs="Arial"/>
          <w:sz w:val="22"/>
          <w:szCs w:val="22"/>
        </w:rPr>
        <w:t>Usefulness:</w:t>
      </w:r>
    </w:p>
    <w:p w14:paraId="4911029C" w14:textId="77777777" w:rsidR="00052DFB" w:rsidRPr="00BF159B" w:rsidRDefault="00052DFB" w:rsidP="007D40F0">
      <w:pPr>
        <w:spacing w:line="360" w:lineRule="auto"/>
        <w:jc w:val="both"/>
        <w:rPr>
          <w:rFonts w:ascii="Arial" w:hAnsi="Arial" w:cs="Arial"/>
          <w:sz w:val="22"/>
          <w:szCs w:val="22"/>
        </w:rPr>
      </w:pPr>
      <w:r w:rsidRPr="00BF159B">
        <w:rPr>
          <w:rFonts w:ascii="Arial" w:hAnsi="Arial" w:cs="Arial"/>
          <w:sz w:val="22"/>
          <w:szCs w:val="22"/>
        </w:rPr>
        <w:t xml:space="preserve">This source is valuable because it provides strong academic evidence about the challenges migrants face when interacting with digital healthcare systems. It supports the argument that </w:t>
      </w:r>
      <w:r w:rsidRPr="00BF159B">
        <w:rPr>
          <w:rFonts w:ascii="Arial" w:hAnsi="Arial" w:cs="Arial"/>
          <w:sz w:val="22"/>
          <w:szCs w:val="22"/>
        </w:rPr>
        <w:lastRenderedPageBreak/>
        <w:t>language barriers and limited digital skills significantly restrict access to NHS services. It also reinforces the need for more inclusive digital solutions, such as multilingual interfaces and clearer navigation features.</w:t>
      </w:r>
    </w:p>
    <w:p w14:paraId="2C9DEA19" w14:textId="77777777" w:rsidR="00052DFB" w:rsidRPr="00BF159B" w:rsidRDefault="00052DFB" w:rsidP="007D40F0">
      <w:pPr>
        <w:spacing w:line="360" w:lineRule="auto"/>
        <w:jc w:val="both"/>
        <w:rPr>
          <w:rFonts w:ascii="Arial" w:hAnsi="Arial" w:cs="Arial"/>
          <w:sz w:val="22"/>
          <w:szCs w:val="22"/>
        </w:rPr>
      </w:pPr>
      <w:r w:rsidRPr="00BF159B">
        <w:rPr>
          <w:rFonts w:ascii="Arial" w:hAnsi="Arial" w:cs="Arial"/>
          <w:sz w:val="22"/>
          <w:szCs w:val="22"/>
        </w:rPr>
        <w:t>Gaps:</w:t>
      </w:r>
    </w:p>
    <w:p w14:paraId="412A893D" w14:textId="77777777" w:rsidR="00052DFB" w:rsidRPr="00BF159B" w:rsidRDefault="00052DFB" w:rsidP="007D40F0">
      <w:pPr>
        <w:spacing w:line="360" w:lineRule="auto"/>
        <w:jc w:val="both"/>
        <w:rPr>
          <w:rFonts w:ascii="Arial" w:hAnsi="Arial" w:cs="Arial"/>
          <w:sz w:val="22"/>
          <w:szCs w:val="22"/>
        </w:rPr>
      </w:pPr>
      <w:r w:rsidRPr="00BF159B">
        <w:rPr>
          <w:rFonts w:ascii="Arial" w:hAnsi="Arial" w:cs="Arial"/>
          <w:sz w:val="22"/>
          <w:szCs w:val="22"/>
        </w:rPr>
        <w:t>The review notes that many studies focus on general digital literacy but overlook cultural attitudes toward digital healthcare. It also highlights a lack of UK</w:t>
      </w:r>
      <w:r w:rsidRPr="00BF159B">
        <w:rPr>
          <w:rFonts w:ascii="Cambria Math" w:hAnsi="Cambria Math" w:cs="Cambria Math"/>
          <w:sz w:val="22"/>
          <w:szCs w:val="22"/>
        </w:rPr>
        <w:t>‑</w:t>
      </w:r>
      <w:r w:rsidRPr="00BF159B">
        <w:rPr>
          <w:rFonts w:ascii="Arial" w:hAnsi="Arial" w:cs="Arial"/>
          <w:sz w:val="22"/>
          <w:szCs w:val="22"/>
        </w:rPr>
        <w:t>specific research on refugees’ experiences with NHS digital tools.</w:t>
      </w:r>
    </w:p>
    <w:p w14:paraId="6F41E1F8" w14:textId="0A67D241" w:rsidR="00575E73" w:rsidRDefault="00432D05" w:rsidP="007D40F0">
      <w:pPr>
        <w:pStyle w:val="Heading2"/>
        <w:jc w:val="both"/>
        <w:rPr>
          <w:rFonts w:eastAsia="Arial"/>
        </w:rPr>
      </w:pPr>
      <w:bookmarkStart w:id="8" w:name="_Toc225024743"/>
      <w:r>
        <w:rPr>
          <w:rFonts w:eastAsia="Arial"/>
        </w:rPr>
        <w:t xml:space="preserve">2.4 </w:t>
      </w:r>
      <w:r w:rsidR="00575E73" w:rsidRPr="00575E73">
        <w:rPr>
          <w:rFonts w:eastAsia="Arial"/>
        </w:rPr>
        <w:t>Gaps in Current Research</w:t>
      </w:r>
      <w:bookmarkEnd w:id="8"/>
    </w:p>
    <w:p w14:paraId="76397715" w14:textId="68F8E909" w:rsidR="00E02EA0" w:rsidRPr="00AA1033" w:rsidRDefault="00E02EA0" w:rsidP="007D40F0">
      <w:pPr>
        <w:spacing w:line="360" w:lineRule="auto"/>
        <w:jc w:val="both"/>
        <w:rPr>
          <w:rFonts w:ascii="Arial" w:hAnsi="Arial" w:cs="Arial"/>
          <w:sz w:val="22"/>
          <w:szCs w:val="22"/>
        </w:rPr>
      </w:pPr>
      <w:r w:rsidRPr="00AA1033">
        <w:rPr>
          <w:rFonts w:ascii="Arial" w:hAnsi="Arial" w:cs="Arial"/>
          <w:sz w:val="22"/>
          <w:szCs w:val="22"/>
        </w:rPr>
        <w:t>While the selected sources provide valuable information, several gaps remain</w:t>
      </w:r>
      <w:r w:rsidR="00207834" w:rsidRPr="00AA1033">
        <w:rPr>
          <w:rFonts w:ascii="Arial" w:hAnsi="Arial" w:cs="Arial"/>
          <w:sz w:val="22"/>
          <w:szCs w:val="22"/>
        </w:rPr>
        <w:t>.</w:t>
      </w:r>
      <w:r w:rsidR="00207834" w:rsidRPr="00AA1033">
        <w:rPr>
          <w:rFonts w:ascii="Arial" w:hAnsi="Arial" w:cs="Arial"/>
        </w:rPr>
        <w:t xml:space="preserve"> </w:t>
      </w:r>
      <w:r w:rsidR="00207834" w:rsidRPr="00AA1033">
        <w:rPr>
          <w:rFonts w:ascii="Arial" w:hAnsi="Arial" w:cs="Arial"/>
          <w:sz w:val="22"/>
          <w:szCs w:val="22"/>
        </w:rPr>
        <w:t>Only limited UK</w:t>
      </w:r>
      <w:r w:rsidR="00207834" w:rsidRPr="00AA1033">
        <w:rPr>
          <w:rFonts w:ascii="Cambria Math" w:hAnsi="Cambria Math" w:cs="Cambria Math"/>
          <w:sz w:val="22"/>
          <w:szCs w:val="22"/>
        </w:rPr>
        <w:t>‑</w:t>
      </w:r>
      <w:r w:rsidR="00207834" w:rsidRPr="00AA1033">
        <w:rPr>
          <w:rFonts w:ascii="Arial" w:hAnsi="Arial" w:cs="Arial"/>
          <w:sz w:val="22"/>
          <w:szCs w:val="22"/>
        </w:rPr>
        <w:t>focused information is available on migrants’ interactions with NHS digital resources such as the NHS App and online GP platforms</w:t>
      </w:r>
      <w:r w:rsidRPr="00AA1033">
        <w:rPr>
          <w:rFonts w:ascii="Arial" w:hAnsi="Arial" w:cs="Arial"/>
          <w:sz w:val="22"/>
          <w:szCs w:val="22"/>
        </w:rPr>
        <w:t>. Recent evidence shows that studies rarely explore migrants’ detailed user experiences, leaving gaps in understanding how accessible these tools truly are (Rabet et al., 2024). Research often focuses on digital skills, but less attention is paid to cultural perceptions of healthcare and trust in online systems. There is also a lack of multi</w:t>
      </w:r>
      <w:r w:rsidRPr="00AA1033">
        <w:rPr>
          <w:rFonts w:ascii="Cambria Math" w:hAnsi="Cambria Math" w:cs="Cambria Math"/>
          <w:sz w:val="22"/>
          <w:szCs w:val="22"/>
        </w:rPr>
        <w:t>‑</w:t>
      </w:r>
      <w:r w:rsidRPr="00AA1033">
        <w:rPr>
          <w:rFonts w:ascii="Arial" w:hAnsi="Arial" w:cs="Arial"/>
          <w:sz w:val="22"/>
          <w:szCs w:val="22"/>
        </w:rPr>
        <w:t>stage studies showing how migrants’ digital confidence changes over time. Few studies confirm the effectiveness of multilingual interfaces or community support. Finally, the experiences of lower</w:t>
      </w:r>
      <w:r w:rsidRPr="00AA1033">
        <w:rPr>
          <w:rFonts w:ascii="Cambria Math" w:hAnsi="Cambria Math" w:cs="Cambria Math"/>
          <w:sz w:val="22"/>
          <w:szCs w:val="22"/>
        </w:rPr>
        <w:t>‑</w:t>
      </w:r>
      <w:r w:rsidRPr="00AA1033">
        <w:rPr>
          <w:rFonts w:ascii="Arial" w:hAnsi="Arial" w:cs="Arial"/>
          <w:sz w:val="22"/>
          <w:szCs w:val="22"/>
        </w:rPr>
        <w:t>income groups—such as asylum seekers, undocumented migrants and older migrants—remain understudied.</w:t>
      </w:r>
    </w:p>
    <w:p w14:paraId="191F1555" w14:textId="77777777" w:rsidR="00575E73" w:rsidRPr="00575E73" w:rsidRDefault="00575E73" w:rsidP="007D40F0">
      <w:pPr>
        <w:pStyle w:val="Heading1"/>
        <w:jc w:val="both"/>
        <w:rPr>
          <w:rFonts w:eastAsia="Arial"/>
        </w:rPr>
      </w:pPr>
      <w:bookmarkStart w:id="9" w:name="_Toc225024744"/>
      <w:r w:rsidRPr="00575E73">
        <w:rPr>
          <w:rFonts w:eastAsia="Arial"/>
        </w:rPr>
        <w:t>Task 3 – Research Methodologies</w:t>
      </w:r>
      <w:bookmarkEnd w:id="9"/>
      <w:r w:rsidRPr="00575E73">
        <w:rPr>
          <w:rFonts w:eastAsia="Arial"/>
        </w:rPr>
        <w:t xml:space="preserve">  </w:t>
      </w:r>
    </w:p>
    <w:p w14:paraId="588224AF" w14:textId="77777777" w:rsidR="00575E73" w:rsidRDefault="00432D05" w:rsidP="007D40F0">
      <w:pPr>
        <w:pStyle w:val="Heading2"/>
        <w:jc w:val="both"/>
        <w:rPr>
          <w:rFonts w:eastAsia="Arial"/>
        </w:rPr>
      </w:pPr>
      <w:bookmarkStart w:id="10" w:name="_Toc225024745"/>
      <w:r>
        <w:rPr>
          <w:rFonts w:eastAsia="Arial"/>
        </w:rPr>
        <w:t xml:space="preserve">3.1 </w:t>
      </w:r>
      <w:r w:rsidR="00575E73" w:rsidRPr="00575E73">
        <w:rPr>
          <w:rFonts w:eastAsia="Arial"/>
        </w:rPr>
        <w:t>Definitions and Examples</w:t>
      </w:r>
      <w:bookmarkEnd w:id="10"/>
    </w:p>
    <w:p w14:paraId="3956BFD8" w14:textId="77777777" w:rsidR="006B79DC" w:rsidRPr="00BF159B" w:rsidRDefault="006B79DC" w:rsidP="007D40F0">
      <w:pPr>
        <w:spacing w:line="360" w:lineRule="auto"/>
        <w:jc w:val="both"/>
        <w:rPr>
          <w:rFonts w:ascii="Arial" w:hAnsi="Arial" w:cs="Arial"/>
          <w:sz w:val="22"/>
          <w:szCs w:val="22"/>
        </w:rPr>
      </w:pPr>
      <w:r w:rsidRPr="00BF159B">
        <w:rPr>
          <w:rFonts w:ascii="Arial" w:hAnsi="Arial" w:cs="Arial"/>
          <w:sz w:val="22"/>
          <w:szCs w:val="22"/>
        </w:rPr>
        <w:t>Quantitative research focuses on numerical data and measurable variables. It is used to identify patterns, trends or the scale of a problem. In a health and social care context, a quantitative example would be measuring the percentage of migrants who are able to use the NHS App without assistance. Such data helps determine how widespread digital access issues are.</w:t>
      </w:r>
    </w:p>
    <w:p w14:paraId="500A983C" w14:textId="77777777" w:rsidR="006B79DC" w:rsidRPr="00BF159B" w:rsidRDefault="006B79DC" w:rsidP="007D40F0">
      <w:pPr>
        <w:spacing w:line="360" w:lineRule="auto"/>
        <w:jc w:val="both"/>
        <w:rPr>
          <w:rFonts w:ascii="Arial" w:hAnsi="Arial" w:cs="Arial"/>
          <w:sz w:val="22"/>
          <w:szCs w:val="22"/>
        </w:rPr>
      </w:pPr>
      <w:r w:rsidRPr="00BF159B">
        <w:rPr>
          <w:rFonts w:ascii="Arial" w:hAnsi="Arial" w:cs="Arial"/>
          <w:sz w:val="22"/>
          <w:szCs w:val="22"/>
        </w:rPr>
        <w:t>Qualitative research explores personal experiences, perceptions and meanings. It is particularly useful for understanding the emotional and cultural reasons behind people’s behaviours. For example, conducting interviews with refugees to understand why they feel anxious or confused when using online healthcare platforms provides deeper insight into the barriers they face. This aligns with findings from O’Donnell et al. (2021), who highlight that migrants’ healthcare experiences are shaped by complex emotional, linguistic and cultural factors that cannot be captured through numerical data alone.</w:t>
      </w:r>
    </w:p>
    <w:p w14:paraId="2F2D164A" w14:textId="417F1CAC" w:rsidR="006B79DC" w:rsidRPr="00BF159B" w:rsidRDefault="006B79DC" w:rsidP="007D40F0">
      <w:pPr>
        <w:spacing w:line="360" w:lineRule="auto"/>
        <w:jc w:val="both"/>
        <w:rPr>
          <w:rFonts w:ascii="Arial" w:hAnsi="Arial" w:cs="Arial"/>
          <w:sz w:val="22"/>
          <w:szCs w:val="22"/>
        </w:rPr>
      </w:pPr>
      <w:r w:rsidRPr="00BF159B">
        <w:rPr>
          <w:rFonts w:ascii="Arial" w:hAnsi="Arial" w:cs="Arial"/>
          <w:sz w:val="22"/>
          <w:szCs w:val="22"/>
        </w:rPr>
        <w:lastRenderedPageBreak/>
        <w:t>Mixed</w:t>
      </w:r>
      <w:r w:rsidRPr="00BF159B">
        <w:rPr>
          <w:rFonts w:ascii="Cambria Math" w:hAnsi="Cambria Math" w:cs="Cambria Math"/>
          <w:sz w:val="22"/>
          <w:szCs w:val="22"/>
        </w:rPr>
        <w:t>‑</w:t>
      </w:r>
      <w:r w:rsidRPr="00BF159B">
        <w:rPr>
          <w:rFonts w:ascii="Arial" w:hAnsi="Arial" w:cs="Arial"/>
          <w:sz w:val="22"/>
          <w:szCs w:val="22"/>
        </w:rPr>
        <w:t>methods research combines both quantitative and qualitative approaches. This method allows researchers to measure the scale of an issue while also exploring the underlying reasons behind it. In health and social care, a mixed</w:t>
      </w:r>
      <w:r w:rsidRPr="00BF159B">
        <w:rPr>
          <w:rFonts w:ascii="Cambria Math" w:hAnsi="Cambria Math" w:cs="Cambria Math"/>
          <w:sz w:val="22"/>
          <w:szCs w:val="22"/>
        </w:rPr>
        <w:t>‑</w:t>
      </w:r>
      <w:r w:rsidRPr="00BF159B">
        <w:rPr>
          <w:rFonts w:ascii="Arial" w:hAnsi="Arial" w:cs="Arial"/>
          <w:sz w:val="22"/>
          <w:szCs w:val="22"/>
        </w:rPr>
        <w:t>methods example might include using surveys to collect numerical data on digital access, followed by interviews to understand personal experiences with digital healthcare tools. This combination provides a more comprehensive understanding of the challenges faced by migrants and refugees.</w:t>
      </w:r>
    </w:p>
    <w:p w14:paraId="46792431" w14:textId="77777777" w:rsidR="00575E73" w:rsidRDefault="00432D05" w:rsidP="007D40F0">
      <w:pPr>
        <w:pStyle w:val="Heading2"/>
        <w:jc w:val="both"/>
        <w:rPr>
          <w:rFonts w:eastAsia="Arial"/>
        </w:rPr>
      </w:pPr>
      <w:bookmarkStart w:id="11" w:name="_Toc225024746"/>
      <w:r>
        <w:rPr>
          <w:rFonts w:eastAsia="Arial"/>
        </w:rPr>
        <w:t xml:space="preserve">3.2 </w:t>
      </w:r>
      <w:r w:rsidR="00575E73" w:rsidRPr="00575E73">
        <w:rPr>
          <w:rFonts w:eastAsia="Arial"/>
        </w:rPr>
        <w:t>Chosen Methodology and Justification</w:t>
      </w:r>
      <w:bookmarkEnd w:id="11"/>
    </w:p>
    <w:p w14:paraId="216911C2" w14:textId="2A44A869" w:rsidR="006C3870" w:rsidRPr="0046485C" w:rsidRDefault="006C3870" w:rsidP="007D40F0">
      <w:pPr>
        <w:spacing w:line="360" w:lineRule="auto"/>
        <w:jc w:val="both"/>
        <w:rPr>
          <w:rFonts w:ascii="Arial" w:hAnsi="Arial" w:cs="Arial"/>
          <w:sz w:val="22"/>
          <w:szCs w:val="22"/>
        </w:rPr>
      </w:pPr>
      <w:r w:rsidRPr="0046485C">
        <w:rPr>
          <w:rFonts w:ascii="Arial" w:hAnsi="Arial" w:cs="Arial"/>
          <w:sz w:val="22"/>
          <w:szCs w:val="22"/>
        </w:rPr>
        <w:t>A mixed</w:t>
      </w:r>
      <w:r w:rsidRPr="0046485C">
        <w:rPr>
          <w:rFonts w:ascii="Cambria Math" w:hAnsi="Cambria Math" w:cs="Cambria Math"/>
          <w:sz w:val="22"/>
          <w:szCs w:val="22"/>
        </w:rPr>
        <w:t>‑</w:t>
      </w:r>
      <w:r w:rsidRPr="0046485C">
        <w:rPr>
          <w:rFonts w:ascii="Arial" w:hAnsi="Arial" w:cs="Arial"/>
          <w:sz w:val="22"/>
          <w:szCs w:val="22"/>
        </w:rPr>
        <w:t>methods approach is the most appropriate methodology for this study. Quantitative data will be collected through a survey of approximately 50 migrants to identify how many individuals experience difficulties with digital healthcare tools and which barriers are most common. Semi</w:t>
      </w:r>
      <w:r w:rsidRPr="0046485C">
        <w:rPr>
          <w:rFonts w:ascii="Cambria Math" w:hAnsi="Cambria Math" w:cs="Cambria Math"/>
          <w:sz w:val="22"/>
          <w:szCs w:val="22"/>
        </w:rPr>
        <w:t>‑</w:t>
      </w:r>
      <w:r w:rsidRPr="0046485C">
        <w:rPr>
          <w:rFonts w:ascii="Arial" w:hAnsi="Arial" w:cs="Arial"/>
          <w:sz w:val="22"/>
          <w:szCs w:val="22"/>
        </w:rPr>
        <w:t>structured interviews with five refugees will gather qualitative data, offering insight into experiences related to language barriers, digital literacy and confidence when using online healthcare platforms. This approach is supported by Rabet et al. (2024), who emphasise that understanding migrants’ digital access requires both statistical evidence and in</w:t>
      </w:r>
      <w:r w:rsidRPr="0046485C">
        <w:rPr>
          <w:rFonts w:ascii="Cambria Math" w:hAnsi="Cambria Math" w:cs="Cambria Math"/>
          <w:sz w:val="22"/>
          <w:szCs w:val="22"/>
        </w:rPr>
        <w:t>‑</w:t>
      </w:r>
      <w:r w:rsidRPr="0046485C">
        <w:rPr>
          <w:rFonts w:ascii="Arial" w:hAnsi="Arial" w:cs="Arial"/>
          <w:sz w:val="22"/>
          <w:szCs w:val="22"/>
        </w:rPr>
        <w:t>depth qualitative exploration. Combining numerical data with personal experiences enables a holistic understanding and supports the development of effective recommendations</w:t>
      </w:r>
      <w:r w:rsidR="00654DA0" w:rsidRPr="0046485C">
        <w:rPr>
          <w:rFonts w:ascii="Arial" w:hAnsi="Arial" w:cs="Arial"/>
          <w:sz w:val="22"/>
          <w:szCs w:val="22"/>
        </w:rPr>
        <w:t>.</w:t>
      </w:r>
    </w:p>
    <w:p w14:paraId="71BF0E7E" w14:textId="77777777" w:rsidR="00575E73" w:rsidRPr="00575E73" w:rsidRDefault="00575E73" w:rsidP="007D40F0">
      <w:pPr>
        <w:pStyle w:val="Heading1"/>
        <w:jc w:val="both"/>
        <w:rPr>
          <w:rFonts w:eastAsia="Arial"/>
        </w:rPr>
      </w:pPr>
      <w:bookmarkStart w:id="12" w:name="_Toc225024747"/>
      <w:r w:rsidRPr="00575E73">
        <w:rPr>
          <w:rFonts w:eastAsia="Arial"/>
        </w:rPr>
        <w:t>Task 4 – Data Collection</w:t>
      </w:r>
      <w:bookmarkEnd w:id="12"/>
      <w:r w:rsidRPr="00575E73">
        <w:rPr>
          <w:rFonts w:eastAsia="Arial"/>
        </w:rPr>
        <w:t xml:space="preserve">  </w:t>
      </w:r>
    </w:p>
    <w:p w14:paraId="499BE8C4" w14:textId="77777777" w:rsidR="00575E73" w:rsidRDefault="00432D05" w:rsidP="007D40F0">
      <w:pPr>
        <w:pStyle w:val="Heading2"/>
        <w:jc w:val="both"/>
        <w:rPr>
          <w:rFonts w:eastAsia="Arial"/>
        </w:rPr>
      </w:pPr>
      <w:bookmarkStart w:id="13" w:name="_Toc225024748"/>
      <w:r>
        <w:rPr>
          <w:rFonts w:eastAsia="Arial"/>
        </w:rPr>
        <w:t xml:space="preserve">4.1 </w:t>
      </w:r>
      <w:r w:rsidR="00575E73" w:rsidRPr="00575E73">
        <w:rPr>
          <w:rFonts w:eastAsia="Arial"/>
        </w:rPr>
        <w:t>Primary vs Secondary Data</w:t>
      </w:r>
      <w:bookmarkEnd w:id="13"/>
    </w:p>
    <w:p w14:paraId="54D4A1CD" w14:textId="4545D9BF" w:rsidR="006C4127" w:rsidRPr="005D2721" w:rsidRDefault="005D2721" w:rsidP="007D40F0">
      <w:pPr>
        <w:spacing w:line="360" w:lineRule="auto"/>
        <w:jc w:val="both"/>
        <w:rPr>
          <w:rFonts w:ascii="Arial" w:hAnsi="Arial" w:cs="Arial"/>
          <w:sz w:val="22"/>
          <w:szCs w:val="22"/>
        </w:rPr>
      </w:pPr>
      <w:r w:rsidRPr="005D2721">
        <w:rPr>
          <w:rFonts w:ascii="Arial" w:hAnsi="Arial" w:cs="Arial"/>
          <w:sz w:val="22"/>
          <w:szCs w:val="22"/>
        </w:rPr>
        <w:t xml:space="preserve">Primary data describes information obtained directly by the researcher in order to fulfil the study’s specific research goals. </w:t>
      </w:r>
      <w:r w:rsidR="006C4127" w:rsidRPr="005D2721">
        <w:rPr>
          <w:rFonts w:ascii="Arial" w:hAnsi="Arial" w:cs="Arial"/>
          <w:sz w:val="22"/>
          <w:szCs w:val="22"/>
        </w:rPr>
        <w:t>In this project, it may involve structured interviews with migrants, refugees or interpreters who assist them in navigating digital healthcare services. This provides first</w:t>
      </w:r>
      <w:r w:rsidR="006C4127" w:rsidRPr="005D2721">
        <w:rPr>
          <w:rFonts w:ascii="Cambria Math" w:hAnsi="Cambria Math" w:cs="Cambria Math"/>
          <w:sz w:val="22"/>
          <w:szCs w:val="22"/>
        </w:rPr>
        <w:t>‑</w:t>
      </w:r>
      <w:r w:rsidR="006C4127" w:rsidRPr="005D2721">
        <w:rPr>
          <w:rFonts w:ascii="Arial" w:hAnsi="Arial" w:cs="Arial"/>
          <w:sz w:val="22"/>
          <w:szCs w:val="22"/>
        </w:rPr>
        <w:t>hand insight into personal experiences and the specific difficulties individuals face when using digital tools available only in English. Reports such as Doctors of the World (2022) show that these accounts are essential for understanding real</w:t>
      </w:r>
      <w:r w:rsidR="006C4127" w:rsidRPr="005D2721">
        <w:rPr>
          <w:rFonts w:ascii="Cambria Math" w:hAnsi="Cambria Math" w:cs="Cambria Math"/>
          <w:sz w:val="22"/>
          <w:szCs w:val="22"/>
        </w:rPr>
        <w:t>‑</w:t>
      </w:r>
      <w:r w:rsidR="006C4127" w:rsidRPr="005D2721">
        <w:rPr>
          <w:rFonts w:ascii="Arial" w:hAnsi="Arial" w:cs="Arial"/>
          <w:sz w:val="22"/>
          <w:szCs w:val="22"/>
        </w:rPr>
        <w:t>life barriers.</w:t>
      </w:r>
    </w:p>
    <w:p w14:paraId="2BD5502A" w14:textId="7C5028B6" w:rsidR="006C4127" w:rsidRPr="005D2721" w:rsidRDefault="006C4127" w:rsidP="007D40F0">
      <w:pPr>
        <w:spacing w:line="360" w:lineRule="auto"/>
        <w:jc w:val="both"/>
        <w:rPr>
          <w:rFonts w:ascii="Arial" w:hAnsi="Arial" w:cs="Arial"/>
          <w:sz w:val="22"/>
          <w:szCs w:val="22"/>
        </w:rPr>
      </w:pPr>
      <w:r w:rsidRPr="005D2721">
        <w:rPr>
          <w:rFonts w:ascii="Arial" w:hAnsi="Arial" w:cs="Arial"/>
          <w:sz w:val="22"/>
          <w:szCs w:val="22"/>
        </w:rPr>
        <w:t>Secondary data consists of information already collected and published by other organisations. Relevant examples include NHS digital usage reports, charity publications and national datasets such as Census 2021. NHS Digital (2023) offers key statistics on digital skills and access, helping to contextualise the scale of digital exclusion.</w:t>
      </w:r>
    </w:p>
    <w:p w14:paraId="242A4FA3" w14:textId="77777777" w:rsidR="00575E73" w:rsidRDefault="00432D05" w:rsidP="007D40F0">
      <w:pPr>
        <w:pStyle w:val="Heading2"/>
        <w:jc w:val="both"/>
        <w:rPr>
          <w:rFonts w:eastAsia="Arial"/>
        </w:rPr>
      </w:pPr>
      <w:bookmarkStart w:id="14" w:name="_Toc225024749"/>
      <w:r>
        <w:rPr>
          <w:rFonts w:eastAsia="Arial"/>
        </w:rPr>
        <w:t xml:space="preserve">4.2 </w:t>
      </w:r>
      <w:r w:rsidR="00575E73" w:rsidRPr="00575E73">
        <w:rPr>
          <w:rFonts w:eastAsia="Arial"/>
        </w:rPr>
        <w:t>Chosen Data Type and Justification</w:t>
      </w:r>
      <w:bookmarkEnd w:id="14"/>
    </w:p>
    <w:p w14:paraId="53320C1D" w14:textId="77777777" w:rsidR="00F31BA6" w:rsidRPr="0046485C" w:rsidRDefault="00F31BA6" w:rsidP="007D40F0">
      <w:pPr>
        <w:spacing w:line="360" w:lineRule="auto"/>
        <w:jc w:val="both"/>
        <w:rPr>
          <w:rFonts w:ascii="Arial" w:hAnsi="Arial" w:cs="Arial"/>
          <w:sz w:val="22"/>
          <w:szCs w:val="22"/>
        </w:rPr>
      </w:pPr>
      <w:r w:rsidRPr="0046485C">
        <w:rPr>
          <w:rFonts w:ascii="Arial" w:hAnsi="Arial" w:cs="Arial"/>
          <w:sz w:val="22"/>
          <w:szCs w:val="22"/>
        </w:rPr>
        <w:t>The research will begin with secondary data to gain an initial understanding of the scale of language</w:t>
      </w:r>
      <w:r w:rsidRPr="0046485C">
        <w:rPr>
          <w:rFonts w:ascii="Cambria Math" w:hAnsi="Cambria Math" w:cs="Cambria Math"/>
          <w:sz w:val="22"/>
          <w:szCs w:val="22"/>
        </w:rPr>
        <w:t>‑</w:t>
      </w:r>
      <w:r w:rsidRPr="0046485C">
        <w:rPr>
          <w:rFonts w:ascii="Arial" w:hAnsi="Arial" w:cs="Arial"/>
          <w:sz w:val="22"/>
          <w:szCs w:val="22"/>
        </w:rPr>
        <w:t>related digital barriers. Using existing reports is cost</w:t>
      </w:r>
      <w:r w:rsidRPr="0046485C">
        <w:rPr>
          <w:rFonts w:ascii="Cambria Math" w:hAnsi="Cambria Math" w:cs="Cambria Math"/>
          <w:sz w:val="22"/>
          <w:szCs w:val="22"/>
        </w:rPr>
        <w:t>‑</w:t>
      </w:r>
      <w:r w:rsidRPr="0046485C">
        <w:rPr>
          <w:rFonts w:ascii="Arial" w:hAnsi="Arial" w:cs="Arial"/>
          <w:sz w:val="22"/>
          <w:szCs w:val="22"/>
        </w:rPr>
        <w:t xml:space="preserve">effective and allows the researcher to identify key trends before collecting new data. For example, The King’s Fund </w:t>
      </w:r>
      <w:r w:rsidRPr="0046485C">
        <w:rPr>
          <w:rFonts w:ascii="Arial" w:hAnsi="Arial" w:cs="Arial"/>
          <w:sz w:val="22"/>
          <w:szCs w:val="22"/>
        </w:rPr>
        <w:lastRenderedPageBreak/>
        <w:t>(2022) highlights how digital transformation can unintentionally widen inequalities, reinforcing the importance of examining these issues before conducting primary research.</w:t>
      </w:r>
    </w:p>
    <w:p w14:paraId="58D6B1D2" w14:textId="5F2A0B79" w:rsidR="00F31BA6" w:rsidRPr="0046485C" w:rsidRDefault="00F31BA6" w:rsidP="007D40F0">
      <w:pPr>
        <w:spacing w:line="360" w:lineRule="auto"/>
        <w:jc w:val="both"/>
        <w:rPr>
          <w:rFonts w:ascii="Arial" w:hAnsi="Arial" w:cs="Arial"/>
          <w:sz w:val="22"/>
          <w:szCs w:val="22"/>
        </w:rPr>
      </w:pPr>
      <w:r w:rsidRPr="0046485C">
        <w:rPr>
          <w:rFonts w:ascii="Arial" w:hAnsi="Arial" w:cs="Arial"/>
          <w:sz w:val="22"/>
          <w:szCs w:val="22"/>
        </w:rPr>
        <w:t>However, the main part of the study will rely on primary data, specifically structured interviews with migrants or refugees. Interviews make it possible to explore which features of digital healthcare platforms are confusing and how language barriers affect users’ confidence and access to care</w:t>
      </w:r>
      <w:r w:rsidR="00B2278F" w:rsidRPr="0046485C">
        <w:rPr>
          <w:rFonts w:ascii="Arial" w:hAnsi="Arial" w:cs="Arial"/>
          <w:sz w:val="22"/>
          <w:szCs w:val="22"/>
        </w:rPr>
        <w:t>.</w:t>
      </w:r>
    </w:p>
    <w:p w14:paraId="0D68F582" w14:textId="77777777" w:rsidR="00575E73" w:rsidRDefault="00432D05" w:rsidP="007D40F0">
      <w:pPr>
        <w:pStyle w:val="Heading2"/>
        <w:jc w:val="both"/>
        <w:rPr>
          <w:rFonts w:eastAsia="Arial"/>
        </w:rPr>
      </w:pPr>
      <w:bookmarkStart w:id="15" w:name="_Toc225024750"/>
      <w:r>
        <w:rPr>
          <w:rFonts w:eastAsia="Arial"/>
        </w:rPr>
        <w:t xml:space="preserve">4.3 </w:t>
      </w:r>
      <w:r w:rsidR="00575E73" w:rsidRPr="00575E73">
        <w:rPr>
          <w:rFonts w:eastAsia="Arial"/>
        </w:rPr>
        <w:t>Advantages and Challenges</w:t>
      </w:r>
      <w:bookmarkEnd w:id="15"/>
    </w:p>
    <w:p w14:paraId="17D960F6" w14:textId="4E6B14C4" w:rsidR="002F1B6B" w:rsidRPr="0046485C" w:rsidRDefault="002F1B6B" w:rsidP="007D40F0">
      <w:pPr>
        <w:spacing w:line="360" w:lineRule="auto"/>
        <w:jc w:val="both"/>
        <w:rPr>
          <w:rFonts w:ascii="Arial" w:hAnsi="Arial" w:cs="Arial"/>
          <w:sz w:val="22"/>
          <w:szCs w:val="22"/>
        </w:rPr>
      </w:pPr>
      <w:r w:rsidRPr="0046485C">
        <w:rPr>
          <w:rFonts w:ascii="Arial" w:hAnsi="Arial" w:cs="Arial"/>
          <w:sz w:val="22"/>
          <w:szCs w:val="22"/>
        </w:rPr>
        <w:t>Primary data offers two key advantages: it provides specific information directly from affected individuals and allows follow</w:t>
      </w:r>
      <w:r w:rsidRPr="0046485C">
        <w:rPr>
          <w:rFonts w:ascii="Cambria Math" w:hAnsi="Cambria Math" w:cs="Cambria Math"/>
          <w:sz w:val="22"/>
          <w:szCs w:val="22"/>
        </w:rPr>
        <w:t>‑</w:t>
      </w:r>
      <w:r w:rsidRPr="0046485C">
        <w:rPr>
          <w:rFonts w:ascii="Arial" w:hAnsi="Arial" w:cs="Arial"/>
          <w:sz w:val="22"/>
          <w:szCs w:val="22"/>
        </w:rPr>
        <w:t>up questions to clarify unclear responses. However, challenges exist. Interviews may require professional interpreters, increasing time and cost, and recruiting migrants can be difficult due to trust or immigration concerns. These issues reflect wider social inequalities described by Marmot (2020), including unequal access to language support and digital tools.</w:t>
      </w:r>
    </w:p>
    <w:p w14:paraId="3F2A39EF" w14:textId="77777777" w:rsidR="00575E73" w:rsidRPr="00575E73" w:rsidRDefault="00575E73" w:rsidP="007D40F0">
      <w:pPr>
        <w:pStyle w:val="Heading1"/>
        <w:jc w:val="both"/>
        <w:rPr>
          <w:rFonts w:eastAsia="Arial"/>
        </w:rPr>
      </w:pPr>
      <w:bookmarkStart w:id="16" w:name="_Toc225024751"/>
      <w:r w:rsidRPr="00575E73">
        <w:rPr>
          <w:rFonts w:eastAsia="Arial"/>
        </w:rPr>
        <w:t>Conclusion</w:t>
      </w:r>
      <w:bookmarkEnd w:id="16"/>
      <w:r w:rsidRPr="00575E73">
        <w:rPr>
          <w:rFonts w:eastAsia="Arial"/>
        </w:rPr>
        <w:t xml:space="preserve">  </w:t>
      </w:r>
    </w:p>
    <w:p w14:paraId="28F77CE0" w14:textId="7B8305EA" w:rsidR="00575E73" w:rsidRPr="0046485C" w:rsidRDefault="005868F8" w:rsidP="007D40F0">
      <w:pPr>
        <w:spacing w:line="360" w:lineRule="auto"/>
        <w:jc w:val="both"/>
        <w:rPr>
          <w:rFonts w:ascii="Arial" w:eastAsia="Arial" w:hAnsi="Arial" w:cs="Arial"/>
          <w:sz w:val="22"/>
          <w:szCs w:val="22"/>
        </w:rPr>
      </w:pPr>
      <w:r w:rsidRPr="0046485C">
        <w:rPr>
          <w:rFonts w:ascii="Arial" w:eastAsia="Arial" w:hAnsi="Arial" w:cs="Arial"/>
          <w:sz w:val="22"/>
          <w:szCs w:val="22"/>
        </w:rPr>
        <w:t>The digital transformation of healthcare in the United Kingdom must be inclusive to ensure equitable access for all population groups. This study demonstrates that the combination of language barriers and digital technologies creates significant risks for the safety and wellbeing of migrant patients. The findings highlight the urgent need for multilingual interfaces, clearer navigation features, and integrated interpreter support, including video</w:t>
      </w:r>
      <w:r w:rsidRPr="0046485C">
        <w:rPr>
          <w:rFonts w:ascii="Cambria Math" w:eastAsia="Arial" w:hAnsi="Cambria Math" w:cs="Cambria Math"/>
          <w:sz w:val="22"/>
          <w:szCs w:val="22"/>
        </w:rPr>
        <w:t>‑</w:t>
      </w:r>
      <w:r w:rsidRPr="0046485C">
        <w:rPr>
          <w:rFonts w:ascii="Arial" w:eastAsia="Arial" w:hAnsi="Arial" w:cs="Arial"/>
          <w:sz w:val="22"/>
          <w:szCs w:val="22"/>
        </w:rPr>
        <w:t>based translation services. The research also strengthened my understanding of the importance of cultural competence in professional practice. It emphasised that effective digital healthcare requires not only technological innovation but also sensitivity to the diverse needs of its users.</w:t>
      </w:r>
    </w:p>
    <w:p w14:paraId="443B5EB3" w14:textId="77777777" w:rsidR="002611E6" w:rsidRDefault="002611E6">
      <w:pPr>
        <w:rPr>
          <w:rFonts w:asciiTheme="majorHAnsi" w:eastAsia="Arial" w:hAnsiTheme="majorHAnsi" w:cstheme="majorBidi"/>
          <w:color w:val="0F4761" w:themeColor="accent1" w:themeShade="BF"/>
          <w:sz w:val="40"/>
          <w:szCs w:val="40"/>
        </w:rPr>
      </w:pPr>
      <w:bookmarkStart w:id="17" w:name="_Toc225024752"/>
      <w:r>
        <w:rPr>
          <w:rFonts w:eastAsia="Arial"/>
        </w:rPr>
        <w:br w:type="page"/>
      </w:r>
    </w:p>
    <w:p w14:paraId="397E5340" w14:textId="55840186" w:rsidR="00575E73" w:rsidRDefault="00575E73" w:rsidP="007D40F0">
      <w:pPr>
        <w:pStyle w:val="Heading1"/>
        <w:jc w:val="both"/>
        <w:rPr>
          <w:rFonts w:eastAsia="Arial"/>
        </w:rPr>
      </w:pPr>
      <w:r w:rsidRPr="00575E73">
        <w:rPr>
          <w:rFonts w:eastAsia="Arial"/>
        </w:rPr>
        <w:lastRenderedPageBreak/>
        <w:t>Reference List</w:t>
      </w:r>
      <w:bookmarkEnd w:id="17"/>
    </w:p>
    <w:p w14:paraId="00DFBFB3" w14:textId="77777777" w:rsidR="005B5879" w:rsidRDefault="005B5879" w:rsidP="007D40F0">
      <w:pPr>
        <w:spacing w:line="360" w:lineRule="auto"/>
        <w:jc w:val="both"/>
        <w:rPr>
          <w:rFonts w:ascii="Arial" w:hAnsi="Arial" w:cs="Arial"/>
          <w:sz w:val="22"/>
          <w:szCs w:val="22"/>
        </w:rPr>
      </w:pPr>
      <w:r w:rsidRPr="0046485C">
        <w:rPr>
          <w:rFonts w:ascii="Arial" w:hAnsi="Arial" w:cs="Arial"/>
          <w:sz w:val="22"/>
          <w:szCs w:val="22"/>
        </w:rPr>
        <w:t xml:space="preserve">Doctors of the World (2022) </w:t>
      </w:r>
      <w:r w:rsidRPr="0046485C">
        <w:rPr>
          <w:rFonts w:ascii="Arial" w:hAnsi="Arial" w:cs="Arial"/>
          <w:i/>
          <w:iCs/>
          <w:sz w:val="22"/>
          <w:szCs w:val="22"/>
        </w:rPr>
        <w:t>Barriers to accessing NHS services: migrant experiences.</w:t>
      </w:r>
      <w:r w:rsidRPr="0046485C">
        <w:rPr>
          <w:rFonts w:ascii="Arial" w:hAnsi="Arial" w:cs="Arial"/>
          <w:sz w:val="22"/>
          <w:szCs w:val="22"/>
        </w:rPr>
        <w:t xml:space="preserve"> London: Doctors of the World UK.</w:t>
      </w:r>
    </w:p>
    <w:p w14:paraId="22C9D56D" w14:textId="77777777" w:rsidR="005B5879" w:rsidRPr="0046485C" w:rsidRDefault="005B5879" w:rsidP="007D40F0">
      <w:pPr>
        <w:spacing w:line="360" w:lineRule="auto"/>
        <w:jc w:val="both"/>
        <w:rPr>
          <w:rFonts w:ascii="Arial" w:hAnsi="Arial" w:cs="Arial"/>
          <w:sz w:val="22"/>
          <w:szCs w:val="22"/>
        </w:rPr>
      </w:pPr>
      <w:r w:rsidRPr="0046485C">
        <w:rPr>
          <w:rFonts w:ascii="Arial" w:hAnsi="Arial" w:cs="Arial"/>
          <w:sz w:val="22"/>
          <w:szCs w:val="22"/>
        </w:rPr>
        <w:t xml:space="preserve">Healthwatch England (2021) </w:t>
      </w:r>
      <w:r w:rsidRPr="0046485C">
        <w:rPr>
          <w:rFonts w:ascii="Arial" w:hAnsi="Arial" w:cs="Arial"/>
          <w:i/>
          <w:iCs/>
          <w:sz w:val="22"/>
          <w:szCs w:val="22"/>
        </w:rPr>
        <w:t>Digital exclusion in healthcare: patient experiences of remote consultations.</w:t>
      </w:r>
      <w:r w:rsidRPr="0046485C">
        <w:rPr>
          <w:rFonts w:ascii="Arial" w:hAnsi="Arial" w:cs="Arial"/>
          <w:sz w:val="22"/>
          <w:szCs w:val="22"/>
        </w:rPr>
        <w:t xml:space="preserve"> London: Healthwatch England.</w:t>
      </w:r>
    </w:p>
    <w:p w14:paraId="340D6E32" w14:textId="77777777" w:rsidR="005B5879" w:rsidRDefault="005B5879" w:rsidP="007D40F0">
      <w:pPr>
        <w:spacing w:line="360" w:lineRule="auto"/>
        <w:jc w:val="both"/>
        <w:rPr>
          <w:rFonts w:ascii="Arial" w:hAnsi="Arial" w:cs="Arial"/>
          <w:sz w:val="22"/>
          <w:szCs w:val="22"/>
        </w:rPr>
      </w:pPr>
      <w:r w:rsidRPr="0046485C">
        <w:rPr>
          <w:rFonts w:ascii="Arial" w:hAnsi="Arial" w:cs="Arial"/>
          <w:sz w:val="22"/>
          <w:szCs w:val="22"/>
        </w:rPr>
        <w:t xml:space="preserve">Marmot, M. (2020) </w:t>
      </w:r>
      <w:r w:rsidRPr="0046485C">
        <w:rPr>
          <w:rFonts w:ascii="Arial" w:hAnsi="Arial" w:cs="Arial"/>
          <w:i/>
          <w:iCs/>
          <w:sz w:val="22"/>
          <w:szCs w:val="22"/>
        </w:rPr>
        <w:t>The Health Gap: The Challenge of an Unequal World.</w:t>
      </w:r>
      <w:r w:rsidRPr="0046485C">
        <w:rPr>
          <w:rFonts w:ascii="Arial" w:hAnsi="Arial" w:cs="Arial"/>
          <w:sz w:val="22"/>
          <w:szCs w:val="22"/>
        </w:rPr>
        <w:t xml:space="preserve"> London: Bloomsbury.</w:t>
      </w:r>
    </w:p>
    <w:p w14:paraId="38B68CAF" w14:textId="296848C4" w:rsidR="006818DC" w:rsidRPr="0046485C" w:rsidRDefault="00D8564F" w:rsidP="007D40F0">
      <w:pPr>
        <w:spacing w:line="360" w:lineRule="auto"/>
        <w:jc w:val="both"/>
        <w:rPr>
          <w:rFonts w:ascii="Arial" w:hAnsi="Arial" w:cs="Arial"/>
          <w:sz w:val="22"/>
          <w:szCs w:val="22"/>
        </w:rPr>
      </w:pPr>
      <w:r w:rsidRPr="00D8564F">
        <w:rPr>
          <w:rFonts w:ascii="Arial" w:hAnsi="Arial" w:cs="Arial"/>
          <w:sz w:val="22"/>
          <w:szCs w:val="22"/>
        </w:rPr>
        <w:t xml:space="preserve">NHS Digital (2023) </w:t>
      </w:r>
      <w:r w:rsidRPr="00282C59">
        <w:rPr>
          <w:rFonts w:ascii="Arial" w:hAnsi="Arial" w:cs="Arial"/>
          <w:i/>
          <w:iCs/>
          <w:sz w:val="22"/>
          <w:szCs w:val="22"/>
        </w:rPr>
        <w:t>Digital inclusion for health and social care.</w:t>
      </w:r>
      <w:r w:rsidR="00282C59">
        <w:rPr>
          <w:rFonts w:ascii="Arial" w:hAnsi="Arial" w:cs="Arial"/>
          <w:sz w:val="22"/>
          <w:szCs w:val="22"/>
        </w:rPr>
        <w:t xml:space="preserve"> </w:t>
      </w:r>
      <w:r w:rsidRPr="00D8564F">
        <w:rPr>
          <w:rFonts w:ascii="Arial" w:hAnsi="Arial" w:cs="Arial"/>
          <w:sz w:val="22"/>
          <w:szCs w:val="22"/>
        </w:rPr>
        <w:t xml:space="preserve">Available at: </w:t>
      </w:r>
      <w:hyperlink r:id="rId10" w:history="1">
        <w:r w:rsidRPr="00997DB7">
          <w:rPr>
            <w:rStyle w:val="Hyperlink"/>
            <w:rFonts w:ascii="Arial" w:hAnsi="Arial" w:cs="Arial"/>
            <w:sz w:val="22"/>
            <w:szCs w:val="22"/>
          </w:rPr>
          <w:t>https://digital.nhs.uk</w:t>
        </w:r>
      </w:hyperlink>
      <w:r>
        <w:rPr>
          <w:rFonts w:ascii="Arial" w:hAnsi="Arial" w:cs="Arial"/>
          <w:sz w:val="22"/>
          <w:szCs w:val="22"/>
        </w:rPr>
        <w:t xml:space="preserve"> </w:t>
      </w:r>
      <w:r w:rsidR="003C159D" w:rsidRPr="003C159D">
        <w:rPr>
          <w:rFonts w:ascii="Arial" w:hAnsi="Arial" w:cs="Arial"/>
          <w:sz w:val="22"/>
          <w:szCs w:val="22"/>
        </w:rPr>
        <w:t>(Accessed:19/04/2026)</w:t>
      </w:r>
    </w:p>
    <w:p w14:paraId="51B3D8ED" w14:textId="77777777" w:rsidR="005B5879" w:rsidRPr="0046485C" w:rsidRDefault="005B5879" w:rsidP="007D40F0">
      <w:pPr>
        <w:spacing w:line="360" w:lineRule="auto"/>
        <w:jc w:val="both"/>
        <w:rPr>
          <w:rFonts w:ascii="Arial" w:hAnsi="Arial" w:cs="Arial"/>
          <w:sz w:val="22"/>
          <w:szCs w:val="22"/>
        </w:rPr>
      </w:pPr>
      <w:r w:rsidRPr="0046485C">
        <w:rPr>
          <w:rFonts w:ascii="Arial" w:hAnsi="Arial" w:cs="Arial"/>
          <w:sz w:val="22"/>
          <w:szCs w:val="22"/>
        </w:rPr>
        <w:t xml:space="preserve">O’Donnell, C. et al. (2021) </w:t>
      </w:r>
      <w:r w:rsidRPr="0046485C">
        <w:rPr>
          <w:rFonts w:ascii="Arial" w:hAnsi="Arial" w:cs="Arial"/>
          <w:i/>
          <w:iCs/>
          <w:sz w:val="22"/>
          <w:szCs w:val="22"/>
        </w:rPr>
        <w:t>‘Healthcare access for migrants in high</w:t>
      </w:r>
      <w:r w:rsidRPr="0046485C">
        <w:rPr>
          <w:rFonts w:ascii="Cambria Math" w:hAnsi="Cambria Math" w:cs="Cambria Math"/>
          <w:i/>
          <w:iCs/>
          <w:sz w:val="22"/>
          <w:szCs w:val="22"/>
        </w:rPr>
        <w:t>‑</w:t>
      </w:r>
      <w:r w:rsidRPr="0046485C">
        <w:rPr>
          <w:rFonts w:ascii="Arial" w:hAnsi="Arial" w:cs="Arial"/>
          <w:i/>
          <w:iCs/>
          <w:sz w:val="22"/>
          <w:szCs w:val="22"/>
        </w:rPr>
        <w:t>income countries: a systematic review’, BMC Health Services Research,</w:t>
      </w:r>
      <w:r w:rsidRPr="0046485C">
        <w:rPr>
          <w:rFonts w:ascii="Arial" w:hAnsi="Arial" w:cs="Arial"/>
          <w:sz w:val="22"/>
          <w:szCs w:val="22"/>
        </w:rPr>
        <w:t xml:space="preserve"> 21, pp. 1–15.</w:t>
      </w:r>
    </w:p>
    <w:p w14:paraId="7B95DF57" w14:textId="77777777" w:rsidR="005B5879" w:rsidRPr="0046485C" w:rsidRDefault="005B5879" w:rsidP="007D40F0">
      <w:pPr>
        <w:spacing w:line="360" w:lineRule="auto"/>
        <w:jc w:val="both"/>
        <w:rPr>
          <w:rFonts w:ascii="Arial" w:hAnsi="Arial" w:cs="Arial"/>
          <w:sz w:val="22"/>
          <w:szCs w:val="22"/>
        </w:rPr>
      </w:pPr>
      <w:r w:rsidRPr="0046485C">
        <w:rPr>
          <w:rFonts w:ascii="Arial" w:hAnsi="Arial" w:cs="Arial"/>
          <w:sz w:val="22"/>
          <w:szCs w:val="22"/>
        </w:rPr>
        <w:t xml:space="preserve">Rabet, R., </w:t>
      </w:r>
      <w:proofErr w:type="spellStart"/>
      <w:r w:rsidRPr="0046485C">
        <w:rPr>
          <w:rFonts w:ascii="Arial" w:hAnsi="Arial" w:cs="Arial"/>
          <w:sz w:val="22"/>
          <w:szCs w:val="22"/>
        </w:rPr>
        <w:t>Bagree</w:t>
      </w:r>
      <w:proofErr w:type="spellEnd"/>
      <w:r w:rsidRPr="0046485C">
        <w:rPr>
          <w:rFonts w:ascii="Arial" w:hAnsi="Arial" w:cs="Arial"/>
          <w:sz w:val="22"/>
          <w:szCs w:val="22"/>
        </w:rPr>
        <w:t xml:space="preserve">, E., Salam, Z. and </w:t>
      </w:r>
      <w:proofErr w:type="spellStart"/>
      <w:r w:rsidRPr="0046485C">
        <w:rPr>
          <w:rFonts w:ascii="Arial" w:hAnsi="Arial" w:cs="Arial"/>
          <w:sz w:val="22"/>
          <w:szCs w:val="22"/>
        </w:rPr>
        <w:t>Wahoush</w:t>
      </w:r>
      <w:proofErr w:type="spellEnd"/>
      <w:r w:rsidRPr="0046485C">
        <w:rPr>
          <w:rFonts w:ascii="Arial" w:hAnsi="Arial" w:cs="Arial"/>
          <w:sz w:val="22"/>
          <w:szCs w:val="22"/>
        </w:rPr>
        <w:t xml:space="preserve">, O. (2024) ‘Barriers and facilitators to digital primary health care access in immigrant and refugee populations: a scoping review’, </w:t>
      </w:r>
      <w:r w:rsidRPr="0046485C">
        <w:rPr>
          <w:rFonts w:ascii="Arial" w:hAnsi="Arial" w:cs="Arial"/>
          <w:i/>
          <w:iCs/>
          <w:sz w:val="22"/>
          <w:szCs w:val="22"/>
        </w:rPr>
        <w:t>Journal of Public Health,</w:t>
      </w:r>
      <w:r w:rsidRPr="0046485C">
        <w:rPr>
          <w:rFonts w:ascii="Arial" w:hAnsi="Arial" w:cs="Arial"/>
          <w:sz w:val="22"/>
          <w:szCs w:val="22"/>
        </w:rPr>
        <w:t xml:space="preserve"> 33, pp. 2279–2298.</w:t>
      </w:r>
    </w:p>
    <w:p w14:paraId="65625DD6" w14:textId="3FA60098" w:rsidR="005B5879" w:rsidRPr="0046485C" w:rsidRDefault="005B5879" w:rsidP="007D40F0">
      <w:pPr>
        <w:spacing w:line="360" w:lineRule="auto"/>
        <w:jc w:val="both"/>
        <w:rPr>
          <w:rFonts w:ascii="Arial" w:hAnsi="Arial" w:cs="Arial"/>
          <w:sz w:val="22"/>
          <w:szCs w:val="22"/>
        </w:rPr>
      </w:pPr>
      <w:r w:rsidRPr="0046485C">
        <w:rPr>
          <w:rFonts w:ascii="Arial" w:hAnsi="Arial" w:cs="Arial"/>
          <w:sz w:val="22"/>
          <w:szCs w:val="22"/>
        </w:rPr>
        <w:t xml:space="preserve">The King’s Fund (2022) </w:t>
      </w:r>
      <w:r w:rsidRPr="0046485C">
        <w:rPr>
          <w:rFonts w:ascii="Arial" w:hAnsi="Arial" w:cs="Arial"/>
          <w:i/>
          <w:iCs/>
          <w:sz w:val="22"/>
          <w:szCs w:val="22"/>
        </w:rPr>
        <w:t>Digital technologies and health inequalities.</w:t>
      </w:r>
      <w:r w:rsidRPr="0046485C">
        <w:rPr>
          <w:rFonts w:ascii="Arial" w:hAnsi="Arial" w:cs="Arial"/>
          <w:sz w:val="22"/>
          <w:szCs w:val="22"/>
        </w:rPr>
        <w:t xml:space="preserve"> London: The King’s Fund.</w:t>
      </w:r>
    </w:p>
    <w:p w14:paraId="1926368B" w14:textId="5EDF4492" w:rsidR="00530E16" w:rsidRPr="00575E73" w:rsidRDefault="00530E16" w:rsidP="007D40F0">
      <w:pPr>
        <w:spacing w:line="360" w:lineRule="auto"/>
        <w:jc w:val="both"/>
        <w:rPr>
          <w:rFonts w:ascii="Arial" w:eastAsia="Arial" w:hAnsi="Arial" w:cs="Arial"/>
          <w:sz w:val="22"/>
          <w:szCs w:val="22"/>
        </w:rPr>
      </w:pPr>
    </w:p>
    <w:sectPr w:rsidR="00530E16" w:rsidRPr="00575E73" w:rsidSect="00722EFE">
      <w:footerReference w:type="first" r:id="rId11"/>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008384" w14:textId="77777777" w:rsidR="008025EE" w:rsidRDefault="008025EE" w:rsidP="002A1842">
      <w:pPr>
        <w:spacing w:after="0" w:line="240" w:lineRule="auto"/>
      </w:pPr>
      <w:r>
        <w:separator/>
      </w:r>
    </w:p>
  </w:endnote>
  <w:endnote w:type="continuationSeparator" w:id="0">
    <w:p w14:paraId="06F75136" w14:textId="77777777" w:rsidR="008025EE" w:rsidRDefault="008025EE"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4723DFBC"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464AFA9A"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5B3E5190"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00CBF9F4"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085B91" w14:textId="77777777" w:rsidR="008025EE" w:rsidRDefault="008025EE" w:rsidP="002A1842">
      <w:pPr>
        <w:spacing w:after="0" w:line="240" w:lineRule="auto"/>
      </w:pPr>
      <w:r>
        <w:separator/>
      </w:r>
    </w:p>
  </w:footnote>
  <w:footnote w:type="continuationSeparator" w:id="0">
    <w:p w14:paraId="15692DF8" w14:textId="77777777" w:rsidR="008025EE" w:rsidRDefault="008025EE"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100219869">
    <w:abstractNumId w:val="5"/>
  </w:num>
  <w:num w:numId="2" w16cid:durableId="213278294">
    <w:abstractNumId w:val="3"/>
  </w:num>
  <w:num w:numId="3" w16cid:durableId="72315424">
    <w:abstractNumId w:val="2"/>
  </w:num>
  <w:num w:numId="4" w16cid:durableId="1920358610">
    <w:abstractNumId w:val="1"/>
  </w:num>
  <w:num w:numId="5" w16cid:durableId="1163853979">
    <w:abstractNumId w:val="4"/>
  </w:num>
  <w:num w:numId="6" w16cid:durableId="564334973">
    <w:abstractNumId w:val="0"/>
  </w:num>
  <w:num w:numId="7" w16cid:durableId="1729569206">
    <w:abstractNumId w:val="7"/>
  </w:num>
  <w:num w:numId="8" w16cid:durableId="150558963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288B"/>
    <w:rsid w:val="0000373D"/>
    <w:rsid w:val="00016AAD"/>
    <w:rsid w:val="000445CB"/>
    <w:rsid w:val="00052DFB"/>
    <w:rsid w:val="000A005D"/>
    <w:rsid w:val="000C4CA8"/>
    <w:rsid w:val="000C69D3"/>
    <w:rsid w:val="000D1E6F"/>
    <w:rsid w:val="000D20BC"/>
    <w:rsid w:val="000E3B35"/>
    <w:rsid w:val="000F1974"/>
    <w:rsid w:val="00107B17"/>
    <w:rsid w:val="00127098"/>
    <w:rsid w:val="001401D1"/>
    <w:rsid w:val="00151D85"/>
    <w:rsid w:val="00156052"/>
    <w:rsid w:val="00172AD1"/>
    <w:rsid w:val="001813E7"/>
    <w:rsid w:val="00187306"/>
    <w:rsid w:val="001C592B"/>
    <w:rsid w:val="001E0AF6"/>
    <w:rsid w:val="001E4C50"/>
    <w:rsid w:val="001E68AE"/>
    <w:rsid w:val="00207834"/>
    <w:rsid w:val="00213EF3"/>
    <w:rsid w:val="00224EFA"/>
    <w:rsid w:val="0023667B"/>
    <w:rsid w:val="0025673D"/>
    <w:rsid w:val="002611E6"/>
    <w:rsid w:val="00282C59"/>
    <w:rsid w:val="002A1842"/>
    <w:rsid w:val="002F1B6B"/>
    <w:rsid w:val="00316B7C"/>
    <w:rsid w:val="00347506"/>
    <w:rsid w:val="003A3208"/>
    <w:rsid w:val="003B4DB0"/>
    <w:rsid w:val="003C159D"/>
    <w:rsid w:val="003C4244"/>
    <w:rsid w:val="003D5FAB"/>
    <w:rsid w:val="004243BC"/>
    <w:rsid w:val="0042510F"/>
    <w:rsid w:val="00427C9A"/>
    <w:rsid w:val="00432D05"/>
    <w:rsid w:val="004468F8"/>
    <w:rsid w:val="00447862"/>
    <w:rsid w:val="0046485C"/>
    <w:rsid w:val="00504DE5"/>
    <w:rsid w:val="005060AF"/>
    <w:rsid w:val="00530E16"/>
    <w:rsid w:val="00564CED"/>
    <w:rsid w:val="00575E73"/>
    <w:rsid w:val="005868F8"/>
    <w:rsid w:val="005B192C"/>
    <w:rsid w:val="005B5879"/>
    <w:rsid w:val="005C0FEA"/>
    <w:rsid w:val="005C171D"/>
    <w:rsid w:val="005D2535"/>
    <w:rsid w:val="005D2721"/>
    <w:rsid w:val="005D6DF4"/>
    <w:rsid w:val="005E1760"/>
    <w:rsid w:val="005F0DCE"/>
    <w:rsid w:val="00654DA0"/>
    <w:rsid w:val="00655431"/>
    <w:rsid w:val="006818DC"/>
    <w:rsid w:val="006B79DC"/>
    <w:rsid w:val="006B7B61"/>
    <w:rsid w:val="006C3870"/>
    <w:rsid w:val="006C4127"/>
    <w:rsid w:val="006F4697"/>
    <w:rsid w:val="00722EFE"/>
    <w:rsid w:val="007545BF"/>
    <w:rsid w:val="007637E9"/>
    <w:rsid w:val="0076469A"/>
    <w:rsid w:val="007663FC"/>
    <w:rsid w:val="007A4A84"/>
    <w:rsid w:val="007D40F0"/>
    <w:rsid w:val="008025EE"/>
    <w:rsid w:val="0084418C"/>
    <w:rsid w:val="0087441C"/>
    <w:rsid w:val="008E7834"/>
    <w:rsid w:val="008F5535"/>
    <w:rsid w:val="00915BE9"/>
    <w:rsid w:val="00923D08"/>
    <w:rsid w:val="009552EE"/>
    <w:rsid w:val="00970A38"/>
    <w:rsid w:val="00974170"/>
    <w:rsid w:val="0098110F"/>
    <w:rsid w:val="009819CF"/>
    <w:rsid w:val="009F5B61"/>
    <w:rsid w:val="009F60D1"/>
    <w:rsid w:val="00A75B15"/>
    <w:rsid w:val="00A9255D"/>
    <w:rsid w:val="00AA1033"/>
    <w:rsid w:val="00AE06EA"/>
    <w:rsid w:val="00AE5BE1"/>
    <w:rsid w:val="00AF151A"/>
    <w:rsid w:val="00B01A38"/>
    <w:rsid w:val="00B01E59"/>
    <w:rsid w:val="00B14A9B"/>
    <w:rsid w:val="00B2278F"/>
    <w:rsid w:val="00B422CC"/>
    <w:rsid w:val="00B55796"/>
    <w:rsid w:val="00B65ED6"/>
    <w:rsid w:val="00BA0043"/>
    <w:rsid w:val="00BF159B"/>
    <w:rsid w:val="00C061E4"/>
    <w:rsid w:val="00C80D2D"/>
    <w:rsid w:val="00CC3B67"/>
    <w:rsid w:val="00CF650B"/>
    <w:rsid w:val="00D62A9C"/>
    <w:rsid w:val="00D71B29"/>
    <w:rsid w:val="00D8564F"/>
    <w:rsid w:val="00DB181C"/>
    <w:rsid w:val="00DD4FCF"/>
    <w:rsid w:val="00E02EA0"/>
    <w:rsid w:val="00E07AB8"/>
    <w:rsid w:val="00E46039"/>
    <w:rsid w:val="00E6097F"/>
    <w:rsid w:val="00EA04EC"/>
    <w:rsid w:val="00ED0179"/>
    <w:rsid w:val="00ED792C"/>
    <w:rsid w:val="00F134E2"/>
    <w:rsid w:val="00F2184F"/>
    <w:rsid w:val="00F31BA6"/>
    <w:rsid w:val="00F34ECB"/>
    <w:rsid w:val="00F618F2"/>
    <w:rsid w:val="00F82C2D"/>
    <w:rsid w:val="00F97130"/>
    <w:rsid w:val="00FE50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66452"/>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F82C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hyperlink" Target="https://digital.nhs.uk" TargetMode="Externa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A1FB017-6D85-46E9-BB07-93312FAEA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2439</Words>
  <Characters>13903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Kateryna Churaieva (2532697)</cp:lastModifiedBy>
  <cp:revision>77</cp:revision>
  <dcterms:created xsi:type="dcterms:W3CDTF">2026-04-16T11:30:00Z</dcterms:created>
  <dcterms:modified xsi:type="dcterms:W3CDTF">2026-04-19T10:37:00Z</dcterms:modified>
</cp:coreProperties>
</file>