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Times New Roman" w:hAnsi="Times New Roman" w:cs="Times New Roman" w:eastAsia="Times New Roman"/>
          <w:b/>
          <w:color w:val="auto"/>
          <w:spacing w:val="0"/>
          <w:position w:val="0"/>
          <w:sz w:val="32"/>
          <w:shd w:fill="auto" w:val="clear"/>
        </w:rPr>
        <w:t xml:space="preserve">ASSIGNMENT 2 REPORT</w:t>
      </w:r>
      <w:r>
        <w:rPr>
          <w:rFonts w:ascii="Arial" w:hAnsi="Arial" w:cs="Arial" w:eastAsia="Arial"/>
          <w:color w:val="auto"/>
          <w:spacing w:val="0"/>
          <w:position w:val="0"/>
          <w:sz w:val="22"/>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name: Ivan Uzunov</w:t>
      </w:r>
    </w:p>
    <w:p>
      <w:pPr>
        <w:spacing w:before="0" w:after="160" w:line="360"/>
        <w:ind w:right="0" w:left="0" w:firstLine="0"/>
        <w:jc w:val="both"/>
        <w:rPr>
          <w:rFonts w:ascii="Times New Roman" w:hAnsi="Times New Roman" w:cs="Times New Roman" w:eastAsia="Times New Roman"/>
          <w:b/>
          <w:color w:val="auto"/>
          <w:spacing w:val="-10"/>
          <w:position w:val="0"/>
          <w:sz w:val="36"/>
          <w:shd w:fill="auto" w:val="clear"/>
        </w:rPr>
      </w:pPr>
      <w:r>
        <w:rPr>
          <w:rFonts w:ascii="Times New Roman" w:hAnsi="Times New Roman" w:cs="Times New Roman" w:eastAsia="Times New Roman"/>
          <w:b/>
          <w:color w:val="auto"/>
          <w:spacing w:val="0"/>
          <w:position w:val="0"/>
          <w:sz w:val="24"/>
          <w:shd w:fill="auto" w:val="clear"/>
        </w:rPr>
        <w:t xml:space="preserve">Student Id:2011296</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of Contents</w:t>
      </w:r>
    </w:p>
    <w:p>
      <w:pPr>
        <w:spacing w:before="0" w:after="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Part A</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 Monthly control report showing original budget, flexed budget, and variances</w:t>
      </w:r>
    </w:p>
    <w:tbl>
      <w:tblPr/>
      <w:tblGrid>
        <w:gridCol w:w="2565"/>
        <w:gridCol w:w="1545"/>
        <w:gridCol w:w="1440"/>
        <w:gridCol w:w="1440"/>
        <w:gridCol w:w="1020"/>
        <w:gridCol w:w="1380"/>
      </w:tblGrid>
      <w:tr>
        <w:trPr>
          <w:trHeight w:val="345" w:hRule="auto"/>
          <w:jc w:val="center"/>
        </w:trPr>
        <w:tc>
          <w:tcPr>
            <w:tcW w:w="9390" w:type="dxa"/>
            <w:gridSpan w:val="6"/>
            <w:tcBorders>
              <w:top w:val="single" w:color="000000" w:sz="6"/>
              <w:left w:val="single" w:color="000000" w:sz="6"/>
              <w:bottom w:val="single" w:color="000000" w:sz="6"/>
              <w:right w:val="single" w:color="000000" w:sz="6"/>
            </w:tcBorders>
            <w:shd w:color="000000" w:fill="ffffff" w:val="clear"/>
            <w:tcMar>
              <w:left w:w="40" w:type="dxa"/>
              <w:right w:w="40" w:type="dxa"/>
            </w:tcMar>
            <w:vAlign w:val="bottom"/>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Monthly Control Report Analysis of Amana Limited as on 2020</w:t>
            </w:r>
          </w:p>
        </w:tc>
      </w:tr>
      <w:tr>
        <w:trPr>
          <w:trHeight w:val="630" w:hRule="auto"/>
          <w:jc w:val="center"/>
        </w:trPr>
        <w:tc>
          <w:tcPr>
            <w:tcW w:w="2565" w:type="dxa"/>
            <w:tcBorders>
              <w:top w:val="single" w:color="cccccc" w:sz="6"/>
              <w:left w:val="single" w:color="000000"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Particulars</w:t>
            </w:r>
          </w:p>
        </w:tc>
        <w:tc>
          <w:tcPr>
            <w:tcW w:w="1545"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Original budget (£)</w:t>
            </w: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Flexed budget (£)</w:t>
            </w: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Actual budget (£)</w:t>
            </w:r>
          </w:p>
        </w:tc>
        <w:tc>
          <w:tcPr>
            <w:tcW w:w="102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Variance (%)</w:t>
            </w:r>
          </w:p>
        </w:tc>
        <w:tc>
          <w:tcPr>
            <w:tcW w:w="138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Favorable /</w:t>
            </w:r>
          </w:p>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Unfavorable</w:t>
            </w:r>
          </w:p>
        </w:tc>
      </w:tr>
      <w:tr>
        <w:trPr>
          <w:trHeight w:val="345" w:hRule="auto"/>
          <w:jc w:val="center"/>
        </w:trPr>
        <w:tc>
          <w:tcPr>
            <w:tcW w:w="2565" w:type="dxa"/>
            <w:tcBorders>
              <w:top w:val="single" w:color="cccccc" w:sz="6"/>
              <w:left w:val="single" w:color="000000"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Units</w:t>
            </w:r>
          </w:p>
        </w:tc>
        <w:tc>
          <w:tcPr>
            <w:tcW w:w="1545"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100,000.00</w:t>
            </w: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80,000.00</w:t>
            </w: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80,000.00</w:t>
            </w:r>
          </w:p>
        </w:tc>
        <w:tc>
          <w:tcPr>
            <w:tcW w:w="102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-25.00%</w:t>
            </w:r>
          </w:p>
        </w:tc>
        <w:tc>
          <w:tcPr>
            <w:tcW w:w="138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Unfavorable</w:t>
            </w:r>
          </w:p>
        </w:tc>
      </w:tr>
      <w:tr>
        <w:trPr>
          <w:trHeight w:val="345" w:hRule="auto"/>
          <w:jc w:val="center"/>
        </w:trPr>
        <w:tc>
          <w:tcPr>
            <w:tcW w:w="2565" w:type="dxa"/>
            <w:tcBorders>
              <w:top w:val="single" w:color="cccccc" w:sz="6"/>
              <w:left w:val="single" w:color="000000"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Selling price (per unit)</w:t>
            </w:r>
          </w:p>
        </w:tc>
        <w:tc>
          <w:tcPr>
            <w:tcW w:w="1545"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25.00</w:t>
            </w: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20.00</w:t>
            </w:r>
          </w:p>
        </w:tc>
        <w:tc>
          <w:tcPr>
            <w:tcW w:w="102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-25.00%</w:t>
            </w:r>
          </w:p>
        </w:tc>
        <w:tc>
          <w:tcPr>
            <w:tcW w:w="138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Unfavorable</w:t>
            </w:r>
          </w:p>
        </w:tc>
      </w:tr>
      <w:tr>
        <w:trPr>
          <w:trHeight w:val="345" w:hRule="auto"/>
          <w:jc w:val="center"/>
        </w:trPr>
        <w:tc>
          <w:tcPr>
            <w:tcW w:w="2565" w:type="dxa"/>
            <w:tcBorders>
              <w:top w:val="single" w:color="cccccc" w:sz="6"/>
              <w:left w:val="single" w:color="000000"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Total sales</w:t>
            </w:r>
          </w:p>
        </w:tc>
        <w:tc>
          <w:tcPr>
            <w:tcW w:w="1545"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2,500,000.00</w:t>
            </w: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2,000,000.00</w:t>
            </w: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1,600,000.00</w:t>
            </w:r>
          </w:p>
        </w:tc>
        <w:tc>
          <w:tcPr>
            <w:tcW w:w="102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-56.25%</w:t>
            </w:r>
          </w:p>
        </w:tc>
        <w:tc>
          <w:tcPr>
            <w:tcW w:w="138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Unfavorable</w:t>
            </w:r>
          </w:p>
        </w:tc>
      </w:tr>
      <w:tr>
        <w:trPr>
          <w:trHeight w:val="345" w:hRule="auto"/>
          <w:jc w:val="center"/>
        </w:trPr>
        <w:tc>
          <w:tcPr>
            <w:tcW w:w="2565" w:type="dxa"/>
            <w:tcBorders>
              <w:top w:val="single" w:color="cccccc" w:sz="6"/>
              <w:left w:val="single" w:color="000000"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Variable costs:</w:t>
            </w:r>
          </w:p>
        </w:tc>
        <w:tc>
          <w:tcPr>
            <w:tcW w:w="1545"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02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38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rFonts w:ascii="Calibri" w:hAnsi="Calibri" w:cs="Calibri" w:eastAsia="Calibri"/>
                <w:color w:val="auto"/>
                <w:spacing w:val="0"/>
                <w:position w:val="0"/>
                <w:sz w:val="22"/>
                <w:shd w:fill="auto" w:val="clear"/>
              </w:rPr>
            </w:pPr>
          </w:p>
        </w:tc>
      </w:tr>
      <w:tr>
        <w:trPr>
          <w:trHeight w:val="345" w:hRule="auto"/>
          <w:jc w:val="center"/>
        </w:trPr>
        <w:tc>
          <w:tcPr>
            <w:tcW w:w="2565" w:type="dxa"/>
            <w:tcBorders>
              <w:top w:val="single" w:color="cccccc" w:sz="6"/>
              <w:left w:val="single" w:color="000000"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Materials</w:t>
            </w:r>
          </w:p>
        </w:tc>
        <w:tc>
          <w:tcPr>
            <w:tcW w:w="1545"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250,000.00</w:t>
            </w: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200,000.00</w:t>
            </w: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280,000.00</w:t>
            </w:r>
          </w:p>
        </w:tc>
        <w:tc>
          <w:tcPr>
            <w:tcW w:w="102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-12.00%</w:t>
            </w:r>
          </w:p>
        </w:tc>
        <w:tc>
          <w:tcPr>
            <w:tcW w:w="138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Unfavorable</w:t>
            </w:r>
          </w:p>
        </w:tc>
      </w:tr>
      <w:tr>
        <w:trPr>
          <w:trHeight w:val="345" w:hRule="auto"/>
          <w:jc w:val="center"/>
        </w:trPr>
        <w:tc>
          <w:tcPr>
            <w:tcW w:w="2565" w:type="dxa"/>
            <w:tcBorders>
              <w:top w:val="single" w:color="cccccc" w:sz="6"/>
              <w:left w:val="single" w:color="000000"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Labours</w:t>
            </w:r>
          </w:p>
        </w:tc>
        <w:tc>
          <w:tcPr>
            <w:tcW w:w="1545"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400,000.00</w:t>
            </w: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320,000.00</w:t>
            </w: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440,000.00</w:t>
            </w:r>
          </w:p>
        </w:tc>
        <w:tc>
          <w:tcPr>
            <w:tcW w:w="102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-10.00%</w:t>
            </w:r>
          </w:p>
        </w:tc>
        <w:tc>
          <w:tcPr>
            <w:tcW w:w="138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Unfavorable</w:t>
            </w:r>
          </w:p>
        </w:tc>
      </w:tr>
      <w:tr>
        <w:trPr>
          <w:trHeight w:val="345" w:hRule="auto"/>
          <w:jc w:val="center"/>
        </w:trPr>
        <w:tc>
          <w:tcPr>
            <w:tcW w:w="2565" w:type="dxa"/>
            <w:tcBorders>
              <w:top w:val="single" w:color="cccccc" w:sz="6"/>
              <w:left w:val="single" w:color="000000"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Overheads</w:t>
            </w:r>
          </w:p>
        </w:tc>
        <w:tc>
          <w:tcPr>
            <w:tcW w:w="1545"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150,000.00</w:t>
            </w: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120,000.00</w:t>
            </w: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120,000.00</w:t>
            </w:r>
          </w:p>
        </w:tc>
        <w:tc>
          <w:tcPr>
            <w:tcW w:w="102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20.00%</w:t>
            </w:r>
          </w:p>
        </w:tc>
        <w:tc>
          <w:tcPr>
            <w:tcW w:w="138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Favorable</w:t>
            </w:r>
          </w:p>
        </w:tc>
      </w:tr>
      <w:tr>
        <w:trPr>
          <w:trHeight w:val="345" w:hRule="auto"/>
          <w:jc w:val="center"/>
        </w:trPr>
        <w:tc>
          <w:tcPr>
            <w:tcW w:w="2565" w:type="dxa"/>
            <w:tcBorders>
              <w:top w:val="single" w:color="cccccc" w:sz="6"/>
              <w:left w:val="single" w:color="000000"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Contributions</w:t>
            </w:r>
          </w:p>
        </w:tc>
        <w:tc>
          <w:tcPr>
            <w:tcW w:w="1545"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1,700,000.00</w:t>
            </w: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760,000.00</w:t>
            </w:r>
          </w:p>
        </w:tc>
        <w:tc>
          <w:tcPr>
            <w:tcW w:w="102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55.29%</w:t>
            </w:r>
          </w:p>
        </w:tc>
        <w:tc>
          <w:tcPr>
            <w:tcW w:w="138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rFonts w:ascii="Calibri" w:hAnsi="Calibri" w:cs="Calibri" w:eastAsia="Calibri"/>
                <w:color w:val="auto"/>
                <w:spacing w:val="0"/>
                <w:position w:val="0"/>
                <w:sz w:val="22"/>
                <w:shd w:fill="auto" w:val="clear"/>
              </w:rPr>
            </w:pPr>
          </w:p>
        </w:tc>
      </w:tr>
      <w:tr>
        <w:trPr>
          <w:trHeight w:val="345" w:hRule="auto"/>
          <w:jc w:val="center"/>
        </w:trPr>
        <w:tc>
          <w:tcPr>
            <w:tcW w:w="2565" w:type="dxa"/>
            <w:tcBorders>
              <w:top w:val="single" w:color="cccccc" w:sz="6"/>
              <w:left w:val="single" w:color="000000"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Fixed overheads:</w:t>
            </w:r>
          </w:p>
        </w:tc>
        <w:tc>
          <w:tcPr>
            <w:tcW w:w="1545"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02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38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rFonts w:ascii="Calibri" w:hAnsi="Calibri" w:cs="Calibri" w:eastAsia="Calibri"/>
                <w:color w:val="auto"/>
                <w:spacing w:val="0"/>
                <w:position w:val="0"/>
                <w:sz w:val="22"/>
                <w:shd w:fill="auto" w:val="clear"/>
              </w:rPr>
            </w:pPr>
          </w:p>
        </w:tc>
      </w:tr>
      <w:tr>
        <w:trPr>
          <w:trHeight w:val="345" w:hRule="auto"/>
          <w:jc w:val="center"/>
        </w:trPr>
        <w:tc>
          <w:tcPr>
            <w:tcW w:w="2565" w:type="dxa"/>
            <w:tcBorders>
              <w:top w:val="single" w:color="cccccc" w:sz="6"/>
              <w:left w:val="single" w:color="000000"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Warehouse rental</w:t>
            </w:r>
          </w:p>
        </w:tc>
        <w:tc>
          <w:tcPr>
            <w:tcW w:w="1545"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200,000.00</w:t>
            </w: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170,000.00</w:t>
            </w:r>
          </w:p>
        </w:tc>
        <w:tc>
          <w:tcPr>
            <w:tcW w:w="102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15.00%</w:t>
            </w:r>
          </w:p>
        </w:tc>
        <w:tc>
          <w:tcPr>
            <w:tcW w:w="138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Favorable</w:t>
            </w:r>
          </w:p>
        </w:tc>
      </w:tr>
      <w:tr>
        <w:trPr>
          <w:trHeight w:val="345" w:hRule="auto"/>
          <w:jc w:val="center"/>
        </w:trPr>
        <w:tc>
          <w:tcPr>
            <w:tcW w:w="2565" w:type="dxa"/>
            <w:tcBorders>
              <w:top w:val="single" w:color="cccccc" w:sz="6"/>
              <w:left w:val="single" w:color="000000"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Insurance</w:t>
            </w:r>
          </w:p>
        </w:tc>
        <w:tc>
          <w:tcPr>
            <w:tcW w:w="1545"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100,000.00</w:t>
            </w: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100,000.00</w:t>
            </w:r>
          </w:p>
        </w:tc>
        <w:tc>
          <w:tcPr>
            <w:tcW w:w="102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0.00%</w:t>
            </w:r>
          </w:p>
        </w:tc>
        <w:tc>
          <w:tcPr>
            <w:tcW w:w="138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Nil</w:t>
            </w:r>
          </w:p>
        </w:tc>
      </w:tr>
      <w:tr>
        <w:trPr>
          <w:trHeight w:val="345" w:hRule="auto"/>
          <w:jc w:val="center"/>
        </w:trPr>
        <w:tc>
          <w:tcPr>
            <w:tcW w:w="2565" w:type="dxa"/>
            <w:tcBorders>
              <w:top w:val="single" w:color="cccccc" w:sz="6"/>
              <w:left w:val="single" w:color="000000"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Full Time warehouse supervisor salary</w:t>
            </w:r>
          </w:p>
        </w:tc>
        <w:tc>
          <w:tcPr>
            <w:tcW w:w="1545"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50,000.00</w:t>
            </w: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44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35,000.00</w:t>
            </w:r>
          </w:p>
        </w:tc>
        <w:tc>
          <w:tcPr>
            <w:tcW w:w="102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30.00%</w:t>
            </w:r>
          </w:p>
        </w:tc>
        <w:tc>
          <w:tcPr>
            <w:tcW w:w="1380" w:type="dxa"/>
            <w:tcBorders>
              <w:top w:val="single" w:color="cccccc" w:sz="6"/>
              <w:left w:val="single" w:color="cccccc" w:sz="6"/>
              <w:bottom w:val="single" w:color="000000" w:sz="6"/>
              <w:right w:val="single" w:color="000000" w:sz="6"/>
            </w:tcBorders>
            <w:shd w:color="auto" w:fill="auto" w:val="clear"/>
            <w:tcMar>
              <w:left w:w="40" w:type="dxa"/>
              <w:right w:w="40" w:type="dxa"/>
            </w:tcMar>
            <w:vAlign w:val="bottom"/>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Favorable</w:t>
            </w:r>
          </w:p>
        </w:tc>
      </w:tr>
    </w:tbl>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1: Monthly Control Report Analysis of Amana Limited as on 2020</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As created by self)</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overall orientation of preparing the monthly control report it has been stated that through the help of applying the budgeting techniques the clarity of decision making process can be established in a successful manner. Through the help of this monthly control report the original budget, current variance, flexed budget are properly illustrated and evaluated so that it can be easy to determine whether the result of each element of the budget is showing the favorable status or unfavorable status. The variance analysis is executed through converting it to the percentage format so that the management can use it to analyse the report more concisely (</w:t>
      </w:r>
      <w:r>
        <w:rPr>
          <w:rFonts w:ascii="Times New Roman" w:hAnsi="Times New Roman" w:cs="Times New Roman" w:eastAsia="Times New Roman"/>
          <w:color w:val="auto"/>
          <w:spacing w:val="0"/>
          <w:position w:val="0"/>
          <w:sz w:val="24"/>
          <w:shd w:fill="FFFFFF" w:val="clear"/>
        </w:rPr>
        <w:t xml:space="preserve">Junita, 2018</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ii) Preparation of a report on Amana’s performance during the year 2020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has been given in the case scenario that Amana Limited is a family-operated and owned tourist business which is currently located in England and the company has offered the tourist souvenirs. As a tourist company they have multiple locations in England where the tourist hotspots are located. The product design has been conducted by the team of Amana Limited while the manufacturing process has been conducted by a Chinese manufacturer. As a successful business corporation the company has run its business operations over 40 years and due to this long experience the company has obtained an understanding of the dynamic nature of the tourism industry. Due to the outbreak of the covid 19 the government has imposed restrictions on the movement of travel to control the spread of infections for which it has been impacted on the tourism industry all across the globe. Due to this reason the impact of the Amana limited has been deployed by a big hit on revenue and production. In the case of the above analysis it can be stated that the company cannot generate an expected amount of units due to the fluctuation on the demand of travelling as well as the restriction imposed by the UK government on transportation and administration process (</w:t>
      </w:r>
      <w:r>
        <w:rPr>
          <w:rFonts w:ascii="Times New Roman" w:hAnsi="Times New Roman" w:cs="Times New Roman" w:eastAsia="Times New Roman"/>
          <w:color w:val="auto"/>
          <w:spacing w:val="0"/>
          <w:position w:val="0"/>
          <w:sz w:val="24"/>
          <w:shd w:fill="FFFFFF" w:val="clear"/>
        </w:rPr>
        <w:t xml:space="preserve">Bybordi </w:t>
      </w:r>
      <w:r>
        <w:rPr>
          <w:rFonts w:ascii="Times New Roman" w:hAnsi="Times New Roman" w:cs="Times New Roman" w:eastAsia="Times New Roman"/>
          <w:i/>
          <w:color w:val="auto"/>
          <w:spacing w:val="0"/>
          <w:position w:val="0"/>
          <w:sz w:val="24"/>
          <w:shd w:fill="FFFFFF" w:val="clear"/>
        </w:rPr>
        <w:t xml:space="preserve">et al., </w:t>
      </w:r>
      <w:r>
        <w:rPr>
          <w:rFonts w:ascii="Times New Roman" w:hAnsi="Times New Roman" w:cs="Times New Roman" w:eastAsia="Times New Roman"/>
          <w:color w:val="auto"/>
          <w:spacing w:val="0"/>
          <w:position w:val="0"/>
          <w:sz w:val="24"/>
          <w:shd w:fill="FFFFFF" w:val="clear"/>
        </w:rPr>
        <w:t xml:space="preserve">2019</w:t>
      </w:r>
      <w:r>
        <w:rPr>
          <w:rFonts w:ascii="Times New Roman" w:hAnsi="Times New Roman" w:cs="Times New Roman" w:eastAsia="Times New Roman"/>
          <w:color w:val="auto"/>
          <w:spacing w:val="0"/>
          <w:position w:val="0"/>
          <w:sz w:val="24"/>
          <w:shd w:fill="auto" w:val="clear"/>
        </w:rPr>
        <w:t xml:space="preserve">). In the year 2020 the expected budget figure of tidal unit production was 100000 units whereas in the actual budget it has been observed that the company has only produced 80000 units which shows a 20000 units deficit. This would impact on the profitability of the company as the company has earned a low revenue amount as compared to the original budget. In the case of comparing the selling price per unit, Amana Limited has estimated an amount of £20 selling price per unit while the original budget showed a different picture in which the estimated amount was £25 per unit.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both the case of sales and unit production the variance percentage was showing a negative variance of 25%. This provides that the performance of the company has not been consistent up to the mark and the situation is showing the unfavorable condition of the company’s earnings (</w:t>
      </w:r>
      <w:r>
        <w:rPr>
          <w:rFonts w:ascii="Times New Roman" w:hAnsi="Times New Roman" w:cs="Times New Roman" w:eastAsia="Times New Roman"/>
          <w:color w:val="auto"/>
          <w:spacing w:val="0"/>
          <w:position w:val="0"/>
          <w:sz w:val="24"/>
          <w:shd w:fill="FFFFFF" w:val="clear"/>
        </w:rPr>
        <w:t xml:space="preserve">Cherep </w:t>
      </w:r>
      <w:r>
        <w:rPr>
          <w:rFonts w:ascii="Times New Roman" w:hAnsi="Times New Roman" w:cs="Times New Roman" w:eastAsia="Times New Roman"/>
          <w:i/>
          <w:color w:val="auto"/>
          <w:spacing w:val="0"/>
          <w:position w:val="0"/>
          <w:sz w:val="24"/>
          <w:shd w:fill="FFFFFF" w:val="clear"/>
        </w:rPr>
        <w:t xml:space="preserve">et al., </w:t>
      </w:r>
      <w:r>
        <w:rPr>
          <w:rFonts w:ascii="Times New Roman" w:hAnsi="Times New Roman" w:cs="Times New Roman" w:eastAsia="Times New Roman"/>
          <w:color w:val="auto"/>
          <w:spacing w:val="0"/>
          <w:position w:val="0"/>
          <w:sz w:val="24"/>
          <w:shd w:fill="FFFFFF" w:val="clear"/>
        </w:rPr>
        <w:t xml:space="preserve">2020</w:t>
      </w:r>
      <w:r>
        <w:rPr>
          <w:rFonts w:ascii="Times New Roman" w:hAnsi="Times New Roman" w:cs="Times New Roman" w:eastAsia="Times New Roman"/>
          <w:color w:val="auto"/>
          <w:spacing w:val="0"/>
          <w:position w:val="0"/>
          <w:sz w:val="24"/>
          <w:shd w:fill="auto" w:val="clear"/>
        </w:rPr>
        <w:t xml:space="preserve">). Apart from this, the variable cost and fixed cost are also included in the budget forecasting report in which it has been observed that the company was expected to purchased the raw material by allocating an amount of £2.5 per unit which means £250000 where the actual material cost was estimated an amount of £280000. Due to the impact of covid 19 and the restriction in every aspect of living the price of travel and tours was also increased. Therefore, in terms of producing 80000 units the raw materials estimated a higher amount in actual budget which is unfavorable for the company. On the contrary, the labour charge has been increased as there was multiple job loss all around the country thus labourers are more demanding to work and earn something which is more reliable in the situation like this. In the actual budget, the labour charge was estimated by £440000 where the original budget amount which was expected by the company was £400000. The performance in several operating aspects has been a downfall for which the overall performance to maintain the profit margin and minimise the operational cost cannot be properly maintained during this particular phase. The overheads cost has been reduced by £30000 for which it is showing a favorable situation and the positive variance shows 20% which shows the impact on fluctuation of the manufacturing activity that Amana Limited has been successfully handling. It can be stated that the company is able to optimise the cost allocation of production supplies, energy and water consumption to run the production lines as well as pay the wages wh are responsible to provide their effort for handling the entire product cycle (</w:t>
      </w:r>
      <w:r>
        <w:rPr>
          <w:rFonts w:ascii="Times New Roman" w:hAnsi="Times New Roman" w:cs="Times New Roman" w:eastAsia="Times New Roman"/>
          <w:color w:val="auto"/>
          <w:spacing w:val="0"/>
          <w:position w:val="0"/>
          <w:sz w:val="24"/>
          <w:shd w:fill="FFFFFF" w:val="clear"/>
        </w:rPr>
        <w:t xml:space="preserve">Henttu-Aho, 2018</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the analysis the contribution has also been provided in the scenario which shows that in the original budget forecasting report the company estimated a total contribution of £1700000 where in the actual budget the company earned only an amount of £760000 contribution. It is known that a contribution is the amount which is calculated by subtracting all the direct cost from its revenue. In the case of the remaining amount which is consequently decreased from the original budget by 55.29% which shows the company’s ability to mitigate the fixed overhead was also decreased. Therefore, any excess contribution amount over fixed cost has been considered as the net profit which can be earned by the company. During 2020 the company has generated fixed overheads in terms of manufacturing and producing units in terms of obtaining the business operations. In the case of warehouse rental, the actual budget figure has been estimated at an amount of £170000 which is reduced by 15% from the original budget report. This means the company is able to maintain the rental charges by reducing it which produces the favorable position of the company and shows the positive impact on overall business performances. The insurance amount has remained unchanged and the full-time warehouse supervisor salary has been reduced by 30% which continues the favorable position of the company.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overall aspect of the budgeting orientation has helped to generate the clarity and concise outlook which develop the insight based on which the management can make important decisions. In which part and how much fluctuation has been increased and decreased that can be easily illustrated through the variance calculation. The variance helps to show the positive or negative status on its business performance in each element of the production process (</w:t>
      </w:r>
      <w:r>
        <w:rPr>
          <w:rFonts w:ascii="Times New Roman" w:hAnsi="Times New Roman" w:cs="Times New Roman" w:eastAsia="Times New Roman"/>
          <w:color w:val="auto"/>
          <w:spacing w:val="0"/>
          <w:position w:val="0"/>
          <w:sz w:val="24"/>
          <w:shd w:fill="FFFFFF" w:val="clear"/>
        </w:rPr>
        <w:t xml:space="preserve">DeFranco and Schmidgall, 2017</w:t>
      </w:r>
      <w:r>
        <w:rPr>
          <w:rFonts w:ascii="Times New Roman" w:hAnsi="Times New Roman" w:cs="Times New Roman" w:eastAsia="Times New Roman"/>
          <w:color w:val="auto"/>
          <w:spacing w:val="0"/>
          <w:position w:val="0"/>
          <w:sz w:val="24"/>
          <w:shd w:fill="auto" w:val="clear"/>
        </w:rPr>
        <w:t xml:space="preserve">). From the flexed budget association, it can be more accurate in order to articulate how the company can change its allocation or estimation of the variable and fixed overheads in terms to make the desired profitability.</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iii) Recommendations to Amana’s CEO on areas of improvement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recommendation or advice which can be made for Amana Limited as a manager by showing the cost breakdown and variance evaluation which can open the door of understanding based on which the company can make several decisions regarding their way of marketing procurement. In terms of improving the areas of optimising the cost, the company is well aware about how to concentrate on the estimation of raw materials and labour cost which is a plus point for the company to obtain profitability during 2020. Apart from this the company needs to focus on its e-commerce and online marketing process so that they can constantly connect with the clients by handling their profile and pre-book all the orders of tourists which helps the company to intend the sessional demand of visitors in a systematic manner. The company needs to concentrate on their functions of website serving aea beside taking care of physical stores so that during the restriction of covid 19 the company cannot be bound to stop their operations and provide the facility to the employees to run their jobs through remote working process.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company has also advised to look upon its onboarding process so that with a centralised and cloud based process they can run their operations from anytime and anywhere without facing any delay. The company can also make a move towards enhancing their product lines like their own online grocery platform and food delivery which is also associated with the hospitality and tourism industry. Through the help of this manner that can produce multiple units of goods and services thus if the selling price of the products are low then it cannot be impacted on the overall profit margin of the company at the end of the financial years.</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Part B</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An analysis of Mr Amana’s decision to go online and advise if they should set up their own online shop or sell on Amazon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has been observed that in the case of run and operate the business Amana Limited has successfully maintained its overall functionalities in terms to generate expected profitability. With 40 years of working experience the company has well established its brand names and developed a vast knowledge on the dynamic evolution and movement of the tourism industry. Due to the development of software, technological enlistment, availability of resources and financial stability the customer demand has changed over time. From the given case scenario, it has been understood that the company has been confused to select a particular decision between launching their own online website or shop and sell through Amazon. The cost breakdown in each of the options are provided shortly from which it can be stated that in the case of launching their own online website the cost association has been high as compared to selling through Amazon. In the case of opening their own website e-commerce platform they need to develop a set up delivery network which will be estimated at an amount of £150000. The upgradation of the current website for handling large volumes of sales units needs to be taken at a cost of £50000.  The salary of a full time IT professional in a financial year would be cost of £35000 and based on the market analysis it will be guaranteed to pull a minimum sale of 100000 units annually. Therefore, the total cost estimation for opening their own online platform as a marketing and selling channel is approximately = (150000 + 50000 + 35000) = £235000. On the contrary, in the case of selling and promoting their products through using a well known and established platform like Amazon the company needs to spend only £50000 as Amazon’s fulfilment fee. By estimating this amount, the company can generate 65000 units of products annually with the potential to be enhanced based on the market demand of the product.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has been stated that most of the merchandised business houses are attracted by Amazon to resell their products by offering great discounts while there are the same products available of different brands or companies. In this case, it can be observed that the long-term success of those companies is very much in doubt (</w:t>
      </w:r>
      <w:r>
        <w:rPr>
          <w:rFonts w:ascii="Times New Roman" w:hAnsi="Times New Roman" w:cs="Times New Roman" w:eastAsia="Times New Roman"/>
          <w:color w:val="auto"/>
          <w:spacing w:val="0"/>
          <w:position w:val="0"/>
          <w:sz w:val="24"/>
          <w:shd w:fill="FFFFFF" w:val="clear"/>
        </w:rPr>
        <w:t xml:space="preserve">Baker El-Ebiary </w:t>
      </w:r>
      <w:r>
        <w:rPr>
          <w:rFonts w:ascii="Times New Roman" w:hAnsi="Times New Roman" w:cs="Times New Roman" w:eastAsia="Times New Roman"/>
          <w:i/>
          <w:color w:val="auto"/>
          <w:spacing w:val="0"/>
          <w:position w:val="0"/>
          <w:sz w:val="24"/>
          <w:shd w:fill="FFFFFF" w:val="clear"/>
        </w:rPr>
        <w:t xml:space="preserve">et al., </w:t>
      </w:r>
      <w:r>
        <w:rPr>
          <w:rFonts w:ascii="Times New Roman" w:hAnsi="Times New Roman" w:cs="Times New Roman" w:eastAsia="Times New Roman"/>
          <w:color w:val="auto"/>
          <w:spacing w:val="0"/>
          <w:position w:val="0"/>
          <w:sz w:val="24"/>
          <w:shd w:fill="FFFFFF" w:val="clear"/>
        </w:rPr>
        <w:t xml:space="preserve">2021</w:t>
      </w:r>
      <w:r>
        <w:rPr>
          <w:rFonts w:ascii="Times New Roman" w:hAnsi="Times New Roman" w:cs="Times New Roman" w:eastAsia="Times New Roman"/>
          <w:color w:val="auto"/>
          <w:spacing w:val="0"/>
          <w:position w:val="0"/>
          <w:sz w:val="24"/>
          <w:shd w:fill="auto" w:val="clear"/>
        </w:rPr>
        <w:t xml:space="preserve">). The reason behind this is that in the case of purchasing a product with a huge range of options the customers often miss out the brand name and they are only concentrating on the price, quality, feedback which fulfil their needs. On the other hand, in the case of differentiating their products from others to sustain in the battle of margin the sellers are working their best to maintain the same top line sales where they cannot possibly end up with the same bottom line revenue generation (</w:t>
      </w:r>
      <w:r>
        <w:rPr>
          <w:rFonts w:ascii="Times New Roman" w:hAnsi="Times New Roman" w:cs="Times New Roman" w:eastAsia="Times New Roman"/>
          <w:color w:val="auto"/>
          <w:spacing w:val="0"/>
          <w:position w:val="0"/>
          <w:sz w:val="24"/>
          <w:shd w:fill="FFFFFF" w:val="clear"/>
        </w:rPr>
        <w:t xml:space="preserve">Nguyen Jr, 2019</w:t>
      </w:r>
      <w:r>
        <w:rPr>
          <w:rFonts w:ascii="Times New Roman" w:hAnsi="Times New Roman" w:cs="Times New Roman" w:eastAsia="Times New Roman"/>
          <w:color w:val="auto"/>
          <w:spacing w:val="0"/>
          <w:position w:val="0"/>
          <w:sz w:val="24"/>
          <w:shd w:fill="auto" w:val="clear"/>
        </w:rPr>
        <w:t xml:space="preserve">). Unless a brand with having a strong distribution control network oer its product it is worthless for the company to establish their profitability margin through selling in Amazon platform where hundreds of companies are offering the same products. This crowding in the online platform impacts the price range and all the sellers need to maintain the competitive price strategy just to get the margin out of holding a specific brand. On the other side, Amazon has offered a massive amount of customer search through continuously upgrading their customer purchase data so that a minimum number of potential sellers can get the accessibility to reach out those customers as per their needs and purchasing history. Therefore, in order to compete for the long run on the same listing which the Amazon Retail store offers is not likely to be considered as an effective business model (</w:t>
      </w:r>
      <w:r>
        <w:rPr>
          <w:rFonts w:ascii="Times New Roman" w:hAnsi="Times New Roman" w:cs="Times New Roman" w:eastAsia="Times New Roman"/>
          <w:color w:val="auto"/>
          <w:spacing w:val="0"/>
          <w:position w:val="0"/>
          <w:sz w:val="24"/>
          <w:shd w:fill="FFFFFF" w:val="clear"/>
        </w:rPr>
        <w:t xml:space="preserve">Daniel and Kahlun, 2021</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case of opening Amana’s own online platform though it takes much costlier in the initial aspects however, this can boost the sales volume annually with a guaranteed production procurement. Through the help of opening their own website and upgrading the website surface with Artificial Intelligence technology the company can provide an instant chatbox communication space where the customer can be entertained 24*7 so that the company can always be engaged with their potential customers by solving their problems and taking feedback (</w:t>
      </w:r>
      <w:r>
        <w:rPr>
          <w:rFonts w:ascii="Times New Roman" w:hAnsi="Times New Roman" w:cs="Times New Roman" w:eastAsia="Times New Roman"/>
          <w:color w:val="auto"/>
          <w:spacing w:val="0"/>
          <w:position w:val="0"/>
          <w:sz w:val="24"/>
          <w:shd w:fill="FFFFFF" w:val="clear"/>
        </w:rPr>
        <w:t xml:space="preserve">Kompen </w:t>
      </w:r>
      <w:r>
        <w:rPr>
          <w:rFonts w:ascii="Times New Roman" w:hAnsi="Times New Roman" w:cs="Times New Roman" w:eastAsia="Times New Roman"/>
          <w:i/>
          <w:color w:val="auto"/>
          <w:spacing w:val="0"/>
          <w:position w:val="0"/>
          <w:sz w:val="24"/>
          <w:shd w:fill="FFFFFF" w:val="clear"/>
        </w:rPr>
        <w:t xml:space="preserve">et al., </w:t>
      </w:r>
      <w:r>
        <w:rPr>
          <w:rFonts w:ascii="Times New Roman" w:hAnsi="Times New Roman" w:cs="Times New Roman" w:eastAsia="Times New Roman"/>
          <w:color w:val="auto"/>
          <w:spacing w:val="0"/>
          <w:position w:val="0"/>
          <w:sz w:val="24"/>
          <w:shd w:fill="FFFFFF" w:val="clear"/>
        </w:rPr>
        <w:t xml:space="preserve">2019</w:t>
      </w:r>
      <w:r>
        <w:rPr>
          <w:rFonts w:ascii="Times New Roman" w:hAnsi="Times New Roman" w:cs="Times New Roman" w:eastAsia="Times New Roman"/>
          <w:color w:val="auto"/>
          <w:spacing w:val="0"/>
          <w:position w:val="0"/>
          <w:sz w:val="24"/>
          <w:shd w:fill="auto" w:val="clear"/>
        </w:rPr>
        <w:t xml:space="preserve">). Thus, a website can become an important and vital medium of marketing and promotion through communicating with customers and informing new launches, offers and discounts. Through the machine learning orientation once a customer opens the website, they need to look at a pop up which offers the notification provided by Amana. By clicking it they can get the information, news and other reminders automatically (</w:t>
      </w:r>
      <w:r>
        <w:rPr>
          <w:rFonts w:ascii="Times New Roman" w:hAnsi="Times New Roman" w:cs="Times New Roman" w:eastAsia="Times New Roman"/>
          <w:color w:val="auto"/>
          <w:spacing w:val="0"/>
          <w:position w:val="0"/>
          <w:sz w:val="24"/>
          <w:shd w:fill="FFFFFF" w:val="clear"/>
        </w:rPr>
        <w:t xml:space="preserve">Meijer and Wessels, 2019</w:t>
      </w:r>
      <w:r>
        <w:rPr>
          <w:rFonts w:ascii="Times New Roman" w:hAnsi="Times New Roman" w:cs="Times New Roman" w:eastAsia="Times New Roman"/>
          <w:color w:val="auto"/>
          <w:spacing w:val="0"/>
          <w:position w:val="0"/>
          <w:sz w:val="24"/>
          <w:shd w:fill="auto" w:val="clear"/>
        </w:rPr>
        <w:t xml:space="preserve">). As the company has moved forward by setting a goal to maximise its profits and sales as well as generate 50% of sales through online thus it will be a great move for them by closing three physical branches like Brighton, Birmingham city and Manchester city centre to cut down the fixed overheads and maintaining cost of those branches. Through the help of developing their own online sites they are not only providing a broader space and facility to free shipping without taking much time to the customers but also obtain the brand identity by delivering the product at the doorsteps of the customers.</w:t>
      </w:r>
    </w:p>
    <w:p>
      <w:pPr>
        <w:spacing w:before="0" w:after="0" w:line="360"/>
        <w:ind w:right="0" w:left="0" w:firstLine="0"/>
        <w:jc w:val="both"/>
        <w:rPr>
          <w:rFonts w:ascii="Arial" w:hAnsi="Arial" w:cs="Arial" w:eastAsia="Arial"/>
          <w:color w:val="auto"/>
          <w:spacing w:val="0"/>
          <w:position w:val="0"/>
          <w:sz w:val="22"/>
          <w:shd w:fill="auto" w:val="clear"/>
        </w:rPr>
      </w:pPr>
      <w:r>
        <w:rPr>
          <w:rFonts w:ascii="Times New Roman" w:hAnsi="Times New Roman" w:cs="Times New Roman" w:eastAsia="Times New Roman"/>
          <w:color w:val="auto"/>
          <w:spacing w:val="0"/>
          <w:position w:val="0"/>
          <w:sz w:val="24"/>
          <w:shd w:fill="auto" w:val="clear"/>
        </w:rPr>
        <w:t xml:space="preserve">Therefore, it can be stated that without taking much time Amana Limited can go for setting up their own online platform or website rather than choose the option of selling through Amazon. As the company cannot have a control over price and get minimum exposure to flaunt their unique features and quality of products. The lack of return policy enhances the unnecessary cost which cannot be worthy for the company for the long run to make profitability and generate the sales volume as per their expectation.</w:t>
      </w: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Baker El-Ebiary, Y.A., Ghanem, W.A.H., Saany, S.I.A., Rose, A.N.M., Jusoh, J.A. and Hassan, H., 2021, June. A Comparative Study of eBay and Amazon Electronic Commerce Platforms. In International Conference on Emerging Technologies and Intelligent Systems (pp. 371-380). Springer, Cham.</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Bybordi, N., Ousama, A.A. and Shreim, O.S., 2019. Analysis of the Budgeting System: A Case Study of a Manufacturing Company. Asian Journal of Accounting Perspectives, 12(2), pp.82-100.</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Cherep, A., Gorbunova, A. and Shcheblykina, I., 2020. Features of introducing budgeting for different models of innovation processes: a framework review. Problems and Perspectives in Management, 18(3), p.338.</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Daniel, T.I.F. and Kahlun, T.A., 2021. The viability of private labeling on Amazon. com in the 2020s: a study on the popular Amazon business model from a Finnish e-tailer’s point of view.</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DeFranco, A.L. and Schmidgall, R.S., 2017. Cash Budgets, Controls, and Management in Clubs. The Journal of Hospitality Financial Management, 25(2), pp.112-122.</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Henttu-Aho, T., 2018. The role of rolling forecasting in budgetary control systems: reactive and proactive types of planning. Journal of management control, 29(3), pp.327-360.</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Junita, A., 2018. The effect of budget variances on the local government budget changes with legislature size as moderator.</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Kompen, R.T., Edirisingha, P., Canaleta, X., Alsina, M. and Monguet, J.M., 2019. Personal learning Environments based on Web 2.0 services in higher education. Telematics and informatics, 38, pp.194-206.</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Meijer, A. and Wessels, M., 2019. Predictive policing: Review of benefits and drawbacks. International Journal of Public Administration, 42(12), pp.1031-1039.</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Nguyen Jr, O., 2019. Setting Up an Online Store on Amazon UK. Case Company: Finarte Oy.</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