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8B6A7" w14:textId="77777777" w:rsidR="00E27D1F" w:rsidRDefault="008C6416" w:rsidP="00E27D1F">
      <w:pPr>
        <w:shd w:val="clear" w:color="auto" w:fill="FFFFFF"/>
        <w:spacing w:before="240" w:after="240" w:line="240" w:lineRule="auto"/>
        <w:rPr>
          <w:rFonts w:ascii="Arial Black" w:eastAsia="Times New Roman" w:hAnsi="Arial Black" w:cs="Segoe UI"/>
          <w:color w:val="0F1115"/>
          <w:kern w:val="0"/>
          <w:sz w:val="48"/>
          <w:szCs w:val="48"/>
          <w:lang w:eastAsia="en-GB"/>
          <w14:ligatures w14:val="none"/>
        </w:rPr>
      </w:pPr>
      <w:r>
        <w:rPr>
          <w:rFonts w:ascii="Arial Black" w:eastAsia="Times New Roman" w:hAnsi="Arial Black" w:cs="Segoe UI"/>
          <w:color w:val="0F1115"/>
          <w:kern w:val="0"/>
          <w:sz w:val="48"/>
          <w:szCs w:val="48"/>
          <w:lang w:eastAsia="en-GB"/>
          <w14:ligatures w14:val="none"/>
        </w:rPr>
        <w:t xml:space="preserve">      </w:t>
      </w:r>
    </w:p>
    <w:p w14:paraId="660491EB" w14:textId="77777777" w:rsidR="00E27D1F" w:rsidRDefault="00E27D1F" w:rsidP="00E27D1F">
      <w:pPr>
        <w:shd w:val="clear" w:color="auto" w:fill="FFFFFF"/>
        <w:spacing w:before="240" w:after="240" w:line="240" w:lineRule="auto"/>
        <w:rPr>
          <w:rFonts w:ascii="Arial Black" w:eastAsia="Times New Roman" w:hAnsi="Arial Black" w:cs="Segoe UI"/>
          <w:color w:val="0F1115"/>
          <w:kern w:val="0"/>
          <w:sz w:val="48"/>
          <w:szCs w:val="48"/>
          <w:lang w:eastAsia="en-GB"/>
          <w14:ligatures w14:val="none"/>
        </w:rPr>
      </w:pPr>
    </w:p>
    <w:p w14:paraId="13175DF2" w14:textId="3C64119D" w:rsidR="008C6416" w:rsidRPr="00E27D1F" w:rsidRDefault="008C6416" w:rsidP="00E27D1F">
      <w:pPr>
        <w:shd w:val="clear" w:color="auto" w:fill="FFFFFF"/>
        <w:spacing w:before="240" w:after="240" w:line="240" w:lineRule="auto"/>
        <w:rPr>
          <w:rFonts w:ascii="Arial Black" w:eastAsia="Times New Roman" w:hAnsi="Arial Black" w:cs="Segoe UI"/>
          <w:b/>
          <w:bCs/>
          <w:color w:val="0F1115"/>
          <w:kern w:val="0"/>
          <w:sz w:val="32"/>
          <w:szCs w:val="32"/>
          <w:lang w:eastAsia="en-GB"/>
          <w14:ligatures w14:val="none"/>
        </w:rPr>
      </w:pPr>
      <w:r w:rsidRPr="008C6416">
        <w:rPr>
          <w:rFonts w:ascii="Arial Black" w:hAnsi="Arial Black" w:cs="Arial"/>
          <w:b/>
          <w:sz w:val="48"/>
          <w:szCs w:val="48"/>
        </w:rPr>
        <w:t>BSc Health and Social Care</w:t>
      </w:r>
    </w:p>
    <w:p w14:paraId="62BB5585" w14:textId="57E1BA04" w:rsidR="008C6416" w:rsidRDefault="008C6416" w:rsidP="005308F9">
      <w:pPr>
        <w:shd w:val="clear" w:color="auto" w:fill="FFFFFF"/>
        <w:spacing w:before="240" w:after="240" w:line="240" w:lineRule="auto"/>
        <w:rPr>
          <w:rFonts w:ascii="Arial" w:hAnsi="Arial" w:cs="Arial"/>
          <w:b/>
          <w:sz w:val="44"/>
          <w:szCs w:val="44"/>
        </w:rPr>
      </w:pPr>
      <w:r>
        <w:rPr>
          <w:rFonts w:ascii="Arial Black" w:hAnsi="Arial Black" w:cs="Arial"/>
          <w:b/>
          <w:sz w:val="48"/>
          <w:szCs w:val="48"/>
        </w:rPr>
        <w:t>Module</w:t>
      </w:r>
      <w:r w:rsidRPr="008C6416">
        <w:rPr>
          <w:rFonts w:ascii="Arial" w:hAnsi="Arial" w:cs="Arial"/>
          <w:b/>
          <w:sz w:val="44"/>
          <w:szCs w:val="44"/>
        </w:rPr>
        <w:t xml:space="preserve">: </w:t>
      </w:r>
      <w:r w:rsidRPr="008C6416">
        <w:rPr>
          <w:rFonts w:ascii="Arial" w:hAnsi="Arial" w:cs="Arial"/>
          <w:b/>
          <w:sz w:val="44"/>
          <w:szCs w:val="44"/>
        </w:rPr>
        <w:t>Introduction to Physiology</w:t>
      </w:r>
    </w:p>
    <w:p w14:paraId="341AD7D4" w14:textId="011430E5" w:rsidR="008C6416" w:rsidRDefault="008C6416" w:rsidP="008C6416">
      <w:pPr>
        <w:spacing w:before="120" w:after="120"/>
        <w:rPr>
          <w:rFonts w:ascii="Arial" w:hAnsi="Arial" w:cs="Arial"/>
          <w:b/>
          <w:sz w:val="44"/>
          <w:szCs w:val="44"/>
        </w:rPr>
      </w:pPr>
      <w:r>
        <w:rPr>
          <w:rFonts w:ascii="Arial Black" w:eastAsia="Times New Roman" w:hAnsi="Arial Black" w:cs="Segoe UI"/>
          <w:color w:val="0F1115"/>
          <w:kern w:val="0"/>
          <w:sz w:val="48"/>
          <w:szCs w:val="48"/>
          <w:lang w:eastAsia="en-GB"/>
          <w14:ligatures w14:val="none"/>
        </w:rPr>
        <w:t>Module Code</w:t>
      </w:r>
      <w:r w:rsidRPr="008C6416">
        <w:rPr>
          <w:rFonts w:ascii="Arial" w:eastAsia="Times New Roman" w:hAnsi="Arial" w:cs="Arial"/>
          <w:color w:val="0F1115"/>
          <w:kern w:val="0"/>
          <w:sz w:val="44"/>
          <w:szCs w:val="44"/>
          <w:lang w:eastAsia="en-GB"/>
          <w14:ligatures w14:val="none"/>
        </w:rPr>
        <w:t>:</w:t>
      </w:r>
      <w:r w:rsidRPr="008C6416">
        <w:rPr>
          <w:rFonts w:ascii="Arial" w:hAnsi="Arial" w:cs="Arial"/>
          <w:b/>
          <w:sz w:val="44"/>
          <w:szCs w:val="44"/>
        </w:rPr>
        <w:t xml:space="preserve"> </w:t>
      </w:r>
      <w:r w:rsidRPr="008C6416">
        <w:rPr>
          <w:rFonts w:ascii="Arial" w:hAnsi="Arial" w:cs="Arial"/>
          <w:b/>
          <w:sz w:val="44"/>
          <w:szCs w:val="44"/>
        </w:rPr>
        <w:t>BMHP5023</w:t>
      </w:r>
    </w:p>
    <w:p w14:paraId="35CB482B" w14:textId="255C620C" w:rsidR="008C6416" w:rsidRDefault="008C6416" w:rsidP="005308F9">
      <w:pPr>
        <w:shd w:val="clear" w:color="auto" w:fill="FFFFFF"/>
        <w:spacing w:before="240" w:after="240" w:line="240" w:lineRule="auto"/>
        <w:rPr>
          <w:rFonts w:ascii="Arial" w:hAnsi="Arial" w:cs="Arial"/>
          <w:b/>
          <w:bCs/>
          <w:sz w:val="44"/>
          <w:szCs w:val="44"/>
        </w:rPr>
      </w:pPr>
      <w:r>
        <w:rPr>
          <w:rFonts w:ascii="Arial Black" w:eastAsia="Times New Roman" w:hAnsi="Arial Black" w:cs="Segoe UI"/>
          <w:color w:val="0F1115"/>
          <w:kern w:val="0"/>
          <w:sz w:val="48"/>
          <w:szCs w:val="48"/>
          <w:lang w:eastAsia="en-GB"/>
          <w14:ligatures w14:val="none"/>
        </w:rPr>
        <w:t>Assignment Title:</w:t>
      </w:r>
      <w:r w:rsidRPr="008C6416">
        <w:rPr>
          <w:rFonts w:ascii="Arial" w:hAnsi="Arial" w:cs="Arial"/>
          <w:b/>
          <w:sz w:val="22"/>
          <w:szCs w:val="22"/>
        </w:rPr>
        <w:t xml:space="preserve"> </w:t>
      </w:r>
      <w:r w:rsidRPr="008C6416">
        <w:rPr>
          <w:rFonts w:ascii="Arial" w:hAnsi="Arial" w:cs="Arial"/>
          <w:b/>
          <w:sz w:val="44"/>
          <w:szCs w:val="44"/>
        </w:rPr>
        <w:t>Component 1: Written Assignment (</w:t>
      </w:r>
      <w:r w:rsidRPr="008C6416">
        <w:rPr>
          <w:rFonts w:ascii="Arial" w:hAnsi="Arial" w:cs="Arial"/>
          <w:b/>
          <w:bCs/>
          <w:sz w:val="44"/>
          <w:szCs w:val="44"/>
        </w:rPr>
        <w:t>Case Study Report</w:t>
      </w:r>
      <w:r>
        <w:rPr>
          <w:rFonts w:ascii="Arial" w:hAnsi="Arial" w:cs="Arial"/>
          <w:b/>
          <w:bCs/>
          <w:sz w:val="44"/>
          <w:szCs w:val="44"/>
        </w:rPr>
        <w:t>)</w:t>
      </w:r>
    </w:p>
    <w:p w14:paraId="3EFA0F3B" w14:textId="2A5F0375" w:rsidR="008C6416" w:rsidRDefault="00E27D1F" w:rsidP="005308F9">
      <w:pPr>
        <w:shd w:val="clear" w:color="auto" w:fill="FFFFFF"/>
        <w:spacing w:before="240" w:after="240" w:line="240" w:lineRule="auto"/>
        <w:rPr>
          <w:rFonts w:ascii="Arial Black" w:eastAsia="Times New Roman" w:hAnsi="Arial Black" w:cs="Segoe UI"/>
          <w:color w:val="0F1115"/>
          <w:kern w:val="0"/>
          <w:sz w:val="44"/>
          <w:szCs w:val="44"/>
          <w:lang w:eastAsia="en-GB"/>
          <w14:ligatures w14:val="none"/>
        </w:rPr>
      </w:pPr>
      <w:r>
        <w:rPr>
          <w:rFonts w:ascii="Arial Black" w:eastAsia="Times New Roman" w:hAnsi="Arial Black" w:cs="Segoe UI"/>
          <w:color w:val="0F1115"/>
          <w:kern w:val="0"/>
          <w:sz w:val="44"/>
          <w:szCs w:val="44"/>
          <w:lang w:eastAsia="en-GB"/>
          <w14:ligatures w14:val="none"/>
        </w:rPr>
        <w:t xml:space="preserve">Student Name: </w:t>
      </w:r>
      <w:r w:rsidRPr="00E27D1F">
        <w:rPr>
          <w:rFonts w:ascii="Arial" w:eastAsia="Times New Roman" w:hAnsi="Arial" w:cs="Arial"/>
          <w:color w:val="0F1115"/>
          <w:kern w:val="0"/>
          <w:sz w:val="44"/>
          <w:szCs w:val="44"/>
          <w:lang w:eastAsia="en-GB"/>
          <w14:ligatures w14:val="none"/>
        </w:rPr>
        <w:t>Lavinia Groceanu</w:t>
      </w:r>
    </w:p>
    <w:p w14:paraId="74D6571B" w14:textId="1A146916" w:rsidR="00E27D1F" w:rsidRPr="00E27D1F" w:rsidRDefault="00E27D1F" w:rsidP="005308F9">
      <w:pPr>
        <w:shd w:val="clear" w:color="auto" w:fill="FFFFFF"/>
        <w:spacing w:before="240" w:after="240" w:line="240" w:lineRule="auto"/>
        <w:rPr>
          <w:rFonts w:ascii="Arial" w:eastAsia="Times New Roman" w:hAnsi="Arial" w:cs="Arial"/>
          <w:color w:val="0F1115"/>
          <w:kern w:val="0"/>
          <w:sz w:val="44"/>
          <w:szCs w:val="44"/>
          <w:lang w:eastAsia="en-GB"/>
          <w14:ligatures w14:val="none"/>
        </w:rPr>
      </w:pPr>
      <w:r>
        <w:rPr>
          <w:rFonts w:ascii="Arial Black" w:eastAsia="Times New Roman" w:hAnsi="Arial Black" w:cs="Segoe UI"/>
          <w:color w:val="0F1115"/>
          <w:kern w:val="0"/>
          <w:sz w:val="44"/>
          <w:szCs w:val="44"/>
          <w:lang w:eastAsia="en-GB"/>
          <w14:ligatures w14:val="none"/>
        </w:rPr>
        <w:t>Student ID:</w:t>
      </w:r>
      <w:r w:rsidRPr="00E27D1F">
        <w:rPr>
          <w:rFonts w:ascii="Arial" w:eastAsia="Times New Roman" w:hAnsi="Arial" w:cs="Arial"/>
          <w:color w:val="0F1115"/>
          <w:kern w:val="0"/>
          <w:sz w:val="44"/>
          <w:szCs w:val="44"/>
          <w:lang w:eastAsia="en-GB"/>
          <w14:ligatures w14:val="none"/>
        </w:rPr>
        <w:t>2508612</w:t>
      </w:r>
    </w:p>
    <w:p w14:paraId="347608B2" w14:textId="54FE629A" w:rsidR="00E27D1F" w:rsidRPr="008C6416" w:rsidRDefault="00E27D1F" w:rsidP="005308F9">
      <w:pPr>
        <w:shd w:val="clear" w:color="auto" w:fill="FFFFFF"/>
        <w:spacing w:before="240" w:after="240" w:line="240" w:lineRule="auto"/>
        <w:rPr>
          <w:rFonts w:ascii="Arial Black" w:eastAsia="Times New Roman" w:hAnsi="Arial Black" w:cs="Segoe UI"/>
          <w:color w:val="0F1115"/>
          <w:kern w:val="0"/>
          <w:sz w:val="44"/>
          <w:szCs w:val="44"/>
          <w:lang w:eastAsia="en-GB"/>
          <w14:ligatures w14:val="none"/>
        </w:rPr>
      </w:pPr>
      <w:r>
        <w:rPr>
          <w:rFonts w:ascii="Arial Black" w:eastAsia="Times New Roman" w:hAnsi="Arial Black" w:cs="Segoe UI"/>
          <w:color w:val="0F1115"/>
          <w:kern w:val="0"/>
          <w:sz w:val="44"/>
          <w:szCs w:val="44"/>
          <w:lang w:eastAsia="en-GB"/>
          <w14:ligatures w14:val="none"/>
        </w:rPr>
        <w:t>Lecturer Name:</w:t>
      </w:r>
      <w:r w:rsidRPr="00E27D1F">
        <w:rPr>
          <w:rFonts w:ascii="Arial" w:eastAsia="Arial" w:hAnsi="Arial" w:cs="Arial"/>
          <w:b/>
          <w:bCs/>
          <w:color w:val="000000" w:themeColor="text1"/>
          <w:sz w:val="22"/>
          <w:szCs w:val="22"/>
        </w:rPr>
        <w:t xml:space="preserve"> </w:t>
      </w:r>
      <w:r w:rsidRPr="00E27D1F">
        <w:rPr>
          <w:rFonts w:ascii="Arial" w:eastAsia="Arial" w:hAnsi="Arial" w:cs="Arial"/>
          <w:b/>
          <w:bCs/>
          <w:color w:val="000000" w:themeColor="text1"/>
          <w:sz w:val="44"/>
          <w:szCs w:val="44"/>
        </w:rPr>
        <w:t>Robert Nartowski</w:t>
      </w:r>
    </w:p>
    <w:p w14:paraId="53225AD2" w14:textId="77777777" w:rsidR="008C6416" w:rsidRDefault="008C6416">
      <w:pPr>
        <w:rPr>
          <w:rFonts w:ascii="Arial Black" w:eastAsia="Times New Roman" w:hAnsi="Arial Black" w:cs="Segoe UI"/>
          <w:color w:val="0F1115"/>
          <w:kern w:val="0"/>
          <w:sz w:val="32"/>
          <w:szCs w:val="32"/>
          <w:lang w:eastAsia="en-GB"/>
          <w14:ligatures w14:val="none"/>
        </w:rPr>
      </w:pPr>
      <w:r>
        <w:rPr>
          <w:rFonts w:ascii="Arial Black" w:eastAsia="Times New Roman" w:hAnsi="Arial Black" w:cs="Segoe UI"/>
          <w:color w:val="0F1115"/>
          <w:kern w:val="0"/>
          <w:sz w:val="32"/>
          <w:szCs w:val="32"/>
          <w:lang w:eastAsia="en-GB"/>
          <w14:ligatures w14:val="none"/>
        </w:rPr>
        <w:br w:type="page"/>
      </w:r>
    </w:p>
    <w:p w14:paraId="703595CF" w14:textId="77777777" w:rsidR="005308F9" w:rsidRPr="00300C49" w:rsidRDefault="005308F9" w:rsidP="005308F9">
      <w:pPr>
        <w:shd w:val="clear" w:color="auto" w:fill="FFFFFF"/>
        <w:spacing w:before="240" w:after="240" w:line="240" w:lineRule="auto"/>
        <w:rPr>
          <w:rFonts w:ascii="Arial Black" w:eastAsia="Times New Roman" w:hAnsi="Arial Black" w:cs="Segoe UI"/>
          <w:color w:val="0F1115"/>
          <w:kern w:val="0"/>
          <w:sz w:val="32"/>
          <w:szCs w:val="32"/>
          <w:lang w:eastAsia="en-GB"/>
          <w14:ligatures w14:val="none"/>
        </w:rPr>
      </w:pPr>
    </w:p>
    <w:p w14:paraId="059D4F72"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Case Study 1: Supporting Patients with Type 2 Diabetes in Primary Care</w:t>
      </w:r>
    </w:p>
    <w:p w14:paraId="7EFD822E"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Introduction</w:t>
      </w:r>
    </w:p>
    <w:p w14:paraId="5E7820A3" w14:textId="49F74831"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Diabetes mellitus is a </w:t>
      </w:r>
      <w:r w:rsidR="00300C49" w:rsidRPr="00300C49">
        <w:rPr>
          <w:rFonts w:ascii="Arial" w:eastAsia="Times New Roman" w:hAnsi="Arial" w:cs="Arial"/>
          <w:color w:val="0F1115"/>
          <w:kern w:val="0"/>
          <w:sz w:val="22"/>
          <w:szCs w:val="22"/>
          <w:lang w:eastAsia="en-GB"/>
          <w14:ligatures w14:val="none"/>
        </w:rPr>
        <w:t>long-term</w:t>
      </w:r>
      <w:r w:rsidRPr="00300C49">
        <w:rPr>
          <w:rFonts w:ascii="Arial" w:eastAsia="Times New Roman" w:hAnsi="Arial" w:cs="Arial"/>
          <w:color w:val="0F1115"/>
          <w:kern w:val="0"/>
          <w:sz w:val="22"/>
          <w:szCs w:val="22"/>
          <w:lang w:eastAsia="en-GB"/>
          <w14:ligatures w14:val="none"/>
        </w:rPr>
        <w:t xml:space="preserve"> metabolic condition where the body is unable to regulate blood glucose effectively. In Type 2 diabetes, which is the most common form in the United Kingdom, the body either becomes resistant to insulin or gradually produces less of it over time (Diabetes UK, 2022). When insulin cannot work properly, glucose remains in the bloodstream instead of entering the cells where it is needed. This leads to persistent high blood glucose levels, known as hyperglycaemia, which can cause serious complications including cardiovascular disease, kidney damage, nerve problems, vision loss and slow wound healing (NICE, 2022; WHO, 2023).</w:t>
      </w:r>
    </w:p>
    <w:p w14:paraId="4188E5DB"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Type 2 diabetes is strongly linked to lifestyle and behavioural factors. Common risk factors include obesity, physical inactivity, smoking, poor diet, high blood pressure, older age, family history and certain ethnic backgrounds such as South Asian, African Caribbean and Black African groups (Public Health England, 2021). Social factors also play a role, including deprivation, limited access to healthy food and reduced opportunities for physical activity (NHS England, 2023). Because many of these risk factors are modifiable, lifestyle changes can significantly improve outcomes for individuals living with Type 2 diabetes. It is also important to recognise that the condition does not affect all populations equally; younger adults and certain ethnic minority communities experience disproportionately rapid increases in diagnosis, which has implications for how primary care services prioritise prevention and early intervention (Diabetes UK, 2022; Public Health England, 2021).</w:t>
      </w:r>
    </w:p>
    <w:p w14:paraId="3BE6D7D4" w14:textId="6761667D"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In primary care, practice nurses play an essential role in supporting patients to understand their condition and make informed decisions about their health. Many patients attending diabetes clinics benefit from clear explanations about how blood glucose is regulated, how lifestyle choices affect their condition and why monitoring blood sugar levels is important. This report explains what diabetes is and its risk factors, describes how blood glucose is regulated, outlines how oxygen and glucose work together to produce energy, examines the importance of tracking blood sugar levels and provides </w:t>
      </w:r>
      <w:r w:rsidR="00300C49" w:rsidRPr="00300C49">
        <w:rPr>
          <w:rFonts w:ascii="Arial" w:eastAsia="Times New Roman" w:hAnsi="Arial" w:cs="Arial"/>
          <w:color w:val="0F1115"/>
          <w:kern w:val="0"/>
          <w:sz w:val="22"/>
          <w:szCs w:val="22"/>
          <w:lang w:eastAsia="en-GB"/>
          <w14:ligatures w14:val="none"/>
        </w:rPr>
        <w:t>evidence-based</w:t>
      </w:r>
      <w:r w:rsidRPr="00300C49">
        <w:rPr>
          <w:rFonts w:ascii="Arial" w:eastAsia="Times New Roman" w:hAnsi="Arial" w:cs="Arial"/>
          <w:color w:val="0F1115"/>
          <w:kern w:val="0"/>
          <w:sz w:val="22"/>
          <w:szCs w:val="22"/>
          <w:lang w:eastAsia="en-GB"/>
          <w14:ligatures w14:val="none"/>
        </w:rPr>
        <w:t xml:space="preserve"> lifestyle recommendations to help individuals manage Type 2 diabetes safely and effectively. Throughout, the discussion is situated within the context of primary care nursing, where the delivery of structured, person-centred education is increasingly recognised as a cornerstone of effective long term condition management (NICE, 2022).</w:t>
      </w:r>
    </w:p>
    <w:p w14:paraId="21F2AE9E"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Blood Sugar Regulation in the Body</w:t>
      </w:r>
    </w:p>
    <w:p w14:paraId="7621ABA0"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The body relies on a stable supply of glucose to function properly. Glucose is the main source of energy for cells, and maintaining blood glucose within a safe range is essential for health. This regulation is controlled by hormones produced by the pancreas, mainly insulin and glucagon (Hall and Guyton, 2021). The interplay between these two hormones represents a negative feedback system of considerable precision, and understanding this mechanism provides the physiological rationale for many of the self-management behaviours that practice nurses encourage in diabetes consultations.</w:t>
      </w:r>
    </w:p>
    <w:p w14:paraId="04C21D3A"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After eating, carbohydrates are broken down into glucose, which enters the bloodstream. Rising blood glucose levels stimulate the pancreas to release insulin. Insulin acts like a key, </w:t>
      </w:r>
      <w:r w:rsidRPr="00300C49">
        <w:rPr>
          <w:rFonts w:ascii="Arial" w:eastAsia="Times New Roman" w:hAnsi="Arial" w:cs="Arial"/>
          <w:color w:val="0F1115"/>
          <w:kern w:val="0"/>
          <w:sz w:val="22"/>
          <w:szCs w:val="22"/>
          <w:lang w:eastAsia="en-GB"/>
          <w14:ligatures w14:val="none"/>
        </w:rPr>
        <w:lastRenderedPageBreak/>
        <w:t>allowing glucose to move from the bloodstream into the body’s cells. Once inside the cells, glucose can be used immediately for energy or stored in the liver and muscles as glycogen for later use (Hall and Guyton, 2021; Tortora and Derrickson, 2018). This process helps keep blood glucose levels stable after meals. The efficiency of this postprandial response varies considerably between individuals and is influenced by factors such as the glycaemic index of the food consumed, the timing of meals and the individual’s level of physical activity, all of which are relevant to the dietary advice nurses provide.</w:t>
      </w:r>
    </w:p>
    <w:p w14:paraId="25E7F68A"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When blood glucose levels fall, such as between meals or during physical activity, the pancreas releases glucagon. Glucagon signals the liver to break down stored glycogen into glucose and release it back into the bloodstream. This ensures that the body has a steady supply of energy even when food is not being consumed (NHS, 2023). This counter-regulatory mechanism is particularly important to explain to patients who experience symptoms of hypoglycaemia, as it helps them understand why regular meal patterns and appropriate carbohydrate intake matter, especially for those taking insulin or sulfonylureas.</w:t>
      </w:r>
    </w:p>
    <w:p w14:paraId="4EE9D603"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In Type 2 diabetes, this finely balanced system becomes disrupted. The body’s cells become resistant to insulin, meaning they do not respond to it effectively. To compensate, the pancreas produces more insulin, but over time it becomes unable to keep up with the increased demand (Diabetes UK, 2022). As a result, glucose remains in the bloodstream rather than entering the cells. Persistent hyperglycaemia damages blood vessels and organs, contributing to long term complications such as heart disease, kidney failure and nerve damage (NICE, 2022; WHO, 2023). The progressive nature of beta-cell decline means that management strategies often need to be reviewed and intensified over time, a point that nurses should communicate sensitively so that patients do not interpret treatment escalation as personal failure.</w:t>
      </w:r>
    </w:p>
    <w:p w14:paraId="7BC40EAC" w14:textId="242A276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Understanding how blood glucose is regulated helps patients appreciate why monitoring and managing their blood sugar levels is essential. It also highlights the importance of lifestyle changes, medication adherence and regular </w:t>
      </w:r>
      <w:r w:rsidR="00300C49" w:rsidRPr="00300C49">
        <w:rPr>
          <w:rFonts w:ascii="Arial" w:eastAsia="Times New Roman" w:hAnsi="Arial" w:cs="Arial"/>
          <w:color w:val="0F1115"/>
          <w:kern w:val="0"/>
          <w:sz w:val="22"/>
          <w:szCs w:val="22"/>
          <w:lang w:eastAsia="en-GB"/>
          <w14:ligatures w14:val="none"/>
        </w:rPr>
        <w:t>check-ups</w:t>
      </w:r>
      <w:r w:rsidRPr="00300C49">
        <w:rPr>
          <w:rFonts w:ascii="Arial" w:eastAsia="Times New Roman" w:hAnsi="Arial" w:cs="Arial"/>
          <w:color w:val="0F1115"/>
          <w:kern w:val="0"/>
          <w:sz w:val="22"/>
          <w:szCs w:val="22"/>
          <w:lang w:eastAsia="en-GB"/>
          <w14:ligatures w14:val="none"/>
        </w:rPr>
        <w:t xml:space="preserve"> to prevent complications.</w:t>
      </w:r>
    </w:p>
    <w:p w14:paraId="2B73D7AB"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How Oxygen and Glucose Produce Energy Through Cell Metabolism</w:t>
      </w:r>
    </w:p>
    <w:p w14:paraId="16258647"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Glucose is the body’s main source of energy, and its use depends on a process known as cellular respiration. This process takes place inside the mitochondria, often described as the “powerhouses” of the cell, where glucose and oxygen combine to produce adenosine triphosphate (ATP), the molecule that fuels cellular activity (</w:t>
      </w:r>
      <w:proofErr w:type="spellStart"/>
      <w:r w:rsidRPr="00300C49">
        <w:rPr>
          <w:rFonts w:ascii="Arial" w:eastAsia="Times New Roman" w:hAnsi="Arial" w:cs="Arial"/>
          <w:color w:val="0F1115"/>
          <w:kern w:val="0"/>
          <w:sz w:val="22"/>
          <w:szCs w:val="22"/>
          <w:lang w:eastAsia="en-GB"/>
          <w14:ligatures w14:val="none"/>
        </w:rPr>
        <w:t>Marieb</w:t>
      </w:r>
      <w:proofErr w:type="spellEnd"/>
      <w:r w:rsidRPr="00300C49">
        <w:rPr>
          <w:rFonts w:ascii="Arial" w:eastAsia="Times New Roman" w:hAnsi="Arial" w:cs="Arial"/>
          <w:color w:val="0F1115"/>
          <w:kern w:val="0"/>
          <w:sz w:val="22"/>
          <w:szCs w:val="22"/>
          <w:lang w:eastAsia="en-GB"/>
          <w14:ligatures w14:val="none"/>
        </w:rPr>
        <w:t xml:space="preserve"> and Hoehn, 2019).</w:t>
      </w:r>
    </w:p>
    <w:p w14:paraId="389D0C63"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Cellular respiration can be understood in three main stages. First, glucose enters the cell with the help of insulin. Without insulin, glucose cannot move into the cell effectively, which is a major problem in Type 2 diabetes. Second, glucose undergoes glycolysis, where it is broken down into smaller molecules. Third, in the presence of oxygen, these molecules enter the mitochondria and go through a series of chemical reactions that produce ATP. Carbon dioxide and water are produced as waste products (</w:t>
      </w:r>
      <w:proofErr w:type="spellStart"/>
      <w:r w:rsidRPr="00300C49">
        <w:rPr>
          <w:rFonts w:ascii="Arial" w:eastAsia="Times New Roman" w:hAnsi="Arial" w:cs="Arial"/>
          <w:color w:val="0F1115"/>
          <w:kern w:val="0"/>
          <w:sz w:val="22"/>
          <w:szCs w:val="22"/>
          <w:lang w:eastAsia="en-GB"/>
          <w14:ligatures w14:val="none"/>
        </w:rPr>
        <w:t>Marieb</w:t>
      </w:r>
      <w:proofErr w:type="spellEnd"/>
      <w:r w:rsidRPr="00300C49">
        <w:rPr>
          <w:rFonts w:ascii="Arial" w:eastAsia="Times New Roman" w:hAnsi="Arial" w:cs="Arial"/>
          <w:color w:val="0F1115"/>
          <w:kern w:val="0"/>
          <w:sz w:val="22"/>
          <w:szCs w:val="22"/>
          <w:lang w:eastAsia="en-GB"/>
          <w14:ligatures w14:val="none"/>
        </w:rPr>
        <w:t xml:space="preserve"> and Hoehn, 2019; Tortora and Derrickson, 2018). It is worth emphasising to patients that this is not merely an abstract biochemical pathway: the efficiency with which cells generate ATP directly influences how they feel day to day, including their energy levels, wound healing capacity and susceptibility to infection.</w:t>
      </w:r>
    </w:p>
    <w:p w14:paraId="7BF10D73"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ATP is essential for almost every function in the body, including movement, growth, repair and maintaining body temperature. When glucose cannot enter the cells properly, as in Type 2 diabetes, the cells become deprived of energy. This can lead to symptoms such as fatigue, slow wound healing, increased susceptibility to infections and reduced ability to carry out </w:t>
      </w:r>
      <w:r w:rsidRPr="00300C49">
        <w:rPr>
          <w:rFonts w:ascii="Arial" w:eastAsia="Times New Roman" w:hAnsi="Arial" w:cs="Arial"/>
          <w:color w:val="0F1115"/>
          <w:kern w:val="0"/>
          <w:sz w:val="22"/>
          <w:szCs w:val="22"/>
          <w:lang w:eastAsia="en-GB"/>
          <w14:ligatures w14:val="none"/>
        </w:rPr>
        <w:lastRenderedPageBreak/>
        <w:t>daily activities (NHS, 2023; WHO, 2023). These symptoms are often subtle and gradual, and patients may attribute them to ageing or stress rather than to hyperglycaemia. Practice nurses are therefore well placed to help patients recognise these indicators and connect them to measurable blood glucose patterns.</w:t>
      </w:r>
    </w:p>
    <w:p w14:paraId="699DECA9"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Understanding how the body uses glucose helps patients recognise why stable blood sugar levels are important for maintaining energy and preventing complications. It also reinforces the importance of medication, healthy eating and physical activity in supporting cellular metabolism.</w:t>
      </w:r>
    </w:p>
    <w:p w14:paraId="6A8D0135"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The Importance of Recording and Tracking Blood Sugar Levels</w:t>
      </w:r>
    </w:p>
    <w:p w14:paraId="3E744B16" w14:textId="093DE9E5"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Monitoring blood glucose is a key part of managing Type 2 diabetes. Recording and tracking blood sugar levels helps individuals understand how their body responds to food, activity, stress and medication, and supports safer and more effective </w:t>
      </w:r>
      <w:r w:rsidR="00300C49" w:rsidRPr="00300C49">
        <w:rPr>
          <w:rFonts w:ascii="Arial" w:eastAsia="Times New Roman" w:hAnsi="Arial" w:cs="Arial"/>
          <w:color w:val="0F1115"/>
          <w:kern w:val="0"/>
          <w:sz w:val="22"/>
          <w:szCs w:val="22"/>
          <w:lang w:eastAsia="en-GB"/>
          <w14:ligatures w14:val="none"/>
        </w:rPr>
        <w:t>self-management</w:t>
      </w:r>
      <w:r w:rsidRPr="00300C49">
        <w:rPr>
          <w:rFonts w:ascii="Arial" w:eastAsia="Times New Roman" w:hAnsi="Arial" w:cs="Arial"/>
          <w:color w:val="0F1115"/>
          <w:kern w:val="0"/>
          <w:sz w:val="22"/>
          <w:szCs w:val="22"/>
          <w:lang w:eastAsia="en-GB"/>
          <w14:ligatures w14:val="none"/>
        </w:rPr>
        <w:t xml:space="preserve"> (NICE, 2022).</w:t>
      </w:r>
    </w:p>
    <w:p w14:paraId="0E715600"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Tracking blood sugar levels allows patients to identify patterns. For example, they may notice high readings in the morning, after meals or during periods of stress. Recognising these patterns helps individuals make informed decisions about their diet, exercise and medication. It also reduces the risk of both hyperglycaemia and hypoglycaemia, which can be dangerous if not managed properly (Diabetes UK, 2022; NHS England, 2023). However, monitoring is most effective when it is purposeful rather than ritualistic. Nurses can support patients to move from simply recording numbers to interpreting them, asking questions such as whether readings are taken at consistent times and whether they reflect typical daily routines. This shift from data collection to pattern recognition is a critical step in building genuine self-management capability.</w:t>
      </w:r>
    </w:p>
    <w:p w14:paraId="2CFCEAA9"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Accurate records also support communication between patients and healthcare professionals. When individuals bring their readings to appointments, nurses and GPs can tailor treatment more effectively, adjust medication doses and provide personalised advice (NICE, 2022; WHO, 2023). Monitoring supports patient activation — the knowledge, skills and confidence to manage one’s own health — which is associated with better outcomes and fewer emergency admissions (Hibbard et al., 2004). The concept of activation is particularly useful in primary care because it shifts attention from what clinicians do to patients towards what patients are enabled to do for themselves. Nurses can foster activation by using monitoring data as a basis for collaborative problem-solving rather than directive instruction.</w:t>
      </w:r>
    </w:p>
    <w:p w14:paraId="7DC312C2" w14:textId="67655F4F" w:rsidR="005308F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For many patients, understanding the purpose of monitoring increases motivation and engagement. Recording blood glucose empowers individuals to take control of their condition, reduces anxiety and helps prevent unplanned hospital admissions. In primary care, practice nurses play a vital role in educating patients about how to monitor their blood sugar safely and interpret their results. This educational role extends beyond technical instruction to include addressing common misconceptions, such as the belief that monitoring is only necessary when symptoms are </w:t>
      </w:r>
      <w:r w:rsidR="00300C49" w:rsidRPr="00300C49">
        <w:rPr>
          <w:rFonts w:ascii="Arial" w:eastAsia="Times New Roman" w:hAnsi="Arial" w:cs="Arial"/>
          <w:color w:val="0F1115"/>
          <w:kern w:val="0"/>
          <w:sz w:val="22"/>
          <w:szCs w:val="22"/>
          <w:lang w:eastAsia="en-GB"/>
          <w14:ligatures w14:val="none"/>
        </w:rPr>
        <w:t>present and</w:t>
      </w:r>
      <w:r w:rsidRPr="00300C49">
        <w:rPr>
          <w:rFonts w:ascii="Arial" w:eastAsia="Times New Roman" w:hAnsi="Arial" w:cs="Arial"/>
          <w:color w:val="0F1115"/>
          <w:kern w:val="0"/>
          <w:sz w:val="22"/>
          <w:szCs w:val="22"/>
          <w:lang w:eastAsia="en-GB"/>
          <w14:ligatures w14:val="none"/>
        </w:rPr>
        <w:t xml:space="preserve"> helping patients integrate monitoring into their daily routines without allowing it to become burdensome.</w:t>
      </w:r>
    </w:p>
    <w:p w14:paraId="29392E25" w14:textId="77777777" w:rsidR="00300C49" w:rsidRPr="00300C49" w:rsidRDefault="00300C49" w:rsidP="00300C49">
      <w:pPr>
        <w:shd w:val="clear" w:color="auto" w:fill="FFFFFF"/>
        <w:spacing w:before="240" w:after="240" w:line="360" w:lineRule="auto"/>
        <w:rPr>
          <w:rFonts w:ascii="Arial" w:eastAsia="Times New Roman" w:hAnsi="Arial" w:cs="Arial"/>
          <w:color w:val="0F1115"/>
          <w:kern w:val="0"/>
          <w:sz w:val="22"/>
          <w:szCs w:val="22"/>
          <w:lang w:eastAsia="en-GB"/>
          <w14:ligatures w14:val="none"/>
        </w:rPr>
      </w:pPr>
    </w:p>
    <w:p w14:paraId="3FB3939D"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Evidence Based Lifestyle Recommendations</w:t>
      </w:r>
    </w:p>
    <w:p w14:paraId="6732C0AE"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lastRenderedPageBreak/>
        <w:t>Lifestyle changes are central to managing Type 2 diabetes. Evidence shows that improvements in diet, physical activity, smoking cessation and weight management can significantly enhance glycaemic control and reduce complications (NICE, 2022; WHO, 2023). However, the effectiveness of lifestyle advice depends heavily on how it is delivered. Generic recommendations are less likely to be adopted than advice that is tailored to the patient’s cultural background, financial circumstances and readiness to change. Nurses therefore need to combine evidence-based guidance with a sensitive assessment of each patient’s context.</w:t>
      </w:r>
    </w:p>
    <w:p w14:paraId="2116BA77"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Dietary Changes</w:t>
      </w:r>
    </w:p>
    <w:p w14:paraId="7FFC263E" w14:textId="081BFDCA"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Healthy eating is essential for managing blood glucose levels. A diet rich in vegetables, whole grains, lean proteins and fibre helps slow glucose absorption and stabilise blood sugar (Public Health England, 2021). Reducing refined carbohydrates, sugary drinks and processed foods can prevent spikes in blood glucose. The Mediterranean diet, which emphasises fruits, vegetables, olive oil and fish, has been shown to improve insulin sensitivity and support weight loss (Esposito et al., 2019; NHS England, 2023). In practice, dietary advice should be presented incrementally rather than as a comprehensive overhaul. Nurses can work with patients to identify one or two achievable changes at a time, such as replacing sugary drinks with water or adding an extra portion of vegetables to the evening </w:t>
      </w:r>
      <w:r w:rsidR="00300C49" w:rsidRPr="00300C49">
        <w:rPr>
          <w:rFonts w:ascii="Arial" w:eastAsia="Times New Roman" w:hAnsi="Arial" w:cs="Arial"/>
          <w:color w:val="0F1115"/>
          <w:kern w:val="0"/>
          <w:sz w:val="22"/>
          <w:szCs w:val="22"/>
          <w:lang w:eastAsia="en-GB"/>
          <w14:ligatures w14:val="none"/>
        </w:rPr>
        <w:t>meal and</w:t>
      </w:r>
      <w:r w:rsidRPr="00300C49">
        <w:rPr>
          <w:rFonts w:ascii="Arial" w:eastAsia="Times New Roman" w:hAnsi="Arial" w:cs="Arial"/>
          <w:color w:val="0F1115"/>
          <w:kern w:val="0"/>
          <w:sz w:val="22"/>
          <w:szCs w:val="22"/>
          <w:lang w:eastAsia="en-GB"/>
          <w14:ligatures w14:val="none"/>
        </w:rPr>
        <w:t xml:space="preserve"> build from there. This approach aligns with evidence on behaviour change that emphasises small, sustainable steps over radical short-term alterations.</w:t>
      </w:r>
    </w:p>
    <w:p w14:paraId="07540F83"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Physical Activity</w:t>
      </w:r>
    </w:p>
    <w:p w14:paraId="3EE3D926"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Regular physical activity improves glucose uptake by increasing insulin sensitivity. NICE (2022) recommends at least 150 minutes of moderate intensity exercise per week, such as brisk walking, cycling or swimming. Strength training also supports glucose regulation by increasing muscle mass, which enhances glucose utilisation (WHO, 2023). For many patients with Type 2 diabetes, the main barrier is not lack of knowledge about the benefits of exercise but difficulty translating intentions into consistent action. Nurses can help by exploring practical obstacles, such as fear of hypoglycaemia, joint pain, time constraints or unsafe neighbourhoods, and by signposting local walking groups, leisure centre schemes or online resources where appropriate.</w:t>
      </w:r>
    </w:p>
    <w:p w14:paraId="460E685C"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Smoking Cessation</w:t>
      </w:r>
    </w:p>
    <w:p w14:paraId="31C67E4B"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Smoking increases insulin resistance and significantly raises the risk of cardiovascular complications, which are already elevated in individuals with diabetes (Public Health England, 2021). Supporting patients to quit smoking is therefore an essential component of diabetes management. Brief advice delivered opportunistically in primary care, combined with referral to specialist cessation services, can be effective, and nurses are well positioned to raise the topic without adding to any sense of judgement that patients may already feel about their lifestyle.</w:t>
      </w:r>
    </w:p>
    <w:p w14:paraId="26E7DA2A"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Alcohol and Stress Management</w:t>
      </w:r>
    </w:p>
    <w:p w14:paraId="27A94BB6" w14:textId="3F051999"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Alcohol can cause unpredictable changes in blood glucose levels. Patients should be advised to drink in moderation and avoid high sugar beverages (NHS, 2023). Stress and poor sleep can also raise blood glucose levels by increasing cortisol. Encouraging relaxation techniques, good sleep hygiene and stress reduction strategies can support better control (NHS England, 2023). The relationship between psychological wellbeing and glycaemic </w:t>
      </w:r>
      <w:r w:rsidRPr="00300C49">
        <w:rPr>
          <w:rFonts w:ascii="Arial" w:eastAsia="Times New Roman" w:hAnsi="Arial" w:cs="Arial"/>
          <w:color w:val="0F1115"/>
          <w:kern w:val="0"/>
          <w:sz w:val="22"/>
          <w:szCs w:val="22"/>
          <w:lang w:eastAsia="en-GB"/>
          <w14:ligatures w14:val="none"/>
        </w:rPr>
        <w:lastRenderedPageBreak/>
        <w:t xml:space="preserve">control is increasingly recognised, and nurses who acknowledge the emotional demands of living with a </w:t>
      </w:r>
      <w:r w:rsidR="00300C49" w:rsidRPr="00300C49">
        <w:rPr>
          <w:rFonts w:ascii="Arial" w:eastAsia="Times New Roman" w:hAnsi="Arial" w:cs="Arial"/>
          <w:color w:val="0F1115"/>
          <w:kern w:val="0"/>
          <w:sz w:val="22"/>
          <w:szCs w:val="22"/>
          <w:lang w:eastAsia="en-GB"/>
          <w14:ligatures w14:val="none"/>
        </w:rPr>
        <w:t>long-term</w:t>
      </w:r>
      <w:r w:rsidRPr="00300C49">
        <w:rPr>
          <w:rFonts w:ascii="Arial" w:eastAsia="Times New Roman" w:hAnsi="Arial" w:cs="Arial"/>
          <w:color w:val="0F1115"/>
          <w:kern w:val="0"/>
          <w:sz w:val="22"/>
          <w:szCs w:val="22"/>
          <w:lang w:eastAsia="en-GB"/>
          <w14:ligatures w14:val="none"/>
        </w:rPr>
        <w:t xml:space="preserve"> condition may find that patients are more receptive to practical advice.</w:t>
      </w:r>
    </w:p>
    <w:p w14:paraId="24CA3F6A"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Behaviour Change Approaches</w:t>
      </w:r>
    </w:p>
    <w:p w14:paraId="7DEF851E"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Motivational interviewing and health coaching help patients build confidence and motivation to manage their condition. These approaches support patient activation and encourage long term lifestyle changes (Hibbard et al., 2004). Rather than telling patients what to do, these techniques involve exploring their own reasons for change and strengthening their belief in their ability to succeed. This is particularly important in diabetes care, where the day-to-day work of management is carried out by the patient rather than the clinician.</w:t>
      </w:r>
    </w:p>
    <w:p w14:paraId="68D2D844"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Conclusion</w:t>
      </w:r>
    </w:p>
    <w:p w14:paraId="7BBF9904" w14:textId="5BCCB254" w:rsidR="005308F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Type 2 diabetes is a complex condition that requires ongoing </w:t>
      </w:r>
      <w:r w:rsidR="00300C49" w:rsidRPr="00300C49">
        <w:rPr>
          <w:rFonts w:ascii="Arial" w:eastAsia="Times New Roman" w:hAnsi="Arial" w:cs="Arial"/>
          <w:color w:val="0F1115"/>
          <w:kern w:val="0"/>
          <w:sz w:val="22"/>
          <w:szCs w:val="22"/>
          <w:lang w:eastAsia="en-GB"/>
          <w14:ligatures w14:val="none"/>
        </w:rPr>
        <w:t>self-management</w:t>
      </w:r>
      <w:r w:rsidRPr="00300C49">
        <w:rPr>
          <w:rFonts w:ascii="Arial" w:eastAsia="Times New Roman" w:hAnsi="Arial" w:cs="Arial"/>
          <w:color w:val="0F1115"/>
          <w:kern w:val="0"/>
          <w:sz w:val="22"/>
          <w:szCs w:val="22"/>
          <w:lang w:eastAsia="en-GB"/>
          <w14:ligatures w14:val="none"/>
        </w:rPr>
        <w:t xml:space="preserve"> and support from healthcare professionals. Understanding how blood glucose is regulated, how the body uses glucose for energy and why monitoring is important helps patients engage more effectively with their care. Tracking blood sugar levels empowers individuals to make informed decisions and work closely with healthcare teams. Evidence based lifestyle changes, including healthy eating, regular exercise, smoking cessation and stress management, play a vital role in improving blood glucose control and reducing complications. In primary care, practice nurses are well placed to educate and support patients, helping them manage their condition safely and confidently. The effectiveness of this support depends not only on the accuracy of the clinical information provided but also on the quality of the therapeutic relationship and the nurse’s ability to adapt advice to the realities of each patient’s life.</w:t>
      </w:r>
    </w:p>
    <w:p w14:paraId="5E009089" w14:textId="77777777" w:rsidR="00300C49" w:rsidRPr="00300C49" w:rsidRDefault="00300C4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p>
    <w:p w14:paraId="005E3960" w14:textId="662C7EAF" w:rsidR="005308F9" w:rsidRPr="00300C49" w:rsidRDefault="005308F9" w:rsidP="005308F9">
      <w:pPr>
        <w:shd w:val="clear" w:color="auto" w:fill="FFFFFF"/>
        <w:spacing w:before="240" w:after="240" w:line="240" w:lineRule="auto"/>
        <w:rPr>
          <w:rFonts w:ascii="Arial" w:eastAsia="Times New Roman" w:hAnsi="Arial" w:cs="Arial"/>
          <w:color w:val="0F1115"/>
          <w:kern w:val="0"/>
          <w:sz w:val="32"/>
          <w:szCs w:val="32"/>
          <w:lang w:eastAsia="en-GB"/>
          <w14:ligatures w14:val="none"/>
        </w:rPr>
      </w:pPr>
      <w:r w:rsidRPr="00300C49">
        <w:rPr>
          <w:rFonts w:ascii="Arial" w:eastAsia="Times New Roman" w:hAnsi="Arial" w:cs="Arial"/>
          <w:b/>
          <w:bCs/>
          <w:color w:val="0F1115"/>
          <w:kern w:val="0"/>
          <w:sz w:val="32"/>
          <w:szCs w:val="32"/>
          <w:lang w:eastAsia="en-GB"/>
          <w14:ligatures w14:val="none"/>
        </w:rPr>
        <w:t xml:space="preserve">References </w:t>
      </w:r>
    </w:p>
    <w:p w14:paraId="39CBC25C"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Diabetes UK (2022) </w:t>
      </w:r>
      <w:r w:rsidRPr="00300C49">
        <w:rPr>
          <w:rFonts w:ascii="Arial" w:eastAsia="Times New Roman" w:hAnsi="Arial" w:cs="Arial"/>
          <w:i/>
          <w:iCs/>
          <w:color w:val="0F1115"/>
          <w:kern w:val="0"/>
          <w:sz w:val="22"/>
          <w:szCs w:val="22"/>
          <w:lang w:eastAsia="en-GB"/>
          <w14:ligatures w14:val="none"/>
        </w:rPr>
        <w:t>Type 2 diabetes</w:t>
      </w:r>
      <w:r w:rsidRPr="00300C49">
        <w:rPr>
          <w:rFonts w:ascii="Arial" w:eastAsia="Times New Roman" w:hAnsi="Arial" w:cs="Arial"/>
          <w:color w:val="0F1115"/>
          <w:kern w:val="0"/>
          <w:sz w:val="22"/>
          <w:szCs w:val="22"/>
          <w:lang w:eastAsia="en-GB"/>
          <w14:ligatures w14:val="none"/>
        </w:rPr>
        <w:t xml:space="preserve">. Available at: </w:t>
      </w:r>
      <w:hyperlink r:id="rId7" w:tgtFrame="_blank" w:history="1">
        <w:r w:rsidRPr="00300C49">
          <w:rPr>
            <w:rFonts w:ascii="Arial" w:eastAsia="Times New Roman" w:hAnsi="Arial" w:cs="Arial"/>
            <w:color w:val="3964FE"/>
            <w:kern w:val="0"/>
            <w:sz w:val="22"/>
            <w:szCs w:val="22"/>
            <w:bdr w:val="single" w:sz="12" w:space="0" w:color="auto" w:frame="1"/>
            <w:lang w:eastAsia="en-GB"/>
            <w14:ligatures w14:val="none"/>
          </w:rPr>
          <w:t>https://www.diabetes.org.uk</w:t>
        </w:r>
      </w:hyperlink>
      <w:r w:rsidRPr="00300C49">
        <w:rPr>
          <w:rFonts w:ascii="Arial" w:eastAsia="Times New Roman" w:hAnsi="Arial" w:cs="Arial"/>
          <w:color w:val="0F1115"/>
          <w:kern w:val="0"/>
          <w:sz w:val="22"/>
          <w:szCs w:val="22"/>
          <w:lang w:eastAsia="en-GB"/>
          <w14:ligatures w14:val="none"/>
        </w:rPr>
        <w:t xml:space="preserve"> (Accessed: 18 October 2026).</w:t>
      </w:r>
    </w:p>
    <w:p w14:paraId="58EC1CE3"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Esposito, K., Maiorino, M.I., </w:t>
      </w:r>
      <w:proofErr w:type="spellStart"/>
      <w:r w:rsidRPr="00300C49">
        <w:rPr>
          <w:rFonts w:ascii="Arial" w:eastAsia="Times New Roman" w:hAnsi="Arial" w:cs="Arial"/>
          <w:color w:val="0F1115"/>
          <w:kern w:val="0"/>
          <w:sz w:val="22"/>
          <w:szCs w:val="22"/>
          <w:lang w:eastAsia="en-GB"/>
          <w14:ligatures w14:val="none"/>
        </w:rPr>
        <w:t>Bellastella</w:t>
      </w:r>
      <w:proofErr w:type="spellEnd"/>
      <w:r w:rsidRPr="00300C49">
        <w:rPr>
          <w:rFonts w:ascii="Arial" w:eastAsia="Times New Roman" w:hAnsi="Arial" w:cs="Arial"/>
          <w:color w:val="0F1115"/>
          <w:kern w:val="0"/>
          <w:sz w:val="22"/>
          <w:szCs w:val="22"/>
          <w:lang w:eastAsia="en-GB"/>
          <w14:ligatures w14:val="none"/>
        </w:rPr>
        <w:t xml:space="preserve">, G. and Giugliano, D. (2019) ‘Mediterranean diet for Type 2 diabetes: evidence and practice’, </w:t>
      </w:r>
      <w:r w:rsidRPr="00300C49">
        <w:rPr>
          <w:rFonts w:ascii="Arial" w:eastAsia="Times New Roman" w:hAnsi="Arial" w:cs="Arial"/>
          <w:i/>
          <w:iCs/>
          <w:color w:val="0F1115"/>
          <w:kern w:val="0"/>
          <w:sz w:val="22"/>
          <w:szCs w:val="22"/>
          <w:lang w:eastAsia="en-GB"/>
          <w14:ligatures w14:val="none"/>
        </w:rPr>
        <w:t>Endocrine</w:t>
      </w:r>
      <w:r w:rsidRPr="00300C49">
        <w:rPr>
          <w:rFonts w:ascii="Arial" w:eastAsia="Times New Roman" w:hAnsi="Arial" w:cs="Arial"/>
          <w:color w:val="0F1115"/>
          <w:kern w:val="0"/>
          <w:sz w:val="22"/>
          <w:szCs w:val="22"/>
          <w:lang w:eastAsia="en-GB"/>
          <w14:ligatures w14:val="none"/>
        </w:rPr>
        <w:t>, 64(1), pp. 1–10.</w:t>
      </w:r>
    </w:p>
    <w:p w14:paraId="751D140B"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Hall, J.E. and Guyton, A.C. (2021) </w:t>
      </w:r>
      <w:r w:rsidRPr="00300C49">
        <w:rPr>
          <w:rFonts w:ascii="Arial" w:eastAsia="Times New Roman" w:hAnsi="Arial" w:cs="Arial"/>
          <w:i/>
          <w:iCs/>
          <w:color w:val="0F1115"/>
          <w:kern w:val="0"/>
          <w:sz w:val="22"/>
          <w:szCs w:val="22"/>
          <w:lang w:eastAsia="en-GB"/>
          <w14:ligatures w14:val="none"/>
        </w:rPr>
        <w:t>Guyton and Hall Textbook of Medical Physiology</w:t>
      </w:r>
      <w:r w:rsidRPr="00300C49">
        <w:rPr>
          <w:rFonts w:ascii="Arial" w:eastAsia="Times New Roman" w:hAnsi="Arial" w:cs="Arial"/>
          <w:color w:val="0F1115"/>
          <w:kern w:val="0"/>
          <w:sz w:val="22"/>
          <w:szCs w:val="22"/>
          <w:lang w:eastAsia="en-GB"/>
          <w14:ligatures w14:val="none"/>
        </w:rPr>
        <w:t xml:space="preserve">. 14th </w:t>
      </w:r>
      <w:proofErr w:type="spellStart"/>
      <w:r w:rsidRPr="00300C49">
        <w:rPr>
          <w:rFonts w:ascii="Arial" w:eastAsia="Times New Roman" w:hAnsi="Arial" w:cs="Arial"/>
          <w:color w:val="0F1115"/>
          <w:kern w:val="0"/>
          <w:sz w:val="22"/>
          <w:szCs w:val="22"/>
          <w:lang w:eastAsia="en-GB"/>
          <w14:ligatures w14:val="none"/>
        </w:rPr>
        <w:t>edn</w:t>
      </w:r>
      <w:proofErr w:type="spellEnd"/>
      <w:r w:rsidRPr="00300C49">
        <w:rPr>
          <w:rFonts w:ascii="Arial" w:eastAsia="Times New Roman" w:hAnsi="Arial" w:cs="Arial"/>
          <w:color w:val="0F1115"/>
          <w:kern w:val="0"/>
          <w:sz w:val="22"/>
          <w:szCs w:val="22"/>
          <w:lang w:eastAsia="en-GB"/>
          <w14:ligatures w14:val="none"/>
        </w:rPr>
        <w:t>. Philadelphia: Elsevier.</w:t>
      </w:r>
    </w:p>
    <w:p w14:paraId="7796D331"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Hibbard, J.H., Stockard, J., Mahoney, E.R. and Tusler, M. (2004) ‘Development of the Patient Activation Measure (PAM)’, </w:t>
      </w:r>
      <w:r w:rsidRPr="00300C49">
        <w:rPr>
          <w:rFonts w:ascii="Arial" w:eastAsia="Times New Roman" w:hAnsi="Arial" w:cs="Arial"/>
          <w:i/>
          <w:iCs/>
          <w:color w:val="0F1115"/>
          <w:kern w:val="0"/>
          <w:sz w:val="22"/>
          <w:szCs w:val="22"/>
          <w:lang w:eastAsia="en-GB"/>
          <w14:ligatures w14:val="none"/>
        </w:rPr>
        <w:t>Health Services Research</w:t>
      </w:r>
      <w:r w:rsidRPr="00300C49">
        <w:rPr>
          <w:rFonts w:ascii="Arial" w:eastAsia="Times New Roman" w:hAnsi="Arial" w:cs="Arial"/>
          <w:color w:val="0F1115"/>
          <w:kern w:val="0"/>
          <w:sz w:val="22"/>
          <w:szCs w:val="22"/>
          <w:lang w:eastAsia="en-GB"/>
          <w14:ligatures w14:val="none"/>
        </w:rPr>
        <w:t>, 39(4), pp. 1005–1026.</w:t>
      </w:r>
    </w:p>
    <w:p w14:paraId="7030FFE6"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Marieb, E.N. and Hoehn, K. (2019) </w:t>
      </w:r>
      <w:r w:rsidRPr="00300C49">
        <w:rPr>
          <w:rFonts w:ascii="Arial" w:eastAsia="Times New Roman" w:hAnsi="Arial" w:cs="Arial"/>
          <w:i/>
          <w:iCs/>
          <w:color w:val="0F1115"/>
          <w:kern w:val="0"/>
          <w:sz w:val="22"/>
          <w:szCs w:val="22"/>
          <w:lang w:eastAsia="en-GB"/>
          <w14:ligatures w14:val="none"/>
        </w:rPr>
        <w:t>Human Anatomy and Physiology</w:t>
      </w:r>
      <w:r w:rsidRPr="00300C49">
        <w:rPr>
          <w:rFonts w:ascii="Arial" w:eastAsia="Times New Roman" w:hAnsi="Arial" w:cs="Arial"/>
          <w:color w:val="0F1115"/>
          <w:kern w:val="0"/>
          <w:sz w:val="22"/>
          <w:szCs w:val="22"/>
          <w:lang w:eastAsia="en-GB"/>
          <w14:ligatures w14:val="none"/>
        </w:rPr>
        <w:t xml:space="preserve">. 11th </w:t>
      </w:r>
      <w:proofErr w:type="spellStart"/>
      <w:r w:rsidRPr="00300C49">
        <w:rPr>
          <w:rFonts w:ascii="Arial" w:eastAsia="Times New Roman" w:hAnsi="Arial" w:cs="Arial"/>
          <w:color w:val="0F1115"/>
          <w:kern w:val="0"/>
          <w:sz w:val="22"/>
          <w:szCs w:val="22"/>
          <w:lang w:eastAsia="en-GB"/>
          <w14:ligatures w14:val="none"/>
        </w:rPr>
        <w:t>edn</w:t>
      </w:r>
      <w:proofErr w:type="spellEnd"/>
      <w:r w:rsidRPr="00300C49">
        <w:rPr>
          <w:rFonts w:ascii="Arial" w:eastAsia="Times New Roman" w:hAnsi="Arial" w:cs="Arial"/>
          <w:color w:val="0F1115"/>
          <w:kern w:val="0"/>
          <w:sz w:val="22"/>
          <w:szCs w:val="22"/>
          <w:lang w:eastAsia="en-GB"/>
          <w14:ligatures w14:val="none"/>
        </w:rPr>
        <w:t>. Harlow: Pearson.</w:t>
      </w:r>
    </w:p>
    <w:p w14:paraId="22D6198F"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NHS (2023) </w:t>
      </w:r>
      <w:r w:rsidRPr="00300C49">
        <w:rPr>
          <w:rFonts w:ascii="Arial" w:eastAsia="Times New Roman" w:hAnsi="Arial" w:cs="Arial"/>
          <w:i/>
          <w:iCs/>
          <w:color w:val="0F1115"/>
          <w:kern w:val="0"/>
          <w:sz w:val="22"/>
          <w:szCs w:val="22"/>
          <w:lang w:eastAsia="en-GB"/>
          <w14:ligatures w14:val="none"/>
        </w:rPr>
        <w:t>Type 2 diabetes</w:t>
      </w:r>
      <w:r w:rsidRPr="00300C49">
        <w:rPr>
          <w:rFonts w:ascii="Arial" w:eastAsia="Times New Roman" w:hAnsi="Arial" w:cs="Arial"/>
          <w:color w:val="0F1115"/>
          <w:kern w:val="0"/>
          <w:sz w:val="22"/>
          <w:szCs w:val="22"/>
          <w:lang w:eastAsia="en-GB"/>
          <w14:ligatures w14:val="none"/>
        </w:rPr>
        <w:t xml:space="preserve">. Available at: </w:t>
      </w:r>
      <w:hyperlink r:id="rId8" w:tgtFrame="_blank" w:history="1">
        <w:r w:rsidRPr="00300C49">
          <w:rPr>
            <w:rFonts w:ascii="Arial" w:eastAsia="Times New Roman" w:hAnsi="Arial" w:cs="Arial"/>
            <w:color w:val="3964FE"/>
            <w:kern w:val="0"/>
            <w:sz w:val="22"/>
            <w:szCs w:val="22"/>
            <w:bdr w:val="single" w:sz="12" w:space="0" w:color="auto" w:frame="1"/>
            <w:lang w:eastAsia="en-GB"/>
            <w14:ligatures w14:val="none"/>
          </w:rPr>
          <w:t>https://www.nhs.uk</w:t>
        </w:r>
      </w:hyperlink>
      <w:r w:rsidRPr="00300C49">
        <w:rPr>
          <w:rFonts w:ascii="Arial" w:eastAsia="Times New Roman" w:hAnsi="Arial" w:cs="Arial"/>
          <w:color w:val="0F1115"/>
          <w:kern w:val="0"/>
          <w:sz w:val="22"/>
          <w:szCs w:val="22"/>
          <w:lang w:eastAsia="en-GB"/>
          <w14:ligatures w14:val="none"/>
        </w:rPr>
        <w:t xml:space="preserve"> (Accessed: 18 October 2026).</w:t>
      </w:r>
    </w:p>
    <w:p w14:paraId="0A9F584C"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NHS England (2023) </w:t>
      </w:r>
      <w:r w:rsidRPr="00300C49">
        <w:rPr>
          <w:rFonts w:ascii="Arial" w:eastAsia="Times New Roman" w:hAnsi="Arial" w:cs="Arial"/>
          <w:i/>
          <w:iCs/>
          <w:color w:val="0F1115"/>
          <w:kern w:val="0"/>
          <w:sz w:val="22"/>
          <w:szCs w:val="22"/>
          <w:lang w:eastAsia="en-GB"/>
          <w14:ligatures w14:val="none"/>
        </w:rPr>
        <w:t>Diabetes prevention and management</w:t>
      </w:r>
      <w:r w:rsidRPr="00300C49">
        <w:rPr>
          <w:rFonts w:ascii="Arial" w:eastAsia="Times New Roman" w:hAnsi="Arial" w:cs="Arial"/>
          <w:color w:val="0F1115"/>
          <w:kern w:val="0"/>
          <w:sz w:val="22"/>
          <w:szCs w:val="22"/>
          <w:lang w:eastAsia="en-GB"/>
          <w14:ligatures w14:val="none"/>
        </w:rPr>
        <w:t>. London: NHS England.</w:t>
      </w:r>
    </w:p>
    <w:p w14:paraId="1E0B0AD1"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NICE (2022) </w:t>
      </w:r>
      <w:r w:rsidRPr="00300C49">
        <w:rPr>
          <w:rFonts w:ascii="Arial" w:eastAsia="Times New Roman" w:hAnsi="Arial" w:cs="Arial"/>
          <w:i/>
          <w:iCs/>
          <w:color w:val="0F1115"/>
          <w:kern w:val="0"/>
          <w:sz w:val="22"/>
          <w:szCs w:val="22"/>
          <w:lang w:eastAsia="en-GB"/>
          <w14:ligatures w14:val="none"/>
        </w:rPr>
        <w:t>Type 2 diabetes in adults: management (NG28)</w:t>
      </w:r>
      <w:r w:rsidRPr="00300C49">
        <w:rPr>
          <w:rFonts w:ascii="Arial" w:eastAsia="Times New Roman" w:hAnsi="Arial" w:cs="Arial"/>
          <w:color w:val="0F1115"/>
          <w:kern w:val="0"/>
          <w:sz w:val="22"/>
          <w:szCs w:val="22"/>
          <w:lang w:eastAsia="en-GB"/>
          <w14:ligatures w14:val="none"/>
        </w:rPr>
        <w:t>. London: NICE.</w:t>
      </w:r>
    </w:p>
    <w:p w14:paraId="28AAB80A"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Public Health England (2021) </w:t>
      </w:r>
      <w:r w:rsidRPr="00300C49">
        <w:rPr>
          <w:rFonts w:ascii="Arial" w:eastAsia="Times New Roman" w:hAnsi="Arial" w:cs="Arial"/>
          <w:i/>
          <w:iCs/>
          <w:color w:val="0F1115"/>
          <w:kern w:val="0"/>
          <w:sz w:val="22"/>
          <w:szCs w:val="22"/>
          <w:lang w:eastAsia="en-GB"/>
          <w14:ligatures w14:val="none"/>
        </w:rPr>
        <w:t>Health matters: preventing Type 2 diabetes</w:t>
      </w:r>
      <w:r w:rsidRPr="00300C49">
        <w:rPr>
          <w:rFonts w:ascii="Arial" w:eastAsia="Times New Roman" w:hAnsi="Arial" w:cs="Arial"/>
          <w:color w:val="0F1115"/>
          <w:kern w:val="0"/>
          <w:sz w:val="22"/>
          <w:szCs w:val="22"/>
          <w:lang w:eastAsia="en-GB"/>
          <w14:ligatures w14:val="none"/>
        </w:rPr>
        <w:t>. London: PHE.</w:t>
      </w:r>
    </w:p>
    <w:p w14:paraId="38630F61"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lastRenderedPageBreak/>
        <w:t xml:space="preserve">Tortora, G.J. and Derrickson, B. (2018) </w:t>
      </w:r>
      <w:r w:rsidRPr="00300C49">
        <w:rPr>
          <w:rFonts w:ascii="Arial" w:eastAsia="Times New Roman" w:hAnsi="Arial" w:cs="Arial"/>
          <w:i/>
          <w:iCs/>
          <w:color w:val="0F1115"/>
          <w:kern w:val="0"/>
          <w:sz w:val="22"/>
          <w:szCs w:val="22"/>
          <w:lang w:eastAsia="en-GB"/>
          <w14:ligatures w14:val="none"/>
        </w:rPr>
        <w:t>Principles of Anatomy and Physiology</w:t>
      </w:r>
      <w:r w:rsidRPr="00300C49">
        <w:rPr>
          <w:rFonts w:ascii="Arial" w:eastAsia="Times New Roman" w:hAnsi="Arial" w:cs="Arial"/>
          <w:color w:val="0F1115"/>
          <w:kern w:val="0"/>
          <w:sz w:val="22"/>
          <w:szCs w:val="22"/>
          <w:lang w:eastAsia="en-GB"/>
          <w14:ligatures w14:val="none"/>
        </w:rPr>
        <w:t xml:space="preserve">. 15th </w:t>
      </w:r>
      <w:proofErr w:type="spellStart"/>
      <w:r w:rsidRPr="00300C49">
        <w:rPr>
          <w:rFonts w:ascii="Arial" w:eastAsia="Times New Roman" w:hAnsi="Arial" w:cs="Arial"/>
          <w:color w:val="0F1115"/>
          <w:kern w:val="0"/>
          <w:sz w:val="22"/>
          <w:szCs w:val="22"/>
          <w:lang w:eastAsia="en-GB"/>
          <w14:ligatures w14:val="none"/>
        </w:rPr>
        <w:t>edn</w:t>
      </w:r>
      <w:proofErr w:type="spellEnd"/>
      <w:r w:rsidRPr="00300C49">
        <w:rPr>
          <w:rFonts w:ascii="Arial" w:eastAsia="Times New Roman" w:hAnsi="Arial" w:cs="Arial"/>
          <w:color w:val="0F1115"/>
          <w:kern w:val="0"/>
          <w:sz w:val="22"/>
          <w:szCs w:val="22"/>
          <w:lang w:eastAsia="en-GB"/>
          <w14:ligatures w14:val="none"/>
        </w:rPr>
        <w:t>. Hoboken: Wiley.</w:t>
      </w:r>
    </w:p>
    <w:p w14:paraId="4B51DB79" w14:textId="77777777" w:rsidR="005308F9" w:rsidRPr="00300C49" w:rsidRDefault="005308F9" w:rsidP="005308F9">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300C49">
        <w:rPr>
          <w:rFonts w:ascii="Arial" w:eastAsia="Times New Roman" w:hAnsi="Arial" w:cs="Arial"/>
          <w:color w:val="0F1115"/>
          <w:kern w:val="0"/>
          <w:sz w:val="22"/>
          <w:szCs w:val="22"/>
          <w:lang w:eastAsia="en-GB"/>
          <w14:ligatures w14:val="none"/>
        </w:rPr>
        <w:t xml:space="preserve">WHO (2023) </w:t>
      </w:r>
      <w:r w:rsidRPr="00300C49">
        <w:rPr>
          <w:rFonts w:ascii="Arial" w:eastAsia="Times New Roman" w:hAnsi="Arial" w:cs="Arial"/>
          <w:i/>
          <w:iCs/>
          <w:color w:val="0F1115"/>
          <w:kern w:val="0"/>
          <w:sz w:val="22"/>
          <w:szCs w:val="22"/>
          <w:lang w:eastAsia="en-GB"/>
          <w14:ligatures w14:val="none"/>
        </w:rPr>
        <w:t>Diabetes fact sheet</w:t>
      </w:r>
      <w:r w:rsidRPr="00300C49">
        <w:rPr>
          <w:rFonts w:ascii="Arial" w:eastAsia="Times New Roman" w:hAnsi="Arial" w:cs="Arial"/>
          <w:color w:val="0F1115"/>
          <w:kern w:val="0"/>
          <w:sz w:val="22"/>
          <w:szCs w:val="22"/>
          <w:lang w:eastAsia="en-GB"/>
          <w14:ligatures w14:val="none"/>
        </w:rPr>
        <w:t>. Geneva: World Health Organization.</w:t>
      </w:r>
    </w:p>
    <w:p w14:paraId="1E5D85A1" w14:textId="74BAD528" w:rsidR="005308F9" w:rsidRPr="00300C49" w:rsidRDefault="005308F9" w:rsidP="005308F9">
      <w:pPr>
        <w:spacing w:before="480" w:after="480" w:line="240" w:lineRule="auto"/>
        <w:rPr>
          <w:rFonts w:ascii="Arial" w:eastAsia="Times New Roman" w:hAnsi="Arial" w:cs="Arial"/>
          <w:kern w:val="0"/>
          <w:sz w:val="22"/>
          <w:szCs w:val="22"/>
          <w:lang w:eastAsia="en-GB"/>
          <w14:ligatures w14:val="none"/>
        </w:rPr>
      </w:pPr>
    </w:p>
    <w:p w14:paraId="0DF89898" w14:textId="77777777" w:rsidR="005308F9" w:rsidRPr="00300C49" w:rsidRDefault="005308F9" w:rsidP="005308F9">
      <w:pPr>
        <w:shd w:val="clear" w:color="auto" w:fill="FFFFFF"/>
        <w:spacing w:before="100" w:beforeAutospacing="1" w:after="100" w:afterAutospacing="1" w:line="240" w:lineRule="auto"/>
        <w:ind w:left="720"/>
        <w:rPr>
          <w:rFonts w:ascii="Arial" w:eastAsia="Times New Roman" w:hAnsi="Arial" w:cs="Arial"/>
          <w:color w:val="0F1115"/>
          <w:kern w:val="0"/>
          <w:sz w:val="22"/>
          <w:szCs w:val="22"/>
          <w:lang w:eastAsia="en-GB"/>
          <w14:ligatures w14:val="none"/>
        </w:rPr>
      </w:pPr>
    </w:p>
    <w:p w14:paraId="76B7DAD9" w14:textId="77777777" w:rsidR="005308F9" w:rsidRDefault="005308F9"/>
    <w:sectPr w:rsidR="005308F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48963" w14:textId="77777777" w:rsidR="005E4388" w:rsidRDefault="005E4388" w:rsidP="00300C49">
      <w:pPr>
        <w:spacing w:after="0" w:line="240" w:lineRule="auto"/>
      </w:pPr>
      <w:r>
        <w:separator/>
      </w:r>
    </w:p>
  </w:endnote>
  <w:endnote w:type="continuationSeparator" w:id="0">
    <w:p w14:paraId="6303827D" w14:textId="77777777" w:rsidR="005E4388" w:rsidRDefault="005E4388" w:rsidP="00300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129679"/>
      <w:docPartObj>
        <w:docPartGallery w:val="Page Numbers (Bottom of Page)"/>
        <w:docPartUnique/>
      </w:docPartObj>
    </w:sdtPr>
    <w:sdtEndPr>
      <w:rPr>
        <w:noProof/>
      </w:rPr>
    </w:sdtEndPr>
    <w:sdtContent>
      <w:p w14:paraId="57B20195" w14:textId="578FECC4" w:rsidR="00300C49" w:rsidRDefault="00300C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44FF2C" w14:textId="77777777" w:rsidR="00300C49" w:rsidRDefault="00300C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93666" w14:textId="77777777" w:rsidR="005E4388" w:rsidRDefault="005E4388" w:rsidP="00300C49">
      <w:pPr>
        <w:spacing w:after="0" w:line="240" w:lineRule="auto"/>
      </w:pPr>
      <w:r>
        <w:separator/>
      </w:r>
    </w:p>
  </w:footnote>
  <w:footnote w:type="continuationSeparator" w:id="0">
    <w:p w14:paraId="396D8F01" w14:textId="77777777" w:rsidR="005E4388" w:rsidRDefault="005E4388" w:rsidP="00300C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E120B"/>
    <w:multiLevelType w:val="multilevel"/>
    <w:tmpl w:val="1300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005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8F9"/>
    <w:rsid w:val="00300C49"/>
    <w:rsid w:val="00393886"/>
    <w:rsid w:val="005308F9"/>
    <w:rsid w:val="005E4388"/>
    <w:rsid w:val="008C6416"/>
    <w:rsid w:val="00925DC6"/>
    <w:rsid w:val="00E27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E0B24"/>
  <w15:chartTrackingRefBased/>
  <w15:docId w15:val="{52E83A7E-CABC-4D27-B4EC-1C1F7456A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8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08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08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08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08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08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08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08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08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8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08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08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08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08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08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08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08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08F9"/>
    <w:rPr>
      <w:rFonts w:eastAsiaTheme="majorEastAsia" w:cstheme="majorBidi"/>
      <w:color w:val="272727" w:themeColor="text1" w:themeTint="D8"/>
    </w:rPr>
  </w:style>
  <w:style w:type="paragraph" w:styleId="Title">
    <w:name w:val="Title"/>
    <w:basedOn w:val="Normal"/>
    <w:next w:val="Normal"/>
    <w:link w:val="TitleChar"/>
    <w:uiPriority w:val="10"/>
    <w:qFormat/>
    <w:rsid w:val="005308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8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8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8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08F9"/>
    <w:pPr>
      <w:spacing w:before="160"/>
      <w:jc w:val="center"/>
    </w:pPr>
    <w:rPr>
      <w:i/>
      <w:iCs/>
      <w:color w:val="404040" w:themeColor="text1" w:themeTint="BF"/>
    </w:rPr>
  </w:style>
  <w:style w:type="character" w:customStyle="1" w:styleId="QuoteChar">
    <w:name w:val="Quote Char"/>
    <w:basedOn w:val="DefaultParagraphFont"/>
    <w:link w:val="Quote"/>
    <w:uiPriority w:val="29"/>
    <w:rsid w:val="005308F9"/>
    <w:rPr>
      <w:i/>
      <w:iCs/>
      <w:color w:val="404040" w:themeColor="text1" w:themeTint="BF"/>
    </w:rPr>
  </w:style>
  <w:style w:type="paragraph" w:styleId="ListParagraph">
    <w:name w:val="List Paragraph"/>
    <w:basedOn w:val="Normal"/>
    <w:uiPriority w:val="34"/>
    <w:qFormat/>
    <w:rsid w:val="005308F9"/>
    <w:pPr>
      <w:ind w:left="720"/>
      <w:contextualSpacing/>
    </w:pPr>
  </w:style>
  <w:style w:type="character" w:styleId="IntenseEmphasis">
    <w:name w:val="Intense Emphasis"/>
    <w:basedOn w:val="DefaultParagraphFont"/>
    <w:uiPriority w:val="21"/>
    <w:qFormat/>
    <w:rsid w:val="005308F9"/>
    <w:rPr>
      <w:i/>
      <w:iCs/>
      <w:color w:val="0F4761" w:themeColor="accent1" w:themeShade="BF"/>
    </w:rPr>
  </w:style>
  <w:style w:type="paragraph" w:styleId="IntenseQuote">
    <w:name w:val="Intense Quote"/>
    <w:basedOn w:val="Normal"/>
    <w:next w:val="Normal"/>
    <w:link w:val="IntenseQuoteChar"/>
    <w:uiPriority w:val="30"/>
    <w:qFormat/>
    <w:rsid w:val="005308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08F9"/>
    <w:rPr>
      <w:i/>
      <w:iCs/>
      <w:color w:val="0F4761" w:themeColor="accent1" w:themeShade="BF"/>
    </w:rPr>
  </w:style>
  <w:style w:type="character" w:styleId="IntenseReference">
    <w:name w:val="Intense Reference"/>
    <w:basedOn w:val="DefaultParagraphFont"/>
    <w:uiPriority w:val="32"/>
    <w:qFormat/>
    <w:rsid w:val="005308F9"/>
    <w:rPr>
      <w:b/>
      <w:bCs/>
      <w:smallCaps/>
      <w:color w:val="0F4761" w:themeColor="accent1" w:themeShade="BF"/>
      <w:spacing w:val="5"/>
    </w:rPr>
  </w:style>
  <w:style w:type="paragraph" w:styleId="Header">
    <w:name w:val="header"/>
    <w:basedOn w:val="Normal"/>
    <w:link w:val="HeaderChar"/>
    <w:uiPriority w:val="99"/>
    <w:unhideWhenUsed/>
    <w:rsid w:val="00300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C49"/>
  </w:style>
  <w:style w:type="paragraph" w:styleId="Footer">
    <w:name w:val="footer"/>
    <w:basedOn w:val="Normal"/>
    <w:link w:val="FooterChar"/>
    <w:uiPriority w:val="99"/>
    <w:unhideWhenUsed/>
    <w:rsid w:val="00300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settings" Target="settings.xml"/><Relationship Id="rId7" Type="http://schemas.openxmlformats.org/officeDocument/2006/relationships/hyperlink" Target="https://www.diabete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7</Pages>
  <Words>2595</Words>
  <Characters>14795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Atanasov Manolov</dc:creator>
  <cp:keywords/>
  <dc:description/>
  <cp:lastModifiedBy>Lavinia Groceanu</cp:lastModifiedBy>
  <cp:revision>2</cp:revision>
  <dcterms:created xsi:type="dcterms:W3CDTF">2026-10-22T19:20:00Z</dcterms:created>
  <dcterms:modified xsi:type="dcterms:W3CDTF">2026-10-22T19:20:00Z</dcterms:modified>
</cp:coreProperties>
</file>