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FAC" w:rsidRPr="00A0528F" w:rsidRDefault="00236FAC" w:rsidP="00236FAC">
      <w:pPr>
        <w:rPr>
          <w:rFonts w:ascii="Century Gothic" w:hAnsi="Century Gothic"/>
          <w:sz w:val="28"/>
          <w:szCs w:val="28"/>
        </w:rPr>
      </w:pPr>
      <w:r w:rsidRPr="00A0528F">
        <w:rPr>
          <w:rFonts w:ascii="Century Gothic" w:hAnsi="Century Gothic"/>
          <w:sz w:val="28"/>
          <w:szCs w:val="28"/>
        </w:rPr>
        <w:t>AMERICAN MODERNISM AND CHINA</w:t>
      </w:r>
    </w:p>
    <w:p w:rsidR="00236FAC" w:rsidRPr="00A0528F" w:rsidRDefault="00236FAC" w:rsidP="00236FAC">
      <w:pPr>
        <w:rPr>
          <w:rFonts w:ascii="Century Gothic" w:hAnsi="Century Gothic"/>
          <w:b/>
          <w:sz w:val="28"/>
          <w:szCs w:val="28"/>
        </w:rPr>
      </w:pPr>
    </w:p>
    <w:p w:rsidR="00236FAC" w:rsidRPr="00A0528F" w:rsidRDefault="00236FAC" w:rsidP="00236FAC">
      <w:pPr>
        <w:rPr>
          <w:rFonts w:ascii="Century Gothic" w:hAnsi="Century Gothic"/>
        </w:rPr>
      </w:pPr>
      <w:r w:rsidRPr="00A0528F">
        <w:rPr>
          <w:rFonts w:ascii="Century Gothic" w:hAnsi="Century Gothic"/>
        </w:rPr>
        <w:t xml:space="preserve">Thomas W. Kim, ‘Being Modern: The Circulation of Oriental Objects,’ </w:t>
      </w:r>
      <w:r w:rsidRPr="00A0528F">
        <w:rPr>
          <w:rStyle w:val="Strong"/>
          <w:rFonts w:ascii="Century Gothic" w:hAnsi="Century Gothic"/>
          <w:b w:val="0"/>
          <w:i/>
        </w:rPr>
        <w:t>American Quarterly</w:t>
      </w:r>
      <w:r w:rsidRPr="00A0528F">
        <w:rPr>
          <w:rFonts w:ascii="Century Gothic" w:hAnsi="Century Gothic"/>
        </w:rPr>
        <w:t>, Volume 58, Number 2, June 2006, pp. 379-406</w:t>
      </w:r>
    </w:p>
    <w:p w:rsidR="00236FAC" w:rsidRPr="00A0528F" w:rsidRDefault="00236FAC" w:rsidP="00236FAC">
      <w:pPr>
        <w:rPr>
          <w:rFonts w:ascii="Century Gothic" w:hAnsi="Century Gothic"/>
          <w:sz w:val="22"/>
          <w:szCs w:val="22"/>
        </w:rPr>
      </w:pPr>
    </w:p>
    <w:p w:rsidR="00236FAC" w:rsidRPr="00A0528F" w:rsidRDefault="00236FAC" w:rsidP="00236FAC">
      <w:pPr>
        <w:rPr>
          <w:rFonts w:ascii="Century Gothic" w:hAnsi="Century Gothic"/>
          <w:sz w:val="22"/>
          <w:szCs w:val="22"/>
        </w:rPr>
      </w:pPr>
      <w:r w:rsidRPr="00A0528F">
        <w:rPr>
          <w:rFonts w:ascii="Century Gothic" w:hAnsi="Century Gothic"/>
          <w:sz w:val="22"/>
          <w:szCs w:val="22"/>
        </w:rPr>
        <w:t xml:space="preserve">Collectors seemed to imagine Japan emerging from a time capsule, and in large part the Oriental message from the past was conceived as an education in beauty and order. Oriental objects in an American home signified an appreciation for what were supposed to be the deepest principles of art, as well as a measure of cosmopolitanism. The cultural capital to be gained by consuming Oriental objects resided quite specifically in the evocation of an aristocratic yet simpler past, a time characterized by effortless aesthetic cultivation rather than industrial, capitalist striving. This is why, despite the Meiji Empire’s attempts to show itself to the world as a modernizing, exceptionally literate and progressive culture, key </w:t>
      </w:r>
      <w:proofErr w:type="gramStart"/>
      <w:r w:rsidRPr="00A0528F">
        <w:rPr>
          <w:rFonts w:ascii="Century Gothic" w:hAnsi="Century Gothic"/>
          <w:sz w:val="22"/>
          <w:szCs w:val="22"/>
        </w:rPr>
        <w:t>commentators</w:t>
      </w:r>
      <w:proofErr w:type="gramEnd"/>
      <w:r w:rsidRPr="00A0528F">
        <w:rPr>
          <w:rFonts w:ascii="Century Gothic" w:hAnsi="Century Gothic"/>
          <w:sz w:val="22"/>
          <w:szCs w:val="22"/>
        </w:rPr>
        <w:t xml:space="preserve"> at the world’s fairs emphasized the traditional art of Japan over all else, and why </w:t>
      </w:r>
      <w:proofErr w:type="spellStart"/>
      <w:r w:rsidRPr="00A0528F">
        <w:rPr>
          <w:rFonts w:ascii="Century Gothic" w:hAnsi="Century Gothic"/>
          <w:sz w:val="22"/>
          <w:szCs w:val="22"/>
        </w:rPr>
        <w:t>Fenollosa</w:t>
      </w:r>
      <w:proofErr w:type="spellEnd"/>
      <w:r w:rsidRPr="00A0528F">
        <w:rPr>
          <w:rFonts w:ascii="Century Gothic" w:hAnsi="Century Gothic"/>
          <w:sz w:val="22"/>
          <w:szCs w:val="22"/>
        </w:rPr>
        <w:t xml:space="preserve"> insisted that Japan’s proper future lay in the preservation of “her very genial and artistic temperament” and “Asiatic tradition” rather than industrialization.  (p. 384)</w:t>
      </w:r>
    </w:p>
    <w:p w:rsidR="00236FAC" w:rsidRPr="00A0528F" w:rsidRDefault="00236FAC" w:rsidP="00236FAC">
      <w:pPr>
        <w:rPr>
          <w:rFonts w:ascii="Century Gothic" w:hAnsi="Century Gothic"/>
          <w:sz w:val="22"/>
          <w:szCs w:val="22"/>
        </w:rPr>
      </w:pPr>
    </w:p>
    <w:p w:rsidR="00236FAC" w:rsidRPr="00A0528F" w:rsidRDefault="00236FAC" w:rsidP="00236FAC">
      <w:pPr>
        <w:rPr>
          <w:rFonts w:ascii="Century Gothic" w:hAnsi="Century Gothic"/>
          <w:sz w:val="22"/>
          <w:szCs w:val="22"/>
        </w:rPr>
      </w:pPr>
      <w:r w:rsidRPr="00A0528F">
        <w:rPr>
          <w:rFonts w:ascii="Century Gothic" w:hAnsi="Century Gothic"/>
          <w:sz w:val="22"/>
          <w:szCs w:val="22"/>
        </w:rPr>
        <w:t xml:space="preserve">But I would like to resist the temptation to interpret the Oriental object solely in terms of its appeal to the project of exoticism, because such a reading tends to locate the Oriental as the alternative space of the </w:t>
      </w:r>
      <w:proofErr w:type="spellStart"/>
      <w:r w:rsidRPr="00A0528F">
        <w:rPr>
          <w:rFonts w:ascii="Century Gothic" w:hAnsi="Century Gothic"/>
          <w:sz w:val="22"/>
          <w:szCs w:val="22"/>
        </w:rPr>
        <w:t>antimodern</w:t>
      </w:r>
      <w:proofErr w:type="spellEnd"/>
      <w:r w:rsidRPr="00A0528F">
        <w:rPr>
          <w:rFonts w:ascii="Century Gothic" w:hAnsi="Century Gothic"/>
          <w:sz w:val="22"/>
          <w:szCs w:val="22"/>
        </w:rPr>
        <w:t xml:space="preserve">, rather than elucidating the ways in which Oriental significations condition and trouble modernity. In </w:t>
      </w:r>
      <w:r w:rsidRPr="00A0528F">
        <w:rPr>
          <w:rFonts w:ascii="Century Gothic" w:hAnsi="Century Gothic"/>
          <w:i/>
          <w:sz w:val="22"/>
          <w:szCs w:val="22"/>
        </w:rPr>
        <w:t>No Place of Grace</w:t>
      </w:r>
      <w:r w:rsidRPr="00A0528F">
        <w:rPr>
          <w:rFonts w:ascii="Century Gothic" w:hAnsi="Century Gothic"/>
          <w:sz w:val="22"/>
          <w:szCs w:val="22"/>
        </w:rPr>
        <w:t xml:space="preserve">, T. J. Jackson </w:t>
      </w:r>
      <w:proofErr w:type="spellStart"/>
      <w:r w:rsidRPr="00A0528F">
        <w:rPr>
          <w:rFonts w:ascii="Century Gothic" w:hAnsi="Century Gothic"/>
          <w:sz w:val="22"/>
          <w:szCs w:val="22"/>
        </w:rPr>
        <w:t>Lears</w:t>
      </w:r>
      <w:proofErr w:type="spellEnd"/>
      <w:r w:rsidRPr="00A0528F">
        <w:rPr>
          <w:rFonts w:ascii="Century Gothic" w:hAnsi="Century Gothic"/>
          <w:sz w:val="22"/>
          <w:szCs w:val="22"/>
        </w:rPr>
        <w:t xml:space="preserve"> argues that </w:t>
      </w:r>
      <w:proofErr w:type="spellStart"/>
      <w:r w:rsidRPr="00A0528F">
        <w:rPr>
          <w:rFonts w:ascii="Century Gothic" w:hAnsi="Century Gothic"/>
          <w:sz w:val="22"/>
          <w:szCs w:val="22"/>
        </w:rPr>
        <w:t>Orientalism</w:t>
      </w:r>
      <w:proofErr w:type="spellEnd"/>
      <w:r w:rsidRPr="00A0528F">
        <w:rPr>
          <w:rFonts w:ascii="Century Gothic" w:hAnsi="Century Gothic"/>
          <w:sz w:val="22"/>
          <w:szCs w:val="22"/>
        </w:rPr>
        <w:t xml:space="preserve"> expresses a desire for authenticity, for intense spiritual experience or even primitive emotion, in reaction to “</w:t>
      </w:r>
      <w:proofErr w:type="spellStart"/>
      <w:r w:rsidRPr="00A0528F">
        <w:rPr>
          <w:rFonts w:ascii="Century Gothic" w:hAnsi="Century Gothic"/>
          <w:sz w:val="22"/>
          <w:szCs w:val="22"/>
        </w:rPr>
        <w:t>overcivilized</w:t>
      </w:r>
      <w:proofErr w:type="spellEnd"/>
      <w:r w:rsidRPr="00A0528F">
        <w:rPr>
          <w:rFonts w:ascii="Century Gothic" w:hAnsi="Century Gothic"/>
          <w:sz w:val="22"/>
          <w:szCs w:val="22"/>
        </w:rPr>
        <w:t xml:space="preserve">” modern existence.19 </w:t>
      </w:r>
      <w:proofErr w:type="gramStart"/>
      <w:r w:rsidRPr="00A0528F">
        <w:rPr>
          <w:rFonts w:ascii="Century Gothic" w:hAnsi="Century Gothic"/>
          <w:sz w:val="22"/>
          <w:szCs w:val="22"/>
        </w:rPr>
        <w:t>This</w:t>
      </w:r>
      <w:proofErr w:type="gramEnd"/>
      <w:r w:rsidRPr="00A0528F">
        <w:rPr>
          <w:rFonts w:ascii="Century Gothic" w:hAnsi="Century Gothic"/>
          <w:sz w:val="22"/>
          <w:szCs w:val="22"/>
        </w:rPr>
        <w:t xml:space="preserve"> idea of the Orient simply as other to modernity has often served as an explanation for the role of the Oriental in American consumer culture. In a study of strategies of display, advertising, and retail distribution in consumer culture, William Leach similarly suggests that the Oriental theme was popular in merchandising before World War I in large part because the Orient signified the “sensual” element missing from Western society.20 By the mid-1920s, not only were window displays “methodically reproduced from Persian and Japanese models,” but </w:t>
      </w:r>
      <w:proofErr w:type="spellStart"/>
      <w:r w:rsidRPr="00A0528F">
        <w:rPr>
          <w:rFonts w:ascii="Century Gothic" w:hAnsi="Century Gothic"/>
          <w:sz w:val="22"/>
          <w:szCs w:val="22"/>
        </w:rPr>
        <w:t>Bedell’s</w:t>
      </w:r>
      <w:proofErr w:type="spellEnd"/>
      <w:r w:rsidRPr="00A0528F">
        <w:rPr>
          <w:rFonts w:ascii="Century Gothic" w:hAnsi="Century Gothic"/>
          <w:sz w:val="22"/>
          <w:szCs w:val="22"/>
        </w:rPr>
        <w:t xml:space="preserve"> department store in New York City hired a staff of “young Chinese women dressed in native costumes.”21 Modern mass </w:t>
      </w:r>
      <w:proofErr w:type="gramStart"/>
      <w:r w:rsidRPr="00A0528F">
        <w:rPr>
          <w:rFonts w:ascii="Century Gothic" w:hAnsi="Century Gothic"/>
          <w:sz w:val="22"/>
          <w:szCs w:val="22"/>
        </w:rPr>
        <w:t>culture</w:t>
      </w:r>
      <w:proofErr w:type="gramEnd"/>
      <w:r w:rsidRPr="00A0528F">
        <w:rPr>
          <w:rFonts w:ascii="Century Gothic" w:hAnsi="Century Gothic"/>
          <w:sz w:val="22"/>
          <w:szCs w:val="22"/>
        </w:rPr>
        <w:t>, according to Leach, deployed the signatures of Oriental aesthetics to elicit consumer desire                (p. 385)</w:t>
      </w:r>
    </w:p>
    <w:p w:rsidR="00236FAC" w:rsidRPr="00A0528F" w:rsidRDefault="00236FAC" w:rsidP="00236FAC">
      <w:pPr>
        <w:rPr>
          <w:rFonts w:ascii="Century Gothic" w:hAnsi="Century Gothic"/>
          <w:sz w:val="22"/>
          <w:szCs w:val="22"/>
        </w:rPr>
      </w:pPr>
    </w:p>
    <w:p w:rsidR="00236FAC" w:rsidRPr="00A0528F" w:rsidRDefault="00236FAC" w:rsidP="00236FAC">
      <w:pPr>
        <w:rPr>
          <w:rFonts w:ascii="Century Gothic" w:hAnsi="Century Gothic"/>
          <w:sz w:val="22"/>
          <w:szCs w:val="22"/>
        </w:rPr>
      </w:pPr>
      <w:r w:rsidRPr="00A0528F">
        <w:rPr>
          <w:rFonts w:ascii="Century Gothic" w:hAnsi="Century Gothic"/>
          <w:sz w:val="22"/>
          <w:szCs w:val="22"/>
        </w:rPr>
        <w:t xml:space="preserve">I would argue that an object from the Orient can indeed produce a new modern sensibility, conditioning the individual with a new attitude toward consumption, making legible the contradictions that mass culture presents to the consumer. </w:t>
      </w:r>
      <w:r w:rsidRPr="00A0528F">
        <w:rPr>
          <w:rFonts w:ascii="Century Gothic" w:hAnsi="Century Gothic"/>
          <w:sz w:val="22"/>
          <w:szCs w:val="22"/>
          <w:u w:val="single"/>
        </w:rPr>
        <w:t>The Oriental object in the living room does not merely cite the other, the far away, the distant; it does not always or merely represent an “escape” or alternative to modernity</w:t>
      </w:r>
      <w:r w:rsidRPr="00A0528F">
        <w:rPr>
          <w:rFonts w:ascii="Century Gothic" w:hAnsi="Century Gothic"/>
          <w:sz w:val="22"/>
          <w:szCs w:val="22"/>
        </w:rPr>
        <w:t xml:space="preserve">. The strange yet common juxtaposition of a Japanese fan perched atop an English lace doily on the Victorian mantel marks a kind of modern modality. Think also of the popular home decorating activity for young women, endorsed by the Ladies’ Home Journal in the late nineteenth century, of painting pagodas and cherry blossoms on white porcelain for display in drawing rooms. The making of the modern home includes activities of incorporating and emulating the Oriental, from </w:t>
      </w:r>
      <w:r w:rsidRPr="00A0528F">
        <w:rPr>
          <w:rFonts w:ascii="Century Gothic" w:hAnsi="Century Gothic"/>
          <w:sz w:val="22"/>
          <w:szCs w:val="22"/>
        </w:rPr>
        <w:lastRenderedPageBreak/>
        <w:t xml:space="preserve">production to consumption. And </w:t>
      </w:r>
      <w:r w:rsidRPr="00A0528F">
        <w:rPr>
          <w:rFonts w:ascii="Century Gothic" w:hAnsi="Century Gothic"/>
          <w:sz w:val="22"/>
          <w:szCs w:val="22"/>
          <w:u w:val="single"/>
        </w:rPr>
        <w:t xml:space="preserve">this particular role within the modern seems to be specific to the Oriental object; while museum curators and private collectors also gathered African and Native American objects, Oriental objects were the ones that entered the homes and everyday lives of the general populace not just as curiosities but as exemplars of cultural refinement and the highest aesthetic aspirations. </w:t>
      </w:r>
      <w:r w:rsidRPr="00A0528F">
        <w:rPr>
          <w:rFonts w:ascii="Century Gothic" w:hAnsi="Century Gothic"/>
          <w:sz w:val="22"/>
          <w:szCs w:val="22"/>
        </w:rPr>
        <w:t xml:space="preserve">Oriental objects did not arouse a fascination with the primitive, nor did they serve merely as </w:t>
      </w:r>
      <w:proofErr w:type="spellStart"/>
      <w:r w:rsidRPr="00A0528F">
        <w:rPr>
          <w:rFonts w:ascii="Century Gothic" w:hAnsi="Century Gothic"/>
          <w:sz w:val="22"/>
          <w:szCs w:val="22"/>
        </w:rPr>
        <w:t>artifacts</w:t>
      </w:r>
      <w:proofErr w:type="spellEnd"/>
      <w:r w:rsidRPr="00A0528F">
        <w:rPr>
          <w:rFonts w:ascii="Century Gothic" w:hAnsi="Century Gothic"/>
          <w:sz w:val="22"/>
          <w:szCs w:val="22"/>
        </w:rPr>
        <w:t xml:space="preserve"> of </w:t>
      </w:r>
      <w:proofErr w:type="spellStart"/>
      <w:r w:rsidRPr="00A0528F">
        <w:rPr>
          <w:rFonts w:ascii="Century Gothic" w:hAnsi="Century Gothic"/>
          <w:sz w:val="22"/>
          <w:szCs w:val="22"/>
        </w:rPr>
        <w:t>premodern</w:t>
      </w:r>
      <w:proofErr w:type="spellEnd"/>
      <w:r w:rsidRPr="00A0528F">
        <w:rPr>
          <w:rFonts w:ascii="Century Gothic" w:hAnsi="Century Gothic"/>
          <w:sz w:val="22"/>
          <w:szCs w:val="22"/>
        </w:rPr>
        <w:t xml:space="preserve"> civilization; what Oriental objects supposedly offered the modern consumer was an education in beauty, an appreciation of “nature,” and a training of the aesthetic sense.                           (387)</w:t>
      </w:r>
    </w:p>
    <w:p w:rsidR="00236FAC" w:rsidRPr="00A0528F" w:rsidRDefault="00236FAC" w:rsidP="00236FAC">
      <w:pPr>
        <w:rPr>
          <w:rFonts w:ascii="Century Gothic" w:hAnsi="Century Gothic"/>
          <w:sz w:val="22"/>
          <w:szCs w:val="22"/>
        </w:rPr>
      </w:pPr>
    </w:p>
    <w:p w:rsidR="00236FAC" w:rsidRPr="00A0528F" w:rsidRDefault="00236FAC" w:rsidP="00236FAC">
      <w:pPr>
        <w:rPr>
          <w:rFonts w:ascii="Century Gothic" w:hAnsi="Century Gothic"/>
          <w:sz w:val="22"/>
          <w:szCs w:val="22"/>
        </w:rPr>
      </w:pPr>
      <w:r w:rsidRPr="00A0528F">
        <w:rPr>
          <w:rFonts w:ascii="Century Gothic" w:hAnsi="Century Gothic"/>
          <w:sz w:val="22"/>
          <w:szCs w:val="22"/>
        </w:rPr>
        <w:t xml:space="preserve">Morse and </w:t>
      </w:r>
      <w:proofErr w:type="spellStart"/>
      <w:r w:rsidRPr="00A0528F">
        <w:rPr>
          <w:rFonts w:ascii="Century Gothic" w:hAnsi="Century Gothic"/>
          <w:sz w:val="22"/>
          <w:szCs w:val="22"/>
        </w:rPr>
        <w:t>Fenollosa</w:t>
      </w:r>
      <w:proofErr w:type="spellEnd"/>
      <w:r w:rsidRPr="00A0528F">
        <w:rPr>
          <w:rFonts w:ascii="Century Gothic" w:hAnsi="Century Gothic"/>
          <w:sz w:val="22"/>
          <w:szCs w:val="22"/>
        </w:rPr>
        <w:t xml:space="preserve"> in particular were quite careful to make distinctions among the disparate art objects, periods, and crafts from the different cultures they studied; </w:t>
      </w:r>
      <w:r w:rsidRPr="00A0528F">
        <w:rPr>
          <w:rFonts w:ascii="Century Gothic" w:hAnsi="Century Gothic"/>
          <w:sz w:val="22"/>
          <w:szCs w:val="22"/>
          <w:u w:val="single"/>
        </w:rPr>
        <w:t>they did not perform the same blurring of China, Japan, Chinatown, and so on, that is often evident in the home decoration guidebooks,</w:t>
      </w:r>
      <w:r w:rsidRPr="00A0528F">
        <w:rPr>
          <w:rFonts w:ascii="Century Gothic" w:hAnsi="Century Gothic"/>
          <w:sz w:val="22"/>
          <w:szCs w:val="22"/>
        </w:rPr>
        <w:t xml:space="preserve"> for example. But I am calling attention to the pervasiveness of an approach to the Orient via aesthetic appreciation during this period in American culture, which helps elucidate the connections between mass consumerism and “high art” or scholarship.                      (391)</w:t>
      </w:r>
    </w:p>
    <w:p w:rsidR="00236FAC" w:rsidRPr="00A0528F" w:rsidRDefault="00236FAC" w:rsidP="00236FAC">
      <w:pPr>
        <w:rPr>
          <w:rFonts w:ascii="Century Gothic" w:hAnsi="Century Gothic"/>
          <w:sz w:val="22"/>
          <w:szCs w:val="22"/>
        </w:rPr>
      </w:pPr>
    </w:p>
    <w:p w:rsidR="00236FAC" w:rsidRPr="00A0528F" w:rsidRDefault="00236FAC" w:rsidP="00236FAC">
      <w:pPr>
        <w:rPr>
          <w:rFonts w:ascii="Century Gothic" w:hAnsi="Century Gothic"/>
          <w:sz w:val="22"/>
          <w:szCs w:val="22"/>
        </w:rPr>
      </w:pPr>
      <w:r w:rsidRPr="00A0528F">
        <w:rPr>
          <w:rFonts w:ascii="Century Gothic" w:hAnsi="Century Gothic"/>
          <w:sz w:val="22"/>
          <w:szCs w:val="22"/>
        </w:rPr>
        <w:t xml:space="preserve">[However] remarking upon populations in the aesthetic register—the masses can also inspire disgust, and this repugnance for the Orient coexists with surprising ease alongside expressions of artistic appreciation for the Orient. Consider the following passage from Eliza </w:t>
      </w:r>
      <w:proofErr w:type="spellStart"/>
      <w:r w:rsidRPr="00A0528F">
        <w:rPr>
          <w:rFonts w:ascii="Century Gothic" w:hAnsi="Century Gothic"/>
          <w:sz w:val="22"/>
          <w:szCs w:val="22"/>
        </w:rPr>
        <w:t>Ruhamah</w:t>
      </w:r>
      <w:proofErr w:type="spellEnd"/>
      <w:r w:rsidRPr="00A0528F">
        <w:rPr>
          <w:rFonts w:ascii="Century Gothic" w:hAnsi="Century Gothic"/>
          <w:sz w:val="22"/>
          <w:szCs w:val="22"/>
        </w:rPr>
        <w:t xml:space="preserve"> </w:t>
      </w:r>
      <w:proofErr w:type="spellStart"/>
      <w:r w:rsidRPr="00A0528F">
        <w:rPr>
          <w:rFonts w:ascii="Century Gothic" w:hAnsi="Century Gothic"/>
          <w:sz w:val="22"/>
          <w:szCs w:val="22"/>
        </w:rPr>
        <w:t>Scidmore’s</w:t>
      </w:r>
      <w:proofErr w:type="spellEnd"/>
      <w:r w:rsidRPr="00A0528F">
        <w:rPr>
          <w:rFonts w:ascii="Century Gothic" w:hAnsi="Century Gothic"/>
          <w:sz w:val="22"/>
          <w:szCs w:val="22"/>
        </w:rPr>
        <w:t xml:space="preserve"> 1897 description of travel to Java and Singapore, in which the measure of relative beauty and personal appeal coordinates purportedly ethnographic observations:</w:t>
      </w:r>
    </w:p>
    <w:p w:rsidR="00236FAC" w:rsidRPr="00A0528F" w:rsidRDefault="00236FAC" w:rsidP="00236FAC">
      <w:pPr>
        <w:ind w:left="720"/>
        <w:rPr>
          <w:rFonts w:ascii="Century Gothic" w:hAnsi="Century Gothic"/>
          <w:sz w:val="20"/>
          <w:szCs w:val="20"/>
        </w:rPr>
      </w:pPr>
    </w:p>
    <w:p w:rsidR="00236FAC" w:rsidRPr="00A0528F" w:rsidRDefault="00236FAC" w:rsidP="00236FAC">
      <w:pPr>
        <w:ind w:left="720"/>
        <w:rPr>
          <w:rFonts w:ascii="Century Gothic" w:hAnsi="Century Gothic"/>
          <w:sz w:val="20"/>
          <w:szCs w:val="20"/>
        </w:rPr>
      </w:pPr>
      <w:r w:rsidRPr="00A0528F">
        <w:rPr>
          <w:rFonts w:ascii="Century Gothic" w:hAnsi="Century Gothic"/>
          <w:sz w:val="20"/>
          <w:szCs w:val="20"/>
        </w:rPr>
        <w:t>The Javanese are the finest flowers of the Malay race—a people possessed of a civilization, arts, and literature in that golden period before the Mohammedan and European conquests. They have gentle voices, gentle manners, fine and expressive features, and are the one people of Asia besides the Japanese who have real charm and attraction for the alien. They are more winning, too, by contrast, after one has met the harsh, unlovely, and unwashed people of China, or the equally unwashed, cringing Hindu.</w:t>
      </w:r>
    </w:p>
    <w:p w:rsidR="00236FAC" w:rsidRPr="00A0528F" w:rsidRDefault="00236FAC" w:rsidP="00236FAC">
      <w:pPr>
        <w:ind w:left="3600"/>
        <w:rPr>
          <w:rFonts w:ascii="Century Gothic" w:hAnsi="Century Gothic"/>
          <w:sz w:val="22"/>
          <w:szCs w:val="22"/>
        </w:rPr>
      </w:pPr>
      <w:r w:rsidRPr="00A0528F">
        <w:rPr>
          <w:rFonts w:ascii="Century Gothic" w:hAnsi="Century Gothic"/>
          <w:sz w:val="22"/>
          <w:szCs w:val="22"/>
        </w:rPr>
        <w:t xml:space="preserve">(p.394) </w:t>
      </w:r>
    </w:p>
    <w:p w:rsidR="00236FAC" w:rsidRPr="00A0528F" w:rsidRDefault="00236FAC" w:rsidP="00236FAC">
      <w:pPr>
        <w:rPr>
          <w:rFonts w:ascii="Century Gothic" w:hAnsi="Century Gothic"/>
        </w:rPr>
      </w:pPr>
    </w:p>
    <w:p w:rsidR="00236FAC" w:rsidRPr="00A0528F" w:rsidRDefault="00236FAC">
      <w:pPr>
        <w:rPr>
          <w:rFonts w:ascii="Century Gothic" w:hAnsi="Century Gothic"/>
        </w:rPr>
      </w:pPr>
    </w:p>
    <w:sectPr w:rsidR="00236FAC" w:rsidRPr="00A0528F" w:rsidSect="00236FAC">
      <w:headerReference w:type="default" r:id="rId6"/>
      <w:pgSz w:w="11906" w:h="16838"/>
      <w:pgMar w:top="1438" w:right="1800" w:bottom="1438"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0B35" w:rsidRDefault="00DC0B35" w:rsidP="00043817">
      <w:r>
        <w:separator/>
      </w:r>
    </w:p>
  </w:endnote>
  <w:endnote w:type="continuationSeparator" w:id="0">
    <w:p w:rsidR="00DC0B35" w:rsidRDefault="00DC0B35" w:rsidP="000438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entury Gothic">
    <w:panose1 w:val="020B0502020202020204"/>
    <w:charset w:val="00"/>
    <w:family w:val="swiss"/>
    <w:pitch w:val="variable"/>
    <w:sig w:usb0="00000287" w:usb1="00000000" w:usb2="00000000" w:usb3="00000000" w:csb0="0000009F" w:csb1="00000000"/>
  </w:font>
  <w:font w:name="Perpetua Titling MT">
    <w:panose1 w:val="020205020605050208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0B35" w:rsidRDefault="00DC0B35" w:rsidP="00043817">
      <w:r>
        <w:separator/>
      </w:r>
    </w:p>
  </w:footnote>
  <w:footnote w:type="continuationSeparator" w:id="0">
    <w:p w:rsidR="00DC0B35" w:rsidRDefault="00DC0B35" w:rsidP="000438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FAC" w:rsidRPr="00085148" w:rsidRDefault="00236FAC" w:rsidP="00236FAC">
    <w:pPr>
      <w:jc w:val="right"/>
      <w:rPr>
        <w:rFonts w:ascii="Perpetua Titling MT" w:hAnsi="Perpetua Titling MT"/>
        <w:sz w:val="28"/>
        <w:szCs w:val="28"/>
      </w:rPr>
    </w:pPr>
    <w:r w:rsidRPr="00085148">
      <w:rPr>
        <w:rFonts w:ascii="Perpetua Titling MT" w:hAnsi="Perpetua Titling MT"/>
        <w:sz w:val="28"/>
        <w:szCs w:val="28"/>
      </w:rPr>
      <w:t>C</w:t>
    </w:r>
    <w:r w:rsidR="003C0068" w:rsidRPr="00085148">
      <w:rPr>
        <w:rFonts w:ascii="Perpetua Titling MT" w:hAnsi="Perpetua Titling MT"/>
        <w:sz w:val="28"/>
        <w:szCs w:val="28"/>
      </w:rPr>
      <w:t>S</w:t>
    </w:r>
    <w:r w:rsidR="00A0528F" w:rsidRPr="00085148">
      <w:rPr>
        <w:rFonts w:ascii="Perpetua Titling MT" w:hAnsi="Perpetua Titling MT"/>
        <w:sz w:val="28"/>
        <w:szCs w:val="28"/>
      </w:rPr>
      <w:t>EN</w:t>
    </w:r>
    <w:r w:rsidRPr="00085148">
      <w:rPr>
        <w:rFonts w:ascii="Perpetua Titling MT" w:hAnsi="Perpetua Titling MT"/>
        <w:sz w:val="28"/>
        <w:szCs w:val="28"/>
      </w:rPr>
      <w:t xml:space="preserve"> 6</w:t>
    </w:r>
    <w:r w:rsidR="00A0528F" w:rsidRPr="00085148">
      <w:rPr>
        <w:rFonts w:ascii="Perpetua Titling MT" w:hAnsi="Perpetua Titling MT"/>
        <w:sz w:val="28"/>
        <w:szCs w:val="28"/>
      </w:rPr>
      <w:t>0</w:t>
    </w:r>
    <w:r w:rsidR="00085148">
      <w:rPr>
        <w:rFonts w:ascii="Perpetua Titling MT" w:hAnsi="Perpetua Titling MT"/>
        <w:sz w:val="28"/>
        <w:szCs w:val="28"/>
      </w:rPr>
      <w:t>20</w:t>
    </w:r>
    <w:r w:rsidRPr="00085148">
      <w:rPr>
        <w:rFonts w:ascii="Perpetua Titling MT" w:hAnsi="Perpetua Titling MT"/>
        <w:sz w:val="28"/>
        <w:szCs w:val="28"/>
      </w:rPr>
      <w:t>: MODERNISM</w:t>
    </w:r>
    <w:r w:rsidR="00085148">
      <w:rPr>
        <w:rFonts w:ascii="Perpetua Titling MT" w:hAnsi="Perpetua Titling MT"/>
        <w:sz w:val="28"/>
        <w:szCs w:val="28"/>
      </w:rPr>
      <w:t xml:space="preserve"> </w:t>
    </w:r>
    <w:r w:rsidR="00085148" w:rsidRPr="00085148">
      <w:rPr>
        <w:rFonts w:ascii="Garamond" w:hAnsi="Garamond"/>
        <w:i/>
        <w:sz w:val="28"/>
        <w:szCs w:val="28"/>
      </w:rPr>
      <w:t>&amp;</w:t>
    </w:r>
    <w:r w:rsidR="00085148">
      <w:rPr>
        <w:rFonts w:ascii="Perpetua Titling MT" w:hAnsi="Perpetua Titling MT"/>
        <w:sz w:val="28"/>
        <w:szCs w:val="28"/>
      </w:rPr>
      <w:t xml:space="preserve"> MODERNISMS</w:t>
    </w:r>
  </w:p>
  <w:p w:rsidR="00236FAC" w:rsidRDefault="00236FAC" w:rsidP="00236FAC">
    <w:pPr>
      <w:pStyle w:val="Header"/>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efaultTabStop w:val="720"/>
  <w:noPunctuationKerning/>
  <w:characterSpacingControl w:val="doNotCompress"/>
  <w:footnotePr>
    <w:footnote w:id="-1"/>
    <w:footnote w:id="0"/>
  </w:footnotePr>
  <w:endnotePr>
    <w:endnote w:id="-1"/>
    <w:endnote w:id="0"/>
  </w:endnotePr>
  <w:compat>
    <w:applyBreakingRules/>
  </w:compat>
  <w:rsids>
    <w:rsidRoot w:val="00800AA4"/>
    <w:rsid w:val="00014D77"/>
    <w:rsid w:val="00026BFF"/>
    <w:rsid w:val="0003048D"/>
    <w:rsid w:val="00043F16"/>
    <w:rsid w:val="00070B28"/>
    <w:rsid w:val="00076246"/>
    <w:rsid w:val="00077B5F"/>
    <w:rsid w:val="00085148"/>
    <w:rsid w:val="000901F6"/>
    <w:rsid w:val="00091569"/>
    <w:rsid w:val="000A509E"/>
    <w:rsid w:val="000B4273"/>
    <w:rsid w:val="00113837"/>
    <w:rsid w:val="00133F00"/>
    <w:rsid w:val="00134151"/>
    <w:rsid w:val="00177E27"/>
    <w:rsid w:val="001A7179"/>
    <w:rsid w:val="001F52A9"/>
    <w:rsid w:val="00212D70"/>
    <w:rsid w:val="00216B9E"/>
    <w:rsid w:val="00230F97"/>
    <w:rsid w:val="00236FAC"/>
    <w:rsid w:val="00244B37"/>
    <w:rsid w:val="00254D32"/>
    <w:rsid w:val="00261476"/>
    <w:rsid w:val="002869B4"/>
    <w:rsid w:val="002932C1"/>
    <w:rsid w:val="002A67AC"/>
    <w:rsid w:val="003428D1"/>
    <w:rsid w:val="0035692E"/>
    <w:rsid w:val="00377366"/>
    <w:rsid w:val="003A323F"/>
    <w:rsid w:val="003C0068"/>
    <w:rsid w:val="003C315F"/>
    <w:rsid w:val="003E5C64"/>
    <w:rsid w:val="003E759B"/>
    <w:rsid w:val="00424541"/>
    <w:rsid w:val="00461B49"/>
    <w:rsid w:val="004737EE"/>
    <w:rsid w:val="004D5830"/>
    <w:rsid w:val="0051484B"/>
    <w:rsid w:val="005257A9"/>
    <w:rsid w:val="00530F8F"/>
    <w:rsid w:val="00532F0D"/>
    <w:rsid w:val="00535F34"/>
    <w:rsid w:val="005531C5"/>
    <w:rsid w:val="0056642A"/>
    <w:rsid w:val="00582EFC"/>
    <w:rsid w:val="005A14F5"/>
    <w:rsid w:val="005E1077"/>
    <w:rsid w:val="00600A17"/>
    <w:rsid w:val="00616BE1"/>
    <w:rsid w:val="0062201B"/>
    <w:rsid w:val="00625F02"/>
    <w:rsid w:val="006B53C6"/>
    <w:rsid w:val="006C38FC"/>
    <w:rsid w:val="006F5E0E"/>
    <w:rsid w:val="00753554"/>
    <w:rsid w:val="00756A4D"/>
    <w:rsid w:val="00771ADA"/>
    <w:rsid w:val="0077699D"/>
    <w:rsid w:val="00791A67"/>
    <w:rsid w:val="007A5865"/>
    <w:rsid w:val="00800AA4"/>
    <w:rsid w:val="0083395E"/>
    <w:rsid w:val="00856432"/>
    <w:rsid w:val="008C6AD6"/>
    <w:rsid w:val="008D4A8B"/>
    <w:rsid w:val="008E3F14"/>
    <w:rsid w:val="00930F74"/>
    <w:rsid w:val="0093319A"/>
    <w:rsid w:val="00964258"/>
    <w:rsid w:val="00972F26"/>
    <w:rsid w:val="009C3E16"/>
    <w:rsid w:val="009F52DD"/>
    <w:rsid w:val="00A0462B"/>
    <w:rsid w:val="00A0528F"/>
    <w:rsid w:val="00A13225"/>
    <w:rsid w:val="00A1757F"/>
    <w:rsid w:val="00A42396"/>
    <w:rsid w:val="00A51AA6"/>
    <w:rsid w:val="00A66AFE"/>
    <w:rsid w:val="00A94599"/>
    <w:rsid w:val="00AF1F66"/>
    <w:rsid w:val="00B06ADF"/>
    <w:rsid w:val="00B06C80"/>
    <w:rsid w:val="00BA1E71"/>
    <w:rsid w:val="00BB74C7"/>
    <w:rsid w:val="00BC1E51"/>
    <w:rsid w:val="00BE40FE"/>
    <w:rsid w:val="00C21C4E"/>
    <w:rsid w:val="00C31651"/>
    <w:rsid w:val="00C35896"/>
    <w:rsid w:val="00C370BC"/>
    <w:rsid w:val="00C37613"/>
    <w:rsid w:val="00C455A2"/>
    <w:rsid w:val="00C54E29"/>
    <w:rsid w:val="00C95FD0"/>
    <w:rsid w:val="00CA4105"/>
    <w:rsid w:val="00CB5B5C"/>
    <w:rsid w:val="00CC6E7A"/>
    <w:rsid w:val="00CD4AA4"/>
    <w:rsid w:val="00CE201D"/>
    <w:rsid w:val="00CE6F38"/>
    <w:rsid w:val="00D511EF"/>
    <w:rsid w:val="00D84924"/>
    <w:rsid w:val="00DC0B35"/>
    <w:rsid w:val="00DD33D6"/>
    <w:rsid w:val="00DD7889"/>
    <w:rsid w:val="00DF6118"/>
    <w:rsid w:val="00E036E1"/>
    <w:rsid w:val="00E04B36"/>
    <w:rsid w:val="00E502CF"/>
    <w:rsid w:val="00E76E17"/>
    <w:rsid w:val="00E773BF"/>
    <w:rsid w:val="00E77978"/>
    <w:rsid w:val="00EA2A1A"/>
    <w:rsid w:val="00EE03E2"/>
    <w:rsid w:val="00EE60BB"/>
    <w:rsid w:val="00F142BB"/>
    <w:rsid w:val="00FC4E62"/>
    <w:rsid w:val="00FD547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FAC"/>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Strong">
    <w:name w:val="Strong"/>
    <w:basedOn w:val="DefaultParagraphFont"/>
    <w:qFormat/>
    <w:rsid w:val="00236FAC"/>
    <w:rPr>
      <w:b/>
      <w:bCs/>
    </w:rPr>
  </w:style>
  <w:style w:type="paragraph" w:styleId="Header">
    <w:name w:val="header"/>
    <w:basedOn w:val="Normal"/>
    <w:rsid w:val="00236FAC"/>
    <w:pPr>
      <w:tabs>
        <w:tab w:val="center" w:pos="4153"/>
        <w:tab w:val="right" w:pos="8306"/>
      </w:tabs>
    </w:pPr>
  </w:style>
  <w:style w:type="paragraph" w:styleId="Footer">
    <w:name w:val="footer"/>
    <w:basedOn w:val="Normal"/>
    <w:rsid w:val="00236FAC"/>
    <w:pPr>
      <w:tabs>
        <w:tab w:val="center" w:pos="4153"/>
        <w:tab w:val="right" w:pos="8306"/>
      </w:tabs>
    </w:pPr>
  </w:style>
  <w:style w:type="paragraph" w:styleId="BalloonText">
    <w:name w:val="Balloon Text"/>
    <w:basedOn w:val="Normal"/>
    <w:semiHidden/>
    <w:rsid w:val="00771AD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795</Words>
  <Characters>4894</Characters>
  <Application>Microsoft Office Word</Application>
  <DocSecurity>0</DocSecurity>
  <Lines>699</Lines>
  <Paragraphs>406</Paragraphs>
  <ScaleCrop>false</ScaleCrop>
  <HeadingPairs>
    <vt:vector size="2" baseType="variant">
      <vt:variant>
        <vt:lpstr>Title</vt:lpstr>
      </vt:variant>
      <vt:variant>
        <vt:i4>1</vt:i4>
      </vt:variant>
    </vt:vector>
  </HeadingPairs>
  <TitlesOfParts>
    <vt:vector size="1" baseType="lpstr">
      <vt:lpstr>AMERICAN MODERNISM AND CHINA</vt:lpstr>
    </vt:vector>
  </TitlesOfParts>
  <Company>CYD</Company>
  <LinksUpToDate>false</LinksUpToDate>
  <CharactersWithSpaces>5283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MODERNISM AND CHINA</dc:title>
  <dc:subject/>
  <dc:creator>clientadmin</dc:creator>
  <cp:keywords/>
  <dc:description/>
  <cp:lastModifiedBy>sh095</cp:lastModifiedBy>
  <cp:revision>2</cp:revision>
  <cp:lastPrinted>2014-10-30T12:39:00Z</cp:lastPrinted>
  <dcterms:created xsi:type="dcterms:W3CDTF">2014-10-30T12:39:00Z</dcterms:created>
  <dcterms:modified xsi:type="dcterms:W3CDTF">2014-10-30T12:39:00Z</dcterms:modified>
</cp:coreProperties>
</file>