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78A76" w14:textId="797D89FC" w:rsidR="001D2670" w:rsidRPr="00B76D3E" w:rsidRDefault="001D2670" w:rsidP="001D2670">
      <w:pPr>
        <w:rPr>
          <w:rStyle w:val="Strong"/>
          <w:rFonts w:ascii="Times New Roman" w:hAnsi="Times New Roman" w:cs="Times New Roman"/>
          <w:sz w:val="44"/>
          <w:szCs w:val="44"/>
        </w:rPr>
      </w:pPr>
      <w:r w:rsidRPr="00B76D3E">
        <w:rPr>
          <w:rStyle w:val="Strong"/>
          <w:rFonts w:ascii="Times New Roman" w:hAnsi="Times New Roman" w:cs="Times New Roman"/>
          <w:sz w:val="44"/>
          <w:szCs w:val="44"/>
        </w:rPr>
        <w:t>Partnership Working to Reduce Hospital Readmissions for Elderly Patient</w:t>
      </w:r>
      <w:r w:rsidR="00B76D3E">
        <w:rPr>
          <w:rStyle w:val="Strong"/>
          <w:rFonts w:ascii="Times New Roman" w:hAnsi="Times New Roman" w:cs="Times New Roman"/>
          <w:sz w:val="44"/>
          <w:szCs w:val="44"/>
        </w:rPr>
        <w:t>s</w:t>
      </w:r>
      <w:r w:rsidR="00654B16">
        <w:rPr>
          <w:rStyle w:val="Strong"/>
          <w:rFonts w:ascii="Times New Roman" w:hAnsi="Times New Roman" w:cs="Times New Roman"/>
          <w:sz w:val="44"/>
          <w:szCs w:val="44"/>
        </w:rPr>
        <w:t xml:space="preserve"> (report)</w:t>
      </w:r>
    </w:p>
    <w:p w14:paraId="0B58108A" w14:textId="77777777" w:rsidR="00594DC1" w:rsidRDefault="00594DC1"/>
    <w:p w14:paraId="4C7F45B0" w14:textId="77777777" w:rsidR="001003FA" w:rsidRDefault="001003FA" w:rsidP="001003FA">
      <w:pPr>
        <w:rPr>
          <w:rStyle w:val="Strong"/>
        </w:rPr>
      </w:pPr>
    </w:p>
    <w:p w14:paraId="49A15CAF" w14:textId="77777777" w:rsidR="001003FA" w:rsidRDefault="001003FA" w:rsidP="001003FA">
      <w:pPr>
        <w:rPr>
          <w:rStyle w:val="Strong"/>
        </w:rPr>
      </w:pPr>
    </w:p>
    <w:p w14:paraId="4E6D870E" w14:textId="77777777" w:rsidR="001003FA" w:rsidRDefault="001003FA" w:rsidP="001003FA">
      <w:pPr>
        <w:rPr>
          <w:rStyle w:val="Strong"/>
        </w:rPr>
      </w:pPr>
    </w:p>
    <w:p w14:paraId="5084403B" w14:textId="77777777" w:rsidR="00DA4E4F" w:rsidRDefault="00DA4E4F" w:rsidP="00F219C1">
      <w:pPr>
        <w:rPr>
          <w:rStyle w:val="Strong"/>
          <w:rFonts w:ascii="Times New Roman" w:hAnsi="Times New Roman" w:cs="Times New Roman"/>
          <w:sz w:val="40"/>
          <w:szCs w:val="40"/>
        </w:rPr>
      </w:pPr>
    </w:p>
    <w:p w14:paraId="4665EFD1" w14:textId="77777777" w:rsidR="00DA4E4F" w:rsidRDefault="00DA4E4F" w:rsidP="00F219C1">
      <w:pPr>
        <w:rPr>
          <w:rStyle w:val="Strong"/>
          <w:rFonts w:ascii="Times New Roman" w:hAnsi="Times New Roman" w:cs="Times New Roman"/>
          <w:sz w:val="40"/>
          <w:szCs w:val="40"/>
        </w:rPr>
      </w:pPr>
    </w:p>
    <w:p w14:paraId="6D985718" w14:textId="7CA0F863" w:rsidR="00F219C1" w:rsidRPr="00DA4E4F" w:rsidRDefault="00F219C1" w:rsidP="00F219C1">
      <w:pPr>
        <w:rPr>
          <w:rFonts w:ascii="Times New Roman" w:hAnsi="Times New Roman" w:cs="Times New Roman"/>
          <w:sz w:val="40"/>
          <w:szCs w:val="40"/>
        </w:rPr>
      </w:pPr>
      <w:r w:rsidRPr="00DA4E4F">
        <w:rPr>
          <w:rStyle w:val="Strong"/>
          <w:rFonts w:ascii="Times New Roman" w:hAnsi="Times New Roman" w:cs="Times New Roman"/>
          <w:sz w:val="40"/>
          <w:szCs w:val="40"/>
        </w:rPr>
        <w:t>Student Name:</w:t>
      </w:r>
      <w:r w:rsidRPr="00DA4E4F">
        <w:rPr>
          <w:rFonts w:ascii="Times New Roman" w:hAnsi="Times New Roman" w:cs="Times New Roman"/>
          <w:sz w:val="40"/>
          <w:szCs w:val="40"/>
        </w:rPr>
        <w:t xml:space="preserve"> </w:t>
      </w:r>
      <w:r w:rsidRPr="00DA4E4F">
        <w:rPr>
          <w:rFonts w:ascii="Times New Roman" w:hAnsi="Times New Roman" w:cs="Times New Roman"/>
          <w:sz w:val="40"/>
          <w:szCs w:val="40"/>
        </w:rPr>
        <w:t>Begum Khudeza</w:t>
      </w:r>
    </w:p>
    <w:p w14:paraId="085236EC" w14:textId="33137588" w:rsidR="00F219C1" w:rsidRPr="00DA4E4F" w:rsidRDefault="00F219C1" w:rsidP="00F219C1">
      <w:pPr>
        <w:rPr>
          <w:rFonts w:ascii="Times New Roman" w:hAnsi="Times New Roman" w:cs="Times New Roman"/>
          <w:sz w:val="40"/>
          <w:szCs w:val="40"/>
        </w:rPr>
      </w:pPr>
      <w:r w:rsidRPr="00DA4E4F">
        <w:rPr>
          <w:rStyle w:val="Strong"/>
          <w:rFonts w:ascii="Times New Roman" w:hAnsi="Times New Roman" w:cs="Times New Roman"/>
          <w:sz w:val="40"/>
          <w:szCs w:val="40"/>
        </w:rPr>
        <w:t>Student ID:</w:t>
      </w:r>
      <w:r w:rsidRPr="00DA4E4F">
        <w:rPr>
          <w:rFonts w:ascii="Times New Roman" w:hAnsi="Times New Roman" w:cs="Times New Roman"/>
          <w:sz w:val="40"/>
          <w:szCs w:val="40"/>
        </w:rPr>
        <w:t xml:space="preserve"> </w:t>
      </w:r>
      <w:r w:rsidRPr="00DA4E4F">
        <w:rPr>
          <w:rFonts w:ascii="Times New Roman" w:hAnsi="Times New Roman" w:cs="Times New Roman"/>
          <w:sz w:val="40"/>
          <w:szCs w:val="40"/>
        </w:rPr>
        <w:t>2231217</w:t>
      </w:r>
    </w:p>
    <w:p w14:paraId="0061295B" w14:textId="78269208" w:rsidR="001003FA" w:rsidRDefault="001003FA" w:rsidP="001003FA">
      <w:pPr>
        <w:rPr>
          <w:rStyle w:val="Strong"/>
          <w:rFonts w:ascii="Times New Roman" w:hAnsi="Times New Roman" w:cs="Times New Roman"/>
          <w:sz w:val="40"/>
          <w:szCs w:val="40"/>
        </w:rPr>
      </w:pPr>
      <w:r w:rsidRPr="00DA4E4F">
        <w:rPr>
          <w:rStyle w:val="Strong"/>
          <w:rFonts w:ascii="Times New Roman" w:hAnsi="Times New Roman" w:cs="Times New Roman"/>
          <w:sz w:val="40"/>
          <w:szCs w:val="40"/>
        </w:rPr>
        <w:t>Module Title:</w:t>
      </w:r>
      <w:r w:rsidRPr="00DA4E4F">
        <w:rPr>
          <w:rFonts w:ascii="Times New Roman" w:hAnsi="Times New Roman" w:cs="Times New Roman"/>
          <w:sz w:val="40"/>
          <w:szCs w:val="40"/>
        </w:rPr>
        <w:t xml:space="preserve"> Principles of Health and Social Care Practice</w:t>
      </w:r>
      <w:r w:rsidRPr="00DA4E4F">
        <w:rPr>
          <w:rFonts w:ascii="Times New Roman" w:hAnsi="Times New Roman" w:cs="Times New Roman"/>
          <w:sz w:val="40"/>
          <w:szCs w:val="40"/>
        </w:rPr>
        <w:br/>
      </w:r>
      <w:r w:rsidRPr="00DA4E4F">
        <w:rPr>
          <w:rStyle w:val="Strong"/>
          <w:rFonts w:ascii="Times New Roman" w:hAnsi="Times New Roman" w:cs="Times New Roman"/>
          <w:sz w:val="40"/>
          <w:szCs w:val="40"/>
        </w:rPr>
        <w:t>Module Code:</w:t>
      </w:r>
      <w:r w:rsidRPr="00DA4E4F">
        <w:rPr>
          <w:rFonts w:ascii="Times New Roman" w:hAnsi="Times New Roman" w:cs="Times New Roman"/>
          <w:sz w:val="40"/>
          <w:szCs w:val="40"/>
        </w:rPr>
        <w:t xml:space="preserve"> BMHP5016</w:t>
      </w:r>
      <w:r w:rsidR="001D2670" w:rsidRPr="00DA4E4F">
        <w:rPr>
          <w:rFonts w:ascii="Times New Roman" w:hAnsi="Times New Roman" w:cs="Times New Roman"/>
          <w:sz w:val="40"/>
          <w:szCs w:val="40"/>
        </w:rPr>
        <w:t xml:space="preserve"> </w:t>
      </w:r>
    </w:p>
    <w:p w14:paraId="49FD9FFC" w14:textId="77777777" w:rsidR="00DA4E4F" w:rsidRDefault="00DA4E4F" w:rsidP="001003FA">
      <w:pPr>
        <w:rPr>
          <w:rStyle w:val="Strong"/>
          <w:rFonts w:ascii="Times New Roman" w:hAnsi="Times New Roman" w:cs="Times New Roman"/>
          <w:sz w:val="40"/>
          <w:szCs w:val="40"/>
        </w:rPr>
      </w:pPr>
    </w:p>
    <w:p w14:paraId="79C9EB2F" w14:textId="77777777" w:rsidR="00DA4E4F" w:rsidRDefault="00DA4E4F" w:rsidP="001003FA">
      <w:pPr>
        <w:rPr>
          <w:rStyle w:val="Strong"/>
          <w:rFonts w:ascii="Times New Roman" w:hAnsi="Times New Roman" w:cs="Times New Roman"/>
          <w:sz w:val="40"/>
          <w:szCs w:val="40"/>
        </w:rPr>
      </w:pPr>
    </w:p>
    <w:p w14:paraId="6E556237" w14:textId="77777777" w:rsidR="00DA4E4F" w:rsidRDefault="00DA4E4F" w:rsidP="001003FA">
      <w:pPr>
        <w:rPr>
          <w:rStyle w:val="Strong"/>
          <w:rFonts w:ascii="Times New Roman" w:hAnsi="Times New Roman" w:cs="Times New Roman"/>
          <w:sz w:val="40"/>
          <w:szCs w:val="40"/>
        </w:rPr>
      </w:pPr>
    </w:p>
    <w:p w14:paraId="5F32CDF7" w14:textId="77777777" w:rsidR="00DA4E4F" w:rsidRDefault="00DA4E4F" w:rsidP="001003FA">
      <w:pPr>
        <w:rPr>
          <w:rStyle w:val="Strong"/>
          <w:rFonts w:ascii="Times New Roman" w:hAnsi="Times New Roman" w:cs="Times New Roman"/>
          <w:sz w:val="40"/>
          <w:szCs w:val="40"/>
        </w:rPr>
      </w:pPr>
    </w:p>
    <w:p w14:paraId="15EB14FB" w14:textId="77777777" w:rsidR="00DA4E4F" w:rsidRDefault="00DA4E4F" w:rsidP="001003FA">
      <w:pPr>
        <w:rPr>
          <w:rStyle w:val="Strong"/>
          <w:rFonts w:ascii="Times New Roman" w:hAnsi="Times New Roman" w:cs="Times New Roman"/>
          <w:sz w:val="40"/>
          <w:szCs w:val="40"/>
        </w:rPr>
      </w:pPr>
    </w:p>
    <w:p w14:paraId="26B4A5C3" w14:textId="77777777" w:rsidR="00DA4E4F" w:rsidRDefault="00DA4E4F" w:rsidP="001003FA">
      <w:pPr>
        <w:rPr>
          <w:rStyle w:val="Strong"/>
          <w:rFonts w:ascii="Times New Roman" w:hAnsi="Times New Roman" w:cs="Times New Roman"/>
          <w:sz w:val="40"/>
          <w:szCs w:val="40"/>
        </w:rPr>
      </w:pPr>
    </w:p>
    <w:p w14:paraId="12D39221" w14:textId="77777777" w:rsidR="00DA4E4F" w:rsidRDefault="00DA4E4F" w:rsidP="001003FA">
      <w:pPr>
        <w:rPr>
          <w:rStyle w:val="Strong"/>
          <w:rFonts w:ascii="Times New Roman" w:hAnsi="Times New Roman" w:cs="Times New Roman"/>
          <w:sz w:val="40"/>
          <w:szCs w:val="40"/>
        </w:rPr>
      </w:pPr>
    </w:p>
    <w:p w14:paraId="7A9F1ADC" w14:textId="77777777" w:rsidR="00DA4E4F" w:rsidRDefault="00DA4E4F" w:rsidP="001003FA">
      <w:pPr>
        <w:rPr>
          <w:rStyle w:val="Strong"/>
          <w:rFonts w:ascii="Times New Roman" w:hAnsi="Times New Roman" w:cs="Times New Roman"/>
          <w:sz w:val="40"/>
          <w:szCs w:val="40"/>
        </w:rPr>
      </w:pPr>
    </w:p>
    <w:p w14:paraId="71E2D1A9" w14:textId="77777777" w:rsidR="00DA4E4F" w:rsidRDefault="00DA4E4F" w:rsidP="001003FA">
      <w:pPr>
        <w:rPr>
          <w:rStyle w:val="Strong"/>
          <w:rFonts w:ascii="Times New Roman" w:hAnsi="Times New Roman" w:cs="Times New Roman"/>
          <w:sz w:val="40"/>
          <w:szCs w:val="40"/>
        </w:rPr>
      </w:pPr>
    </w:p>
    <w:p w14:paraId="7585ED9B" w14:textId="77777777" w:rsidR="00DA4E4F" w:rsidRPr="00DA4E4F" w:rsidRDefault="00DA4E4F" w:rsidP="001003FA">
      <w:pPr>
        <w:rPr>
          <w:rStyle w:val="Strong"/>
          <w:sz w:val="40"/>
          <w:szCs w:val="40"/>
        </w:rPr>
      </w:pPr>
    </w:p>
    <w:p w14:paraId="2A7C3D42" w14:textId="77777777" w:rsidR="00E830A9" w:rsidRDefault="00E830A9"/>
    <w:p w14:paraId="7B46E577" w14:textId="77777777" w:rsidR="00E830A9" w:rsidRDefault="00E830A9"/>
    <w:p w14:paraId="6B44CEE3" w14:textId="77777777" w:rsidR="00E830A9" w:rsidRDefault="00E830A9"/>
    <w:sdt>
      <w:sdtPr>
        <w:rPr>
          <w:rFonts w:asciiTheme="minorHAnsi" w:eastAsiaTheme="minorHAnsi" w:hAnsiTheme="minorHAnsi" w:cstheme="minorBidi"/>
          <w:b w:val="0"/>
          <w:bCs w:val="0"/>
          <w:color w:val="auto"/>
          <w:sz w:val="22"/>
          <w:szCs w:val="22"/>
          <w:lang w:eastAsia="en-US"/>
        </w:rPr>
        <w:id w:val="-1185126923"/>
        <w:docPartObj>
          <w:docPartGallery w:val="Table of Contents"/>
          <w:docPartUnique/>
        </w:docPartObj>
      </w:sdtPr>
      <w:sdtEndPr>
        <w:rPr>
          <w:noProof/>
        </w:rPr>
      </w:sdtEndPr>
      <w:sdtContent>
        <w:p w14:paraId="49C1D918" w14:textId="77777777" w:rsidR="001003FA" w:rsidRDefault="001003FA">
          <w:pPr>
            <w:pStyle w:val="TOCHeading"/>
          </w:pPr>
          <w:r>
            <w:t>Table of Contents</w:t>
          </w:r>
        </w:p>
        <w:p w14:paraId="2CB246A9" w14:textId="77777777" w:rsidR="001003FA" w:rsidRPr="001003FA" w:rsidRDefault="001003FA" w:rsidP="001003FA">
          <w:pPr>
            <w:pStyle w:val="TOC2"/>
            <w:tabs>
              <w:tab w:val="right" w:leader="dot" w:pos="9350"/>
            </w:tabs>
            <w:rPr>
              <w:rFonts w:ascii="Times New Roman" w:hAnsi="Times New Roman" w:cs="Times New Roman"/>
              <w:b/>
              <w:noProof/>
              <w:sz w:val="28"/>
              <w:szCs w:val="28"/>
            </w:rPr>
          </w:pPr>
          <w:r>
            <w:fldChar w:fldCharType="begin"/>
          </w:r>
          <w:r>
            <w:instrText xml:space="preserve"> TOC \o "1-3" \h \z \u </w:instrText>
          </w:r>
          <w:r>
            <w:fldChar w:fldCharType="separate"/>
          </w:r>
        </w:p>
        <w:p w14:paraId="4E4D8C2C" w14:textId="77777777" w:rsidR="001003FA" w:rsidRPr="001003FA" w:rsidRDefault="001003FA">
          <w:pPr>
            <w:pStyle w:val="TOC3"/>
            <w:tabs>
              <w:tab w:val="right" w:leader="dot" w:pos="9350"/>
            </w:tabs>
            <w:rPr>
              <w:rFonts w:ascii="Times New Roman" w:hAnsi="Times New Roman" w:cs="Times New Roman"/>
              <w:b/>
              <w:noProof/>
              <w:sz w:val="28"/>
              <w:szCs w:val="28"/>
            </w:rPr>
          </w:pPr>
        </w:p>
        <w:p w14:paraId="10075877"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28" w:history="1">
            <w:r w:rsidRPr="001003FA">
              <w:rPr>
                <w:rStyle w:val="Hyperlink"/>
                <w:rFonts w:ascii="Times New Roman" w:eastAsia="Times New Roman" w:hAnsi="Times New Roman" w:cs="Times New Roman"/>
                <w:b/>
                <w:noProof/>
                <w:sz w:val="28"/>
                <w:szCs w:val="28"/>
              </w:rPr>
              <w:t>1. Introduction</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_Toc205126428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3</w:t>
            </w:r>
            <w:r w:rsidRPr="001003FA">
              <w:rPr>
                <w:rFonts w:ascii="Times New Roman" w:hAnsi="Times New Roman" w:cs="Times New Roman"/>
                <w:b/>
                <w:noProof/>
                <w:webHidden/>
                <w:sz w:val="28"/>
                <w:szCs w:val="28"/>
              </w:rPr>
              <w:fldChar w:fldCharType="end"/>
            </w:r>
          </w:hyperlink>
        </w:p>
        <w:p w14:paraId="04D996F7"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29" w:history="1">
            <w:r w:rsidRPr="001003FA">
              <w:rPr>
                <w:rStyle w:val="Hyperlink"/>
                <w:rFonts w:ascii="Times New Roman" w:eastAsia="Times New Roman" w:hAnsi="Times New Roman" w:cs="Times New Roman"/>
                <w:b/>
                <w:noProof/>
                <w:sz w:val="28"/>
                <w:szCs w:val="28"/>
              </w:rPr>
              <w:t>2. Background and Stakeholders</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_Toc205126429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3</w:t>
            </w:r>
            <w:r w:rsidRPr="001003FA">
              <w:rPr>
                <w:rFonts w:ascii="Times New Roman" w:hAnsi="Times New Roman" w:cs="Times New Roman"/>
                <w:b/>
                <w:noProof/>
                <w:webHidden/>
                <w:sz w:val="28"/>
                <w:szCs w:val="28"/>
              </w:rPr>
              <w:fldChar w:fldCharType="end"/>
            </w:r>
          </w:hyperlink>
        </w:p>
        <w:p w14:paraId="2A812B05"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0" w:history="1">
            <w:r w:rsidRPr="001003FA">
              <w:rPr>
                <w:rStyle w:val="Hyperlink"/>
                <w:rFonts w:ascii="Times New Roman" w:eastAsia="Times New Roman" w:hAnsi="Times New Roman" w:cs="Times New Roman"/>
                <w:b/>
                <w:noProof/>
                <w:sz w:val="28"/>
                <w:szCs w:val="28"/>
              </w:rPr>
              <w:t>3. The Issue: Preventable Readmissions</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_Toc205126430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4</w:t>
            </w:r>
            <w:r w:rsidRPr="001003FA">
              <w:rPr>
                <w:rFonts w:ascii="Times New Roman" w:hAnsi="Times New Roman" w:cs="Times New Roman"/>
                <w:b/>
                <w:noProof/>
                <w:webHidden/>
                <w:sz w:val="28"/>
                <w:szCs w:val="28"/>
              </w:rPr>
              <w:fldChar w:fldCharType="end"/>
            </w:r>
          </w:hyperlink>
        </w:p>
        <w:p w14:paraId="385C1584"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1" w:history="1">
            <w:r w:rsidRPr="001003FA">
              <w:rPr>
                <w:rStyle w:val="Hyperlink"/>
                <w:rFonts w:ascii="Times New Roman" w:eastAsia="Times New Roman" w:hAnsi="Times New Roman" w:cs="Times New Roman"/>
                <w:b/>
                <w:noProof/>
                <w:sz w:val="28"/>
                <w:szCs w:val="28"/>
              </w:rPr>
              <w:t>4. Addressing the Issue: Proposed Steps</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_Toc205126431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4</w:t>
            </w:r>
            <w:r w:rsidRPr="001003FA">
              <w:rPr>
                <w:rFonts w:ascii="Times New Roman" w:hAnsi="Times New Roman" w:cs="Times New Roman"/>
                <w:b/>
                <w:noProof/>
                <w:webHidden/>
                <w:sz w:val="28"/>
                <w:szCs w:val="28"/>
              </w:rPr>
              <w:fldChar w:fldCharType="end"/>
            </w:r>
          </w:hyperlink>
        </w:p>
        <w:p w14:paraId="3FB2335B"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2" w:history="1">
            <w:r w:rsidRPr="001003FA">
              <w:rPr>
                <w:rStyle w:val="Hyperlink"/>
                <w:rFonts w:ascii="Times New Roman" w:eastAsia="Times New Roman" w:hAnsi="Times New Roman" w:cs="Times New Roman"/>
                <w:noProof/>
                <w:sz w:val="28"/>
                <w:szCs w:val="28"/>
              </w:rPr>
              <w:t>1. Enhanced Discharge Planning</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_Toc205126432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5</w:t>
            </w:r>
            <w:r w:rsidRPr="001003FA">
              <w:rPr>
                <w:rFonts w:ascii="Times New Roman" w:hAnsi="Times New Roman" w:cs="Times New Roman"/>
                <w:b/>
                <w:noProof/>
                <w:webHidden/>
                <w:sz w:val="28"/>
                <w:szCs w:val="28"/>
              </w:rPr>
              <w:fldChar w:fldCharType="end"/>
            </w:r>
          </w:hyperlink>
        </w:p>
        <w:p w14:paraId="3269120F"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3" w:history="1">
            <w:r w:rsidRPr="001003FA">
              <w:rPr>
                <w:rStyle w:val="Hyperlink"/>
                <w:rFonts w:ascii="Times New Roman" w:eastAsia="Times New Roman" w:hAnsi="Times New Roman" w:cs="Times New Roman"/>
                <w:noProof/>
                <w:sz w:val="28"/>
                <w:szCs w:val="28"/>
              </w:rPr>
              <w:t>2. Effective Communication</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_Toc205126433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5</w:t>
            </w:r>
            <w:r w:rsidRPr="001003FA">
              <w:rPr>
                <w:rFonts w:ascii="Times New Roman" w:hAnsi="Times New Roman" w:cs="Times New Roman"/>
                <w:b/>
                <w:noProof/>
                <w:webHidden/>
                <w:sz w:val="28"/>
                <w:szCs w:val="28"/>
              </w:rPr>
              <w:fldChar w:fldCharType="end"/>
            </w:r>
          </w:hyperlink>
        </w:p>
        <w:p w14:paraId="03E6A7CA"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4" w:history="1">
            <w:r w:rsidRPr="001003FA">
              <w:rPr>
                <w:rStyle w:val="Hyperlink"/>
                <w:rFonts w:ascii="Times New Roman" w:eastAsia="Times New Roman" w:hAnsi="Times New Roman" w:cs="Times New Roman"/>
                <w:noProof/>
                <w:sz w:val="28"/>
                <w:szCs w:val="28"/>
              </w:rPr>
              <w:t>3. Home Assessment and Support</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_Toc205126434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5</w:t>
            </w:r>
            <w:r w:rsidRPr="001003FA">
              <w:rPr>
                <w:rFonts w:ascii="Times New Roman" w:hAnsi="Times New Roman" w:cs="Times New Roman"/>
                <w:b/>
                <w:noProof/>
                <w:webHidden/>
                <w:sz w:val="28"/>
                <w:szCs w:val="28"/>
              </w:rPr>
              <w:fldChar w:fldCharType="end"/>
            </w:r>
          </w:hyperlink>
        </w:p>
        <w:p w14:paraId="42BF97CC"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5" w:history="1">
            <w:r w:rsidRPr="001003FA">
              <w:rPr>
                <w:rStyle w:val="Hyperlink"/>
                <w:rFonts w:ascii="Times New Roman" w:eastAsia="Times New Roman" w:hAnsi="Times New Roman" w:cs="Times New Roman"/>
                <w:noProof/>
                <w:sz w:val="28"/>
                <w:szCs w:val="28"/>
              </w:rPr>
              <w:t>4. Structured Follow-up</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_Toc205126435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5</w:t>
            </w:r>
            <w:r w:rsidRPr="001003FA">
              <w:rPr>
                <w:rFonts w:ascii="Times New Roman" w:hAnsi="Times New Roman" w:cs="Times New Roman"/>
                <w:b/>
                <w:noProof/>
                <w:webHidden/>
                <w:sz w:val="28"/>
                <w:szCs w:val="28"/>
              </w:rPr>
              <w:fldChar w:fldCharType="end"/>
            </w:r>
          </w:hyperlink>
        </w:p>
        <w:p w14:paraId="4B2F356A"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6" w:history="1">
            <w:r w:rsidRPr="001003FA">
              <w:rPr>
                <w:rStyle w:val="Hyperlink"/>
                <w:rFonts w:ascii="Times New Roman" w:eastAsia="Times New Roman" w:hAnsi="Times New Roman" w:cs="Times New Roman"/>
                <w:noProof/>
                <w:sz w:val="28"/>
                <w:szCs w:val="28"/>
              </w:rPr>
              <w:t>5. Medication Reconciliation</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_Toc205126436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5</w:t>
            </w:r>
            <w:r w:rsidRPr="001003FA">
              <w:rPr>
                <w:rFonts w:ascii="Times New Roman" w:hAnsi="Times New Roman" w:cs="Times New Roman"/>
                <w:b/>
                <w:noProof/>
                <w:webHidden/>
                <w:sz w:val="28"/>
                <w:szCs w:val="28"/>
              </w:rPr>
              <w:fldChar w:fldCharType="end"/>
            </w:r>
          </w:hyperlink>
        </w:p>
        <w:p w14:paraId="6D210836"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7" w:history="1">
            <w:r w:rsidRPr="001003FA">
              <w:rPr>
                <w:rStyle w:val="Hyperlink"/>
                <w:rFonts w:ascii="Times New Roman" w:hAnsi="Times New Roman" w:cs="Times New Roman"/>
                <w:b/>
                <w:noProof/>
                <w:sz w:val="28"/>
                <w:szCs w:val="28"/>
              </w:rPr>
              <w:t>5. Partnership Working</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_Toc205126437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6</w:t>
            </w:r>
            <w:r w:rsidRPr="001003FA">
              <w:rPr>
                <w:rFonts w:ascii="Times New Roman" w:hAnsi="Times New Roman" w:cs="Times New Roman"/>
                <w:b/>
                <w:noProof/>
                <w:webHidden/>
                <w:sz w:val="28"/>
                <w:szCs w:val="28"/>
              </w:rPr>
              <w:fldChar w:fldCharType="end"/>
            </w:r>
          </w:hyperlink>
        </w:p>
        <w:p w14:paraId="2744DE41"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8" w:history="1">
            <w:r w:rsidRPr="001003FA">
              <w:rPr>
                <w:rStyle w:val="Hyperlink"/>
                <w:rFonts w:ascii="Times New Roman" w:hAnsi="Times New Roman" w:cs="Times New Roman"/>
                <w:b/>
                <w:noProof/>
                <w:sz w:val="28"/>
                <w:szCs w:val="28"/>
              </w:rPr>
              <w:t>6. Relevant Principles, Policy, and Legislation</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_Toc205126438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6</w:t>
            </w:r>
            <w:r w:rsidRPr="001003FA">
              <w:rPr>
                <w:rFonts w:ascii="Times New Roman" w:hAnsi="Times New Roman" w:cs="Times New Roman"/>
                <w:b/>
                <w:noProof/>
                <w:webHidden/>
                <w:sz w:val="28"/>
                <w:szCs w:val="28"/>
              </w:rPr>
              <w:fldChar w:fldCharType="end"/>
            </w:r>
          </w:hyperlink>
        </w:p>
        <w:p w14:paraId="180F26FA"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39" w:history="1">
            <w:r w:rsidRPr="001003FA">
              <w:rPr>
                <w:rStyle w:val="Hyperlink"/>
                <w:rFonts w:ascii="Times New Roman" w:eastAsia="Times New Roman" w:hAnsi="Times New Roman" w:cs="Times New Roman"/>
                <w:b/>
                <w:noProof/>
                <w:sz w:val="28"/>
                <w:szCs w:val="28"/>
              </w:rPr>
              <w:t>7. Evaluation of Implementation</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_Toc205126439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7</w:t>
            </w:r>
            <w:r w:rsidRPr="001003FA">
              <w:rPr>
                <w:rFonts w:ascii="Times New Roman" w:hAnsi="Times New Roman" w:cs="Times New Roman"/>
                <w:b/>
                <w:noProof/>
                <w:webHidden/>
                <w:sz w:val="28"/>
                <w:szCs w:val="28"/>
              </w:rPr>
              <w:fldChar w:fldCharType="end"/>
            </w:r>
          </w:hyperlink>
        </w:p>
        <w:p w14:paraId="1857039D" w14:textId="77777777" w:rsidR="001003FA" w:rsidRPr="001003FA" w:rsidRDefault="001003FA">
          <w:pPr>
            <w:pStyle w:val="TOC1"/>
            <w:tabs>
              <w:tab w:val="right" w:leader="dot" w:pos="9350"/>
            </w:tabs>
            <w:rPr>
              <w:rFonts w:ascii="Times New Roman" w:hAnsi="Times New Roman" w:cs="Times New Roman"/>
              <w:b/>
              <w:noProof/>
              <w:sz w:val="28"/>
              <w:szCs w:val="28"/>
            </w:rPr>
          </w:pPr>
          <w:hyperlink w:anchor="_Toc205126440" w:history="1">
            <w:r w:rsidRPr="001003FA">
              <w:rPr>
                <w:rStyle w:val="Hyperlink"/>
                <w:rFonts w:ascii="Times New Roman" w:eastAsia="Times New Roman" w:hAnsi="Times New Roman" w:cs="Times New Roman"/>
                <w:b/>
                <w:noProof/>
                <w:sz w:val="28"/>
                <w:szCs w:val="28"/>
              </w:rPr>
              <w:t>8. Conclusion and Recommendations</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_Toc205126440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8</w:t>
            </w:r>
            <w:r w:rsidRPr="001003FA">
              <w:rPr>
                <w:rFonts w:ascii="Times New Roman" w:hAnsi="Times New Roman" w:cs="Times New Roman"/>
                <w:b/>
                <w:noProof/>
                <w:webHidden/>
                <w:sz w:val="28"/>
                <w:szCs w:val="28"/>
              </w:rPr>
              <w:fldChar w:fldCharType="end"/>
            </w:r>
          </w:hyperlink>
        </w:p>
        <w:p w14:paraId="5D3259C0" w14:textId="77777777" w:rsidR="001003FA" w:rsidRDefault="001003FA">
          <w:pPr>
            <w:pStyle w:val="TOC1"/>
            <w:tabs>
              <w:tab w:val="right" w:leader="dot" w:pos="9350"/>
            </w:tabs>
            <w:rPr>
              <w:noProof/>
            </w:rPr>
          </w:pPr>
          <w:hyperlink w:anchor="_Toc205126441" w:history="1">
            <w:r w:rsidRPr="001003FA">
              <w:rPr>
                <w:rStyle w:val="Hyperlink"/>
                <w:rFonts w:ascii="Times New Roman" w:eastAsia="Times New Roman" w:hAnsi="Times New Roman" w:cs="Times New Roman"/>
                <w:b/>
                <w:noProof/>
                <w:sz w:val="28"/>
                <w:szCs w:val="28"/>
              </w:rPr>
              <w:t>9. References (UWTSD Harvard Style)</w:t>
            </w:r>
            <w:r w:rsidRPr="001003FA">
              <w:rPr>
                <w:rFonts w:ascii="Times New Roman" w:hAnsi="Times New Roman" w:cs="Times New Roman"/>
                <w:b/>
                <w:noProof/>
                <w:webHidden/>
                <w:sz w:val="28"/>
                <w:szCs w:val="28"/>
              </w:rPr>
              <w:tab/>
            </w:r>
            <w:r w:rsidRPr="001003FA">
              <w:rPr>
                <w:rFonts w:ascii="Times New Roman" w:hAnsi="Times New Roman" w:cs="Times New Roman"/>
                <w:b/>
                <w:noProof/>
                <w:webHidden/>
                <w:sz w:val="28"/>
                <w:szCs w:val="28"/>
              </w:rPr>
              <w:fldChar w:fldCharType="begin"/>
            </w:r>
            <w:r w:rsidRPr="001003FA">
              <w:rPr>
                <w:rFonts w:ascii="Times New Roman" w:hAnsi="Times New Roman" w:cs="Times New Roman"/>
                <w:b/>
                <w:noProof/>
                <w:webHidden/>
                <w:sz w:val="28"/>
                <w:szCs w:val="28"/>
              </w:rPr>
              <w:instrText xml:space="preserve"> PAGEREF _Toc205126441 \h </w:instrText>
            </w:r>
            <w:r w:rsidRPr="001003FA">
              <w:rPr>
                <w:rFonts w:ascii="Times New Roman" w:hAnsi="Times New Roman" w:cs="Times New Roman"/>
                <w:b/>
                <w:noProof/>
                <w:webHidden/>
                <w:sz w:val="28"/>
                <w:szCs w:val="28"/>
              </w:rPr>
            </w:r>
            <w:r w:rsidRPr="001003FA">
              <w:rPr>
                <w:rFonts w:ascii="Times New Roman" w:hAnsi="Times New Roman" w:cs="Times New Roman"/>
                <w:b/>
                <w:noProof/>
                <w:webHidden/>
                <w:sz w:val="28"/>
                <w:szCs w:val="28"/>
              </w:rPr>
              <w:fldChar w:fldCharType="separate"/>
            </w:r>
            <w:r w:rsidRPr="001003FA">
              <w:rPr>
                <w:rFonts w:ascii="Times New Roman" w:hAnsi="Times New Roman" w:cs="Times New Roman"/>
                <w:b/>
                <w:noProof/>
                <w:webHidden/>
                <w:sz w:val="28"/>
                <w:szCs w:val="28"/>
              </w:rPr>
              <w:t>8</w:t>
            </w:r>
            <w:r w:rsidRPr="001003FA">
              <w:rPr>
                <w:rFonts w:ascii="Times New Roman" w:hAnsi="Times New Roman" w:cs="Times New Roman"/>
                <w:b/>
                <w:noProof/>
                <w:webHidden/>
                <w:sz w:val="28"/>
                <w:szCs w:val="28"/>
              </w:rPr>
              <w:fldChar w:fldCharType="end"/>
            </w:r>
          </w:hyperlink>
        </w:p>
        <w:p w14:paraId="6FAA1209" w14:textId="77777777" w:rsidR="001003FA" w:rsidRDefault="001003FA">
          <w:r>
            <w:rPr>
              <w:b/>
              <w:bCs/>
              <w:noProof/>
            </w:rPr>
            <w:fldChar w:fldCharType="end"/>
          </w:r>
        </w:p>
      </w:sdtContent>
    </w:sdt>
    <w:p w14:paraId="6A82C3B3" w14:textId="77777777" w:rsidR="00E830A9" w:rsidRDefault="00E830A9"/>
    <w:p w14:paraId="359AA18A" w14:textId="77777777" w:rsidR="00E830A9" w:rsidRDefault="00E830A9"/>
    <w:p w14:paraId="0833FA1C" w14:textId="77777777" w:rsidR="00E830A9" w:rsidRDefault="00E830A9"/>
    <w:p w14:paraId="4D0EC8E1" w14:textId="77777777" w:rsidR="00E830A9" w:rsidRDefault="00E830A9"/>
    <w:p w14:paraId="4B3D4F3B" w14:textId="77777777" w:rsidR="00E830A9" w:rsidRDefault="00E830A9"/>
    <w:p w14:paraId="0A156F11" w14:textId="77777777" w:rsidR="00E830A9" w:rsidRDefault="00E830A9"/>
    <w:p w14:paraId="7352907A" w14:textId="77777777" w:rsidR="00E830A9" w:rsidRDefault="00E830A9"/>
    <w:p w14:paraId="417D8617" w14:textId="77777777" w:rsidR="00E830A9" w:rsidRDefault="00E830A9"/>
    <w:p w14:paraId="078DFE3F" w14:textId="77777777" w:rsidR="00E830A9" w:rsidRDefault="00E830A9"/>
    <w:p w14:paraId="6D5F5ADA" w14:textId="77777777" w:rsidR="00E830A9" w:rsidRDefault="00E830A9"/>
    <w:p w14:paraId="7E2D3E39" w14:textId="77777777" w:rsidR="00E830A9" w:rsidRPr="001003FA" w:rsidRDefault="00E830A9" w:rsidP="001003FA">
      <w:pPr>
        <w:pStyle w:val="Heading1"/>
        <w:rPr>
          <w:rFonts w:eastAsia="Times New Roman"/>
          <w:sz w:val="40"/>
          <w:szCs w:val="40"/>
        </w:rPr>
      </w:pPr>
      <w:bookmarkStart w:id="0" w:name="_Toc205126428"/>
      <w:r w:rsidRPr="001003FA">
        <w:rPr>
          <w:rFonts w:eastAsia="Times New Roman"/>
          <w:sz w:val="40"/>
          <w:szCs w:val="40"/>
        </w:rPr>
        <w:t>1. Introduction</w:t>
      </w:r>
      <w:bookmarkEnd w:id="0"/>
    </w:p>
    <w:p w14:paraId="28B9199A" w14:textId="77777777" w:rsidR="00E830A9" w:rsidRPr="00E830A9" w:rsidRDefault="00E830A9" w:rsidP="001003FA">
      <w:pPr>
        <w:spacing w:before="100" w:beforeAutospacing="1" w:after="100" w:afterAutospacing="1" w:line="360" w:lineRule="auto"/>
        <w:jc w:val="both"/>
        <w:rPr>
          <w:rFonts w:ascii="Arial" w:eastAsia="Times New Roman" w:hAnsi="Arial" w:cs="Arial"/>
        </w:rPr>
      </w:pPr>
      <w:r w:rsidRPr="00E830A9">
        <w:rPr>
          <w:rFonts w:ascii="Arial" w:eastAsia="Times New Roman" w:hAnsi="Arial" w:cs="Arial"/>
        </w:rPr>
        <w:t>Hospital readmissions among elderly patients continue to pose a serious challenge to the NHS and its affiliated care services. Particularly, unplanned readmissions within 30 days are widely recognised as markers of suboptimal care coordination, ineffective discharge processes, and the absence of integrated community follow-up mechanisms (Health Foundation, 2020). These readmissions not only increase the emotional and physical burden on older patients and their families but also place a significant financial and operational strain on healthcare services.</w:t>
      </w:r>
    </w:p>
    <w:p w14:paraId="6017FD63" w14:textId="77777777" w:rsidR="00E830A9" w:rsidRPr="00E830A9" w:rsidRDefault="00E830A9" w:rsidP="001003FA">
      <w:pPr>
        <w:spacing w:before="100" w:beforeAutospacing="1" w:after="100" w:afterAutospacing="1" w:line="360" w:lineRule="auto"/>
        <w:jc w:val="both"/>
        <w:rPr>
          <w:rFonts w:ascii="Arial" w:eastAsia="Times New Roman" w:hAnsi="Arial" w:cs="Arial"/>
        </w:rPr>
      </w:pPr>
      <w:r w:rsidRPr="00E830A9">
        <w:rPr>
          <w:rFonts w:ascii="Arial" w:eastAsia="Times New Roman" w:hAnsi="Arial" w:cs="Arial"/>
        </w:rPr>
        <w:t>As a manager of Greenfield District General Hospital, this guidance document has been created for health and social care professionals to improve multidisciplinary collaboration in addressing hospital readmissions among elderly patients. It outlines the specific health and social care policy context, the importance of partnership working, the role of legislation, and how implementation can be evaluated.</w:t>
      </w:r>
    </w:p>
    <w:p w14:paraId="1360B402" w14:textId="77777777" w:rsidR="00E830A9" w:rsidRPr="00E830A9" w:rsidRDefault="00E830A9" w:rsidP="00E830A9">
      <w:pPr>
        <w:spacing w:after="0" w:line="240" w:lineRule="auto"/>
        <w:rPr>
          <w:rFonts w:ascii="Times New Roman" w:eastAsia="Times New Roman" w:hAnsi="Times New Roman" w:cs="Times New Roman"/>
          <w:sz w:val="24"/>
          <w:szCs w:val="24"/>
        </w:rPr>
      </w:pPr>
    </w:p>
    <w:p w14:paraId="7FE6598F" w14:textId="77777777" w:rsidR="00E830A9" w:rsidRPr="001003FA" w:rsidRDefault="00E830A9" w:rsidP="001003FA">
      <w:pPr>
        <w:pStyle w:val="Heading1"/>
        <w:rPr>
          <w:rFonts w:eastAsia="Times New Roman"/>
          <w:sz w:val="40"/>
          <w:szCs w:val="40"/>
        </w:rPr>
      </w:pPr>
      <w:bookmarkStart w:id="1" w:name="_Toc205126429"/>
      <w:r w:rsidRPr="001003FA">
        <w:rPr>
          <w:rFonts w:eastAsia="Times New Roman"/>
          <w:sz w:val="40"/>
          <w:szCs w:val="40"/>
        </w:rPr>
        <w:t>2. Background and Stakeholders</w:t>
      </w:r>
      <w:bookmarkEnd w:id="1"/>
    </w:p>
    <w:p w14:paraId="4306C2ED"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Greenfield District General Hospital, located in a suburban area of England, serves a demographically ageing population. Recent audits show that 22% of elderly patients discharged </w:t>
      </w:r>
      <w:r w:rsidRPr="00E830A9">
        <w:rPr>
          <w:rFonts w:ascii="Arial" w:eastAsia="Times New Roman" w:hAnsi="Arial" w:cs="Arial"/>
          <w:szCs w:val="24"/>
        </w:rPr>
        <w:lastRenderedPageBreak/>
        <w:t>from the hospital are readmitted within 30 days—primarily due to chronic conditions such as heart failure, diabetes, and COPD. Analysis of these cases indicates root causes including ineffective communication during discharge, lack of timely follow-up care, inadequate medication reconciliation, and insufficient home support (NHS Confederation, 2021).</w:t>
      </w:r>
    </w:p>
    <w:p w14:paraId="7570E13A"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To address this, a wide array of stakeholders must be engaged:</w:t>
      </w:r>
    </w:p>
    <w:p w14:paraId="067D53D4" w14:textId="77777777" w:rsidR="00E830A9" w:rsidRPr="00E830A9" w:rsidRDefault="00E830A9" w:rsidP="001003FA">
      <w:pPr>
        <w:numPr>
          <w:ilvl w:val="0"/>
          <w:numId w:val="1"/>
        </w:numPr>
        <w:spacing w:before="100" w:beforeAutospacing="1" w:after="100" w:afterAutospacing="1" w:line="360" w:lineRule="auto"/>
        <w:jc w:val="both"/>
        <w:rPr>
          <w:rFonts w:ascii="Arial" w:eastAsia="Times New Roman" w:hAnsi="Arial" w:cs="Arial"/>
          <w:szCs w:val="24"/>
        </w:rPr>
      </w:pPr>
      <w:r w:rsidRPr="001003FA">
        <w:rPr>
          <w:rFonts w:ascii="Arial" w:eastAsia="Times New Roman" w:hAnsi="Arial" w:cs="Arial"/>
          <w:b/>
          <w:bCs/>
          <w:szCs w:val="24"/>
        </w:rPr>
        <w:t>Hospital staff</w:t>
      </w:r>
      <w:r w:rsidRPr="00E830A9">
        <w:rPr>
          <w:rFonts w:ascii="Arial" w:eastAsia="Times New Roman" w:hAnsi="Arial" w:cs="Arial"/>
          <w:szCs w:val="24"/>
        </w:rPr>
        <w:t>: discharge coordinators, geriatricians, nurses, and pharmacists</w:t>
      </w:r>
    </w:p>
    <w:p w14:paraId="110592E8" w14:textId="77777777" w:rsidR="00E830A9" w:rsidRPr="00E830A9" w:rsidRDefault="00E830A9" w:rsidP="001003FA">
      <w:pPr>
        <w:numPr>
          <w:ilvl w:val="0"/>
          <w:numId w:val="1"/>
        </w:numPr>
        <w:spacing w:before="100" w:beforeAutospacing="1" w:after="100" w:afterAutospacing="1" w:line="360" w:lineRule="auto"/>
        <w:jc w:val="both"/>
        <w:rPr>
          <w:rFonts w:ascii="Arial" w:eastAsia="Times New Roman" w:hAnsi="Arial" w:cs="Arial"/>
          <w:szCs w:val="24"/>
        </w:rPr>
      </w:pPr>
      <w:r w:rsidRPr="001003FA">
        <w:rPr>
          <w:rFonts w:ascii="Arial" w:eastAsia="Times New Roman" w:hAnsi="Arial" w:cs="Arial"/>
          <w:b/>
          <w:bCs/>
          <w:szCs w:val="24"/>
        </w:rPr>
        <w:t>Community care providers</w:t>
      </w:r>
      <w:r w:rsidRPr="00E830A9">
        <w:rPr>
          <w:rFonts w:ascii="Arial" w:eastAsia="Times New Roman" w:hAnsi="Arial" w:cs="Arial"/>
          <w:szCs w:val="24"/>
        </w:rPr>
        <w:t>: GPs, district nurses, community matrons</w:t>
      </w:r>
    </w:p>
    <w:p w14:paraId="1DE18C2D" w14:textId="77777777" w:rsidR="00E830A9" w:rsidRPr="00E830A9" w:rsidRDefault="00E830A9" w:rsidP="001003FA">
      <w:pPr>
        <w:numPr>
          <w:ilvl w:val="0"/>
          <w:numId w:val="1"/>
        </w:numPr>
        <w:spacing w:before="100" w:beforeAutospacing="1" w:after="100" w:afterAutospacing="1" w:line="360" w:lineRule="auto"/>
        <w:jc w:val="both"/>
        <w:rPr>
          <w:rFonts w:ascii="Arial" w:eastAsia="Times New Roman" w:hAnsi="Arial" w:cs="Arial"/>
          <w:szCs w:val="24"/>
        </w:rPr>
      </w:pPr>
      <w:r w:rsidRPr="001003FA">
        <w:rPr>
          <w:rFonts w:ascii="Arial" w:eastAsia="Times New Roman" w:hAnsi="Arial" w:cs="Arial"/>
          <w:b/>
          <w:bCs/>
          <w:szCs w:val="24"/>
        </w:rPr>
        <w:t>Social care professionals</w:t>
      </w:r>
      <w:r w:rsidRPr="00E830A9">
        <w:rPr>
          <w:rFonts w:ascii="Arial" w:eastAsia="Times New Roman" w:hAnsi="Arial" w:cs="Arial"/>
          <w:szCs w:val="24"/>
        </w:rPr>
        <w:t>: adult social care managers, reablement teams</w:t>
      </w:r>
    </w:p>
    <w:p w14:paraId="70CB4F2B" w14:textId="77777777" w:rsidR="00E830A9" w:rsidRPr="00E830A9" w:rsidRDefault="00E830A9" w:rsidP="001003FA">
      <w:pPr>
        <w:numPr>
          <w:ilvl w:val="0"/>
          <w:numId w:val="1"/>
        </w:numPr>
        <w:spacing w:before="100" w:beforeAutospacing="1" w:after="100" w:afterAutospacing="1" w:line="360" w:lineRule="auto"/>
        <w:jc w:val="both"/>
        <w:rPr>
          <w:rFonts w:ascii="Arial" w:eastAsia="Times New Roman" w:hAnsi="Arial" w:cs="Arial"/>
          <w:szCs w:val="24"/>
        </w:rPr>
      </w:pPr>
      <w:r w:rsidRPr="001003FA">
        <w:rPr>
          <w:rFonts w:ascii="Arial" w:eastAsia="Times New Roman" w:hAnsi="Arial" w:cs="Arial"/>
          <w:b/>
          <w:bCs/>
          <w:szCs w:val="24"/>
        </w:rPr>
        <w:t>Voluntary sector</w:t>
      </w:r>
      <w:r w:rsidRPr="00E830A9">
        <w:rPr>
          <w:rFonts w:ascii="Arial" w:eastAsia="Times New Roman" w:hAnsi="Arial" w:cs="Arial"/>
          <w:szCs w:val="24"/>
        </w:rPr>
        <w:t>: Age UK, local befriending services, Red Cross, Meals on Wheels</w:t>
      </w:r>
    </w:p>
    <w:p w14:paraId="42A926FF" w14:textId="77777777" w:rsidR="00E830A9" w:rsidRPr="00E830A9" w:rsidRDefault="00E830A9" w:rsidP="001003FA">
      <w:pPr>
        <w:numPr>
          <w:ilvl w:val="0"/>
          <w:numId w:val="1"/>
        </w:numPr>
        <w:spacing w:before="100" w:beforeAutospacing="1" w:after="100" w:afterAutospacing="1" w:line="360" w:lineRule="auto"/>
        <w:jc w:val="both"/>
        <w:rPr>
          <w:rFonts w:ascii="Arial" w:eastAsia="Times New Roman" w:hAnsi="Arial" w:cs="Arial"/>
          <w:szCs w:val="24"/>
        </w:rPr>
      </w:pPr>
      <w:r w:rsidRPr="001003FA">
        <w:rPr>
          <w:rFonts w:ascii="Arial" w:eastAsia="Times New Roman" w:hAnsi="Arial" w:cs="Arial"/>
          <w:b/>
          <w:bCs/>
          <w:szCs w:val="24"/>
        </w:rPr>
        <w:t>Carers and family members</w:t>
      </w:r>
      <w:r w:rsidRPr="00E830A9">
        <w:rPr>
          <w:rFonts w:ascii="Arial" w:eastAsia="Times New Roman" w:hAnsi="Arial" w:cs="Arial"/>
          <w:szCs w:val="24"/>
        </w:rPr>
        <w:t>: often the frontline responders to decline</w:t>
      </w:r>
    </w:p>
    <w:p w14:paraId="6E49E092"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Each of these partners plays a critical role in ensuring a seamless care journey from hospital to home.</w:t>
      </w:r>
    </w:p>
    <w:p w14:paraId="23393C60" w14:textId="77777777" w:rsidR="00E830A9" w:rsidRPr="00E830A9" w:rsidRDefault="00E830A9" w:rsidP="001003FA">
      <w:pPr>
        <w:spacing w:after="0" w:line="360" w:lineRule="auto"/>
        <w:jc w:val="both"/>
        <w:rPr>
          <w:rFonts w:ascii="Times New Roman" w:eastAsia="Times New Roman" w:hAnsi="Times New Roman" w:cs="Times New Roman"/>
          <w:sz w:val="24"/>
          <w:szCs w:val="24"/>
        </w:rPr>
      </w:pPr>
    </w:p>
    <w:p w14:paraId="65CDE1C0" w14:textId="77777777" w:rsidR="00E830A9" w:rsidRPr="001003FA" w:rsidRDefault="00E830A9" w:rsidP="001003FA">
      <w:pPr>
        <w:pStyle w:val="Heading1"/>
        <w:rPr>
          <w:rFonts w:eastAsia="Times New Roman"/>
          <w:sz w:val="40"/>
          <w:szCs w:val="40"/>
        </w:rPr>
      </w:pPr>
      <w:bookmarkStart w:id="2" w:name="_Toc205126430"/>
      <w:r w:rsidRPr="001003FA">
        <w:rPr>
          <w:rFonts w:eastAsia="Times New Roman"/>
          <w:sz w:val="40"/>
          <w:szCs w:val="40"/>
        </w:rPr>
        <w:t>3. The Issue: Preventable Readmissions</w:t>
      </w:r>
      <w:bookmarkEnd w:id="2"/>
    </w:p>
    <w:p w14:paraId="265A6967"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Preventable readmissions arise from system-level and practice-level failures. According to King's Fund (2018), a significant proportion of elderly readmissions are avoidable if discharge processes are better aligned with individual care needs. Older people are often discharged without appropriate medication guidance, with unaddressed social care needs, or without scheduled community follow-ups.</w:t>
      </w:r>
    </w:p>
    <w:p w14:paraId="758A6869"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Barriers include:</w:t>
      </w:r>
    </w:p>
    <w:p w14:paraId="59D475BC" w14:textId="77777777" w:rsidR="00E830A9" w:rsidRPr="00E830A9" w:rsidRDefault="00E830A9" w:rsidP="001003FA">
      <w:pPr>
        <w:numPr>
          <w:ilvl w:val="0"/>
          <w:numId w:val="2"/>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Inconsistent discharge summaries reaching GPs</w:t>
      </w:r>
    </w:p>
    <w:p w14:paraId="46B59539" w14:textId="77777777" w:rsidR="00E830A9" w:rsidRPr="00E830A9" w:rsidRDefault="00E830A9" w:rsidP="001003FA">
      <w:pPr>
        <w:numPr>
          <w:ilvl w:val="0"/>
          <w:numId w:val="2"/>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Delayed referral to social services</w:t>
      </w:r>
    </w:p>
    <w:p w14:paraId="3F2A8313" w14:textId="77777777" w:rsidR="00E830A9" w:rsidRPr="00E830A9" w:rsidRDefault="00E830A9" w:rsidP="001003FA">
      <w:pPr>
        <w:numPr>
          <w:ilvl w:val="0"/>
          <w:numId w:val="2"/>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Lack of patient understanding of self-care plans</w:t>
      </w:r>
    </w:p>
    <w:p w14:paraId="5CF341CC" w14:textId="77777777" w:rsidR="00E830A9" w:rsidRPr="00E830A9" w:rsidRDefault="00E830A9" w:rsidP="001003FA">
      <w:pPr>
        <w:numPr>
          <w:ilvl w:val="0"/>
          <w:numId w:val="2"/>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Poor coordination between acute and community care services</w:t>
      </w:r>
    </w:p>
    <w:p w14:paraId="7B301D67"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These issues highlight the fragmented nature of care delivery in the absence of effective partnership working. Elderly patients, especially those living alone or with cognitive impairments, </w:t>
      </w:r>
      <w:r w:rsidRPr="00E830A9">
        <w:rPr>
          <w:rFonts w:ascii="Arial" w:eastAsia="Times New Roman" w:hAnsi="Arial" w:cs="Arial"/>
          <w:szCs w:val="24"/>
        </w:rPr>
        <w:lastRenderedPageBreak/>
        <w:t>are particularly vulnerable to these care gaps. Unplanned readmissions result in unnecessary suffering, lost autonomy, and higher mortality risks (Coulter et al., 2015).</w:t>
      </w:r>
    </w:p>
    <w:p w14:paraId="7FE4E0A4" w14:textId="77777777" w:rsidR="00E830A9" w:rsidRPr="00E830A9" w:rsidRDefault="00E830A9" w:rsidP="001003FA">
      <w:pPr>
        <w:spacing w:after="0" w:line="360" w:lineRule="auto"/>
        <w:jc w:val="both"/>
        <w:rPr>
          <w:rFonts w:ascii="Arial" w:eastAsia="Times New Roman" w:hAnsi="Arial" w:cs="Arial"/>
          <w:szCs w:val="24"/>
        </w:rPr>
      </w:pPr>
    </w:p>
    <w:p w14:paraId="0A8AE6E5" w14:textId="77777777" w:rsidR="00E830A9" w:rsidRPr="001003FA" w:rsidRDefault="00E830A9" w:rsidP="001003FA">
      <w:pPr>
        <w:pStyle w:val="Heading1"/>
        <w:rPr>
          <w:rFonts w:eastAsia="Times New Roman"/>
          <w:sz w:val="40"/>
          <w:szCs w:val="40"/>
        </w:rPr>
      </w:pPr>
      <w:bookmarkStart w:id="3" w:name="_Toc205126431"/>
      <w:r w:rsidRPr="001003FA">
        <w:rPr>
          <w:rFonts w:eastAsia="Times New Roman"/>
          <w:sz w:val="40"/>
          <w:szCs w:val="40"/>
        </w:rPr>
        <w:t>4. Addressing the Issue: Proposed Steps</w:t>
      </w:r>
      <w:bookmarkEnd w:id="3"/>
    </w:p>
    <w:p w14:paraId="0DC8A7A7"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To reduce readmissions, the following five-step strategy is recommended for implementation at Greenfield Hospital:</w:t>
      </w:r>
    </w:p>
    <w:p w14:paraId="65D45794" w14:textId="77777777" w:rsidR="00E830A9" w:rsidRPr="001003FA" w:rsidRDefault="00E830A9" w:rsidP="001003FA">
      <w:pPr>
        <w:pStyle w:val="Heading1"/>
        <w:rPr>
          <w:rFonts w:eastAsia="Times New Roman"/>
          <w:color w:val="000000" w:themeColor="text1"/>
        </w:rPr>
      </w:pPr>
      <w:bookmarkStart w:id="4" w:name="_Toc205126432"/>
      <w:r w:rsidRPr="001003FA">
        <w:rPr>
          <w:rFonts w:eastAsia="Times New Roman"/>
          <w:color w:val="000000" w:themeColor="text1"/>
        </w:rPr>
        <w:t>1. Enhanced Discharge Planning</w:t>
      </w:r>
      <w:bookmarkEnd w:id="4"/>
    </w:p>
    <w:p w14:paraId="1E30C586"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Start planning discharge on admission. Every patient should have a tailored discharge plan co-developed with family, hospital staff, and community providers. Early identification of social and medical needs allows for appropriate support arrangements.</w:t>
      </w:r>
    </w:p>
    <w:p w14:paraId="501669B7" w14:textId="77777777" w:rsidR="00E830A9" w:rsidRPr="001003FA" w:rsidRDefault="00E830A9" w:rsidP="001003FA">
      <w:pPr>
        <w:pStyle w:val="Heading1"/>
        <w:rPr>
          <w:rFonts w:eastAsia="Times New Roman"/>
          <w:color w:val="000000" w:themeColor="text1"/>
        </w:rPr>
      </w:pPr>
      <w:bookmarkStart w:id="5" w:name="_Toc205126433"/>
      <w:r w:rsidRPr="001003FA">
        <w:rPr>
          <w:rFonts w:eastAsia="Times New Roman"/>
          <w:color w:val="000000" w:themeColor="text1"/>
        </w:rPr>
        <w:t>2. Effective Communication</w:t>
      </w:r>
      <w:bookmarkEnd w:id="5"/>
    </w:p>
    <w:p w14:paraId="06E268A0"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Discharge summaries must be completed promptly (within 24 hours) and shared electronically with GPs via systems like EMIS or </w:t>
      </w:r>
      <w:proofErr w:type="spellStart"/>
      <w:r w:rsidRPr="00E830A9">
        <w:rPr>
          <w:rFonts w:ascii="Arial" w:eastAsia="Times New Roman" w:hAnsi="Arial" w:cs="Arial"/>
          <w:szCs w:val="24"/>
        </w:rPr>
        <w:t>SystmOne</w:t>
      </w:r>
      <w:proofErr w:type="spellEnd"/>
      <w:r w:rsidRPr="00E830A9">
        <w:rPr>
          <w:rFonts w:ascii="Arial" w:eastAsia="Times New Roman" w:hAnsi="Arial" w:cs="Arial"/>
          <w:szCs w:val="24"/>
        </w:rPr>
        <w:t>. This ensures continuity of care and prevents avoidable medication errors or follow-up delays (Royal College of Physicians, 2020).</w:t>
      </w:r>
    </w:p>
    <w:p w14:paraId="36D47F1E" w14:textId="77777777" w:rsidR="00E830A9" w:rsidRPr="001003FA" w:rsidRDefault="00E830A9" w:rsidP="001003FA">
      <w:pPr>
        <w:pStyle w:val="Heading1"/>
        <w:rPr>
          <w:rFonts w:eastAsia="Times New Roman"/>
          <w:color w:val="000000" w:themeColor="text1"/>
        </w:rPr>
      </w:pPr>
      <w:bookmarkStart w:id="6" w:name="_Toc205126434"/>
      <w:r w:rsidRPr="001003FA">
        <w:rPr>
          <w:rFonts w:eastAsia="Times New Roman"/>
          <w:color w:val="000000" w:themeColor="text1"/>
        </w:rPr>
        <w:t>3. Home Assessment and Support</w:t>
      </w:r>
      <w:bookmarkEnd w:id="6"/>
    </w:p>
    <w:p w14:paraId="111D7632"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Pre-discharge assessments by occupational therapists and district nurses can identify home safety risks. Where necessary, home adaptations, telecare equipment, or </w:t>
      </w:r>
      <w:proofErr w:type="spellStart"/>
      <w:r w:rsidRPr="00E830A9">
        <w:rPr>
          <w:rFonts w:ascii="Arial" w:eastAsia="Times New Roman" w:hAnsi="Arial" w:cs="Arial"/>
          <w:szCs w:val="24"/>
        </w:rPr>
        <w:t>reablement</w:t>
      </w:r>
      <w:proofErr w:type="spellEnd"/>
      <w:r w:rsidRPr="00E830A9">
        <w:rPr>
          <w:rFonts w:ascii="Arial" w:eastAsia="Times New Roman" w:hAnsi="Arial" w:cs="Arial"/>
          <w:szCs w:val="24"/>
        </w:rPr>
        <w:t xml:space="preserve"> services should be put in place.</w:t>
      </w:r>
    </w:p>
    <w:p w14:paraId="324C1CE7" w14:textId="77777777" w:rsidR="00E830A9" w:rsidRPr="001003FA" w:rsidRDefault="00E830A9" w:rsidP="001003FA">
      <w:pPr>
        <w:pStyle w:val="Heading1"/>
        <w:rPr>
          <w:rFonts w:eastAsia="Times New Roman"/>
          <w:color w:val="000000" w:themeColor="text1"/>
        </w:rPr>
      </w:pPr>
      <w:bookmarkStart w:id="7" w:name="_Toc205126435"/>
      <w:r w:rsidRPr="001003FA">
        <w:rPr>
          <w:rFonts w:eastAsia="Times New Roman"/>
          <w:color w:val="000000" w:themeColor="text1"/>
        </w:rPr>
        <w:t>4. Structured Follow-up</w:t>
      </w:r>
      <w:bookmarkEnd w:id="7"/>
    </w:p>
    <w:p w14:paraId="2CFDA15C"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Schedule community nurse visits within 48 hours post-discharge for high-risk patients. A “virtual ward” model—where care is provided at home but monitored by hospital clinicians—can help prevent deterioration.</w:t>
      </w:r>
    </w:p>
    <w:p w14:paraId="19241F4A" w14:textId="77777777" w:rsidR="00E830A9" w:rsidRPr="001003FA" w:rsidRDefault="00E830A9" w:rsidP="001003FA">
      <w:pPr>
        <w:pStyle w:val="Heading1"/>
        <w:rPr>
          <w:rFonts w:eastAsia="Times New Roman"/>
          <w:color w:val="000000" w:themeColor="text1"/>
        </w:rPr>
      </w:pPr>
      <w:bookmarkStart w:id="8" w:name="_Toc205126436"/>
      <w:r w:rsidRPr="001003FA">
        <w:rPr>
          <w:rFonts w:eastAsia="Times New Roman"/>
          <w:color w:val="000000" w:themeColor="text1"/>
        </w:rPr>
        <w:lastRenderedPageBreak/>
        <w:t>5. Medication Reconciliation</w:t>
      </w:r>
      <w:bookmarkEnd w:id="8"/>
    </w:p>
    <w:p w14:paraId="19D11DB2"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Pharmacists must play a more prominent role both before and after discharge to explain medication changes, identify potential side effects, and prevent duplication or omission (NHS England, 2022).</w:t>
      </w:r>
    </w:p>
    <w:p w14:paraId="066CF7E8" w14:textId="77777777" w:rsidR="00E830A9" w:rsidRPr="00E830A9" w:rsidRDefault="00E830A9" w:rsidP="001003FA">
      <w:pPr>
        <w:spacing w:after="0" w:line="360" w:lineRule="auto"/>
        <w:jc w:val="both"/>
        <w:rPr>
          <w:rFonts w:ascii="Times New Roman" w:eastAsia="Times New Roman" w:hAnsi="Times New Roman" w:cs="Times New Roman"/>
          <w:sz w:val="24"/>
          <w:szCs w:val="24"/>
        </w:rPr>
      </w:pPr>
    </w:p>
    <w:p w14:paraId="1D6F2246" w14:textId="77777777" w:rsidR="00E830A9" w:rsidRPr="001003FA" w:rsidRDefault="00E830A9" w:rsidP="001003FA">
      <w:pPr>
        <w:pStyle w:val="Heading1"/>
        <w:rPr>
          <w:sz w:val="40"/>
          <w:szCs w:val="40"/>
        </w:rPr>
      </w:pPr>
      <w:bookmarkStart w:id="9" w:name="_Toc205126437"/>
      <w:r w:rsidRPr="001003FA">
        <w:rPr>
          <w:sz w:val="40"/>
          <w:szCs w:val="40"/>
        </w:rPr>
        <w:t>5. Partnership Working</w:t>
      </w:r>
      <w:bookmarkEnd w:id="9"/>
    </w:p>
    <w:p w14:paraId="4B82AA9A"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Partnership working is essential to bridge the gap between hospital and home care. According to Glasby and Dickinson (2014), effective partnership involves shared goals, integrated planning, joint assessments, and coordinated service delivery. In the case of reducing hospital readmissions, this means every stakeholder must collaborate actively to ensure safe, timely, and effective transitions.</w:t>
      </w:r>
    </w:p>
    <w:p w14:paraId="6ED7A13F"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At Greenfield, partnership initiatives include:</w:t>
      </w:r>
    </w:p>
    <w:p w14:paraId="6151DCC7" w14:textId="77777777" w:rsidR="00E830A9" w:rsidRPr="00E830A9" w:rsidRDefault="00E830A9" w:rsidP="001003FA">
      <w:pPr>
        <w:numPr>
          <w:ilvl w:val="0"/>
          <w:numId w:val="3"/>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Weekly multidisciplinary team (MDT) meetings involving hospital clinicians, social workers, and voluntary sector representatives.</w:t>
      </w:r>
    </w:p>
    <w:p w14:paraId="1C8FB7E7" w14:textId="77777777" w:rsidR="00E830A9" w:rsidRPr="00E830A9" w:rsidRDefault="00E830A9" w:rsidP="001003FA">
      <w:pPr>
        <w:numPr>
          <w:ilvl w:val="0"/>
          <w:numId w:val="3"/>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Shared digital care plans accessible by both hospital and community services.</w:t>
      </w:r>
    </w:p>
    <w:p w14:paraId="508EEB30" w14:textId="77777777" w:rsidR="00E830A9" w:rsidRPr="00E830A9" w:rsidRDefault="00E830A9" w:rsidP="001003FA">
      <w:pPr>
        <w:numPr>
          <w:ilvl w:val="0"/>
          <w:numId w:val="3"/>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A designated care navigator who acts as a single point of contact for patients and families.</w:t>
      </w:r>
    </w:p>
    <w:p w14:paraId="15E17B37"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These measures foster shared accountability, eliminate service duplication, and streamline interventions. Collaborative working is particularly crucial in supporting patients with complex, multifactorial needs where no single agency has all the answers.</w:t>
      </w:r>
    </w:p>
    <w:p w14:paraId="06409A3E" w14:textId="77777777" w:rsidR="00E830A9" w:rsidRPr="00E830A9" w:rsidRDefault="00E830A9" w:rsidP="001003FA">
      <w:pPr>
        <w:spacing w:after="0" w:line="360" w:lineRule="auto"/>
        <w:jc w:val="both"/>
        <w:rPr>
          <w:rFonts w:ascii="Arial" w:eastAsia="Times New Roman" w:hAnsi="Arial" w:cs="Arial"/>
          <w:szCs w:val="24"/>
        </w:rPr>
      </w:pPr>
    </w:p>
    <w:p w14:paraId="7769E4E8" w14:textId="77777777" w:rsidR="00E830A9" w:rsidRPr="001003FA" w:rsidRDefault="00E830A9" w:rsidP="001003FA">
      <w:pPr>
        <w:pStyle w:val="Heading1"/>
        <w:rPr>
          <w:sz w:val="40"/>
          <w:szCs w:val="40"/>
        </w:rPr>
      </w:pPr>
      <w:bookmarkStart w:id="10" w:name="_Toc205126438"/>
      <w:r w:rsidRPr="001003FA">
        <w:rPr>
          <w:sz w:val="40"/>
          <w:szCs w:val="40"/>
        </w:rPr>
        <w:t>6. Relevant Principles, Policy, and Legislation</w:t>
      </w:r>
      <w:bookmarkEnd w:id="10"/>
    </w:p>
    <w:p w14:paraId="347F94D0" w14:textId="77777777" w:rsidR="00E830A9" w:rsidRPr="00E830A9" w:rsidRDefault="00E830A9" w:rsidP="001003FA">
      <w:p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The following policies and principles underpin the implementation of this guidance:</w:t>
      </w:r>
    </w:p>
    <w:p w14:paraId="1D7CC535" w14:textId="77777777" w:rsidR="00E830A9" w:rsidRPr="00E830A9" w:rsidRDefault="00E830A9" w:rsidP="001003FA">
      <w:pPr>
        <w:spacing w:before="100" w:beforeAutospacing="1" w:after="100" w:afterAutospacing="1" w:line="360" w:lineRule="auto"/>
        <w:jc w:val="both"/>
        <w:outlineLvl w:val="3"/>
        <w:rPr>
          <w:rFonts w:ascii="Arial" w:eastAsia="Times New Roman" w:hAnsi="Arial" w:cs="Arial"/>
          <w:b/>
          <w:bCs/>
          <w:szCs w:val="24"/>
        </w:rPr>
      </w:pPr>
      <w:r w:rsidRPr="00E830A9">
        <w:rPr>
          <w:rFonts w:ascii="Arial" w:eastAsia="Times New Roman" w:hAnsi="Arial" w:cs="Arial"/>
          <w:b/>
          <w:bCs/>
          <w:szCs w:val="24"/>
        </w:rPr>
        <w:t>Care Act 2014</w:t>
      </w:r>
    </w:p>
    <w:p w14:paraId="56A64D55" w14:textId="77777777" w:rsidR="00E830A9" w:rsidRPr="00E830A9" w:rsidRDefault="00E830A9" w:rsidP="001003FA">
      <w:pPr>
        <w:numPr>
          <w:ilvl w:val="0"/>
          <w:numId w:val="4"/>
        </w:numPr>
        <w:spacing w:before="100" w:beforeAutospacing="1" w:after="100" w:afterAutospacing="1" w:line="360" w:lineRule="auto"/>
        <w:jc w:val="both"/>
        <w:rPr>
          <w:rFonts w:ascii="Arial" w:eastAsia="Times New Roman" w:hAnsi="Arial" w:cs="Arial"/>
          <w:szCs w:val="24"/>
        </w:rPr>
      </w:pPr>
      <w:proofErr w:type="spellStart"/>
      <w:r w:rsidRPr="00E830A9">
        <w:rPr>
          <w:rFonts w:ascii="Arial" w:eastAsia="Times New Roman" w:hAnsi="Arial" w:cs="Arial"/>
          <w:szCs w:val="24"/>
        </w:rPr>
        <w:lastRenderedPageBreak/>
        <w:t>Emphasises</w:t>
      </w:r>
      <w:proofErr w:type="spellEnd"/>
      <w:r w:rsidRPr="00E830A9">
        <w:rPr>
          <w:rFonts w:ascii="Arial" w:eastAsia="Times New Roman" w:hAnsi="Arial" w:cs="Arial"/>
          <w:szCs w:val="24"/>
        </w:rPr>
        <w:t xml:space="preserve"> the </w:t>
      </w:r>
      <w:r w:rsidRPr="001003FA">
        <w:rPr>
          <w:rFonts w:ascii="Arial" w:eastAsia="Times New Roman" w:hAnsi="Arial" w:cs="Arial"/>
          <w:b/>
          <w:bCs/>
          <w:szCs w:val="24"/>
        </w:rPr>
        <w:t>duty to cooperate</w:t>
      </w:r>
      <w:r w:rsidRPr="00E830A9">
        <w:rPr>
          <w:rFonts w:ascii="Arial" w:eastAsia="Times New Roman" w:hAnsi="Arial" w:cs="Arial"/>
          <w:szCs w:val="24"/>
        </w:rPr>
        <w:t xml:space="preserve"> between health and social care providers.</w:t>
      </w:r>
    </w:p>
    <w:p w14:paraId="44F18FDE" w14:textId="77777777" w:rsidR="00E830A9" w:rsidRPr="00E830A9" w:rsidRDefault="00E830A9" w:rsidP="001003FA">
      <w:pPr>
        <w:numPr>
          <w:ilvl w:val="0"/>
          <w:numId w:val="4"/>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Mandates </w:t>
      </w:r>
      <w:r w:rsidRPr="001003FA">
        <w:rPr>
          <w:rFonts w:ascii="Arial" w:eastAsia="Times New Roman" w:hAnsi="Arial" w:cs="Arial"/>
          <w:b/>
          <w:bCs/>
          <w:szCs w:val="24"/>
        </w:rPr>
        <w:t>person-</w:t>
      </w:r>
      <w:proofErr w:type="spellStart"/>
      <w:r w:rsidRPr="001003FA">
        <w:rPr>
          <w:rFonts w:ascii="Arial" w:eastAsia="Times New Roman" w:hAnsi="Arial" w:cs="Arial"/>
          <w:b/>
          <w:bCs/>
          <w:szCs w:val="24"/>
        </w:rPr>
        <w:t>centred</w:t>
      </w:r>
      <w:proofErr w:type="spellEnd"/>
      <w:r w:rsidRPr="001003FA">
        <w:rPr>
          <w:rFonts w:ascii="Arial" w:eastAsia="Times New Roman" w:hAnsi="Arial" w:cs="Arial"/>
          <w:b/>
          <w:bCs/>
          <w:szCs w:val="24"/>
        </w:rPr>
        <w:t xml:space="preserve"> care</w:t>
      </w:r>
      <w:r w:rsidRPr="00E830A9">
        <w:rPr>
          <w:rFonts w:ascii="Arial" w:eastAsia="Times New Roman" w:hAnsi="Arial" w:cs="Arial"/>
          <w:szCs w:val="24"/>
        </w:rPr>
        <w:t>, early intervention, and prevention.</w:t>
      </w:r>
    </w:p>
    <w:p w14:paraId="02291743" w14:textId="77777777" w:rsidR="00E830A9" w:rsidRPr="00E830A9" w:rsidRDefault="00E830A9" w:rsidP="001003FA">
      <w:pPr>
        <w:numPr>
          <w:ilvl w:val="0"/>
          <w:numId w:val="4"/>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Introduces </w:t>
      </w:r>
      <w:r w:rsidRPr="001003FA">
        <w:rPr>
          <w:rFonts w:ascii="Arial" w:eastAsia="Times New Roman" w:hAnsi="Arial" w:cs="Arial"/>
          <w:b/>
          <w:bCs/>
          <w:szCs w:val="24"/>
        </w:rPr>
        <w:t>statutory responsibilities</w:t>
      </w:r>
      <w:r w:rsidRPr="00E830A9">
        <w:rPr>
          <w:rFonts w:ascii="Arial" w:eastAsia="Times New Roman" w:hAnsi="Arial" w:cs="Arial"/>
          <w:szCs w:val="24"/>
        </w:rPr>
        <w:t xml:space="preserve"> for adult safeguarding and continuity of care during transitions.</w:t>
      </w:r>
    </w:p>
    <w:p w14:paraId="7D6E101F" w14:textId="77777777" w:rsidR="00E830A9" w:rsidRPr="00E830A9" w:rsidRDefault="00E830A9" w:rsidP="001003FA">
      <w:pPr>
        <w:spacing w:before="100" w:beforeAutospacing="1" w:after="100" w:afterAutospacing="1" w:line="360" w:lineRule="auto"/>
        <w:jc w:val="both"/>
        <w:outlineLvl w:val="3"/>
        <w:rPr>
          <w:rFonts w:ascii="Arial" w:eastAsia="Times New Roman" w:hAnsi="Arial" w:cs="Arial"/>
          <w:b/>
          <w:bCs/>
          <w:szCs w:val="24"/>
        </w:rPr>
      </w:pPr>
      <w:r w:rsidRPr="00E830A9">
        <w:rPr>
          <w:rFonts w:ascii="Arial" w:eastAsia="Times New Roman" w:hAnsi="Arial" w:cs="Arial"/>
          <w:b/>
          <w:bCs/>
          <w:szCs w:val="24"/>
        </w:rPr>
        <w:t>NHS Long Term Plan (2019)</w:t>
      </w:r>
    </w:p>
    <w:p w14:paraId="026D6A9B" w14:textId="77777777" w:rsidR="00E830A9" w:rsidRPr="00E830A9" w:rsidRDefault="00E830A9" w:rsidP="001003FA">
      <w:pPr>
        <w:numPr>
          <w:ilvl w:val="0"/>
          <w:numId w:val="5"/>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Focuses on expanding </w:t>
      </w:r>
      <w:r w:rsidRPr="001003FA">
        <w:rPr>
          <w:rFonts w:ascii="Arial" w:eastAsia="Times New Roman" w:hAnsi="Arial" w:cs="Arial"/>
          <w:b/>
          <w:bCs/>
          <w:szCs w:val="24"/>
        </w:rPr>
        <w:t>personalised care</w:t>
      </w:r>
      <w:r w:rsidRPr="00E830A9">
        <w:rPr>
          <w:rFonts w:ascii="Arial" w:eastAsia="Times New Roman" w:hAnsi="Arial" w:cs="Arial"/>
          <w:szCs w:val="24"/>
        </w:rPr>
        <w:t xml:space="preserve">, </w:t>
      </w:r>
      <w:r w:rsidRPr="001003FA">
        <w:rPr>
          <w:rFonts w:ascii="Arial" w:eastAsia="Times New Roman" w:hAnsi="Arial" w:cs="Arial"/>
          <w:b/>
          <w:bCs/>
          <w:szCs w:val="24"/>
        </w:rPr>
        <w:t>community-based interventions</w:t>
      </w:r>
      <w:r w:rsidRPr="00E830A9">
        <w:rPr>
          <w:rFonts w:ascii="Arial" w:eastAsia="Times New Roman" w:hAnsi="Arial" w:cs="Arial"/>
          <w:szCs w:val="24"/>
        </w:rPr>
        <w:t xml:space="preserve">, and </w:t>
      </w:r>
      <w:r w:rsidRPr="001003FA">
        <w:rPr>
          <w:rFonts w:ascii="Arial" w:eastAsia="Times New Roman" w:hAnsi="Arial" w:cs="Arial"/>
          <w:b/>
          <w:bCs/>
          <w:szCs w:val="24"/>
        </w:rPr>
        <w:t>preventing unnecessary hospital use</w:t>
      </w:r>
      <w:r w:rsidRPr="00E830A9">
        <w:rPr>
          <w:rFonts w:ascii="Arial" w:eastAsia="Times New Roman" w:hAnsi="Arial" w:cs="Arial"/>
          <w:szCs w:val="24"/>
        </w:rPr>
        <w:t>.</w:t>
      </w:r>
    </w:p>
    <w:p w14:paraId="3A9F71BC" w14:textId="77777777" w:rsidR="00E830A9" w:rsidRPr="00E830A9" w:rsidRDefault="00E830A9" w:rsidP="001003FA">
      <w:pPr>
        <w:numPr>
          <w:ilvl w:val="0"/>
          <w:numId w:val="5"/>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Encourages the roll-out of enhanced health in care homes (EHCH) and virtual ward models.</w:t>
      </w:r>
    </w:p>
    <w:p w14:paraId="11DB0056" w14:textId="77777777" w:rsidR="00E830A9" w:rsidRPr="00E830A9" w:rsidRDefault="00E830A9" w:rsidP="001003FA">
      <w:pPr>
        <w:spacing w:before="100" w:beforeAutospacing="1" w:after="100" w:afterAutospacing="1" w:line="360" w:lineRule="auto"/>
        <w:jc w:val="both"/>
        <w:outlineLvl w:val="3"/>
        <w:rPr>
          <w:rFonts w:ascii="Arial" w:eastAsia="Times New Roman" w:hAnsi="Arial" w:cs="Arial"/>
          <w:b/>
          <w:bCs/>
          <w:szCs w:val="24"/>
        </w:rPr>
      </w:pPr>
      <w:r w:rsidRPr="00E830A9">
        <w:rPr>
          <w:rFonts w:ascii="Arial" w:eastAsia="Times New Roman" w:hAnsi="Arial" w:cs="Arial"/>
          <w:b/>
          <w:bCs/>
          <w:szCs w:val="24"/>
        </w:rPr>
        <w:t>Health and Care Act 2022</w:t>
      </w:r>
    </w:p>
    <w:p w14:paraId="19A88EDA" w14:textId="77777777" w:rsidR="00E830A9" w:rsidRPr="00E830A9" w:rsidRDefault="00E830A9" w:rsidP="001003FA">
      <w:pPr>
        <w:numPr>
          <w:ilvl w:val="0"/>
          <w:numId w:val="6"/>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Establishes </w:t>
      </w:r>
      <w:r w:rsidRPr="001003FA">
        <w:rPr>
          <w:rFonts w:ascii="Arial" w:eastAsia="Times New Roman" w:hAnsi="Arial" w:cs="Arial"/>
          <w:b/>
          <w:bCs/>
          <w:szCs w:val="24"/>
        </w:rPr>
        <w:t>Integrated Care Systems (ICSs)</w:t>
      </w:r>
      <w:r w:rsidRPr="00E830A9">
        <w:rPr>
          <w:rFonts w:ascii="Arial" w:eastAsia="Times New Roman" w:hAnsi="Arial" w:cs="Arial"/>
          <w:szCs w:val="24"/>
        </w:rPr>
        <w:t xml:space="preserve"> to coordinate services across NHS bodies, local authorities, and the voluntary sector.</w:t>
      </w:r>
    </w:p>
    <w:p w14:paraId="727D1018" w14:textId="77777777" w:rsidR="00E830A9" w:rsidRPr="00E830A9" w:rsidRDefault="00E830A9" w:rsidP="001003FA">
      <w:pPr>
        <w:numPr>
          <w:ilvl w:val="0"/>
          <w:numId w:val="6"/>
        </w:numPr>
        <w:spacing w:before="100" w:beforeAutospacing="1" w:after="100" w:afterAutospacing="1" w:line="360" w:lineRule="auto"/>
        <w:jc w:val="both"/>
        <w:rPr>
          <w:rFonts w:ascii="Arial" w:eastAsia="Times New Roman" w:hAnsi="Arial" w:cs="Arial"/>
          <w:szCs w:val="24"/>
        </w:rPr>
      </w:pPr>
      <w:r w:rsidRPr="00E830A9">
        <w:rPr>
          <w:rFonts w:ascii="Arial" w:eastAsia="Times New Roman" w:hAnsi="Arial" w:cs="Arial"/>
          <w:szCs w:val="24"/>
        </w:rPr>
        <w:t xml:space="preserve">Supports </w:t>
      </w:r>
      <w:r w:rsidRPr="001003FA">
        <w:rPr>
          <w:rFonts w:ascii="Arial" w:eastAsia="Times New Roman" w:hAnsi="Arial" w:cs="Arial"/>
          <w:b/>
          <w:bCs/>
          <w:szCs w:val="24"/>
        </w:rPr>
        <w:t>data-sharing platforms</w:t>
      </w:r>
      <w:r w:rsidRPr="00E830A9">
        <w:rPr>
          <w:rFonts w:ascii="Arial" w:eastAsia="Times New Roman" w:hAnsi="Arial" w:cs="Arial"/>
          <w:szCs w:val="24"/>
        </w:rPr>
        <w:t xml:space="preserve"> and collaborative commissioning for population health management.</w:t>
      </w:r>
    </w:p>
    <w:p w14:paraId="42DF4CD3" w14:textId="77777777" w:rsidR="00E830A9" w:rsidRPr="00E830A9" w:rsidRDefault="00FC771A" w:rsidP="001003FA">
      <w:pPr>
        <w:spacing w:after="0" w:line="360" w:lineRule="auto"/>
        <w:jc w:val="both"/>
        <w:rPr>
          <w:rFonts w:ascii="Arial" w:eastAsia="Times New Roman" w:hAnsi="Arial" w:cs="Arial"/>
          <w:szCs w:val="24"/>
        </w:rPr>
      </w:pPr>
      <w:r w:rsidRPr="001003FA">
        <w:rPr>
          <w:rFonts w:ascii="Arial" w:eastAsia="Times New Roman" w:hAnsi="Arial" w:cs="Arial"/>
          <w:szCs w:val="24"/>
        </w:rPr>
        <w:t xml:space="preserve">On top of these, ethical concepts like beneficence, autonomy, and </w:t>
      </w:r>
      <w:r w:rsidR="001003FA" w:rsidRPr="001003FA">
        <w:rPr>
          <w:rFonts w:ascii="Arial" w:eastAsia="Times New Roman" w:hAnsi="Arial" w:cs="Arial"/>
          <w:szCs w:val="24"/>
        </w:rPr>
        <w:t>non-maleficence</w:t>
      </w:r>
      <w:r w:rsidRPr="001003FA">
        <w:rPr>
          <w:rFonts w:ascii="Arial" w:eastAsia="Times New Roman" w:hAnsi="Arial" w:cs="Arial"/>
          <w:szCs w:val="24"/>
        </w:rPr>
        <w:t xml:space="preserve"> have to be applied in all decision making so that the rights and </w:t>
      </w:r>
      <w:r w:rsidR="001003FA" w:rsidRPr="001003FA">
        <w:rPr>
          <w:rFonts w:ascii="Arial" w:eastAsia="Times New Roman" w:hAnsi="Arial" w:cs="Arial"/>
          <w:szCs w:val="24"/>
        </w:rPr>
        <w:t>well-being</w:t>
      </w:r>
      <w:r w:rsidRPr="001003FA">
        <w:rPr>
          <w:rFonts w:ascii="Arial" w:eastAsia="Times New Roman" w:hAnsi="Arial" w:cs="Arial"/>
          <w:szCs w:val="24"/>
        </w:rPr>
        <w:t xml:space="preserve"> of patients are not violated. The principles promote compassionate, respectful, and informed care that reflects the values of patients being congruent with their dignity and promoting their independence and quality of life in the long-term perspective.</w:t>
      </w:r>
    </w:p>
    <w:p w14:paraId="0B9307E8" w14:textId="77777777" w:rsidR="00E830A9" w:rsidRPr="001003FA" w:rsidRDefault="00E830A9" w:rsidP="001003FA">
      <w:pPr>
        <w:pStyle w:val="Heading1"/>
        <w:rPr>
          <w:rFonts w:eastAsia="Times New Roman"/>
          <w:sz w:val="40"/>
          <w:szCs w:val="40"/>
        </w:rPr>
      </w:pPr>
      <w:bookmarkStart w:id="11" w:name="_Toc205126439"/>
      <w:r w:rsidRPr="001003FA">
        <w:rPr>
          <w:rFonts w:eastAsia="Times New Roman"/>
          <w:sz w:val="40"/>
          <w:szCs w:val="40"/>
        </w:rPr>
        <w:t>7. Evaluation of Implementation</w:t>
      </w:r>
      <w:bookmarkEnd w:id="11"/>
    </w:p>
    <w:p w14:paraId="22A30D2D" w14:textId="77777777" w:rsidR="001003FA" w:rsidRPr="001003FA" w:rsidRDefault="001003FA" w:rsidP="001003FA"/>
    <w:p w14:paraId="643D2C2C" w14:textId="77777777" w:rsidR="00FC771A" w:rsidRPr="001003FA" w:rsidRDefault="00FC771A" w:rsidP="001003FA">
      <w:pPr>
        <w:spacing w:after="0" w:line="360" w:lineRule="auto"/>
        <w:jc w:val="both"/>
        <w:rPr>
          <w:rFonts w:ascii="Arial" w:eastAsia="Times New Roman" w:hAnsi="Arial" w:cs="Arial"/>
          <w:szCs w:val="24"/>
        </w:rPr>
      </w:pPr>
      <w:r w:rsidRPr="001003FA">
        <w:rPr>
          <w:rFonts w:ascii="Arial" w:eastAsia="Times New Roman" w:hAnsi="Arial" w:cs="Arial"/>
          <w:szCs w:val="24"/>
        </w:rPr>
        <w:t>Evaluation should be done to ensure that this means of partnership delivers on its objectives. It is advisable to use the following tools:</w:t>
      </w:r>
    </w:p>
    <w:p w14:paraId="19D47000" w14:textId="77777777" w:rsidR="00FC771A" w:rsidRPr="001003FA" w:rsidRDefault="00FC771A" w:rsidP="001003FA">
      <w:pPr>
        <w:spacing w:after="0" w:line="360" w:lineRule="auto"/>
        <w:jc w:val="both"/>
        <w:rPr>
          <w:rFonts w:ascii="Arial" w:eastAsia="Times New Roman" w:hAnsi="Arial" w:cs="Arial"/>
          <w:szCs w:val="24"/>
        </w:rPr>
      </w:pPr>
      <w:r w:rsidRPr="001003FA">
        <w:rPr>
          <w:rFonts w:ascii="Arial" w:eastAsia="Times New Roman" w:hAnsi="Arial" w:cs="Arial"/>
          <w:b/>
          <w:szCs w:val="24"/>
        </w:rPr>
        <w:t>Key Performance Indicators (KPIs):</w:t>
      </w:r>
      <w:r w:rsidRPr="001003FA">
        <w:rPr>
          <w:rFonts w:ascii="Arial" w:eastAsia="Times New Roman" w:hAnsi="Arial" w:cs="Arial"/>
          <w:szCs w:val="24"/>
        </w:rPr>
        <w:t xml:space="preserve"> measure 30-day readmission rates and length of stay and ED attendances of elderly patients.</w:t>
      </w:r>
    </w:p>
    <w:p w14:paraId="05D96594" w14:textId="77777777" w:rsidR="00FC771A" w:rsidRPr="001003FA" w:rsidRDefault="00FC771A" w:rsidP="001003FA">
      <w:pPr>
        <w:spacing w:after="0" w:line="360" w:lineRule="auto"/>
        <w:jc w:val="both"/>
        <w:rPr>
          <w:rFonts w:ascii="Arial" w:eastAsia="Times New Roman" w:hAnsi="Arial" w:cs="Arial"/>
          <w:szCs w:val="24"/>
        </w:rPr>
      </w:pPr>
      <w:r w:rsidRPr="001003FA">
        <w:rPr>
          <w:rFonts w:ascii="Arial" w:eastAsia="Times New Roman" w:hAnsi="Arial" w:cs="Arial"/>
          <w:b/>
          <w:szCs w:val="24"/>
        </w:rPr>
        <w:t>Patient Feedback:</w:t>
      </w:r>
      <w:r w:rsidRPr="001003FA">
        <w:rPr>
          <w:rFonts w:ascii="Arial" w:eastAsia="Times New Roman" w:hAnsi="Arial" w:cs="Arial"/>
          <w:szCs w:val="24"/>
        </w:rPr>
        <w:t xml:space="preserve"> Standardise the use of surveys and interviews to retrieve information regarding patient and care giver satisfaction.</w:t>
      </w:r>
    </w:p>
    <w:p w14:paraId="001A8D60" w14:textId="77777777" w:rsidR="00FC771A" w:rsidRPr="001003FA" w:rsidRDefault="00FC771A" w:rsidP="001003FA">
      <w:pPr>
        <w:spacing w:after="0" w:line="360" w:lineRule="auto"/>
        <w:jc w:val="both"/>
        <w:rPr>
          <w:rFonts w:ascii="Arial" w:eastAsia="Times New Roman" w:hAnsi="Arial" w:cs="Arial"/>
          <w:szCs w:val="24"/>
        </w:rPr>
      </w:pPr>
      <w:r w:rsidRPr="001003FA">
        <w:rPr>
          <w:rFonts w:ascii="Arial" w:eastAsia="Times New Roman" w:hAnsi="Arial" w:cs="Arial"/>
          <w:b/>
          <w:szCs w:val="24"/>
        </w:rPr>
        <w:lastRenderedPageBreak/>
        <w:t>Audit Reports:</w:t>
      </w:r>
      <w:r w:rsidRPr="001003FA">
        <w:rPr>
          <w:rFonts w:ascii="Arial" w:eastAsia="Times New Roman" w:hAnsi="Arial" w:cs="Arial"/>
          <w:szCs w:val="24"/>
        </w:rPr>
        <w:t xml:space="preserve"> Auditing of discharge summation, medication reconciliation, and community to be.</w:t>
      </w:r>
    </w:p>
    <w:p w14:paraId="15AE4E9B" w14:textId="77777777" w:rsidR="00FC771A" w:rsidRPr="001003FA" w:rsidRDefault="00FC771A" w:rsidP="001003FA">
      <w:pPr>
        <w:spacing w:after="0" w:line="360" w:lineRule="auto"/>
        <w:jc w:val="both"/>
        <w:rPr>
          <w:rFonts w:ascii="Arial" w:eastAsia="Times New Roman" w:hAnsi="Arial" w:cs="Arial"/>
          <w:szCs w:val="24"/>
        </w:rPr>
      </w:pPr>
      <w:r w:rsidRPr="001003FA">
        <w:rPr>
          <w:rFonts w:ascii="Arial" w:eastAsia="Times New Roman" w:hAnsi="Arial" w:cs="Arial"/>
          <w:b/>
          <w:szCs w:val="24"/>
        </w:rPr>
        <w:t>Case Reviews:</w:t>
      </w:r>
      <w:r w:rsidRPr="001003FA">
        <w:rPr>
          <w:rFonts w:ascii="Arial" w:eastAsia="Times New Roman" w:hAnsi="Arial" w:cs="Arial"/>
          <w:szCs w:val="24"/>
        </w:rPr>
        <w:t xml:space="preserve"> Reviewing the readmission cases on quarterly MDT with the aim of identifying interventions that were missed.</w:t>
      </w:r>
    </w:p>
    <w:p w14:paraId="5B0A42A9" w14:textId="77777777" w:rsidR="00E830A9" w:rsidRPr="00E830A9" w:rsidRDefault="00FC771A" w:rsidP="001003FA">
      <w:pPr>
        <w:spacing w:after="0" w:line="360" w:lineRule="auto"/>
        <w:jc w:val="both"/>
        <w:rPr>
          <w:rFonts w:ascii="Arial" w:eastAsia="Times New Roman" w:hAnsi="Arial" w:cs="Arial"/>
          <w:szCs w:val="24"/>
        </w:rPr>
      </w:pPr>
      <w:r w:rsidRPr="001003FA">
        <w:rPr>
          <w:rFonts w:ascii="Arial" w:eastAsia="Times New Roman" w:hAnsi="Arial" w:cs="Arial"/>
          <w:szCs w:val="24"/>
        </w:rPr>
        <w:t>Data will have to be triangulated in order to pick the trends and make improvements in real-time. As an illustration, when delayed GP follow-ups are identified to be a persistent problem, the hospital can liaise with the PCNs to ensure there is no problem with scheduling appointments.</w:t>
      </w:r>
    </w:p>
    <w:p w14:paraId="33AC3800" w14:textId="77777777" w:rsidR="00E830A9" w:rsidRDefault="00E830A9" w:rsidP="001003FA">
      <w:pPr>
        <w:pStyle w:val="Heading1"/>
        <w:rPr>
          <w:rFonts w:eastAsia="Times New Roman"/>
          <w:sz w:val="40"/>
          <w:szCs w:val="40"/>
        </w:rPr>
      </w:pPr>
      <w:bookmarkStart w:id="12" w:name="_Toc205126440"/>
      <w:r w:rsidRPr="001003FA">
        <w:rPr>
          <w:rFonts w:eastAsia="Times New Roman"/>
          <w:sz w:val="40"/>
          <w:szCs w:val="40"/>
        </w:rPr>
        <w:t>8. Conclusion and Recommendations</w:t>
      </w:r>
      <w:bookmarkEnd w:id="12"/>
    </w:p>
    <w:p w14:paraId="70ED258C" w14:textId="77777777" w:rsidR="001003FA" w:rsidRPr="001003FA" w:rsidRDefault="001003FA" w:rsidP="001003FA"/>
    <w:p w14:paraId="54C66BFC" w14:textId="77777777" w:rsidR="00E830A9" w:rsidRPr="00E830A9" w:rsidRDefault="00FC771A" w:rsidP="001003FA">
      <w:pPr>
        <w:spacing w:after="0" w:line="360" w:lineRule="auto"/>
        <w:jc w:val="both"/>
        <w:rPr>
          <w:rFonts w:ascii="Arial" w:eastAsia="Times New Roman" w:hAnsi="Arial" w:cs="Arial"/>
          <w:szCs w:val="24"/>
        </w:rPr>
      </w:pPr>
      <w:r w:rsidRPr="001003FA">
        <w:rPr>
          <w:rFonts w:ascii="Arial" w:eastAsia="Times New Roman" w:hAnsi="Arial" w:cs="Arial"/>
          <w:szCs w:val="24"/>
        </w:rPr>
        <w:t>To sum up, it is essential to minimize unplanned readmission of elderly patients through a system-based strategy that relies on effective partnership working between hospitals and community services, social care, voluntary sector, and social care. This recommendation has outlined an approach involving early discharge planning, communication on time, support at home, follow-ups with structure and, finally, medication reconciliation, all of which can be performed in coordination with integrated multi-professional groups. Legislative environments like the Care Act 2014 and the Health and Care Act 2022 give legal support to this kind of collaboration where person-centred values are also present to make sure individuals need-specific care. To maintain this model, organisations are advised to have formal agreements between sectors, the use of shared care plans, having care navigators among services and use of real time data systems to measure progress. Quality improvement should be based on regular audits, patient response, and multidisciplinary review. All these synchronized efforts will eventually not only bring down the cases of avoidable readmissions, but should also benefit the elderly patients as a whole regarding their independent living and their quality of life back in the society.</w:t>
      </w:r>
    </w:p>
    <w:p w14:paraId="46E4072B" w14:textId="77777777" w:rsidR="00654B16" w:rsidRDefault="00654B16" w:rsidP="001003FA">
      <w:pPr>
        <w:pStyle w:val="Heading1"/>
        <w:rPr>
          <w:rFonts w:eastAsia="Times New Roman"/>
          <w:sz w:val="40"/>
          <w:szCs w:val="40"/>
        </w:rPr>
      </w:pPr>
      <w:bookmarkStart w:id="13" w:name="_Toc205126441"/>
    </w:p>
    <w:p w14:paraId="5B2993C3" w14:textId="09135D04" w:rsidR="00E830A9" w:rsidRPr="001003FA" w:rsidRDefault="001003FA" w:rsidP="001003FA">
      <w:pPr>
        <w:pStyle w:val="Heading1"/>
        <w:rPr>
          <w:rFonts w:eastAsia="Times New Roman"/>
          <w:sz w:val="40"/>
          <w:szCs w:val="40"/>
        </w:rPr>
      </w:pPr>
      <w:r w:rsidRPr="001003FA">
        <w:rPr>
          <w:rFonts w:eastAsia="Times New Roman"/>
          <w:sz w:val="40"/>
          <w:szCs w:val="40"/>
        </w:rPr>
        <w:t xml:space="preserve">9. </w:t>
      </w:r>
      <w:r w:rsidR="00E830A9" w:rsidRPr="001003FA">
        <w:rPr>
          <w:rFonts w:eastAsia="Times New Roman"/>
          <w:sz w:val="40"/>
          <w:szCs w:val="40"/>
        </w:rPr>
        <w:t>Reference</w:t>
      </w:r>
      <w:bookmarkEnd w:id="13"/>
    </w:p>
    <w:p w14:paraId="65168B49" w14:textId="77777777" w:rsidR="00E830A9" w:rsidRPr="00E830A9" w:rsidRDefault="00E830A9" w:rsidP="001003FA">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Coulter, A., Roberts, S. and Dixon, A. (2015) </w:t>
      </w:r>
      <w:r w:rsidRPr="001003FA">
        <w:rPr>
          <w:rFonts w:ascii="Arial" w:eastAsia="Times New Roman" w:hAnsi="Arial" w:cs="Arial"/>
          <w:i/>
          <w:iCs/>
        </w:rPr>
        <w:t>Delivering better services for people with long-term conditions: Building the house of care</w:t>
      </w:r>
      <w:r w:rsidRPr="00E830A9">
        <w:rPr>
          <w:rFonts w:ascii="Arial" w:eastAsia="Times New Roman" w:hAnsi="Arial" w:cs="Arial"/>
        </w:rPr>
        <w:t>. The King’s Fund. Available at: https://www.kingsfund.org.uk (Accessed: 2 August 2025).</w:t>
      </w:r>
    </w:p>
    <w:p w14:paraId="2CEA5B7E" w14:textId="77777777" w:rsidR="00E830A9" w:rsidRPr="00E830A9" w:rsidRDefault="00E830A9" w:rsidP="001003FA">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Glasby, J. and Dickinson, H. (2014) </w:t>
      </w:r>
      <w:r w:rsidRPr="001003FA">
        <w:rPr>
          <w:rFonts w:ascii="Arial" w:eastAsia="Times New Roman" w:hAnsi="Arial" w:cs="Arial"/>
          <w:i/>
          <w:iCs/>
        </w:rPr>
        <w:t>Partnership working in health and social care: What is integrated care and how can we deliver it?</w:t>
      </w:r>
      <w:r w:rsidRPr="00E830A9">
        <w:rPr>
          <w:rFonts w:ascii="Arial" w:eastAsia="Times New Roman" w:hAnsi="Arial" w:cs="Arial"/>
        </w:rPr>
        <w:t xml:space="preserve"> 2nd </w:t>
      </w:r>
      <w:proofErr w:type="spellStart"/>
      <w:proofErr w:type="gramStart"/>
      <w:r w:rsidRPr="00E830A9">
        <w:rPr>
          <w:rFonts w:ascii="Arial" w:eastAsia="Times New Roman" w:hAnsi="Arial" w:cs="Arial"/>
        </w:rPr>
        <w:t>edn</w:t>
      </w:r>
      <w:proofErr w:type="spellEnd"/>
      <w:proofErr w:type="gramEnd"/>
      <w:r w:rsidRPr="00E830A9">
        <w:rPr>
          <w:rFonts w:ascii="Arial" w:eastAsia="Times New Roman" w:hAnsi="Arial" w:cs="Arial"/>
        </w:rPr>
        <w:t>. Bristol: Policy Press.</w:t>
      </w:r>
    </w:p>
    <w:p w14:paraId="35C4C0CC" w14:textId="77777777" w:rsidR="00E830A9" w:rsidRPr="00E830A9" w:rsidRDefault="00E830A9" w:rsidP="001003FA">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Health Foundation (2020) </w:t>
      </w:r>
      <w:r w:rsidRPr="001003FA">
        <w:rPr>
          <w:rFonts w:ascii="Arial" w:eastAsia="Times New Roman" w:hAnsi="Arial" w:cs="Arial"/>
          <w:i/>
          <w:iCs/>
        </w:rPr>
        <w:t>Reducing emergency admissions: unlocking the potential of people to better manage their long-term conditions</w:t>
      </w:r>
      <w:r w:rsidRPr="00E830A9">
        <w:rPr>
          <w:rFonts w:ascii="Arial" w:eastAsia="Times New Roman" w:hAnsi="Arial" w:cs="Arial"/>
        </w:rPr>
        <w:t>. Available at: https://www.health.org.uk/publications/reducing-emergency-admissions (Accessed: 2 August 2025).</w:t>
      </w:r>
    </w:p>
    <w:p w14:paraId="58252BA6" w14:textId="77777777" w:rsidR="00E830A9" w:rsidRPr="00E830A9" w:rsidRDefault="00E830A9" w:rsidP="001003FA">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NHS Confederation (2021) </w:t>
      </w:r>
      <w:r w:rsidRPr="001003FA">
        <w:rPr>
          <w:rFonts w:ascii="Arial" w:eastAsia="Times New Roman" w:hAnsi="Arial" w:cs="Arial"/>
          <w:i/>
          <w:iCs/>
        </w:rPr>
        <w:t>Integrating care: Next steps to building strong and effective integrated care systems across England</w:t>
      </w:r>
      <w:r w:rsidRPr="00E830A9">
        <w:rPr>
          <w:rFonts w:ascii="Arial" w:eastAsia="Times New Roman" w:hAnsi="Arial" w:cs="Arial"/>
        </w:rPr>
        <w:t>. Available at: https://www.nhsconfed.org/publications/integrating-care (Accessed: 2 August 2025).</w:t>
      </w:r>
    </w:p>
    <w:p w14:paraId="25085B78" w14:textId="77777777" w:rsidR="00E830A9" w:rsidRPr="00E830A9" w:rsidRDefault="00E830A9" w:rsidP="001003FA">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NHS England (2019) </w:t>
      </w:r>
      <w:r w:rsidRPr="001003FA">
        <w:rPr>
          <w:rFonts w:ascii="Arial" w:eastAsia="Times New Roman" w:hAnsi="Arial" w:cs="Arial"/>
          <w:i/>
          <w:iCs/>
        </w:rPr>
        <w:t>The NHS Long Term Plan</w:t>
      </w:r>
      <w:r w:rsidRPr="00E830A9">
        <w:rPr>
          <w:rFonts w:ascii="Arial" w:eastAsia="Times New Roman" w:hAnsi="Arial" w:cs="Arial"/>
        </w:rPr>
        <w:t>. Available at: https://www.longtermplan.nhs.uk (Accessed: 2 August 2025).</w:t>
      </w:r>
    </w:p>
    <w:p w14:paraId="4CA9CE1B" w14:textId="77777777" w:rsidR="00E830A9" w:rsidRPr="00E830A9" w:rsidRDefault="00E830A9" w:rsidP="001003FA">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NHS England (2022) </w:t>
      </w:r>
      <w:r w:rsidRPr="001003FA">
        <w:rPr>
          <w:rFonts w:ascii="Arial" w:eastAsia="Times New Roman" w:hAnsi="Arial" w:cs="Arial"/>
          <w:i/>
          <w:iCs/>
        </w:rPr>
        <w:t>Hospital discharge and community support guidance</w:t>
      </w:r>
      <w:r w:rsidRPr="00E830A9">
        <w:rPr>
          <w:rFonts w:ascii="Arial" w:eastAsia="Times New Roman" w:hAnsi="Arial" w:cs="Arial"/>
        </w:rPr>
        <w:t>. Available at: https://www.england.nhs.uk/publication/hospital-discharge-and-community-support-guidance (Accessed: 2 August 2025).</w:t>
      </w:r>
    </w:p>
    <w:p w14:paraId="2954AE89" w14:textId="77777777" w:rsidR="00E830A9" w:rsidRPr="00E830A9" w:rsidRDefault="00E830A9" w:rsidP="001003FA">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Royal College of Physicians (2020) </w:t>
      </w:r>
      <w:r w:rsidRPr="001003FA">
        <w:rPr>
          <w:rFonts w:ascii="Arial" w:eastAsia="Times New Roman" w:hAnsi="Arial" w:cs="Arial"/>
          <w:i/>
          <w:iCs/>
        </w:rPr>
        <w:t>Outpatients: The future</w:t>
      </w:r>
      <w:r w:rsidRPr="00E830A9">
        <w:rPr>
          <w:rFonts w:ascii="Arial" w:eastAsia="Times New Roman" w:hAnsi="Arial" w:cs="Arial"/>
        </w:rPr>
        <w:t>. Available at: https://www.rcplondon.ac.uk/projects/outputs/outpatients-future (Accessed: 2 August 2025).</w:t>
      </w:r>
    </w:p>
    <w:p w14:paraId="30B8979C" w14:textId="77777777" w:rsidR="00E830A9" w:rsidRPr="00E830A9" w:rsidRDefault="00E830A9" w:rsidP="001003FA">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UK Government (2014) </w:t>
      </w:r>
      <w:r w:rsidRPr="001003FA">
        <w:rPr>
          <w:rFonts w:ascii="Arial" w:eastAsia="Times New Roman" w:hAnsi="Arial" w:cs="Arial"/>
          <w:i/>
          <w:iCs/>
        </w:rPr>
        <w:t>Care Act 2014</w:t>
      </w:r>
      <w:r w:rsidRPr="00E830A9">
        <w:rPr>
          <w:rFonts w:ascii="Arial" w:eastAsia="Times New Roman" w:hAnsi="Arial" w:cs="Arial"/>
        </w:rPr>
        <w:t>. Available at: https://www.legislation.gov.uk/ukpga/2014/23/contents/enacted (Accessed: 2 August 2025).</w:t>
      </w:r>
    </w:p>
    <w:p w14:paraId="0815C25D" w14:textId="1B33E14E" w:rsidR="00E830A9" w:rsidRPr="00654B16" w:rsidRDefault="00E830A9" w:rsidP="00654B16">
      <w:pPr>
        <w:spacing w:before="100" w:beforeAutospacing="1" w:after="100" w:afterAutospacing="1" w:line="360" w:lineRule="auto"/>
        <w:rPr>
          <w:rFonts w:ascii="Arial" w:eastAsia="Times New Roman" w:hAnsi="Arial" w:cs="Arial"/>
        </w:rPr>
      </w:pPr>
      <w:r w:rsidRPr="00E830A9">
        <w:rPr>
          <w:rFonts w:ascii="Arial" w:eastAsia="Times New Roman" w:hAnsi="Arial" w:cs="Arial"/>
        </w:rPr>
        <w:t xml:space="preserve">UK Government (2022) </w:t>
      </w:r>
      <w:r w:rsidRPr="001003FA">
        <w:rPr>
          <w:rFonts w:ascii="Arial" w:eastAsia="Times New Roman" w:hAnsi="Arial" w:cs="Arial"/>
          <w:i/>
          <w:iCs/>
        </w:rPr>
        <w:t>Health and Care Act 2022</w:t>
      </w:r>
      <w:r w:rsidRPr="00E830A9">
        <w:rPr>
          <w:rFonts w:ascii="Arial" w:eastAsia="Times New Roman" w:hAnsi="Arial" w:cs="Arial"/>
        </w:rPr>
        <w:t>. Available at: https://www.legislation.gov.uk/ukpga/2022/31/contents/enacted (Accessed: 2 August 2025).</w:t>
      </w:r>
    </w:p>
    <w:sectPr w:rsidR="00E830A9" w:rsidRPr="00654B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3C1E6" w14:textId="77777777" w:rsidR="00F15EB0" w:rsidRDefault="00F15EB0" w:rsidP="00F15EB0">
      <w:pPr>
        <w:spacing w:after="0" w:line="240" w:lineRule="auto"/>
      </w:pPr>
      <w:r>
        <w:separator/>
      </w:r>
    </w:p>
  </w:endnote>
  <w:endnote w:type="continuationSeparator" w:id="0">
    <w:p w14:paraId="52E3CFAF" w14:textId="77777777" w:rsidR="00F15EB0" w:rsidRDefault="00F15EB0" w:rsidP="00F15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6190D" w14:textId="77777777" w:rsidR="00F15EB0" w:rsidRDefault="00F15EB0" w:rsidP="00F15EB0">
      <w:pPr>
        <w:spacing w:after="0" w:line="240" w:lineRule="auto"/>
      </w:pPr>
      <w:r>
        <w:separator/>
      </w:r>
    </w:p>
  </w:footnote>
  <w:footnote w:type="continuationSeparator" w:id="0">
    <w:p w14:paraId="68210CDA" w14:textId="77777777" w:rsidR="00F15EB0" w:rsidRDefault="00F15EB0" w:rsidP="00F15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3184A"/>
    <w:multiLevelType w:val="multilevel"/>
    <w:tmpl w:val="EEBC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26B2E"/>
    <w:multiLevelType w:val="multilevel"/>
    <w:tmpl w:val="44C0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D43E6"/>
    <w:multiLevelType w:val="multilevel"/>
    <w:tmpl w:val="33CC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C19FC"/>
    <w:multiLevelType w:val="multilevel"/>
    <w:tmpl w:val="06FA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827203"/>
    <w:multiLevelType w:val="multilevel"/>
    <w:tmpl w:val="5A36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D46FDA"/>
    <w:multiLevelType w:val="multilevel"/>
    <w:tmpl w:val="BDAC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A4B28"/>
    <w:multiLevelType w:val="multilevel"/>
    <w:tmpl w:val="0D582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E66922"/>
    <w:multiLevelType w:val="multilevel"/>
    <w:tmpl w:val="1A90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4317226">
    <w:abstractNumId w:val="1"/>
  </w:num>
  <w:num w:numId="2" w16cid:durableId="2101560967">
    <w:abstractNumId w:val="2"/>
  </w:num>
  <w:num w:numId="3" w16cid:durableId="1015764630">
    <w:abstractNumId w:val="0"/>
  </w:num>
  <w:num w:numId="4" w16cid:durableId="1895894020">
    <w:abstractNumId w:val="6"/>
  </w:num>
  <w:num w:numId="5" w16cid:durableId="1012297220">
    <w:abstractNumId w:val="3"/>
  </w:num>
  <w:num w:numId="6" w16cid:durableId="1415855459">
    <w:abstractNumId w:val="4"/>
  </w:num>
  <w:num w:numId="7" w16cid:durableId="771097856">
    <w:abstractNumId w:val="5"/>
  </w:num>
  <w:num w:numId="8" w16cid:durableId="16683601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30A9"/>
    <w:rsid w:val="001003FA"/>
    <w:rsid w:val="001D2670"/>
    <w:rsid w:val="00392594"/>
    <w:rsid w:val="00594DC1"/>
    <w:rsid w:val="00654B16"/>
    <w:rsid w:val="008A44F3"/>
    <w:rsid w:val="008B39CC"/>
    <w:rsid w:val="009474F9"/>
    <w:rsid w:val="00AC17C9"/>
    <w:rsid w:val="00B76D3E"/>
    <w:rsid w:val="00CA57AF"/>
    <w:rsid w:val="00DA4E4F"/>
    <w:rsid w:val="00E830A9"/>
    <w:rsid w:val="00F10F69"/>
    <w:rsid w:val="00F15EB0"/>
    <w:rsid w:val="00F219C1"/>
    <w:rsid w:val="00FC7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967A"/>
  <w15:docId w15:val="{DAE3A04D-ACFF-4C38-9752-0BDD2D24B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03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03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830A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830A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30A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830A9"/>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E830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30A9"/>
    <w:rPr>
      <w:b/>
      <w:bCs/>
    </w:rPr>
  </w:style>
  <w:style w:type="character" w:styleId="Emphasis">
    <w:name w:val="Emphasis"/>
    <w:basedOn w:val="DefaultParagraphFont"/>
    <w:uiPriority w:val="20"/>
    <w:qFormat/>
    <w:rsid w:val="00E830A9"/>
    <w:rPr>
      <w:i/>
      <w:iCs/>
    </w:rPr>
  </w:style>
  <w:style w:type="character" w:customStyle="1" w:styleId="Heading2Char">
    <w:name w:val="Heading 2 Char"/>
    <w:basedOn w:val="DefaultParagraphFont"/>
    <w:link w:val="Heading2"/>
    <w:uiPriority w:val="9"/>
    <w:rsid w:val="001003F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003F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003FA"/>
    <w:pPr>
      <w:outlineLvl w:val="9"/>
    </w:pPr>
    <w:rPr>
      <w:lang w:eastAsia="ja-JP"/>
    </w:rPr>
  </w:style>
  <w:style w:type="paragraph" w:styleId="TOC2">
    <w:name w:val="toc 2"/>
    <w:basedOn w:val="Normal"/>
    <w:next w:val="Normal"/>
    <w:autoRedefine/>
    <w:uiPriority w:val="39"/>
    <w:unhideWhenUsed/>
    <w:rsid w:val="001003FA"/>
    <w:pPr>
      <w:spacing w:after="100"/>
      <w:ind w:left="220"/>
    </w:pPr>
  </w:style>
  <w:style w:type="paragraph" w:styleId="TOC3">
    <w:name w:val="toc 3"/>
    <w:basedOn w:val="Normal"/>
    <w:next w:val="Normal"/>
    <w:autoRedefine/>
    <w:uiPriority w:val="39"/>
    <w:unhideWhenUsed/>
    <w:rsid w:val="001003FA"/>
    <w:pPr>
      <w:spacing w:after="100"/>
      <w:ind w:left="440"/>
    </w:pPr>
  </w:style>
  <w:style w:type="paragraph" w:styleId="TOC1">
    <w:name w:val="toc 1"/>
    <w:basedOn w:val="Normal"/>
    <w:next w:val="Normal"/>
    <w:autoRedefine/>
    <w:uiPriority w:val="39"/>
    <w:unhideWhenUsed/>
    <w:rsid w:val="001003FA"/>
    <w:pPr>
      <w:spacing w:after="100"/>
    </w:pPr>
  </w:style>
  <w:style w:type="character" w:styleId="Hyperlink">
    <w:name w:val="Hyperlink"/>
    <w:basedOn w:val="DefaultParagraphFont"/>
    <w:uiPriority w:val="99"/>
    <w:unhideWhenUsed/>
    <w:rsid w:val="001003FA"/>
    <w:rPr>
      <w:color w:val="0000FF" w:themeColor="hyperlink"/>
      <w:u w:val="single"/>
    </w:rPr>
  </w:style>
  <w:style w:type="paragraph" w:styleId="BalloonText">
    <w:name w:val="Balloon Text"/>
    <w:basedOn w:val="Normal"/>
    <w:link w:val="BalloonTextChar"/>
    <w:uiPriority w:val="99"/>
    <w:semiHidden/>
    <w:unhideWhenUsed/>
    <w:rsid w:val="001003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3FA"/>
    <w:rPr>
      <w:rFonts w:ascii="Tahoma" w:hAnsi="Tahoma" w:cs="Tahoma"/>
      <w:sz w:val="16"/>
      <w:szCs w:val="16"/>
    </w:rPr>
  </w:style>
  <w:style w:type="paragraph" w:styleId="Header">
    <w:name w:val="header"/>
    <w:basedOn w:val="Normal"/>
    <w:link w:val="HeaderChar"/>
    <w:uiPriority w:val="99"/>
    <w:unhideWhenUsed/>
    <w:rsid w:val="00F15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EB0"/>
  </w:style>
  <w:style w:type="paragraph" w:styleId="Footer">
    <w:name w:val="footer"/>
    <w:basedOn w:val="Normal"/>
    <w:link w:val="FooterChar"/>
    <w:uiPriority w:val="99"/>
    <w:unhideWhenUsed/>
    <w:rsid w:val="00F15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841674">
      <w:bodyDiv w:val="1"/>
      <w:marLeft w:val="0"/>
      <w:marRight w:val="0"/>
      <w:marTop w:val="0"/>
      <w:marBottom w:val="0"/>
      <w:divBdr>
        <w:top w:val="none" w:sz="0" w:space="0" w:color="auto"/>
        <w:left w:val="none" w:sz="0" w:space="0" w:color="auto"/>
        <w:bottom w:val="none" w:sz="0" w:space="0" w:color="auto"/>
        <w:right w:val="none" w:sz="0" w:space="0" w:color="auto"/>
      </w:divBdr>
    </w:div>
    <w:div w:id="177158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9C3FA-9E37-4508-A200-04EE91264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1847</Words>
  <Characters>10531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Begum Khudeza (2231217)</cp:lastModifiedBy>
  <cp:revision>11</cp:revision>
  <dcterms:created xsi:type="dcterms:W3CDTF">2025-11-17T14:42:00Z</dcterms:created>
  <dcterms:modified xsi:type="dcterms:W3CDTF">2025-11-17T14:52:00Z</dcterms:modified>
</cp:coreProperties>
</file>