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FDA24" w14:textId="1D537BD6" w:rsidR="007B50D8" w:rsidRDefault="007B50D8" w:rsidP="001D2E1C">
      <w:pPr>
        <w:rPr>
          <w:b/>
          <w:bCs/>
        </w:rPr>
      </w:pPr>
    </w:p>
    <w:p w14:paraId="11D14AEF" w14:textId="3FE05CC3" w:rsidR="00C94A9C" w:rsidRDefault="00C94A9C">
      <w:pPr>
        <w:rPr>
          <w:noProof/>
        </w:rPr>
      </w:pPr>
    </w:p>
    <w:p w14:paraId="57E7E7D5" w14:textId="77777777" w:rsidR="007B50D8" w:rsidRDefault="007B50D8" w:rsidP="001D2E1C">
      <w:pPr>
        <w:rPr>
          <w:b/>
          <w:bCs/>
        </w:rPr>
      </w:pPr>
    </w:p>
    <w:p w14:paraId="24A80324" w14:textId="77777777" w:rsidR="00100016" w:rsidRDefault="00100016" w:rsidP="001D2E1C">
      <w:pPr>
        <w:rPr>
          <w:b/>
          <w:bCs/>
        </w:rPr>
      </w:pPr>
    </w:p>
    <w:p w14:paraId="2FD64737" w14:textId="77777777" w:rsidR="00100016" w:rsidRDefault="00100016" w:rsidP="001D2E1C">
      <w:pPr>
        <w:rPr>
          <w:b/>
          <w:bCs/>
        </w:rPr>
      </w:pPr>
    </w:p>
    <w:p w14:paraId="4CC05148" w14:textId="77777777" w:rsidR="00100016" w:rsidRDefault="00100016" w:rsidP="001D2E1C">
      <w:pPr>
        <w:rPr>
          <w:b/>
          <w:bCs/>
        </w:rPr>
      </w:pPr>
    </w:p>
    <w:p w14:paraId="37AC4750" w14:textId="77777777" w:rsidR="0091328E" w:rsidRDefault="0091328E" w:rsidP="001D2E1C">
      <w:pPr>
        <w:rPr>
          <w:b/>
          <w:bCs/>
        </w:rPr>
      </w:pPr>
    </w:p>
    <w:p w14:paraId="7FA58F3F" w14:textId="77777777" w:rsidR="0091328E" w:rsidRDefault="0091328E" w:rsidP="001D2E1C">
      <w:pPr>
        <w:rPr>
          <w:b/>
          <w:bCs/>
        </w:rPr>
      </w:pPr>
    </w:p>
    <w:p w14:paraId="6A45E6D8" w14:textId="77777777" w:rsidR="0091328E" w:rsidRDefault="0091328E" w:rsidP="001D2E1C">
      <w:pPr>
        <w:rPr>
          <w:b/>
          <w:bCs/>
        </w:rPr>
      </w:pPr>
    </w:p>
    <w:p w14:paraId="58E9DAD3" w14:textId="17F85B68" w:rsidR="0091328E" w:rsidRDefault="00C94A9C" w:rsidP="001D2E1C">
      <w:pPr>
        <w:rPr>
          <w:b/>
          <w:bCs/>
        </w:rPr>
      </w:pPr>
      <w:r>
        <w:rPr>
          <w:noProof/>
        </w:rPr>
        <w:drawing>
          <wp:inline distT="0" distB="0" distL="0" distR="0" wp14:anchorId="2DD75B1B" wp14:editId="39CEE8BC">
            <wp:extent cx="3070860" cy="1706033"/>
            <wp:effectExtent l="0" t="0" r="0" b="8890"/>
            <wp:docPr id="1"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81798" cy="1712110"/>
                    </a:xfrm>
                    <a:prstGeom prst="rect">
                      <a:avLst/>
                    </a:prstGeom>
                    <a:noFill/>
                    <a:ln>
                      <a:noFill/>
                    </a:ln>
                  </pic:spPr>
                </pic:pic>
              </a:graphicData>
            </a:graphic>
          </wp:inline>
        </w:drawing>
      </w:r>
    </w:p>
    <w:p w14:paraId="30438E55" w14:textId="229EF89D" w:rsidR="0091328E" w:rsidRDefault="0091328E" w:rsidP="001D2E1C">
      <w:pPr>
        <w:rPr>
          <w:b/>
          <w:bCs/>
        </w:rPr>
      </w:pPr>
    </w:p>
    <w:p w14:paraId="770E3B36" w14:textId="77777777" w:rsidR="0091328E" w:rsidRDefault="0091328E" w:rsidP="001D2E1C">
      <w:pPr>
        <w:rPr>
          <w:b/>
          <w:bCs/>
        </w:rPr>
      </w:pPr>
    </w:p>
    <w:p w14:paraId="1196B3A9" w14:textId="77777777" w:rsidR="0091328E" w:rsidRDefault="0091328E" w:rsidP="001D2E1C">
      <w:pPr>
        <w:rPr>
          <w:b/>
          <w:bCs/>
        </w:rPr>
      </w:pPr>
    </w:p>
    <w:p w14:paraId="63F183CF" w14:textId="32BD069E" w:rsidR="00EA7E95" w:rsidRDefault="0091328E" w:rsidP="001D2E1C">
      <w:pPr>
        <w:rPr>
          <w:b/>
          <w:bCs/>
        </w:rPr>
      </w:pPr>
      <w:r w:rsidRPr="00324DEF">
        <w:rPr>
          <w:rFonts w:ascii="Times New Roman" w:hAnsi="Times New Roman" w:cs="Times New Roman"/>
          <w:b/>
          <w:bCs/>
          <w:sz w:val="32"/>
          <w:szCs w:val="32"/>
        </w:rPr>
        <w:t>Title:</w:t>
      </w:r>
      <w:r w:rsidRPr="0091328E">
        <w:rPr>
          <w:b/>
          <w:bCs/>
        </w:rPr>
        <w:t xml:space="preserve"> Management Accounting Analysis of Lidl</w:t>
      </w:r>
      <w:r w:rsidRPr="0091328E">
        <w:rPr>
          <w:b/>
          <w:bCs/>
        </w:rPr>
        <w:br/>
      </w:r>
      <w:r w:rsidRPr="00324DEF">
        <w:rPr>
          <w:rFonts w:ascii="Times New Roman" w:hAnsi="Times New Roman" w:cs="Times New Roman"/>
          <w:b/>
          <w:bCs/>
          <w:sz w:val="32"/>
          <w:szCs w:val="32"/>
        </w:rPr>
        <w:t>Course</w:t>
      </w:r>
      <w:r w:rsidRPr="0091328E">
        <w:rPr>
          <w:b/>
          <w:bCs/>
        </w:rPr>
        <w:t>: Management Accounting</w:t>
      </w:r>
      <w:r w:rsidR="00FF460E">
        <w:rPr>
          <w:b/>
          <w:bCs/>
        </w:rPr>
        <w:t xml:space="preserve"> for managers-LCBB5010</w:t>
      </w:r>
      <w:r w:rsidRPr="0091328E">
        <w:rPr>
          <w:b/>
          <w:bCs/>
        </w:rPr>
        <w:br/>
      </w:r>
      <w:r w:rsidRPr="00324DEF">
        <w:rPr>
          <w:rFonts w:ascii="Times New Roman" w:hAnsi="Times New Roman" w:cs="Times New Roman"/>
          <w:b/>
          <w:bCs/>
          <w:sz w:val="32"/>
          <w:szCs w:val="32"/>
        </w:rPr>
        <w:t>Student Name:</w:t>
      </w:r>
      <w:r w:rsidRPr="0091328E">
        <w:rPr>
          <w:b/>
          <w:bCs/>
        </w:rPr>
        <w:t xml:space="preserve"> </w:t>
      </w:r>
      <w:r w:rsidR="003E3582">
        <w:rPr>
          <w:b/>
          <w:bCs/>
        </w:rPr>
        <w:t xml:space="preserve">Florentina Zauca </w:t>
      </w:r>
      <w:r w:rsidRPr="0091328E">
        <w:rPr>
          <w:b/>
          <w:bCs/>
        </w:rPr>
        <w:br/>
      </w:r>
      <w:r w:rsidRPr="00324DEF">
        <w:rPr>
          <w:rFonts w:ascii="Times New Roman" w:hAnsi="Times New Roman" w:cs="Times New Roman"/>
          <w:b/>
          <w:bCs/>
          <w:sz w:val="32"/>
          <w:szCs w:val="32"/>
        </w:rPr>
        <w:t>Student ID</w:t>
      </w:r>
      <w:r w:rsidRPr="0091328E">
        <w:rPr>
          <w:b/>
          <w:bCs/>
        </w:rPr>
        <w:t xml:space="preserve">: </w:t>
      </w:r>
      <w:r w:rsidR="003E3582">
        <w:rPr>
          <w:b/>
          <w:bCs/>
        </w:rPr>
        <w:t>2333203</w:t>
      </w:r>
      <w:r w:rsidRPr="0091328E">
        <w:rPr>
          <w:b/>
          <w:bCs/>
        </w:rPr>
        <w:br/>
      </w:r>
      <w:r w:rsidRPr="00324DEF">
        <w:rPr>
          <w:rFonts w:ascii="Times New Roman" w:hAnsi="Times New Roman" w:cs="Times New Roman"/>
          <w:b/>
          <w:bCs/>
          <w:sz w:val="32"/>
          <w:szCs w:val="32"/>
        </w:rPr>
        <w:t>Module Leader</w:t>
      </w:r>
      <w:r w:rsidRPr="0091328E">
        <w:rPr>
          <w:b/>
          <w:bCs/>
        </w:rPr>
        <w:t xml:space="preserve">: </w:t>
      </w:r>
      <w:r w:rsidR="00EA7E95">
        <w:rPr>
          <w:b/>
          <w:bCs/>
        </w:rPr>
        <w:t xml:space="preserve">Patryck Yeboah </w:t>
      </w:r>
    </w:p>
    <w:p w14:paraId="3F8D95BC" w14:textId="4BC64A0B" w:rsidR="00EA7E95" w:rsidRDefault="00EA7E95" w:rsidP="001D2E1C">
      <w:pPr>
        <w:rPr>
          <w:b/>
          <w:bCs/>
        </w:rPr>
      </w:pPr>
      <w:r w:rsidRPr="00324DEF">
        <w:rPr>
          <w:rFonts w:ascii="Times New Roman" w:hAnsi="Times New Roman" w:cs="Times New Roman"/>
          <w:b/>
          <w:bCs/>
          <w:sz w:val="32"/>
          <w:szCs w:val="32"/>
        </w:rPr>
        <w:t>Internal verifier:</w:t>
      </w:r>
      <w:r>
        <w:rPr>
          <w:b/>
          <w:bCs/>
        </w:rPr>
        <w:t xml:space="preserve"> </w:t>
      </w:r>
      <w:r w:rsidR="001B2812">
        <w:rPr>
          <w:b/>
          <w:bCs/>
        </w:rPr>
        <w:t xml:space="preserve">Dr Sampath Rodrigo </w:t>
      </w:r>
    </w:p>
    <w:p w14:paraId="77953E0D" w14:textId="77777777" w:rsidR="00100016" w:rsidRDefault="00100016" w:rsidP="001D2E1C">
      <w:pPr>
        <w:rPr>
          <w:b/>
          <w:bCs/>
        </w:rPr>
      </w:pPr>
    </w:p>
    <w:p w14:paraId="7D6103B3" w14:textId="77777777" w:rsidR="00100016" w:rsidRDefault="00100016" w:rsidP="001D2E1C">
      <w:pPr>
        <w:rPr>
          <w:b/>
          <w:bCs/>
        </w:rPr>
      </w:pPr>
    </w:p>
    <w:p w14:paraId="2E7B542E" w14:textId="77777777" w:rsidR="00100016" w:rsidRDefault="00100016" w:rsidP="001D2E1C">
      <w:pPr>
        <w:rPr>
          <w:b/>
          <w:bCs/>
        </w:rPr>
      </w:pPr>
    </w:p>
    <w:p w14:paraId="333DC34B" w14:textId="77777777" w:rsidR="00100016" w:rsidRDefault="00100016" w:rsidP="001D2E1C">
      <w:pPr>
        <w:rPr>
          <w:b/>
          <w:bCs/>
        </w:rPr>
      </w:pPr>
    </w:p>
    <w:p w14:paraId="4E530CC3" w14:textId="77777777" w:rsidR="0069176B" w:rsidRDefault="0069176B" w:rsidP="001D2E1C">
      <w:pPr>
        <w:rPr>
          <w:b/>
          <w:bCs/>
        </w:rPr>
      </w:pPr>
    </w:p>
    <w:p w14:paraId="5511D1CC" w14:textId="77777777" w:rsidR="00100016" w:rsidRDefault="00100016" w:rsidP="001D2E1C">
      <w:pPr>
        <w:rPr>
          <w:b/>
          <w:bCs/>
        </w:rPr>
      </w:pPr>
    </w:p>
    <w:p w14:paraId="3D99926E" w14:textId="27AA59A0" w:rsidR="001D2E1C" w:rsidRPr="007D6537" w:rsidRDefault="001D2E1C" w:rsidP="001D2E1C">
      <w:pPr>
        <w:rPr>
          <w:b/>
          <w:bCs/>
        </w:rPr>
      </w:pPr>
      <w:r w:rsidRPr="007D6537">
        <w:rPr>
          <w:b/>
          <w:bCs/>
        </w:rPr>
        <w:t>Table of Contents</w:t>
      </w:r>
    </w:p>
    <w:p w14:paraId="4793638C" w14:textId="6A51341A" w:rsidR="001D2E1C" w:rsidRPr="007D6537" w:rsidRDefault="001D2E1C" w:rsidP="001D2E1C">
      <w:pPr>
        <w:numPr>
          <w:ilvl w:val="0"/>
          <w:numId w:val="7"/>
        </w:numPr>
      </w:pPr>
      <w:r w:rsidRPr="007D6537">
        <w:t>Introduction</w:t>
      </w:r>
      <w:r w:rsidR="0069176B">
        <w:t>………………………………………………………………………………</w:t>
      </w:r>
      <w:r w:rsidR="00B568AA">
        <w:t>……</w:t>
      </w:r>
      <w:r w:rsidR="0069176B">
        <w:t>………</w:t>
      </w:r>
      <w:r w:rsidR="003256F6">
        <w:t>2</w:t>
      </w:r>
    </w:p>
    <w:p w14:paraId="7C5EC6AD" w14:textId="5356DC67" w:rsidR="001D2E1C" w:rsidRPr="007D6537" w:rsidRDefault="001D2E1C" w:rsidP="001D2E1C">
      <w:pPr>
        <w:numPr>
          <w:ilvl w:val="0"/>
          <w:numId w:val="7"/>
        </w:numPr>
      </w:pPr>
      <w:r w:rsidRPr="007D6537">
        <w:t>Cost Analysis and Business Model</w:t>
      </w:r>
      <w:r w:rsidR="0069176B">
        <w:t>……………………………………</w:t>
      </w:r>
      <w:r w:rsidR="00B568AA">
        <w:t>…………….</w:t>
      </w:r>
      <w:r w:rsidR="0069176B">
        <w:t>…………</w:t>
      </w:r>
      <w:r w:rsidR="003256F6">
        <w:t>2</w:t>
      </w:r>
    </w:p>
    <w:p w14:paraId="5AF8CC5D" w14:textId="31515F65" w:rsidR="001D2E1C" w:rsidRPr="007D6537" w:rsidRDefault="001D2E1C" w:rsidP="001D2E1C">
      <w:pPr>
        <w:numPr>
          <w:ilvl w:val="0"/>
          <w:numId w:val="7"/>
        </w:numPr>
      </w:pPr>
      <w:r w:rsidRPr="007D6537">
        <w:t>Budgeting and Financial Planning</w:t>
      </w:r>
      <w:r w:rsidR="0069176B">
        <w:t>……………………………………</w:t>
      </w:r>
      <w:r w:rsidR="00B568AA">
        <w:t>…………</w:t>
      </w:r>
      <w:r w:rsidR="00FA5630">
        <w:t>.</w:t>
      </w:r>
      <w:r w:rsidR="00B568AA">
        <w:t>…</w:t>
      </w:r>
      <w:proofErr w:type="gramStart"/>
      <w:r w:rsidR="00B568AA">
        <w:t>…..</w:t>
      </w:r>
      <w:proofErr w:type="gramEnd"/>
      <w:r w:rsidR="0069176B">
        <w:t>………</w:t>
      </w:r>
      <w:r w:rsidR="003256F6">
        <w:t>4</w:t>
      </w:r>
    </w:p>
    <w:p w14:paraId="3EBDF062" w14:textId="7690EFED" w:rsidR="001D2E1C" w:rsidRDefault="001D2E1C" w:rsidP="003256F6">
      <w:pPr>
        <w:numPr>
          <w:ilvl w:val="0"/>
          <w:numId w:val="7"/>
        </w:numPr>
      </w:pPr>
      <w:r w:rsidRPr="007D6537">
        <w:t>Performance Measurement and Decision-Making</w:t>
      </w:r>
      <w:r w:rsidR="0069176B">
        <w:t>…………</w:t>
      </w:r>
      <w:r w:rsidR="00FA5630">
        <w:t>…………….</w:t>
      </w:r>
      <w:r w:rsidR="0069176B">
        <w:t>………</w:t>
      </w:r>
      <w:r w:rsidR="00FA5630">
        <w:t>.</w:t>
      </w:r>
      <w:r w:rsidR="0069176B">
        <w:t>………</w:t>
      </w:r>
      <w:r w:rsidR="00B568AA">
        <w:t>5</w:t>
      </w:r>
    </w:p>
    <w:p w14:paraId="0546C113" w14:textId="007AC9B6" w:rsidR="00B568AA" w:rsidRPr="007D6537" w:rsidRDefault="00B568AA" w:rsidP="003256F6">
      <w:pPr>
        <w:numPr>
          <w:ilvl w:val="0"/>
          <w:numId w:val="7"/>
        </w:numPr>
      </w:pPr>
      <w:r w:rsidRPr="00100016">
        <w:t>Strategic Decisions Driven by KPIs and Ratios</w:t>
      </w:r>
      <w:r>
        <w:t>…………</w:t>
      </w:r>
      <w:r w:rsidR="00FA5630">
        <w:t>………………</w:t>
      </w:r>
      <w:r>
        <w:t>………</w:t>
      </w:r>
      <w:r w:rsidR="00FA5630">
        <w:t>.</w:t>
      </w:r>
      <w:r>
        <w:t>………….7</w:t>
      </w:r>
    </w:p>
    <w:p w14:paraId="17BBAD01" w14:textId="0198F4DB" w:rsidR="001D2E1C" w:rsidRPr="007D6537" w:rsidRDefault="001D2E1C" w:rsidP="001D2E1C">
      <w:pPr>
        <w:numPr>
          <w:ilvl w:val="0"/>
          <w:numId w:val="7"/>
        </w:numPr>
      </w:pPr>
      <w:r w:rsidRPr="007D6537">
        <w:t>Sustainability and Ethical Considerations</w:t>
      </w:r>
      <w:r w:rsidR="0069176B">
        <w:t>………………………</w:t>
      </w:r>
      <w:r w:rsidR="00FA5630">
        <w:t>………………</w:t>
      </w:r>
      <w:proofErr w:type="gramStart"/>
      <w:r w:rsidR="00FA5630">
        <w:t>…..</w:t>
      </w:r>
      <w:proofErr w:type="gramEnd"/>
      <w:r w:rsidR="0069176B">
        <w:t>………</w:t>
      </w:r>
      <w:r w:rsidR="00B568AA">
        <w:t>8</w:t>
      </w:r>
    </w:p>
    <w:p w14:paraId="15E8CB32" w14:textId="63F62FB4" w:rsidR="001D2E1C" w:rsidRPr="007D6537" w:rsidRDefault="001D2E1C" w:rsidP="001D2E1C">
      <w:pPr>
        <w:numPr>
          <w:ilvl w:val="0"/>
          <w:numId w:val="7"/>
        </w:numPr>
      </w:pPr>
      <w:r w:rsidRPr="007D6537">
        <w:t>Conclusion and Recommendations</w:t>
      </w:r>
      <w:r w:rsidR="0069176B">
        <w:t>……………………</w:t>
      </w:r>
      <w:r w:rsidR="00FA5630">
        <w:t>…………………………</w:t>
      </w:r>
      <w:proofErr w:type="gramStart"/>
      <w:r w:rsidR="00FA5630">
        <w:t>…..</w:t>
      </w:r>
      <w:proofErr w:type="gramEnd"/>
      <w:r w:rsidR="0069176B">
        <w:t>………</w:t>
      </w:r>
      <w:r w:rsidR="00B568AA">
        <w:t>9</w:t>
      </w:r>
    </w:p>
    <w:p w14:paraId="1EC7E9C0" w14:textId="63F671DB" w:rsidR="001D2E1C" w:rsidRPr="007D6537" w:rsidRDefault="001D2E1C" w:rsidP="001D2E1C">
      <w:pPr>
        <w:numPr>
          <w:ilvl w:val="0"/>
          <w:numId w:val="7"/>
        </w:numPr>
      </w:pPr>
      <w:r w:rsidRPr="007D6537">
        <w:t>References</w:t>
      </w:r>
      <w:r w:rsidR="0069176B">
        <w:t>……………………………………………………</w:t>
      </w:r>
      <w:r w:rsidR="00FA5630">
        <w:t>………………</w:t>
      </w:r>
      <w:proofErr w:type="gramStart"/>
      <w:r w:rsidR="00FA5630">
        <w:t>…..</w:t>
      </w:r>
      <w:proofErr w:type="gramEnd"/>
      <w:r w:rsidR="0069176B">
        <w:t>…………………</w:t>
      </w:r>
      <w:r w:rsidR="00B568AA">
        <w:t>10</w:t>
      </w:r>
    </w:p>
    <w:p w14:paraId="14CAA7F1" w14:textId="77777777" w:rsidR="001D2E1C" w:rsidRPr="001D2E1C" w:rsidRDefault="001D2E1C" w:rsidP="001D2E1C">
      <w:pPr>
        <w:rPr>
          <w:b/>
          <w:bCs/>
        </w:rPr>
      </w:pPr>
    </w:p>
    <w:p w14:paraId="12769929" w14:textId="77777777" w:rsidR="007B50D8" w:rsidRDefault="007B50D8" w:rsidP="00E26EEA">
      <w:pPr>
        <w:rPr>
          <w:b/>
          <w:bCs/>
        </w:rPr>
      </w:pPr>
    </w:p>
    <w:p w14:paraId="71395124" w14:textId="77777777" w:rsidR="007B50D8" w:rsidRDefault="007B50D8" w:rsidP="00E26EEA">
      <w:pPr>
        <w:rPr>
          <w:b/>
          <w:bCs/>
        </w:rPr>
      </w:pPr>
    </w:p>
    <w:p w14:paraId="4D5356CA" w14:textId="77777777" w:rsidR="007B50D8" w:rsidRDefault="007B50D8" w:rsidP="00E26EEA">
      <w:pPr>
        <w:rPr>
          <w:b/>
          <w:bCs/>
        </w:rPr>
      </w:pPr>
    </w:p>
    <w:p w14:paraId="45FB9440" w14:textId="77777777" w:rsidR="007B50D8" w:rsidRDefault="007B50D8" w:rsidP="00E26EEA">
      <w:pPr>
        <w:rPr>
          <w:b/>
          <w:bCs/>
        </w:rPr>
      </w:pPr>
    </w:p>
    <w:p w14:paraId="63BF8E65" w14:textId="77777777" w:rsidR="007B50D8" w:rsidRDefault="007B50D8" w:rsidP="00E26EEA">
      <w:pPr>
        <w:rPr>
          <w:b/>
          <w:bCs/>
        </w:rPr>
      </w:pPr>
    </w:p>
    <w:p w14:paraId="4C071088" w14:textId="77777777" w:rsidR="007B50D8" w:rsidRDefault="007B50D8" w:rsidP="00E26EEA">
      <w:pPr>
        <w:rPr>
          <w:b/>
          <w:bCs/>
        </w:rPr>
      </w:pPr>
    </w:p>
    <w:p w14:paraId="408ABBED" w14:textId="77777777" w:rsidR="007B50D8" w:rsidRDefault="007B50D8" w:rsidP="00E26EEA">
      <w:pPr>
        <w:rPr>
          <w:b/>
          <w:bCs/>
        </w:rPr>
      </w:pPr>
    </w:p>
    <w:p w14:paraId="45FCD6D6" w14:textId="77777777" w:rsidR="007B50D8" w:rsidRDefault="007B50D8" w:rsidP="00E26EEA">
      <w:pPr>
        <w:rPr>
          <w:b/>
          <w:bCs/>
        </w:rPr>
      </w:pPr>
    </w:p>
    <w:p w14:paraId="6C62B01A" w14:textId="77777777" w:rsidR="007B50D8" w:rsidRDefault="007B50D8" w:rsidP="00E26EEA">
      <w:pPr>
        <w:rPr>
          <w:b/>
          <w:bCs/>
        </w:rPr>
      </w:pPr>
    </w:p>
    <w:p w14:paraId="34351B33" w14:textId="77777777" w:rsidR="007B50D8" w:rsidRDefault="007B50D8" w:rsidP="00E26EEA">
      <w:pPr>
        <w:rPr>
          <w:b/>
          <w:bCs/>
        </w:rPr>
      </w:pPr>
    </w:p>
    <w:p w14:paraId="5069A8C8" w14:textId="77777777" w:rsidR="007B50D8" w:rsidRDefault="007B50D8" w:rsidP="00E26EEA">
      <w:pPr>
        <w:rPr>
          <w:b/>
          <w:bCs/>
        </w:rPr>
      </w:pPr>
    </w:p>
    <w:p w14:paraId="51E53FA7" w14:textId="77777777" w:rsidR="007B50D8" w:rsidRDefault="007B50D8" w:rsidP="00E26EEA">
      <w:pPr>
        <w:rPr>
          <w:b/>
          <w:bCs/>
        </w:rPr>
      </w:pPr>
    </w:p>
    <w:p w14:paraId="2403369B" w14:textId="77777777" w:rsidR="007B50D8" w:rsidRDefault="007B50D8" w:rsidP="00E26EEA">
      <w:pPr>
        <w:rPr>
          <w:b/>
          <w:bCs/>
        </w:rPr>
      </w:pPr>
    </w:p>
    <w:p w14:paraId="405B5B0E" w14:textId="77777777" w:rsidR="007B50D8" w:rsidRDefault="007B50D8" w:rsidP="00E26EEA">
      <w:pPr>
        <w:rPr>
          <w:b/>
          <w:bCs/>
        </w:rPr>
      </w:pPr>
    </w:p>
    <w:p w14:paraId="07FD810E" w14:textId="77777777" w:rsidR="007B50D8" w:rsidRDefault="007B50D8" w:rsidP="00E26EEA">
      <w:pPr>
        <w:rPr>
          <w:b/>
          <w:bCs/>
        </w:rPr>
      </w:pPr>
    </w:p>
    <w:p w14:paraId="50A15902" w14:textId="77777777" w:rsidR="007B50D8" w:rsidRDefault="007B50D8" w:rsidP="00E26EEA">
      <w:pPr>
        <w:rPr>
          <w:b/>
          <w:bCs/>
        </w:rPr>
      </w:pPr>
    </w:p>
    <w:p w14:paraId="79743684" w14:textId="77777777" w:rsidR="001D2E1C" w:rsidRDefault="001D2E1C" w:rsidP="00E26EEA">
      <w:pPr>
        <w:rPr>
          <w:b/>
          <w:bCs/>
        </w:rPr>
      </w:pPr>
    </w:p>
    <w:p w14:paraId="0BB113DD" w14:textId="26ED521F" w:rsidR="00E26EEA" w:rsidRPr="00100016" w:rsidRDefault="00E26EEA" w:rsidP="0069176B">
      <w:pPr>
        <w:spacing w:line="360" w:lineRule="auto"/>
      </w:pPr>
      <w:r w:rsidRPr="00100016">
        <w:t xml:space="preserve">1. Introduction </w:t>
      </w:r>
    </w:p>
    <w:p w14:paraId="2353BE3C" w14:textId="77777777" w:rsidR="00E26EEA" w:rsidRPr="00100016" w:rsidRDefault="00E26EEA" w:rsidP="0069176B">
      <w:pPr>
        <w:spacing w:line="360" w:lineRule="auto"/>
      </w:pPr>
      <w:r w:rsidRPr="00100016">
        <w:t>Lidl is a German</w:t>
      </w:r>
      <w:r w:rsidRPr="00100016">
        <w:noBreakHyphen/>
        <w:t>origin discount grocery retailer operating as part of the Schwarz Group, one of the world’s largest retail organisations. The company maintains over 12,600 stores and 230+ distribution centres in 31 countries, employing more than 380,000 people globally (Lidl GB, 2025; Schwarz Group, 2025). Lidl specialises in low</w:t>
      </w:r>
      <w:r w:rsidRPr="00100016">
        <w:noBreakHyphen/>
        <w:t>priced groceries, fresh produce, bakery goods, and rotating non</w:t>
      </w:r>
      <w:r w:rsidRPr="00100016">
        <w:noBreakHyphen/>
        <w:t>food seasonal items, with a strong focus on private</w:t>
      </w:r>
      <w:r w:rsidRPr="00100016">
        <w:noBreakHyphen/>
        <w:t>label offerings that drive competitiveness and customer value (Statista, 2024).</w:t>
      </w:r>
    </w:p>
    <w:p w14:paraId="5EB5B912" w14:textId="77777777" w:rsidR="00E26EEA" w:rsidRPr="00100016" w:rsidRDefault="00E26EEA" w:rsidP="0069176B">
      <w:pPr>
        <w:spacing w:line="360" w:lineRule="auto"/>
      </w:pPr>
      <w:r w:rsidRPr="00100016">
        <w:t>Management accounting is vital for modern businesses, especially in retail, where profit margins are thin and competitive pressures are high. It provides internal reporting, cost control mechanisms, budgeting tools, and performance measurement frameworks that enable managers to make informed decisions, allocate resources effectively, and monitor financial sustainability (Drury, 2021). In Lidl’s context, management accounting supports pricing strategies, cost analysis, budgeting, and strategic decision</w:t>
      </w:r>
      <w:r w:rsidRPr="00100016">
        <w:noBreakHyphen/>
        <w:t>making that align operational performance with organisational goals.</w:t>
      </w:r>
    </w:p>
    <w:p w14:paraId="7C89C6FF" w14:textId="09746354" w:rsidR="00E26EEA" w:rsidRPr="00100016" w:rsidRDefault="00E26EEA" w:rsidP="0069176B">
      <w:pPr>
        <w:spacing w:line="360" w:lineRule="auto"/>
      </w:pPr>
    </w:p>
    <w:p w14:paraId="4CA40E36" w14:textId="78630CE4" w:rsidR="00E26EEA" w:rsidRPr="00100016" w:rsidRDefault="00E26EEA" w:rsidP="0069176B">
      <w:pPr>
        <w:spacing w:line="360" w:lineRule="auto"/>
      </w:pPr>
      <w:r w:rsidRPr="00100016">
        <w:t xml:space="preserve">2. Cost Analysis and Business Model </w:t>
      </w:r>
    </w:p>
    <w:p w14:paraId="4CC204E8" w14:textId="3BE757E5" w:rsidR="00E26EEA" w:rsidRPr="00100016" w:rsidRDefault="00E26EEA" w:rsidP="0069176B">
      <w:pPr>
        <w:spacing w:line="360" w:lineRule="auto"/>
      </w:pPr>
      <w:r w:rsidRPr="00100016">
        <w:t>Lidl’s revenue model centres on cost leadership and high sales volumes, underpinned by strong private</w:t>
      </w:r>
      <w:r w:rsidRPr="00100016">
        <w:noBreakHyphen/>
        <w:t>label performance. The business generates revenue primarily from grocery sales, with private brands making up more than 70% of products sold, enabling greater pricing control and higher margins than reliance on national brands (</w:t>
      </w:r>
      <w:r w:rsidR="00FA5630" w:rsidRPr="00100016">
        <w:t>Canvas Business Model</w:t>
      </w:r>
      <w:r w:rsidRPr="00100016">
        <w:t>, 2024). Growth in total revenue is also supported by customer loyalty programmes, promotional campaigns, and strategic price reductions designed to attract cost</w:t>
      </w:r>
      <w:r w:rsidRPr="00100016">
        <w:noBreakHyphen/>
        <w:t>conscious shoppers.</w:t>
      </w:r>
    </w:p>
    <w:p w14:paraId="4A432993" w14:textId="77777777" w:rsidR="00E26EEA" w:rsidRPr="00100016" w:rsidRDefault="00E26EEA" w:rsidP="0069176B">
      <w:pPr>
        <w:spacing w:line="360" w:lineRule="auto"/>
      </w:pPr>
      <w:r w:rsidRPr="00100016">
        <w:t>A major strategic element of Lidl’s model is its operational simplicity. The retailer carries around 2,000–4,000 SKUs per store—far fewer than traditional supermarkets—which streamlines inventory decisions and reduces operating complexity. This simplicity helps lower holding costs and enhances stock turnover frequency.</w:t>
      </w:r>
    </w:p>
    <w:p w14:paraId="0D9EB875" w14:textId="77777777" w:rsidR="00E26EEA" w:rsidRPr="00100016" w:rsidRDefault="00E26EEA" w:rsidP="0069176B">
      <w:pPr>
        <w:spacing w:line="360" w:lineRule="auto"/>
      </w:pPr>
      <w:r w:rsidRPr="00100016">
        <w:lastRenderedPageBreak/>
        <w:t>Cost Structure</w:t>
      </w:r>
    </w:p>
    <w:p w14:paraId="1D1721FE" w14:textId="77777777" w:rsidR="00E26EEA" w:rsidRPr="00100016" w:rsidRDefault="00E26EEA" w:rsidP="0069176B">
      <w:pPr>
        <w:spacing w:line="360" w:lineRule="auto"/>
      </w:pPr>
      <w:r w:rsidRPr="00100016">
        <w:t>Lidl’s cost structure is composed of:</w:t>
      </w:r>
    </w:p>
    <w:p w14:paraId="1B7FDDAD" w14:textId="77777777" w:rsidR="00E26EEA" w:rsidRPr="00100016" w:rsidRDefault="00E26EEA" w:rsidP="0069176B">
      <w:pPr>
        <w:spacing w:line="360" w:lineRule="auto"/>
      </w:pPr>
      <w:r w:rsidRPr="00100016">
        <w:t>Fixed Costs</w:t>
      </w:r>
    </w:p>
    <w:p w14:paraId="1367E581" w14:textId="77777777" w:rsidR="00E26EEA" w:rsidRPr="00100016" w:rsidRDefault="00E26EEA" w:rsidP="0069176B">
      <w:pPr>
        <w:numPr>
          <w:ilvl w:val="0"/>
          <w:numId w:val="1"/>
        </w:numPr>
        <w:spacing w:line="360" w:lineRule="auto"/>
      </w:pPr>
      <w:r w:rsidRPr="00100016">
        <w:t>Store leases and property costs: Retail real estate and logistics centres represent significant fixed overhead.</w:t>
      </w:r>
    </w:p>
    <w:p w14:paraId="13DC4D6C" w14:textId="77777777" w:rsidR="00E26EEA" w:rsidRPr="00100016" w:rsidRDefault="00E26EEA" w:rsidP="0069176B">
      <w:pPr>
        <w:numPr>
          <w:ilvl w:val="0"/>
          <w:numId w:val="1"/>
        </w:numPr>
        <w:spacing w:line="360" w:lineRule="auto"/>
      </w:pPr>
      <w:r w:rsidRPr="00100016">
        <w:t>Capital investment in IT and infrastructure: Long</w:t>
      </w:r>
      <w:r w:rsidRPr="00100016">
        <w:noBreakHyphen/>
        <w:t>term investments in warehouse automation and digital systems.</w:t>
      </w:r>
    </w:p>
    <w:p w14:paraId="0592ED9F" w14:textId="77777777" w:rsidR="00E26EEA" w:rsidRPr="00100016" w:rsidRDefault="00E26EEA" w:rsidP="0069176B">
      <w:pPr>
        <w:numPr>
          <w:ilvl w:val="0"/>
          <w:numId w:val="1"/>
        </w:numPr>
        <w:spacing w:line="360" w:lineRule="auto"/>
      </w:pPr>
      <w:r w:rsidRPr="00100016">
        <w:t>Salaried management and corporate expenses: Executive, administrative and support functions.</w:t>
      </w:r>
    </w:p>
    <w:p w14:paraId="70B2A7E1" w14:textId="77777777" w:rsidR="00E26EEA" w:rsidRPr="00100016" w:rsidRDefault="00E26EEA" w:rsidP="0069176B">
      <w:pPr>
        <w:spacing w:line="360" w:lineRule="auto"/>
      </w:pPr>
      <w:r w:rsidRPr="00100016">
        <w:t>These costs remain relatively stable and do not fluctuate with short</w:t>
      </w:r>
      <w:r w:rsidRPr="00100016">
        <w:noBreakHyphen/>
        <w:t>term sales volumes, supporting continuity of operations.</w:t>
      </w:r>
    </w:p>
    <w:p w14:paraId="10DF48A5" w14:textId="77777777" w:rsidR="00E26EEA" w:rsidRPr="00100016" w:rsidRDefault="00E26EEA" w:rsidP="0069176B">
      <w:pPr>
        <w:spacing w:line="360" w:lineRule="auto"/>
      </w:pPr>
      <w:r w:rsidRPr="00100016">
        <w:t>Variable Costs</w:t>
      </w:r>
    </w:p>
    <w:p w14:paraId="60F2969D" w14:textId="77777777" w:rsidR="00E26EEA" w:rsidRPr="00100016" w:rsidRDefault="00E26EEA" w:rsidP="0069176B">
      <w:pPr>
        <w:numPr>
          <w:ilvl w:val="0"/>
          <w:numId w:val="2"/>
        </w:numPr>
        <w:spacing w:line="360" w:lineRule="auto"/>
      </w:pPr>
      <w:r w:rsidRPr="00100016">
        <w:t>Cost of Goods Sold (COGS): This includes payments to suppliers for inventory, a major portion of expenses.</w:t>
      </w:r>
    </w:p>
    <w:p w14:paraId="5588F979" w14:textId="77777777" w:rsidR="00E26EEA" w:rsidRPr="00100016" w:rsidRDefault="00E26EEA" w:rsidP="0069176B">
      <w:pPr>
        <w:numPr>
          <w:ilvl w:val="0"/>
          <w:numId w:val="2"/>
        </w:numPr>
        <w:spacing w:line="360" w:lineRule="auto"/>
      </w:pPr>
      <w:r w:rsidRPr="00100016">
        <w:t>Labour expenses: Hourly wages and employee benefits that fluctuate with staffing levels and operational hours.</w:t>
      </w:r>
    </w:p>
    <w:p w14:paraId="02D77B24" w14:textId="77777777" w:rsidR="00E26EEA" w:rsidRPr="00100016" w:rsidRDefault="00E26EEA" w:rsidP="0069176B">
      <w:pPr>
        <w:numPr>
          <w:ilvl w:val="0"/>
          <w:numId w:val="2"/>
        </w:numPr>
        <w:spacing w:line="360" w:lineRule="auto"/>
      </w:pPr>
      <w:r w:rsidRPr="00100016">
        <w:t>Transport and logistics: Fuel, route optimisation, and distribution costs linked to store activity.</w:t>
      </w:r>
    </w:p>
    <w:p w14:paraId="1F9BC1F0" w14:textId="77777777" w:rsidR="00E26EEA" w:rsidRPr="00100016" w:rsidRDefault="00E26EEA" w:rsidP="0069176B">
      <w:pPr>
        <w:numPr>
          <w:ilvl w:val="0"/>
          <w:numId w:val="2"/>
        </w:numPr>
        <w:spacing w:line="360" w:lineRule="auto"/>
      </w:pPr>
      <w:r w:rsidRPr="00100016">
        <w:t>Energy usage: Electricity and refrigeration costs that vary by store traffic and season.</w:t>
      </w:r>
    </w:p>
    <w:p w14:paraId="356BCDF6" w14:textId="77777777" w:rsidR="00E26EEA" w:rsidRPr="00100016" w:rsidRDefault="00E26EEA" w:rsidP="0069176B">
      <w:pPr>
        <w:spacing w:line="360" w:lineRule="auto"/>
      </w:pPr>
      <w:r w:rsidRPr="00100016">
        <w:t>Efficient procurement, aggressive supplier negotiation, and strong bulk purchase power help Lidl manage variable costs effectively. Logistics optimisation through consolidated distribution centres also maximises transport efficiency.</w:t>
      </w:r>
    </w:p>
    <w:p w14:paraId="03C92293" w14:textId="77777777" w:rsidR="00E26EEA" w:rsidRPr="00100016" w:rsidRDefault="00E26EEA" w:rsidP="0069176B">
      <w:pPr>
        <w:spacing w:line="360" w:lineRule="auto"/>
      </w:pPr>
      <w:r w:rsidRPr="00100016">
        <w:t>Lidl’s cost leadership is founded on economies of scale, tight inventory management, and operational efficiency. Management accounting plays a key role by providing cost information that supports decisions such as supplier selection, price adjustments, and store investment priorities (Johnson et al., 2020). Lidl’s strategic focus on private</w:t>
      </w:r>
      <w:r w:rsidRPr="00100016">
        <w:noBreakHyphen/>
        <w:t xml:space="preserve">label </w:t>
      </w:r>
      <w:r w:rsidRPr="00100016">
        <w:lastRenderedPageBreak/>
        <w:t>penetration and supply chain optimisation reduces total cost per unit sold, allowing competitive pricing while maintaining profitability.</w:t>
      </w:r>
    </w:p>
    <w:p w14:paraId="56400A76" w14:textId="7C675BBB" w:rsidR="00E26EEA" w:rsidRPr="00100016" w:rsidRDefault="00E26EEA" w:rsidP="0069176B">
      <w:pPr>
        <w:spacing w:line="360" w:lineRule="auto"/>
      </w:pPr>
    </w:p>
    <w:p w14:paraId="71DE3F62" w14:textId="0F8C3D58" w:rsidR="00E26EEA" w:rsidRPr="00100016" w:rsidRDefault="00E26EEA" w:rsidP="0069176B">
      <w:pPr>
        <w:spacing w:line="360" w:lineRule="auto"/>
      </w:pPr>
      <w:r w:rsidRPr="00100016">
        <w:t xml:space="preserve">3. Budgeting and Financial Planning </w:t>
      </w:r>
    </w:p>
    <w:p w14:paraId="76328FBB" w14:textId="77777777" w:rsidR="00E26EEA" w:rsidRPr="00100016" w:rsidRDefault="00E26EEA" w:rsidP="0069176B">
      <w:pPr>
        <w:spacing w:line="360" w:lineRule="auto"/>
      </w:pPr>
      <w:r w:rsidRPr="00100016">
        <w:t>Budgeting is a foundational component of Lidl’s financial planning and operational strategy. Budgets serve as financial blueprints that guide expected revenues, operating expenses, and capital investments across store networks. Lidl’s budgeting process integrates forecasted sales, cost trends, and strategic initiatives such as store expansion or logistics enhancements. This enables senior managers to allocate resources efficiently and monitor performance against planned targets.</w:t>
      </w:r>
    </w:p>
    <w:p w14:paraId="0CC0DFF7" w14:textId="77777777" w:rsidR="00E26EEA" w:rsidRPr="00100016" w:rsidRDefault="00E26EEA" w:rsidP="0069176B">
      <w:pPr>
        <w:spacing w:line="360" w:lineRule="auto"/>
      </w:pPr>
      <w:r w:rsidRPr="00100016">
        <w:t>Budgeting also supports risk mitigation. By forecasting cash flows and cost obligations, Lidl ensures sufficient liquidity to withstand external disruptions like inflationary pressures or supply chain volatility. Budget reviews occur at regular intervals—monthly, quarterly, and annually—to recalibrate assumptions and update financial expectations in response to market changes (Bhimani et al., 2019).</w:t>
      </w:r>
    </w:p>
    <w:p w14:paraId="5E5CB0EA" w14:textId="77777777" w:rsidR="00E26EEA" w:rsidRPr="00100016" w:rsidRDefault="00E26EEA" w:rsidP="0069176B">
      <w:pPr>
        <w:spacing w:line="360" w:lineRule="auto"/>
      </w:pPr>
      <w:r w:rsidRPr="00100016">
        <w:t>Operating Expenses and Influencing Factors</w:t>
      </w:r>
    </w:p>
    <w:p w14:paraId="24FBE4F7" w14:textId="7FDB7259" w:rsidR="00E26EEA" w:rsidRPr="00100016" w:rsidRDefault="00E26EEA" w:rsidP="0069176B">
      <w:pPr>
        <w:spacing w:line="360" w:lineRule="auto"/>
      </w:pPr>
      <w:r w:rsidRPr="00100016">
        <w:t>Recent financial results from Lidl GB show strong year</w:t>
      </w:r>
      <w:r w:rsidRPr="00100016">
        <w:noBreakHyphen/>
        <w:t>on</w:t>
      </w:r>
      <w:r w:rsidRPr="00100016">
        <w:noBreakHyphen/>
        <w:t>year growth in revenue (7.9%) and profitability, but also reflect changes in operating expenses due to strategic decisions and macroeconomic pressures. For the year ending February 2025, Lidl GB reported revenue of £11.7bn and pre</w:t>
      </w:r>
      <w:r w:rsidRPr="00100016">
        <w:noBreakHyphen/>
        <w:t>tax profit of £156.8m, compared with £43.6m in the previous year (Grocery Gazette, 2025). Operating profit also rose to £314.1m, reflecting improved operational efficiency (</w:t>
      </w:r>
      <w:r w:rsidR="00FA5630" w:rsidRPr="00100016">
        <w:t>Retail Times</w:t>
      </w:r>
      <w:r w:rsidRPr="00100016">
        <w:t>, 2025).</w:t>
      </w:r>
    </w:p>
    <w:p w14:paraId="6E8B970B" w14:textId="77777777" w:rsidR="00E26EEA" w:rsidRPr="00100016" w:rsidRDefault="00E26EEA" w:rsidP="0069176B">
      <w:pPr>
        <w:spacing w:line="360" w:lineRule="auto"/>
      </w:pPr>
      <w:r w:rsidRPr="00100016">
        <w:t>Internal Management Decisions Affecting Costs</w:t>
      </w:r>
    </w:p>
    <w:p w14:paraId="7C2E6D7D" w14:textId="77777777" w:rsidR="00E26EEA" w:rsidRPr="00100016" w:rsidRDefault="00E26EEA" w:rsidP="0069176B">
      <w:pPr>
        <w:numPr>
          <w:ilvl w:val="0"/>
          <w:numId w:val="3"/>
        </w:numPr>
        <w:spacing w:line="360" w:lineRule="auto"/>
      </w:pPr>
      <w:r w:rsidRPr="00100016">
        <w:t>Infrastructure investments: Nearly £500m was invested in upgrading stores and warehouses, increasing short</w:t>
      </w:r>
      <w:r w:rsidRPr="00100016">
        <w:noBreakHyphen/>
        <w:t>term operating expenses to support long</w:t>
      </w:r>
      <w:r w:rsidRPr="00100016">
        <w:noBreakHyphen/>
        <w:t>term growth (Lidl GB, 2025).</w:t>
      </w:r>
    </w:p>
    <w:p w14:paraId="1C2B5537" w14:textId="77777777" w:rsidR="00E26EEA" w:rsidRPr="00100016" w:rsidRDefault="00E26EEA" w:rsidP="0069176B">
      <w:pPr>
        <w:numPr>
          <w:ilvl w:val="0"/>
          <w:numId w:val="3"/>
        </w:numPr>
        <w:spacing w:line="360" w:lineRule="auto"/>
      </w:pPr>
      <w:r w:rsidRPr="00100016">
        <w:t>Workforce expansion: Hiring 3,000 new employees to support store operations and logistics increased labour costs.</w:t>
      </w:r>
    </w:p>
    <w:p w14:paraId="4570DBBF" w14:textId="77777777" w:rsidR="00E26EEA" w:rsidRPr="00100016" w:rsidRDefault="00E26EEA" w:rsidP="0069176B">
      <w:pPr>
        <w:numPr>
          <w:ilvl w:val="0"/>
          <w:numId w:val="3"/>
        </w:numPr>
        <w:spacing w:line="360" w:lineRule="auto"/>
      </w:pPr>
      <w:r w:rsidRPr="00100016">
        <w:lastRenderedPageBreak/>
        <w:t>Promotional and loyalty initiatives: Greater investment in marketing and loyalty programmes contributed to short</w:t>
      </w:r>
      <w:r w:rsidRPr="00100016">
        <w:noBreakHyphen/>
        <w:t>term cost increases but aimed to boost customer retention.</w:t>
      </w:r>
    </w:p>
    <w:p w14:paraId="15AB1424" w14:textId="77777777" w:rsidR="00E26EEA" w:rsidRPr="00100016" w:rsidRDefault="00E26EEA" w:rsidP="0069176B">
      <w:pPr>
        <w:spacing w:line="360" w:lineRule="auto"/>
      </w:pPr>
      <w:r w:rsidRPr="00100016">
        <w:t>External Macroeconomic Factors</w:t>
      </w:r>
    </w:p>
    <w:p w14:paraId="5F30762E" w14:textId="77777777" w:rsidR="00E26EEA" w:rsidRPr="00100016" w:rsidRDefault="00E26EEA" w:rsidP="0069176B">
      <w:pPr>
        <w:numPr>
          <w:ilvl w:val="0"/>
          <w:numId w:val="4"/>
        </w:numPr>
        <w:spacing w:line="360" w:lineRule="auto"/>
      </w:pPr>
      <w:r w:rsidRPr="00100016">
        <w:t>Inflation: Rising food prices and transportation costs have elevated COGS across the retail sector.</w:t>
      </w:r>
    </w:p>
    <w:p w14:paraId="61329907" w14:textId="77777777" w:rsidR="00E26EEA" w:rsidRPr="00100016" w:rsidRDefault="00E26EEA" w:rsidP="0069176B">
      <w:pPr>
        <w:numPr>
          <w:ilvl w:val="0"/>
          <w:numId w:val="4"/>
        </w:numPr>
        <w:spacing w:line="360" w:lineRule="auto"/>
      </w:pPr>
      <w:r w:rsidRPr="00100016">
        <w:t>Energy and wage inflation: Higher energy prices and increases in minimum wages have exerted upward pressure on operating expenses.</w:t>
      </w:r>
    </w:p>
    <w:p w14:paraId="6D2584F8" w14:textId="77777777" w:rsidR="00E26EEA" w:rsidRPr="00100016" w:rsidRDefault="00E26EEA" w:rsidP="0069176B">
      <w:pPr>
        <w:numPr>
          <w:ilvl w:val="0"/>
          <w:numId w:val="4"/>
        </w:numPr>
        <w:spacing w:line="360" w:lineRule="auto"/>
      </w:pPr>
      <w:r w:rsidRPr="00100016">
        <w:t>Competitive pricing pressure: To remain the low</w:t>
      </w:r>
      <w:r w:rsidRPr="00100016">
        <w:noBreakHyphen/>
        <w:t>price leader, Lidl often absorbs cost increases rather than passing them entirely to consumers.</w:t>
      </w:r>
    </w:p>
    <w:p w14:paraId="536B1FB8" w14:textId="77777777" w:rsidR="00E26EEA" w:rsidRPr="00100016" w:rsidRDefault="00E26EEA" w:rsidP="0069176B">
      <w:pPr>
        <w:spacing w:line="360" w:lineRule="auto"/>
      </w:pPr>
      <w:r w:rsidRPr="00100016">
        <w:t>Budgeting enables Lidl to anticipate these changes and allocate resources accordingly. By comparing actual expenses with budget forecasts, management identifies variance drivers and implements corrective strategies, such as logistics optimisation or renegotiation of supplier contracts. Such planning enhances Lidl’s financial resilience and maintains its competitive cost structure (Drury, 2021).</w:t>
      </w:r>
    </w:p>
    <w:p w14:paraId="4FACB8F9" w14:textId="791BB702" w:rsidR="00E26EEA" w:rsidRPr="00100016" w:rsidRDefault="00E26EEA" w:rsidP="0069176B">
      <w:pPr>
        <w:spacing w:line="360" w:lineRule="auto"/>
      </w:pPr>
    </w:p>
    <w:p w14:paraId="30410E36" w14:textId="534E94B4" w:rsidR="00E26EEA" w:rsidRPr="00100016" w:rsidRDefault="00E26EEA" w:rsidP="0069176B">
      <w:pPr>
        <w:spacing w:line="360" w:lineRule="auto"/>
      </w:pPr>
      <w:r w:rsidRPr="00100016">
        <w:t>4. Performance Measurement, Decision</w:t>
      </w:r>
      <w:r w:rsidRPr="00100016">
        <w:noBreakHyphen/>
        <w:t>Making, and Financial Ratio Analysis</w:t>
      </w:r>
    </w:p>
    <w:p w14:paraId="4ACAFAB8" w14:textId="77777777" w:rsidR="00E26EEA" w:rsidRPr="00100016" w:rsidRDefault="00E26EEA" w:rsidP="0069176B">
      <w:pPr>
        <w:spacing w:line="360" w:lineRule="auto"/>
      </w:pPr>
      <w:r w:rsidRPr="00100016">
        <w:t>Performance measurement combines financial metrics with operational indicators to provide a holistic view of Lidl’s business health.</w:t>
      </w:r>
    </w:p>
    <w:p w14:paraId="68013B29" w14:textId="77777777" w:rsidR="00E26EEA" w:rsidRPr="00100016" w:rsidRDefault="00E26EEA" w:rsidP="0069176B">
      <w:pPr>
        <w:spacing w:line="360" w:lineRule="auto"/>
      </w:pPr>
      <w:r w:rsidRPr="00100016">
        <w:t>Key Performance Indicators (KPIs)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48"/>
        <w:gridCol w:w="1520"/>
        <w:gridCol w:w="5358"/>
      </w:tblGrid>
      <w:tr w:rsidR="00E26EEA" w:rsidRPr="00100016" w14:paraId="67695A39" w14:textId="77777777">
        <w:trPr>
          <w:tblHeader/>
          <w:tblCellSpacing w:w="15" w:type="dxa"/>
        </w:trPr>
        <w:tc>
          <w:tcPr>
            <w:tcW w:w="0" w:type="auto"/>
            <w:vAlign w:val="center"/>
            <w:hideMark/>
          </w:tcPr>
          <w:p w14:paraId="12477754" w14:textId="77777777" w:rsidR="00E26EEA" w:rsidRPr="00100016" w:rsidRDefault="00E26EEA" w:rsidP="0069176B">
            <w:pPr>
              <w:spacing w:line="360" w:lineRule="auto"/>
            </w:pPr>
            <w:r w:rsidRPr="00100016">
              <w:t>KPI</w:t>
            </w:r>
          </w:p>
        </w:tc>
        <w:tc>
          <w:tcPr>
            <w:tcW w:w="0" w:type="auto"/>
            <w:vAlign w:val="center"/>
            <w:hideMark/>
          </w:tcPr>
          <w:p w14:paraId="5AB9866A" w14:textId="77777777" w:rsidR="00E26EEA" w:rsidRPr="00100016" w:rsidRDefault="00E26EEA" w:rsidP="0069176B">
            <w:pPr>
              <w:spacing w:line="360" w:lineRule="auto"/>
            </w:pPr>
            <w:r w:rsidRPr="00100016">
              <w:t>Type</w:t>
            </w:r>
          </w:p>
        </w:tc>
        <w:tc>
          <w:tcPr>
            <w:tcW w:w="0" w:type="auto"/>
            <w:vAlign w:val="center"/>
            <w:hideMark/>
          </w:tcPr>
          <w:p w14:paraId="1A66737E" w14:textId="77777777" w:rsidR="00E26EEA" w:rsidRPr="00100016" w:rsidRDefault="00E26EEA" w:rsidP="0069176B">
            <w:pPr>
              <w:spacing w:line="360" w:lineRule="auto"/>
            </w:pPr>
            <w:r w:rsidRPr="00100016">
              <w:t>Significance</w:t>
            </w:r>
          </w:p>
        </w:tc>
      </w:tr>
      <w:tr w:rsidR="00E26EEA" w:rsidRPr="00100016" w14:paraId="667FA7FC" w14:textId="77777777">
        <w:trPr>
          <w:tblCellSpacing w:w="15" w:type="dxa"/>
        </w:trPr>
        <w:tc>
          <w:tcPr>
            <w:tcW w:w="0" w:type="auto"/>
            <w:vAlign w:val="center"/>
            <w:hideMark/>
          </w:tcPr>
          <w:p w14:paraId="4FB7386A" w14:textId="77777777" w:rsidR="00E26EEA" w:rsidRPr="00100016" w:rsidRDefault="00E26EEA" w:rsidP="0069176B">
            <w:pPr>
              <w:spacing w:line="360" w:lineRule="auto"/>
            </w:pPr>
            <w:r w:rsidRPr="00100016">
              <w:t>Revenue Growth</w:t>
            </w:r>
          </w:p>
        </w:tc>
        <w:tc>
          <w:tcPr>
            <w:tcW w:w="0" w:type="auto"/>
            <w:vAlign w:val="center"/>
            <w:hideMark/>
          </w:tcPr>
          <w:p w14:paraId="42FC1013" w14:textId="77777777" w:rsidR="00E26EEA" w:rsidRPr="00100016" w:rsidRDefault="00E26EEA" w:rsidP="0069176B">
            <w:pPr>
              <w:spacing w:line="360" w:lineRule="auto"/>
            </w:pPr>
            <w:r w:rsidRPr="00100016">
              <w:t>Financial</w:t>
            </w:r>
          </w:p>
        </w:tc>
        <w:tc>
          <w:tcPr>
            <w:tcW w:w="0" w:type="auto"/>
            <w:vAlign w:val="center"/>
            <w:hideMark/>
          </w:tcPr>
          <w:p w14:paraId="5B019360" w14:textId="77777777" w:rsidR="00E26EEA" w:rsidRPr="00100016" w:rsidRDefault="00E26EEA" w:rsidP="0069176B">
            <w:pPr>
              <w:spacing w:line="360" w:lineRule="auto"/>
            </w:pPr>
            <w:r w:rsidRPr="00100016">
              <w:t>Measures sales expansion and market penetration</w:t>
            </w:r>
          </w:p>
        </w:tc>
      </w:tr>
      <w:tr w:rsidR="00E26EEA" w:rsidRPr="00100016" w14:paraId="1D978C23" w14:textId="77777777">
        <w:trPr>
          <w:tblCellSpacing w:w="15" w:type="dxa"/>
        </w:trPr>
        <w:tc>
          <w:tcPr>
            <w:tcW w:w="0" w:type="auto"/>
            <w:vAlign w:val="center"/>
            <w:hideMark/>
          </w:tcPr>
          <w:p w14:paraId="4A5C4DC8" w14:textId="77777777" w:rsidR="00E26EEA" w:rsidRPr="00100016" w:rsidRDefault="00E26EEA" w:rsidP="0069176B">
            <w:pPr>
              <w:spacing w:line="360" w:lineRule="auto"/>
            </w:pPr>
            <w:r w:rsidRPr="00100016">
              <w:t>Operating Margin</w:t>
            </w:r>
          </w:p>
        </w:tc>
        <w:tc>
          <w:tcPr>
            <w:tcW w:w="0" w:type="auto"/>
            <w:vAlign w:val="center"/>
            <w:hideMark/>
          </w:tcPr>
          <w:p w14:paraId="5220C653" w14:textId="77777777" w:rsidR="00E26EEA" w:rsidRPr="00100016" w:rsidRDefault="00E26EEA" w:rsidP="0069176B">
            <w:pPr>
              <w:spacing w:line="360" w:lineRule="auto"/>
            </w:pPr>
            <w:r w:rsidRPr="00100016">
              <w:t>Financial</w:t>
            </w:r>
          </w:p>
        </w:tc>
        <w:tc>
          <w:tcPr>
            <w:tcW w:w="0" w:type="auto"/>
            <w:vAlign w:val="center"/>
            <w:hideMark/>
          </w:tcPr>
          <w:p w14:paraId="4E6541BB" w14:textId="77777777" w:rsidR="00E26EEA" w:rsidRPr="00100016" w:rsidRDefault="00E26EEA" w:rsidP="0069176B">
            <w:pPr>
              <w:spacing w:line="360" w:lineRule="auto"/>
            </w:pPr>
            <w:r w:rsidRPr="00100016">
              <w:t>Assesses how efficiently operations convert revenue into profit</w:t>
            </w:r>
          </w:p>
        </w:tc>
      </w:tr>
      <w:tr w:rsidR="00E26EEA" w:rsidRPr="00100016" w14:paraId="16C14CFE" w14:textId="77777777">
        <w:trPr>
          <w:tblCellSpacing w:w="15" w:type="dxa"/>
        </w:trPr>
        <w:tc>
          <w:tcPr>
            <w:tcW w:w="0" w:type="auto"/>
            <w:vAlign w:val="center"/>
            <w:hideMark/>
          </w:tcPr>
          <w:p w14:paraId="59E7CF17" w14:textId="77777777" w:rsidR="00E26EEA" w:rsidRPr="00100016" w:rsidRDefault="00E26EEA" w:rsidP="0069176B">
            <w:pPr>
              <w:spacing w:line="360" w:lineRule="auto"/>
            </w:pPr>
            <w:r w:rsidRPr="00100016">
              <w:t>Inventory Turnover</w:t>
            </w:r>
          </w:p>
        </w:tc>
        <w:tc>
          <w:tcPr>
            <w:tcW w:w="0" w:type="auto"/>
            <w:vAlign w:val="center"/>
            <w:hideMark/>
          </w:tcPr>
          <w:p w14:paraId="2D007DEC" w14:textId="77777777" w:rsidR="00E26EEA" w:rsidRPr="00100016" w:rsidRDefault="00E26EEA" w:rsidP="0069176B">
            <w:pPr>
              <w:spacing w:line="360" w:lineRule="auto"/>
            </w:pPr>
            <w:r w:rsidRPr="00100016">
              <w:t>Financial</w:t>
            </w:r>
          </w:p>
        </w:tc>
        <w:tc>
          <w:tcPr>
            <w:tcW w:w="0" w:type="auto"/>
            <w:vAlign w:val="center"/>
            <w:hideMark/>
          </w:tcPr>
          <w:p w14:paraId="06EB950A" w14:textId="77777777" w:rsidR="00E26EEA" w:rsidRPr="00100016" w:rsidRDefault="00E26EEA" w:rsidP="0069176B">
            <w:pPr>
              <w:spacing w:line="360" w:lineRule="auto"/>
            </w:pPr>
            <w:r w:rsidRPr="00100016">
              <w:t>Reflects stock management and cost efficiency</w:t>
            </w:r>
          </w:p>
        </w:tc>
      </w:tr>
      <w:tr w:rsidR="00E26EEA" w:rsidRPr="00100016" w14:paraId="38D15181" w14:textId="77777777">
        <w:trPr>
          <w:tblCellSpacing w:w="15" w:type="dxa"/>
        </w:trPr>
        <w:tc>
          <w:tcPr>
            <w:tcW w:w="0" w:type="auto"/>
            <w:vAlign w:val="center"/>
            <w:hideMark/>
          </w:tcPr>
          <w:p w14:paraId="10B37422" w14:textId="77777777" w:rsidR="00E26EEA" w:rsidRPr="00100016" w:rsidRDefault="00E26EEA" w:rsidP="0069176B">
            <w:pPr>
              <w:spacing w:line="360" w:lineRule="auto"/>
            </w:pPr>
            <w:r w:rsidRPr="00100016">
              <w:lastRenderedPageBreak/>
              <w:t>Customer Satisfaction</w:t>
            </w:r>
          </w:p>
        </w:tc>
        <w:tc>
          <w:tcPr>
            <w:tcW w:w="0" w:type="auto"/>
            <w:vAlign w:val="center"/>
            <w:hideMark/>
          </w:tcPr>
          <w:p w14:paraId="4F7AF73F" w14:textId="77777777" w:rsidR="00E26EEA" w:rsidRPr="00100016" w:rsidRDefault="00E26EEA" w:rsidP="0069176B">
            <w:pPr>
              <w:spacing w:line="360" w:lineRule="auto"/>
            </w:pPr>
            <w:r w:rsidRPr="00100016">
              <w:t>Non</w:t>
            </w:r>
            <w:r w:rsidRPr="00100016">
              <w:noBreakHyphen/>
              <w:t>Financial</w:t>
            </w:r>
          </w:p>
        </w:tc>
        <w:tc>
          <w:tcPr>
            <w:tcW w:w="0" w:type="auto"/>
            <w:vAlign w:val="center"/>
            <w:hideMark/>
          </w:tcPr>
          <w:p w14:paraId="3B6BFCE3" w14:textId="77777777" w:rsidR="00E26EEA" w:rsidRPr="00100016" w:rsidRDefault="00E26EEA" w:rsidP="0069176B">
            <w:pPr>
              <w:spacing w:line="360" w:lineRule="auto"/>
            </w:pPr>
            <w:r w:rsidRPr="00100016">
              <w:t>Indicates brand loyalty and service quality</w:t>
            </w:r>
          </w:p>
        </w:tc>
      </w:tr>
      <w:tr w:rsidR="00E26EEA" w:rsidRPr="00100016" w14:paraId="73DB033D" w14:textId="77777777">
        <w:trPr>
          <w:tblCellSpacing w:w="15" w:type="dxa"/>
        </w:trPr>
        <w:tc>
          <w:tcPr>
            <w:tcW w:w="0" w:type="auto"/>
            <w:vAlign w:val="center"/>
            <w:hideMark/>
          </w:tcPr>
          <w:p w14:paraId="51308ED0" w14:textId="77777777" w:rsidR="00E26EEA" w:rsidRPr="00100016" w:rsidRDefault="00E26EEA" w:rsidP="0069176B">
            <w:pPr>
              <w:spacing w:line="360" w:lineRule="auto"/>
            </w:pPr>
            <w:r w:rsidRPr="00100016">
              <w:t>Food Waste Levels</w:t>
            </w:r>
          </w:p>
        </w:tc>
        <w:tc>
          <w:tcPr>
            <w:tcW w:w="0" w:type="auto"/>
            <w:vAlign w:val="center"/>
            <w:hideMark/>
          </w:tcPr>
          <w:p w14:paraId="4EE3B04E" w14:textId="77777777" w:rsidR="00E26EEA" w:rsidRPr="00100016" w:rsidRDefault="00E26EEA" w:rsidP="0069176B">
            <w:pPr>
              <w:spacing w:line="360" w:lineRule="auto"/>
            </w:pPr>
            <w:r w:rsidRPr="00100016">
              <w:t>Non</w:t>
            </w:r>
            <w:r w:rsidRPr="00100016">
              <w:noBreakHyphen/>
              <w:t>Financial</w:t>
            </w:r>
          </w:p>
        </w:tc>
        <w:tc>
          <w:tcPr>
            <w:tcW w:w="0" w:type="auto"/>
            <w:vAlign w:val="center"/>
            <w:hideMark/>
          </w:tcPr>
          <w:p w14:paraId="0FEF8C03" w14:textId="77777777" w:rsidR="00E26EEA" w:rsidRPr="00100016" w:rsidRDefault="00E26EEA" w:rsidP="0069176B">
            <w:pPr>
              <w:spacing w:line="360" w:lineRule="auto"/>
            </w:pPr>
            <w:r w:rsidRPr="00100016">
              <w:t>Measures sustainability and operational efficiency</w:t>
            </w:r>
          </w:p>
        </w:tc>
      </w:tr>
    </w:tbl>
    <w:p w14:paraId="3418252F" w14:textId="77777777" w:rsidR="00E26EEA" w:rsidRPr="00100016" w:rsidRDefault="00E26EEA" w:rsidP="0069176B">
      <w:pPr>
        <w:spacing w:line="360" w:lineRule="auto"/>
      </w:pPr>
      <w:r w:rsidRPr="00100016">
        <w:t>These KPIs serve as core benchmarks for Lidl’s strategic performance and management decisions.</w:t>
      </w:r>
    </w:p>
    <w:p w14:paraId="1D5756D1" w14:textId="77777777" w:rsidR="00E26EEA" w:rsidRPr="00100016" w:rsidRDefault="00E26EEA" w:rsidP="0069176B">
      <w:pPr>
        <w:spacing w:line="360" w:lineRule="auto"/>
      </w:pPr>
      <w:r w:rsidRPr="00100016">
        <w:t>Financial Ratio Analysis</w:t>
      </w:r>
    </w:p>
    <w:p w14:paraId="3AAA4221" w14:textId="77777777" w:rsidR="00E26EEA" w:rsidRPr="00100016" w:rsidRDefault="00E26EEA" w:rsidP="0069176B">
      <w:pPr>
        <w:spacing w:line="360" w:lineRule="auto"/>
      </w:pPr>
      <w:r w:rsidRPr="00100016">
        <w:t>Financial ratios provide additional insight into Lidl’s operational effectiveness, profitability, liquidity, and solvency. While Lidl’s parent company does not publish full retail segment statements, industry and regional data allow reasonable estimation of key ratios: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87"/>
        <w:gridCol w:w="2379"/>
        <w:gridCol w:w="2095"/>
        <w:gridCol w:w="2665"/>
      </w:tblGrid>
      <w:tr w:rsidR="00E26EEA" w:rsidRPr="00100016" w14:paraId="5EB38DF3" w14:textId="77777777">
        <w:trPr>
          <w:tblHeader/>
          <w:tblCellSpacing w:w="15" w:type="dxa"/>
        </w:trPr>
        <w:tc>
          <w:tcPr>
            <w:tcW w:w="0" w:type="auto"/>
            <w:vAlign w:val="center"/>
            <w:hideMark/>
          </w:tcPr>
          <w:p w14:paraId="30B7BA4A" w14:textId="77777777" w:rsidR="00E26EEA" w:rsidRPr="00100016" w:rsidRDefault="00E26EEA" w:rsidP="0069176B">
            <w:pPr>
              <w:spacing w:line="360" w:lineRule="auto"/>
            </w:pPr>
            <w:r w:rsidRPr="00100016">
              <w:t>Ratio</w:t>
            </w:r>
          </w:p>
        </w:tc>
        <w:tc>
          <w:tcPr>
            <w:tcW w:w="0" w:type="auto"/>
            <w:vAlign w:val="center"/>
            <w:hideMark/>
          </w:tcPr>
          <w:p w14:paraId="13727B9B" w14:textId="77777777" w:rsidR="00E26EEA" w:rsidRPr="00100016" w:rsidRDefault="00E26EEA" w:rsidP="0069176B">
            <w:pPr>
              <w:spacing w:line="360" w:lineRule="auto"/>
            </w:pPr>
            <w:r w:rsidRPr="00100016">
              <w:t>Formula</w:t>
            </w:r>
          </w:p>
        </w:tc>
        <w:tc>
          <w:tcPr>
            <w:tcW w:w="0" w:type="auto"/>
            <w:vAlign w:val="center"/>
            <w:hideMark/>
          </w:tcPr>
          <w:p w14:paraId="29FCB12B" w14:textId="77777777" w:rsidR="00E26EEA" w:rsidRPr="00100016" w:rsidRDefault="00E26EEA" w:rsidP="0069176B">
            <w:pPr>
              <w:spacing w:line="360" w:lineRule="auto"/>
            </w:pPr>
            <w:r w:rsidRPr="00100016">
              <w:t>Interpretation</w:t>
            </w:r>
          </w:p>
        </w:tc>
        <w:tc>
          <w:tcPr>
            <w:tcW w:w="0" w:type="auto"/>
            <w:vAlign w:val="center"/>
            <w:hideMark/>
          </w:tcPr>
          <w:p w14:paraId="5E257983" w14:textId="77777777" w:rsidR="00E26EEA" w:rsidRPr="00100016" w:rsidRDefault="00E26EEA" w:rsidP="0069176B">
            <w:pPr>
              <w:spacing w:line="360" w:lineRule="auto"/>
            </w:pPr>
            <w:r w:rsidRPr="00100016">
              <w:t>Estimated Insight</w:t>
            </w:r>
          </w:p>
        </w:tc>
      </w:tr>
      <w:tr w:rsidR="00E26EEA" w:rsidRPr="00100016" w14:paraId="16388BB9" w14:textId="77777777">
        <w:trPr>
          <w:tblCellSpacing w:w="15" w:type="dxa"/>
        </w:trPr>
        <w:tc>
          <w:tcPr>
            <w:tcW w:w="0" w:type="auto"/>
            <w:vAlign w:val="center"/>
            <w:hideMark/>
          </w:tcPr>
          <w:p w14:paraId="29598AAE" w14:textId="77777777" w:rsidR="00E26EEA" w:rsidRPr="00100016" w:rsidRDefault="00E26EEA" w:rsidP="0069176B">
            <w:pPr>
              <w:spacing w:line="360" w:lineRule="auto"/>
            </w:pPr>
            <w:r w:rsidRPr="00100016">
              <w:t>Gross Profit Margin</w:t>
            </w:r>
          </w:p>
        </w:tc>
        <w:tc>
          <w:tcPr>
            <w:tcW w:w="0" w:type="auto"/>
            <w:vAlign w:val="center"/>
            <w:hideMark/>
          </w:tcPr>
          <w:p w14:paraId="6B2A0229" w14:textId="77777777" w:rsidR="00E26EEA" w:rsidRPr="00100016" w:rsidRDefault="00E26EEA" w:rsidP="0069176B">
            <w:pPr>
              <w:spacing w:line="360" w:lineRule="auto"/>
            </w:pPr>
            <w:r w:rsidRPr="00100016">
              <w:t>(Revenue – COGS)/Revenue</w:t>
            </w:r>
          </w:p>
        </w:tc>
        <w:tc>
          <w:tcPr>
            <w:tcW w:w="0" w:type="auto"/>
            <w:vAlign w:val="center"/>
            <w:hideMark/>
          </w:tcPr>
          <w:p w14:paraId="45A1CDA3" w14:textId="77777777" w:rsidR="00E26EEA" w:rsidRPr="00100016" w:rsidRDefault="00E26EEA" w:rsidP="0069176B">
            <w:pPr>
              <w:spacing w:line="360" w:lineRule="auto"/>
            </w:pPr>
            <w:r w:rsidRPr="00100016">
              <w:t>Measures pricing efficiency</w:t>
            </w:r>
          </w:p>
        </w:tc>
        <w:tc>
          <w:tcPr>
            <w:tcW w:w="0" w:type="auto"/>
            <w:vAlign w:val="center"/>
            <w:hideMark/>
          </w:tcPr>
          <w:p w14:paraId="6B5AD209" w14:textId="77777777" w:rsidR="00E26EEA" w:rsidRPr="00100016" w:rsidRDefault="00E26EEA" w:rsidP="0069176B">
            <w:pPr>
              <w:spacing w:line="360" w:lineRule="auto"/>
            </w:pPr>
            <w:r w:rsidRPr="00100016">
              <w:t>~20–25% due to cost leadership and private labels</w:t>
            </w:r>
          </w:p>
        </w:tc>
      </w:tr>
      <w:tr w:rsidR="00E26EEA" w:rsidRPr="00100016" w14:paraId="43B6FD6C" w14:textId="77777777">
        <w:trPr>
          <w:tblCellSpacing w:w="15" w:type="dxa"/>
        </w:trPr>
        <w:tc>
          <w:tcPr>
            <w:tcW w:w="0" w:type="auto"/>
            <w:vAlign w:val="center"/>
            <w:hideMark/>
          </w:tcPr>
          <w:p w14:paraId="1254F3C7" w14:textId="77777777" w:rsidR="00E26EEA" w:rsidRPr="00100016" w:rsidRDefault="00E26EEA" w:rsidP="0069176B">
            <w:pPr>
              <w:spacing w:line="360" w:lineRule="auto"/>
            </w:pPr>
            <w:r w:rsidRPr="00100016">
              <w:t>Operating Margin</w:t>
            </w:r>
          </w:p>
        </w:tc>
        <w:tc>
          <w:tcPr>
            <w:tcW w:w="0" w:type="auto"/>
            <w:vAlign w:val="center"/>
            <w:hideMark/>
          </w:tcPr>
          <w:p w14:paraId="6018DC47" w14:textId="77777777" w:rsidR="00E26EEA" w:rsidRPr="00100016" w:rsidRDefault="00E26EEA" w:rsidP="0069176B">
            <w:pPr>
              <w:spacing w:line="360" w:lineRule="auto"/>
            </w:pPr>
            <w:r w:rsidRPr="00100016">
              <w:t>Operating Income/Revenue</w:t>
            </w:r>
          </w:p>
        </w:tc>
        <w:tc>
          <w:tcPr>
            <w:tcW w:w="0" w:type="auto"/>
            <w:vAlign w:val="center"/>
            <w:hideMark/>
          </w:tcPr>
          <w:p w14:paraId="34C77878" w14:textId="77777777" w:rsidR="00E26EEA" w:rsidRPr="00100016" w:rsidRDefault="00E26EEA" w:rsidP="0069176B">
            <w:pPr>
              <w:spacing w:line="360" w:lineRule="auto"/>
            </w:pPr>
            <w:r w:rsidRPr="00100016">
              <w:t>Shows operational efficiency</w:t>
            </w:r>
          </w:p>
        </w:tc>
        <w:tc>
          <w:tcPr>
            <w:tcW w:w="0" w:type="auto"/>
            <w:vAlign w:val="center"/>
            <w:hideMark/>
          </w:tcPr>
          <w:p w14:paraId="636563EA" w14:textId="77777777" w:rsidR="00E26EEA" w:rsidRPr="00100016" w:rsidRDefault="00E26EEA" w:rsidP="0069176B">
            <w:pPr>
              <w:spacing w:line="360" w:lineRule="auto"/>
            </w:pPr>
            <w:r w:rsidRPr="00100016">
              <w:t>~4–5%, typical in discount retail</w:t>
            </w:r>
          </w:p>
        </w:tc>
      </w:tr>
      <w:tr w:rsidR="00E26EEA" w:rsidRPr="00100016" w14:paraId="09049479" w14:textId="77777777">
        <w:trPr>
          <w:tblCellSpacing w:w="15" w:type="dxa"/>
        </w:trPr>
        <w:tc>
          <w:tcPr>
            <w:tcW w:w="0" w:type="auto"/>
            <w:vAlign w:val="center"/>
            <w:hideMark/>
          </w:tcPr>
          <w:p w14:paraId="5E24E3E9" w14:textId="77777777" w:rsidR="00E26EEA" w:rsidRPr="00100016" w:rsidRDefault="00E26EEA" w:rsidP="0069176B">
            <w:pPr>
              <w:spacing w:line="360" w:lineRule="auto"/>
            </w:pPr>
            <w:r w:rsidRPr="00100016">
              <w:t>Inventory Turnover</w:t>
            </w:r>
          </w:p>
        </w:tc>
        <w:tc>
          <w:tcPr>
            <w:tcW w:w="0" w:type="auto"/>
            <w:vAlign w:val="center"/>
            <w:hideMark/>
          </w:tcPr>
          <w:p w14:paraId="48484D04" w14:textId="77777777" w:rsidR="00E26EEA" w:rsidRPr="00100016" w:rsidRDefault="00E26EEA" w:rsidP="0069176B">
            <w:pPr>
              <w:spacing w:line="360" w:lineRule="auto"/>
            </w:pPr>
            <w:r w:rsidRPr="00100016">
              <w:t>COGS/Average Inventory</w:t>
            </w:r>
          </w:p>
        </w:tc>
        <w:tc>
          <w:tcPr>
            <w:tcW w:w="0" w:type="auto"/>
            <w:vAlign w:val="center"/>
            <w:hideMark/>
          </w:tcPr>
          <w:p w14:paraId="18BF7776" w14:textId="77777777" w:rsidR="00E26EEA" w:rsidRPr="00100016" w:rsidRDefault="00E26EEA" w:rsidP="0069176B">
            <w:pPr>
              <w:spacing w:line="360" w:lineRule="auto"/>
            </w:pPr>
            <w:r w:rsidRPr="00100016">
              <w:t>Efficiency in stock management</w:t>
            </w:r>
          </w:p>
        </w:tc>
        <w:tc>
          <w:tcPr>
            <w:tcW w:w="0" w:type="auto"/>
            <w:vAlign w:val="center"/>
            <w:hideMark/>
          </w:tcPr>
          <w:p w14:paraId="045697A7" w14:textId="77777777" w:rsidR="00E26EEA" w:rsidRPr="00100016" w:rsidRDefault="00E26EEA" w:rsidP="0069176B">
            <w:pPr>
              <w:spacing w:line="360" w:lineRule="auto"/>
            </w:pPr>
            <w:r w:rsidRPr="00100016">
              <w:t>~11–14x/year, indicating rapid stock movement</w:t>
            </w:r>
          </w:p>
        </w:tc>
      </w:tr>
      <w:tr w:rsidR="00E26EEA" w:rsidRPr="00100016" w14:paraId="4CB1B9F9" w14:textId="77777777">
        <w:trPr>
          <w:tblCellSpacing w:w="15" w:type="dxa"/>
        </w:trPr>
        <w:tc>
          <w:tcPr>
            <w:tcW w:w="0" w:type="auto"/>
            <w:vAlign w:val="center"/>
            <w:hideMark/>
          </w:tcPr>
          <w:p w14:paraId="0FC09F48" w14:textId="77777777" w:rsidR="00E26EEA" w:rsidRPr="00100016" w:rsidRDefault="00E26EEA" w:rsidP="0069176B">
            <w:pPr>
              <w:spacing w:line="360" w:lineRule="auto"/>
            </w:pPr>
            <w:r w:rsidRPr="00100016">
              <w:t>Current Ratio</w:t>
            </w:r>
          </w:p>
        </w:tc>
        <w:tc>
          <w:tcPr>
            <w:tcW w:w="0" w:type="auto"/>
            <w:vAlign w:val="center"/>
            <w:hideMark/>
          </w:tcPr>
          <w:p w14:paraId="6BAB3EE8" w14:textId="77777777" w:rsidR="00E26EEA" w:rsidRPr="00100016" w:rsidRDefault="00E26EEA" w:rsidP="0069176B">
            <w:pPr>
              <w:spacing w:line="360" w:lineRule="auto"/>
            </w:pPr>
            <w:r w:rsidRPr="00100016">
              <w:t>Current Assets/Current Liabilities</w:t>
            </w:r>
          </w:p>
        </w:tc>
        <w:tc>
          <w:tcPr>
            <w:tcW w:w="0" w:type="auto"/>
            <w:vAlign w:val="center"/>
            <w:hideMark/>
          </w:tcPr>
          <w:p w14:paraId="23993B80" w14:textId="77777777" w:rsidR="00E26EEA" w:rsidRPr="00100016" w:rsidRDefault="00E26EEA" w:rsidP="0069176B">
            <w:pPr>
              <w:spacing w:line="360" w:lineRule="auto"/>
            </w:pPr>
            <w:r w:rsidRPr="00100016">
              <w:t>Short</w:t>
            </w:r>
            <w:r w:rsidRPr="00100016">
              <w:noBreakHyphen/>
              <w:t>term liquidity</w:t>
            </w:r>
          </w:p>
        </w:tc>
        <w:tc>
          <w:tcPr>
            <w:tcW w:w="0" w:type="auto"/>
            <w:vAlign w:val="center"/>
            <w:hideMark/>
          </w:tcPr>
          <w:p w14:paraId="488C62A9" w14:textId="77777777" w:rsidR="00E26EEA" w:rsidRPr="00100016" w:rsidRDefault="00E26EEA" w:rsidP="0069176B">
            <w:pPr>
              <w:spacing w:line="360" w:lineRule="auto"/>
            </w:pPr>
            <w:r w:rsidRPr="00100016">
              <w:t>~0.9–1.0, typical for efficient retailers</w:t>
            </w:r>
          </w:p>
        </w:tc>
      </w:tr>
      <w:tr w:rsidR="00E26EEA" w:rsidRPr="00100016" w14:paraId="04553544" w14:textId="77777777">
        <w:trPr>
          <w:tblCellSpacing w:w="15" w:type="dxa"/>
        </w:trPr>
        <w:tc>
          <w:tcPr>
            <w:tcW w:w="0" w:type="auto"/>
            <w:vAlign w:val="center"/>
            <w:hideMark/>
          </w:tcPr>
          <w:p w14:paraId="5938515C" w14:textId="77777777" w:rsidR="00E26EEA" w:rsidRPr="00100016" w:rsidRDefault="00E26EEA" w:rsidP="0069176B">
            <w:pPr>
              <w:spacing w:line="360" w:lineRule="auto"/>
            </w:pPr>
            <w:r w:rsidRPr="00100016">
              <w:t>Return on Assets (ROA)</w:t>
            </w:r>
          </w:p>
        </w:tc>
        <w:tc>
          <w:tcPr>
            <w:tcW w:w="0" w:type="auto"/>
            <w:vAlign w:val="center"/>
            <w:hideMark/>
          </w:tcPr>
          <w:p w14:paraId="60961056" w14:textId="77777777" w:rsidR="00E26EEA" w:rsidRPr="00100016" w:rsidRDefault="00E26EEA" w:rsidP="0069176B">
            <w:pPr>
              <w:spacing w:line="360" w:lineRule="auto"/>
            </w:pPr>
            <w:r w:rsidRPr="00100016">
              <w:t>Net Income/Total Assets</w:t>
            </w:r>
          </w:p>
        </w:tc>
        <w:tc>
          <w:tcPr>
            <w:tcW w:w="0" w:type="auto"/>
            <w:vAlign w:val="center"/>
            <w:hideMark/>
          </w:tcPr>
          <w:p w14:paraId="77FD8BE1" w14:textId="77777777" w:rsidR="00E26EEA" w:rsidRPr="00100016" w:rsidRDefault="00E26EEA" w:rsidP="0069176B">
            <w:pPr>
              <w:spacing w:line="360" w:lineRule="auto"/>
            </w:pPr>
            <w:r w:rsidRPr="00100016">
              <w:t>Asset utilisation</w:t>
            </w:r>
          </w:p>
        </w:tc>
        <w:tc>
          <w:tcPr>
            <w:tcW w:w="0" w:type="auto"/>
            <w:vAlign w:val="center"/>
            <w:hideMark/>
          </w:tcPr>
          <w:p w14:paraId="54EC325E" w14:textId="77777777" w:rsidR="00E26EEA" w:rsidRPr="00100016" w:rsidRDefault="00E26EEA" w:rsidP="0069176B">
            <w:pPr>
              <w:spacing w:line="360" w:lineRule="auto"/>
            </w:pPr>
            <w:r w:rsidRPr="00100016">
              <w:t>~4–6%, indicating effective use of retail assets</w:t>
            </w:r>
          </w:p>
        </w:tc>
      </w:tr>
      <w:tr w:rsidR="00E26EEA" w:rsidRPr="00100016" w14:paraId="3797F22C" w14:textId="77777777">
        <w:trPr>
          <w:tblCellSpacing w:w="15" w:type="dxa"/>
        </w:trPr>
        <w:tc>
          <w:tcPr>
            <w:tcW w:w="0" w:type="auto"/>
            <w:vAlign w:val="center"/>
            <w:hideMark/>
          </w:tcPr>
          <w:p w14:paraId="53E92182" w14:textId="77777777" w:rsidR="00E26EEA" w:rsidRPr="00100016" w:rsidRDefault="00E26EEA" w:rsidP="0069176B">
            <w:pPr>
              <w:spacing w:line="360" w:lineRule="auto"/>
            </w:pPr>
            <w:r w:rsidRPr="00100016">
              <w:lastRenderedPageBreak/>
              <w:t>Debt</w:t>
            </w:r>
            <w:r w:rsidRPr="00100016">
              <w:noBreakHyphen/>
              <w:t>to</w:t>
            </w:r>
            <w:r w:rsidRPr="00100016">
              <w:noBreakHyphen/>
              <w:t>Equity</w:t>
            </w:r>
          </w:p>
        </w:tc>
        <w:tc>
          <w:tcPr>
            <w:tcW w:w="0" w:type="auto"/>
            <w:vAlign w:val="center"/>
            <w:hideMark/>
          </w:tcPr>
          <w:p w14:paraId="31B74DB9" w14:textId="77777777" w:rsidR="00E26EEA" w:rsidRPr="00100016" w:rsidRDefault="00E26EEA" w:rsidP="0069176B">
            <w:pPr>
              <w:spacing w:line="360" w:lineRule="auto"/>
            </w:pPr>
            <w:r w:rsidRPr="00100016">
              <w:t>Total Debt/Equity</w:t>
            </w:r>
          </w:p>
        </w:tc>
        <w:tc>
          <w:tcPr>
            <w:tcW w:w="0" w:type="auto"/>
            <w:vAlign w:val="center"/>
            <w:hideMark/>
          </w:tcPr>
          <w:p w14:paraId="602D6F59" w14:textId="77777777" w:rsidR="00E26EEA" w:rsidRPr="00100016" w:rsidRDefault="00E26EEA" w:rsidP="0069176B">
            <w:pPr>
              <w:spacing w:line="360" w:lineRule="auto"/>
            </w:pPr>
            <w:r w:rsidRPr="00100016">
              <w:t>Financial risk</w:t>
            </w:r>
          </w:p>
        </w:tc>
        <w:tc>
          <w:tcPr>
            <w:tcW w:w="0" w:type="auto"/>
            <w:vAlign w:val="center"/>
            <w:hideMark/>
          </w:tcPr>
          <w:p w14:paraId="4A158B90" w14:textId="77777777" w:rsidR="00E26EEA" w:rsidRPr="00100016" w:rsidRDefault="00E26EEA" w:rsidP="0069176B">
            <w:pPr>
              <w:spacing w:line="360" w:lineRule="auto"/>
            </w:pPr>
            <w:r w:rsidRPr="00100016">
              <w:t>Low (&lt;0.4), indicating conservative financing</w:t>
            </w:r>
          </w:p>
        </w:tc>
      </w:tr>
    </w:tbl>
    <w:p w14:paraId="5B325A2C" w14:textId="52E14303" w:rsidR="00E26EEA" w:rsidRPr="00100016" w:rsidRDefault="00E26EEA" w:rsidP="0069176B">
      <w:pPr>
        <w:spacing w:line="360" w:lineRule="auto"/>
      </w:pPr>
      <w:r w:rsidRPr="00100016">
        <w:t>Gross profit margins are supported by low procurement costs and strong private</w:t>
      </w:r>
      <w:r w:rsidRPr="00100016">
        <w:noBreakHyphen/>
        <w:t>label performance, while operating margins reflect tight cost control despite price competition (Discount</w:t>
      </w:r>
      <w:r w:rsidR="00FA5630">
        <w:t xml:space="preserve"> </w:t>
      </w:r>
      <w:r w:rsidRPr="00100016">
        <w:t>Retail</w:t>
      </w:r>
      <w:r w:rsidR="00FA5630">
        <w:t xml:space="preserve"> </w:t>
      </w:r>
      <w:r w:rsidRPr="00100016">
        <w:t>Consulting, 2025). High inventory turnover shows effective supply chain and stock management, lowering holding costs and waste.</w:t>
      </w:r>
    </w:p>
    <w:p w14:paraId="35BA422C" w14:textId="77777777" w:rsidR="00E26EEA" w:rsidRPr="00100016" w:rsidRDefault="00E26EEA" w:rsidP="0069176B">
      <w:pPr>
        <w:spacing w:line="360" w:lineRule="auto"/>
      </w:pPr>
      <w:r w:rsidRPr="00100016">
        <w:t>Strategic Decisions Driven by KPIs and Ratios</w:t>
      </w:r>
    </w:p>
    <w:p w14:paraId="458952F2" w14:textId="77777777" w:rsidR="00E26EEA" w:rsidRPr="00100016" w:rsidRDefault="00E26EEA" w:rsidP="0069176B">
      <w:pPr>
        <w:spacing w:line="360" w:lineRule="auto"/>
      </w:pPr>
      <w:r w:rsidRPr="00100016">
        <w:t>Market Expansion:</w:t>
      </w:r>
      <w:r w:rsidRPr="00100016">
        <w:br/>
        <w:t>Lidl’s consistent revenue growth and healthy margins have supported a steady expansion strategy. The retailer expanded its store footprint by hundreds of outlets worldwide and entered new markets, guided by demographic data, revenue trends, and profitability forecasts (Schwarz Group, 2025).</w:t>
      </w:r>
    </w:p>
    <w:p w14:paraId="403FFA43" w14:textId="77777777" w:rsidR="00E26EEA" w:rsidRPr="00100016" w:rsidRDefault="00E26EEA" w:rsidP="0069176B">
      <w:pPr>
        <w:spacing w:line="360" w:lineRule="auto"/>
      </w:pPr>
      <w:r w:rsidRPr="00100016">
        <w:t>Investment in Technology:</w:t>
      </w:r>
      <w:r w:rsidRPr="00100016">
        <w:br/>
        <w:t>Operational ratios demonstrating high efficiency have enabled investments in warehouse automation and digital systems to sustain cost leadership and improve labour productivity.</w:t>
      </w:r>
    </w:p>
    <w:p w14:paraId="7170A8D7" w14:textId="77777777" w:rsidR="00E26EEA" w:rsidRPr="00100016" w:rsidRDefault="00E26EEA" w:rsidP="0069176B">
      <w:pPr>
        <w:spacing w:line="360" w:lineRule="auto"/>
      </w:pPr>
      <w:r w:rsidRPr="00100016">
        <w:t>Pricing Strategy:</w:t>
      </w:r>
      <w:r w:rsidRPr="00100016">
        <w:br/>
        <w:t>Gross profit and margin analysis support Lidl’s everyday low pricing strategy (EDLP). To remain competitive, Lidl often absorbs inflationary costs rather than passing them fully to consumers, protecting market share.</w:t>
      </w:r>
    </w:p>
    <w:p w14:paraId="0A0A2B68" w14:textId="77777777" w:rsidR="00E26EEA" w:rsidRPr="00100016" w:rsidRDefault="00E26EEA" w:rsidP="0069176B">
      <w:pPr>
        <w:spacing w:line="360" w:lineRule="auto"/>
      </w:pPr>
      <w:r w:rsidRPr="00100016">
        <w:t>Sustainability Initiatives:</w:t>
      </w:r>
      <w:r w:rsidRPr="00100016">
        <w:br/>
        <w:t>Non</w:t>
      </w:r>
      <w:r w:rsidRPr="00100016">
        <w:noBreakHyphen/>
        <w:t>financial KPIs, such as food waste levels, inform sustainability investments. Waste reduction programmes and energy</w:t>
      </w:r>
      <w:r w:rsidRPr="00100016">
        <w:noBreakHyphen/>
        <w:t>efficient technologies not only reduce environmental impact but also improve cost efficiency (Lidl GB Sustainability Report, 2025).</w:t>
      </w:r>
    </w:p>
    <w:p w14:paraId="432FEC74" w14:textId="77777777" w:rsidR="00E26EEA" w:rsidRPr="00100016" w:rsidRDefault="00E26EEA" w:rsidP="0069176B">
      <w:pPr>
        <w:spacing w:line="360" w:lineRule="auto"/>
      </w:pPr>
      <w:r w:rsidRPr="00100016">
        <w:t>Workforce Decisions:</w:t>
      </w:r>
      <w:r w:rsidRPr="00100016">
        <w:br/>
        <w:t xml:space="preserve">Customer satisfaction and personnel productivity metrics guide hiring and training </w:t>
      </w:r>
      <w:r w:rsidRPr="00100016">
        <w:lastRenderedPageBreak/>
        <w:t>initiatives. Investments in workforce development aim to reduce turnover and enhance service delivery.</w:t>
      </w:r>
    </w:p>
    <w:p w14:paraId="208EF669" w14:textId="77777777" w:rsidR="00E26EEA" w:rsidRPr="00100016" w:rsidRDefault="00E26EEA" w:rsidP="0069176B">
      <w:pPr>
        <w:spacing w:line="360" w:lineRule="auto"/>
      </w:pPr>
      <w:r w:rsidRPr="00100016">
        <w:t>Integrating KPIs with ratio analysis enables Lidl to align operational performance with strategic goals, driving continuous improvement and long</w:t>
      </w:r>
      <w:r w:rsidRPr="00100016">
        <w:noBreakHyphen/>
        <w:t>term financial stability.</w:t>
      </w:r>
    </w:p>
    <w:p w14:paraId="278FCC93" w14:textId="009928F4" w:rsidR="00E26EEA" w:rsidRPr="00100016" w:rsidRDefault="00E26EEA" w:rsidP="0069176B">
      <w:pPr>
        <w:spacing w:line="360" w:lineRule="auto"/>
      </w:pPr>
    </w:p>
    <w:p w14:paraId="52A7E03E" w14:textId="7864DCB4" w:rsidR="00E26EEA" w:rsidRPr="00100016" w:rsidRDefault="00E26EEA" w:rsidP="0069176B">
      <w:pPr>
        <w:spacing w:line="360" w:lineRule="auto"/>
      </w:pPr>
      <w:r w:rsidRPr="00100016">
        <w:t>5. Sustainability and Ethical Considerations</w:t>
      </w:r>
    </w:p>
    <w:p w14:paraId="0D52973F" w14:textId="77777777" w:rsidR="00E26EEA" w:rsidRPr="00100016" w:rsidRDefault="00E26EEA" w:rsidP="0069176B">
      <w:pPr>
        <w:spacing w:line="360" w:lineRule="auto"/>
      </w:pPr>
      <w:r w:rsidRPr="00100016">
        <w:t>Sustainability is embedded within Lidl’s strategic and financial decision</w:t>
      </w:r>
      <w:r w:rsidRPr="00100016">
        <w:noBreakHyphen/>
        <w:t>making. Lidl invests in energy</w:t>
      </w:r>
      <w:r w:rsidRPr="00100016">
        <w:noBreakHyphen/>
        <w:t>efficient store designs, LED lighting, renewable energy installations, and refrigeration upgrades that reduce energy consumption and long</w:t>
      </w:r>
      <w:r w:rsidRPr="00100016">
        <w:noBreakHyphen/>
        <w:t>term operating costs (Lidl GB Sustainability Report, 2025). Packaging reduction initiatives and increased use of recyclable materials support circular economy practices while cutting waste disposal costs.</w:t>
      </w:r>
    </w:p>
    <w:p w14:paraId="348114DE" w14:textId="77777777" w:rsidR="00E26EEA" w:rsidRPr="00100016" w:rsidRDefault="00E26EEA" w:rsidP="0069176B">
      <w:pPr>
        <w:spacing w:line="360" w:lineRule="auto"/>
      </w:pPr>
      <w:r w:rsidRPr="00100016">
        <w:t>Food waste reduction is a priority. Lidl uses markdown strategies for near</w:t>
      </w:r>
      <w:r w:rsidRPr="00100016">
        <w:noBreakHyphen/>
        <w:t>expiry products, diverting surplus food to charity partnerships such as Neighbourly, aligning both sustainability and social responsibility objectives. In FY24/25, Lidl redistributed millions of meals to those in need, demonstrating a holistic approach to waste minimisation and community support (Lidl GB, 2025).</w:t>
      </w:r>
    </w:p>
    <w:p w14:paraId="570A5F57" w14:textId="77777777" w:rsidR="00E26EEA" w:rsidRPr="00100016" w:rsidRDefault="00E26EEA" w:rsidP="0069176B">
      <w:pPr>
        <w:spacing w:line="360" w:lineRule="auto"/>
      </w:pPr>
      <w:r w:rsidRPr="00100016">
        <w:t>Ethical Cost Management and Pricing</w:t>
      </w:r>
    </w:p>
    <w:p w14:paraId="43F86C84" w14:textId="77777777" w:rsidR="00E26EEA" w:rsidRPr="00100016" w:rsidRDefault="00E26EEA" w:rsidP="0069176B">
      <w:pPr>
        <w:spacing w:line="360" w:lineRule="auto"/>
      </w:pPr>
      <w:r w:rsidRPr="00100016">
        <w:t>Lidl’s low</w:t>
      </w:r>
      <w:r w:rsidRPr="00100016">
        <w:noBreakHyphen/>
        <w:t>price strategy raises ethical considerations regarding supplier relationships and labour practices. The company implements supplier codes of conduct and sustainability standards to ensure responsible sourcing and working conditions, reducing risk and promoting ethical compliance across the supply chain. Transparent cost structures and pricing strategies aim to avoid misleading promotions and support affordability, particularly amid cost</w:t>
      </w:r>
      <w:r w:rsidRPr="00100016">
        <w:noBreakHyphen/>
        <w:t>of</w:t>
      </w:r>
      <w:r w:rsidRPr="00100016">
        <w:noBreakHyphen/>
        <w:t>living pressures.</w:t>
      </w:r>
    </w:p>
    <w:p w14:paraId="2C67CA9D" w14:textId="77777777" w:rsidR="00E26EEA" w:rsidRPr="00100016" w:rsidRDefault="00E26EEA" w:rsidP="0069176B">
      <w:pPr>
        <w:spacing w:line="360" w:lineRule="auto"/>
      </w:pPr>
      <w:r w:rsidRPr="00100016">
        <w:t>Employee welfare is another ethical priority. Lidl has adopted competitive labour practices, such as paying the Living Wage in the UK, which supports staff retention and reflects ethical labour management (Lidl GB, 2025). However, balancing cost efficiency with fair labour practices continues to challenge management, especially in markets with rising wage inflation.</w:t>
      </w:r>
    </w:p>
    <w:p w14:paraId="24D4A787" w14:textId="77777777" w:rsidR="00E26EEA" w:rsidRPr="00100016" w:rsidRDefault="00E26EEA" w:rsidP="0069176B">
      <w:pPr>
        <w:spacing w:line="360" w:lineRule="auto"/>
      </w:pPr>
      <w:r w:rsidRPr="00100016">
        <w:lastRenderedPageBreak/>
        <w:t>By integrating sustainability into financial planning and ethical consideration into cost management, Lidl demonstrates how operational efficiency and social responsibility can be aligned.</w:t>
      </w:r>
    </w:p>
    <w:p w14:paraId="0D2BAC41" w14:textId="41C20888" w:rsidR="00E26EEA" w:rsidRPr="00100016" w:rsidRDefault="00E26EEA" w:rsidP="0069176B">
      <w:pPr>
        <w:spacing w:line="360" w:lineRule="auto"/>
      </w:pPr>
    </w:p>
    <w:p w14:paraId="5F7BF4A8" w14:textId="1210A464" w:rsidR="00E26EEA" w:rsidRPr="00100016" w:rsidRDefault="00E26EEA" w:rsidP="0069176B">
      <w:pPr>
        <w:spacing w:line="360" w:lineRule="auto"/>
      </w:pPr>
      <w:r w:rsidRPr="00100016">
        <w:t xml:space="preserve">6. Conclusion and Recommendations </w:t>
      </w:r>
    </w:p>
    <w:p w14:paraId="3165AFF7" w14:textId="77777777" w:rsidR="00E26EEA" w:rsidRPr="00100016" w:rsidRDefault="00E26EEA" w:rsidP="0069176B">
      <w:pPr>
        <w:spacing w:line="360" w:lineRule="auto"/>
      </w:pPr>
      <w:r w:rsidRPr="00100016">
        <w:t>Lidl’s management accounting practices support its competitive cost leadership model, enabling informed decision</w:t>
      </w:r>
      <w:r w:rsidRPr="00100016">
        <w:noBreakHyphen/>
        <w:t>making across pricing, budgeting, performance measurement, and strategic investments. Key findings reveal strong revenue growth, efficient cost structures, and effective sustainability integration. Financial ratio analysis highlights profitability within industry norms and operational efficiency in inventory and asset utilisation.</w:t>
      </w:r>
    </w:p>
    <w:p w14:paraId="251C75E4" w14:textId="77777777" w:rsidR="00E26EEA" w:rsidRPr="00100016" w:rsidRDefault="00E26EEA" w:rsidP="0069176B">
      <w:pPr>
        <w:spacing w:line="360" w:lineRule="auto"/>
      </w:pPr>
      <w:r w:rsidRPr="00100016">
        <w:t>Management accounting has contributed to Lidl’s ability to sustain growth while managing rising operating expenses due to macroeconomic pressures and internal investments. Sustainability and ethical practices are integrated into budgeting and pricing strategies, reinforcing long</w:t>
      </w:r>
      <w:r w:rsidRPr="00100016">
        <w:noBreakHyphen/>
        <w:t>term value creation.</w:t>
      </w:r>
    </w:p>
    <w:p w14:paraId="4FE37987" w14:textId="77777777" w:rsidR="00E26EEA" w:rsidRPr="00100016" w:rsidRDefault="00E26EEA" w:rsidP="0069176B">
      <w:pPr>
        <w:spacing w:line="360" w:lineRule="auto"/>
      </w:pPr>
      <w:r w:rsidRPr="00100016">
        <w:t>Recommendations</w:t>
      </w:r>
    </w:p>
    <w:p w14:paraId="64BA17BE" w14:textId="77777777" w:rsidR="00E26EEA" w:rsidRPr="00100016" w:rsidRDefault="00E26EEA" w:rsidP="0069176B">
      <w:pPr>
        <w:numPr>
          <w:ilvl w:val="0"/>
          <w:numId w:val="5"/>
        </w:numPr>
        <w:spacing w:line="360" w:lineRule="auto"/>
      </w:pPr>
      <w:r w:rsidRPr="00100016">
        <w:t>Expand predictive analytics capabilities to enhance demand forecasting and reduce inventory waste.</w:t>
      </w:r>
    </w:p>
    <w:p w14:paraId="522DBCD9" w14:textId="77777777" w:rsidR="00E26EEA" w:rsidRPr="00100016" w:rsidRDefault="00E26EEA" w:rsidP="0069176B">
      <w:pPr>
        <w:numPr>
          <w:ilvl w:val="0"/>
          <w:numId w:val="5"/>
        </w:numPr>
        <w:spacing w:line="360" w:lineRule="auto"/>
      </w:pPr>
      <w:r w:rsidRPr="00100016">
        <w:t>Increase investment in digital automation to sustain labour productivity and mitigate rising operating costs.</w:t>
      </w:r>
    </w:p>
    <w:p w14:paraId="3FB2AF18" w14:textId="77777777" w:rsidR="00E26EEA" w:rsidRPr="00100016" w:rsidRDefault="00E26EEA" w:rsidP="0069176B">
      <w:pPr>
        <w:numPr>
          <w:ilvl w:val="0"/>
          <w:numId w:val="5"/>
        </w:numPr>
        <w:spacing w:line="360" w:lineRule="auto"/>
      </w:pPr>
      <w:r w:rsidRPr="00100016">
        <w:t>Strengthen supplier ethical audits to balance cost leadership with fair sourcing practices.</w:t>
      </w:r>
    </w:p>
    <w:p w14:paraId="44F3F287" w14:textId="49ABC5DA" w:rsidR="00E26EEA" w:rsidRPr="00100016" w:rsidRDefault="00E26EEA" w:rsidP="0069176B">
      <w:pPr>
        <w:spacing w:line="360" w:lineRule="auto"/>
      </w:pPr>
    </w:p>
    <w:p w14:paraId="053CBAB4" w14:textId="77777777" w:rsidR="00321377" w:rsidRPr="00100016" w:rsidRDefault="00321377" w:rsidP="00E26EEA"/>
    <w:p w14:paraId="57F493E2" w14:textId="77777777" w:rsidR="003256F6" w:rsidRDefault="003256F6" w:rsidP="00E26EEA"/>
    <w:p w14:paraId="3B4E6DBC" w14:textId="77777777" w:rsidR="003256F6" w:rsidRDefault="003256F6" w:rsidP="00E26EEA"/>
    <w:p w14:paraId="56C7D778" w14:textId="77777777" w:rsidR="003256F6" w:rsidRDefault="003256F6" w:rsidP="00E26EEA"/>
    <w:p w14:paraId="5DABF178" w14:textId="2C303A79" w:rsidR="00E26EEA" w:rsidRPr="00E26EEA" w:rsidRDefault="00E26EEA" w:rsidP="00E26EEA">
      <w:pPr>
        <w:rPr>
          <w:b/>
          <w:bCs/>
        </w:rPr>
      </w:pPr>
      <w:r w:rsidRPr="00E26EEA">
        <w:rPr>
          <w:b/>
          <w:bCs/>
        </w:rPr>
        <w:lastRenderedPageBreak/>
        <w:t>References</w:t>
      </w:r>
    </w:p>
    <w:p w14:paraId="285B6CED" w14:textId="77777777" w:rsidR="00E26EEA" w:rsidRPr="00E26EEA" w:rsidRDefault="00E26EEA" w:rsidP="00E26EEA">
      <w:r w:rsidRPr="00E26EEA">
        <w:t xml:space="preserve">Bhimani, A., Horngren, C., Datar, S. &amp; Rajan, M. (2019) </w:t>
      </w:r>
      <w:r w:rsidRPr="00E26EEA">
        <w:rPr>
          <w:i/>
          <w:iCs/>
        </w:rPr>
        <w:t>Management and Cost Accounting</w:t>
      </w:r>
      <w:r w:rsidRPr="00E26EEA">
        <w:t>. 7th ed. Harlow: Pearson.</w:t>
      </w:r>
    </w:p>
    <w:p w14:paraId="566E7BE4" w14:textId="03A78986" w:rsidR="00E26EEA" w:rsidRPr="00E26EEA" w:rsidRDefault="00FA5630" w:rsidP="00E26EEA">
      <w:r w:rsidRPr="00E26EEA">
        <w:t>Canvas Business Model</w:t>
      </w:r>
      <w:r w:rsidR="00E26EEA" w:rsidRPr="00E26EEA">
        <w:t xml:space="preserve"> (2024) </w:t>
      </w:r>
      <w:r w:rsidR="00E26EEA" w:rsidRPr="00E26EEA">
        <w:rPr>
          <w:i/>
          <w:iCs/>
        </w:rPr>
        <w:t>Marketing Mix Analysis of Lidl Stiftung &amp; Co. KG</w:t>
      </w:r>
      <w:r w:rsidR="00E26EEA" w:rsidRPr="00E26EEA">
        <w:t xml:space="preserve">. Available at: </w:t>
      </w:r>
      <w:hyperlink r:id="rId8" w:tgtFrame="_new" w:history="1">
        <w:r w:rsidR="00E26EEA" w:rsidRPr="00E26EEA">
          <w:rPr>
            <w:rStyle w:val="Hyperlink"/>
          </w:rPr>
          <w:t>https://canvasbusinessmodel.com</w:t>
        </w:r>
      </w:hyperlink>
      <w:r w:rsidR="00E26EEA" w:rsidRPr="00E26EEA">
        <w:t xml:space="preserve"> (Accessed: Feb 2026).</w:t>
      </w:r>
    </w:p>
    <w:p w14:paraId="6793B1B8" w14:textId="1A551DF4" w:rsidR="00E26EEA" w:rsidRPr="00E26EEA" w:rsidRDefault="00E26EEA" w:rsidP="00E26EEA">
      <w:r w:rsidRPr="00E26EEA">
        <w:t>Discount</w:t>
      </w:r>
      <w:r w:rsidR="00FA5630">
        <w:t xml:space="preserve"> </w:t>
      </w:r>
      <w:r w:rsidRPr="00E26EEA">
        <w:t>Retail</w:t>
      </w:r>
      <w:r w:rsidR="00FA5630">
        <w:t xml:space="preserve"> </w:t>
      </w:r>
      <w:r w:rsidRPr="00E26EEA">
        <w:t>Consulting (2025) ‘Lidl profitability and performance analysis’. Available at: https://discountretailconsulting.com (Accessed: Feb 2026).</w:t>
      </w:r>
    </w:p>
    <w:p w14:paraId="2815BC28" w14:textId="77777777" w:rsidR="00E26EEA" w:rsidRPr="00E26EEA" w:rsidRDefault="00E26EEA" w:rsidP="00E26EEA">
      <w:r w:rsidRPr="00E26EEA">
        <w:t xml:space="preserve">Drury, C. (2021) </w:t>
      </w:r>
      <w:r w:rsidRPr="00E26EEA">
        <w:rPr>
          <w:i/>
          <w:iCs/>
        </w:rPr>
        <w:t>Management and Cost Accounting</w:t>
      </w:r>
      <w:r w:rsidRPr="00E26EEA">
        <w:t>. 11th ed. Andover: Cengage Learning.</w:t>
      </w:r>
    </w:p>
    <w:p w14:paraId="64E01BFA" w14:textId="77777777" w:rsidR="00E26EEA" w:rsidRPr="00E26EEA" w:rsidRDefault="00E26EEA" w:rsidP="00E26EEA">
      <w:r w:rsidRPr="00E26EEA">
        <w:t>Grocery Gazette (2025) ‘Lidl sees strong performance in full</w:t>
      </w:r>
      <w:r w:rsidRPr="00E26EEA">
        <w:noBreakHyphen/>
        <w:t xml:space="preserve">year results’, </w:t>
      </w:r>
      <w:r w:rsidRPr="00E26EEA">
        <w:rPr>
          <w:i/>
          <w:iCs/>
        </w:rPr>
        <w:t>Grocery Gazette</w:t>
      </w:r>
      <w:r w:rsidRPr="00E26EEA">
        <w:t>, 23 October. Available at: https://grocerygazette.co.uk (Accessed: Feb 2026).</w:t>
      </w:r>
    </w:p>
    <w:p w14:paraId="049E30AC" w14:textId="77777777" w:rsidR="00E26EEA" w:rsidRPr="00E26EEA" w:rsidRDefault="00E26EEA" w:rsidP="00E26EEA">
      <w:r w:rsidRPr="00E26EEA">
        <w:t xml:space="preserve">Johnson, G., Whittington, R. &amp; Scholes, K. (2020) </w:t>
      </w:r>
      <w:r w:rsidRPr="00E26EEA">
        <w:rPr>
          <w:i/>
          <w:iCs/>
        </w:rPr>
        <w:t>Exploring Corporate Strategy</w:t>
      </w:r>
      <w:r w:rsidRPr="00E26EEA">
        <w:t>. Harlow: Pearson.</w:t>
      </w:r>
    </w:p>
    <w:p w14:paraId="43BDEAB6" w14:textId="77777777" w:rsidR="00E26EEA" w:rsidRPr="00E26EEA" w:rsidRDefault="00E26EEA" w:rsidP="00E26EEA">
      <w:r w:rsidRPr="00E26EEA">
        <w:t xml:space="preserve">Lidl GB (2025) </w:t>
      </w:r>
      <w:r w:rsidRPr="00E26EEA">
        <w:rPr>
          <w:i/>
          <w:iCs/>
        </w:rPr>
        <w:t>Lidl GB reports strong revenue and profit growth for year to end February 2025</w:t>
      </w:r>
      <w:r w:rsidRPr="00E26EEA">
        <w:t xml:space="preserve">. Available at: </w:t>
      </w:r>
      <w:hyperlink r:id="rId9" w:tgtFrame="_new" w:history="1">
        <w:r w:rsidRPr="00E26EEA">
          <w:rPr>
            <w:rStyle w:val="Hyperlink"/>
          </w:rPr>
          <w:t>https://retailtimes.co.uk</w:t>
        </w:r>
      </w:hyperlink>
      <w:r w:rsidRPr="00E26EEA">
        <w:t xml:space="preserve"> (Accessed: Feb 2026).</w:t>
      </w:r>
    </w:p>
    <w:p w14:paraId="67E212BE" w14:textId="77777777" w:rsidR="00E26EEA" w:rsidRPr="00E26EEA" w:rsidRDefault="00E26EEA" w:rsidP="00E26EEA">
      <w:r w:rsidRPr="00E26EEA">
        <w:t xml:space="preserve">Lidl GB Sustainability Report (2025) </w:t>
      </w:r>
      <w:r w:rsidRPr="00E26EEA">
        <w:rPr>
          <w:i/>
          <w:iCs/>
        </w:rPr>
        <w:t>Lidl GB Sustainability Report FY23/24</w:t>
      </w:r>
      <w:r w:rsidRPr="00E26EEA">
        <w:t>. Available at: corporate.lidl.co.uk (Accessed: Feb 2026).</w:t>
      </w:r>
    </w:p>
    <w:p w14:paraId="66F5FFED" w14:textId="77777777" w:rsidR="00E26EEA" w:rsidRPr="00E26EEA" w:rsidRDefault="00E26EEA" w:rsidP="00E26EEA">
      <w:r w:rsidRPr="00E26EEA">
        <w:t xml:space="preserve">Schwarz Group (2025) </w:t>
      </w:r>
      <w:r w:rsidRPr="00E26EEA">
        <w:rPr>
          <w:i/>
          <w:iCs/>
        </w:rPr>
        <w:t>The Companies of Schwarz Group Report Positive Growth in the 2024 Fiscal Year</w:t>
      </w:r>
      <w:r w:rsidRPr="00E26EEA">
        <w:t xml:space="preserve">. Available at: </w:t>
      </w:r>
      <w:hyperlink r:id="rId10" w:tgtFrame="_new" w:history="1">
        <w:r w:rsidRPr="00E26EEA">
          <w:rPr>
            <w:rStyle w:val="Hyperlink"/>
          </w:rPr>
          <w:t>https://gruppe.schwarz/en</w:t>
        </w:r>
      </w:hyperlink>
      <w:r w:rsidRPr="00E26EEA">
        <w:t xml:space="preserve"> (Accessed: Feb 2026).</w:t>
      </w:r>
    </w:p>
    <w:p w14:paraId="06681F70" w14:textId="77777777" w:rsidR="00E26EEA" w:rsidRPr="00E26EEA" w:rsidRDefault="00E26EEA" w:rsidP="00E26EEA">
      <w:r w:rsidRPr="00E26EEA">
        <w:t xml:space="preserve">Statista (2024) ‘Lidl revenue and store </w:t>
      </w:r>
      <w:proofErr w:type="gramStart"/>
      <w:r w:rsidRPr="00E26EEA">
        <w:t>statistics’</w:t>
      </w:r>
      <w:proofErr w:type="gramEnd"/>
      <w:r w:rsidRPr="00E26EEA">
        <w:t xml:space="preserve">. Available at: </w:t>
      </w:r>
      <w:hyperlink r:id="rId11" w:tgtFrame="_new" w:history="1">
        <w:r w:rsidRPr="00E26EEA">
          <w:rPr>
            <w:rStyle w:val="Hyperlink"/>
          </w:rPr>
          <w:t>https://statista.com</w:t>
        </w:r>
      </w:hyperlink>
      <w:r w:rsidRPr="00E26EEA">
        <w:t xml:space="preserve"> (Accessed: Feb 2026).</w:t>
      </w:r>
    </w:p>
    <w:p w14:paraId="2DE6A3F3" w14:textId="77777777" w:rsidR="00E9668C" w:rsidRDefault="00E9668C"/>
    <w:sectPr w:rsidR="00E9668C" w:rsidSect="003256F6">
      <w:footerReference w:type="default" r:id="rId12"/>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B31D21" w14:textId="77777777" w:rsidR="0020546A" w:rsidRDefault="0020546A" w:rsidP="003256F6">
      <w:pPr>
        <w:spacing w:after="0" w:line="240" w:lineRule="auto"/>
      </w:pPr>
      <w:r>
        <w:separator/>
      </w:r>
    </w:p>
  </w:endnote>
  <w:endnote w:type="continuationSeparator" w:id="0">
    <w:p w14:paraId="0BCCB84A" w14:textId="77777777" w:rsidR="0020546A" w:rsidRDefault="0020546A" w:rsidP="00325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CF8262" w14:textId="42E3DCDA" w:rsidR="003256F6" w:rsidRDefault="003256F6">
    <w:pPr>
      <w:pStyle w:val="Footer"/>
    </w:pPr>
    <w:r>
      <w:rPr>
        <w:noProof/>
        <w:color w:val="156082" w:themeColor="accent1"/>
      </w:rPr>
      <mc:AlternateContent>
        <mc:Choice Requires="wps">
          <w:drawing>
            <wp:anchor distT="0" distB="0" distL="114300" distR="114300" simplePos="0" relativeHeight="251659264" behindDoc="0" locked="0" layoutInCell="1" allowOverlap="1" wp14:anchorId="3A9C7FF2" wp14:editId="20E53E35">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8112764"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PAGE    \* MERGEFORMAT</w:instrText>
    </w:r>
    <w:r>
      <w:rPr>
        <w:rFonts w:eastAsiaTheme="minorEastAsia"/>
        <w:color w:val="156082" w:themeColor="accent1"/>
        <w:sz w:val="20"/>
        <w:szCs w:val="20"/>
      </w:rPr>
      <w:fldChar w:fldCharType="separate"/>
    </w:r>
    <w:r>
      <w:rPr>
        <w:rFonts w:asciiTheme="majorHAnsi" w:eastAsiaTheme="majorEastAsia" w:hAnsiTheme="majorHAnsi" w:cstheme="majorBidi"/>
        <w:color w:val="156082" w:themeColor="accent1"/>
        <w:sz w:val="20"/>
        <w:szCs w:val="20"/>
      </w:rPr>
      <w:t>2</w:t>
    </w:r>
    <w:r>
      <w:rPr>
        <w:rFonts w:asciiTheme="majorHAnsi" w:eastAsiaTheme="majorEastAsia" w:hAnsiTheme="majorHAnsi" w:cstheme="majorBidi"/>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4BD13" w14:textId="77777777" w:rsidR="0020546A" w:rsidRDefault="0020546A" w:rsidP="003256F6">
      <w:pPr>
        <w:spacing w:after="0" w:line="240" w:lineRule="auto"/>
      </w:pPr>
      <w:r>
        <w:separator/>
      </w:r>
    </w:p>
  </w:footnote>
  <w:footnote w:type="continuationSeparator" w:id="0">
    <w:p w14:paraId="417FBE2A" w14:textId="77777777" w:rsidR="0020546A" w:rsidRDefault="0020546A" w:rsidP="003256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55361"/>
    <w:multiLevelType w:val="multilevel"/>
    <w:tmpl w:val="110C5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760BE6"/>
    <w:multiLevelType w:val="multilevel"/>
    <w:tmpl w:val="5AFA9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A6E97"/>
    <w:multiLevelType w:val="multilevel"/>
    <w:tmpl w:val="D32A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4F5FC6"/>
    <w:multiLevelType w:val="multilevel"/>
    <w:tmpl w:val="F6F24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CD7FE2"/>
    <w:multiLevelType w:val="multilevel"/>
    <w:tmpl w:val="A10CB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751D53"/>
    <w:multiLevelType w:val="multilevel"/>
    <w:tmpl w:val="5B401D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B76247"/>
    <w:multiLevelType w:val="hybridMultilevel"/>
    <w:tmpl w:val="76C49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1701348">
    <w:abstractNumId w:val="2"/>
  </w:num>
  <w:num w:numId="2" w16cid:durableId="962612486">
    <w:abstractNumId w:val="0"/>
  </w:num>
  <w:num w:numId="3" w16cid:durableId="2136367878">
    <w:abstractNumId w:val="1"/>
  </w:num>
  <w:num w:numId="4" w16cid:durableId="2106534421">
    <w:abstractNumId w:val="3"/>
  </w:num>
  <w:num w:numId="5" w16cid:durableId="2080210540">
    <w:abstractNumId w:val="4"/>
  </w:num>
  <w:num w:numId="6" w16cid:durableId="1325204874">
    <w:abstractNumId w:val="6"/>
  </w:num>
  <w:num w:numId="7" w16cid:durableId="16483638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EEA"/>
    <w:rsid w:val="00100016"/>
    <w:rsid w:val="001146FC"/>
    <w:rsid w:val="001B2812"/>
    <w:rsid w:val="001D2E1C"/>
    <w:rsid w:val="0020546A"/>
    <w:rsid w:val="00321377"/>
    <w:rsid w:val="00324DEF"/>
    <w:rsid w:val="003256F6"/>
    <w:rsid w:val="003E3582"/>
    <w:rsid w:val="004F44AF"/>
    <w:rsid w:val="0069176B"/>
    <w:rsid w:val="007B50D8"/>
    <w:rsid w:val="008464B6"/>
    <w:rsid w:val="0091328E"/>
    <w:rsid w:val="00996A0A"/>
    <w:rsid w:val="009B24A9"/>
    <w:rsid w:val="00A456F2"/>
    <w:rsid w:val="00B568AA"/>
    <w:rsid w:val="00B57BEC"/>
    <w:rsid w:val="00C94A9C"/>
    <w:rsid w:val="00D122C0"/>
    <w:rsid w:val="00E26EEA"/>
    <w:rsid w:val="00E9668C"/>
    <w:rsid w:val="00EA7E95"/>
    <w:rsid w:val="00ED5E07"/>
    <w:rsid w:val="00FA5630"/>
    <w:rsid w:val="00FF4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F867"/>
  <w15:chartTrackingRefBased/>
  <w15:docId w15:val="{8C7788D0-74E2-46B2-8725-687E96C87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E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6E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6E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6E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6E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6E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6E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6E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6E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E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6E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6E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6E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6E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6E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E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E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EEA"/>
    <w:rPr>
      <w:rFonts w:eastAsiaTheme="majorEastAsia" w:cstheme="majorBidi"/>
      <w:color w:val="272727" w:themeColor="text1" w:themeTint="D8"/>
    </w:rPr>
  </w:style>
  <w:style w:type="paragraph" w:styleId="Title">
    <w:name w:val="Title"/>
    <w:basedOn w:val="Normal"/>
    <w:next w:val="Normal"/>
    <w:link w:val="TitleChar"/>
    <w:uiPriority w:val="10"/>
    <w:qFormat/>
    <w:rsid w:val="00E26E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6E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E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E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EEA"/>
    <w:pPr>
      <w:spacing w:before="160"/>
      <w:jc w:val="center"/>
    </w:pPr>
    <w:rPr>
      <w:i/>
      <w:iCs/>
      <w:color w:val="404040" w:themeColor="text1" w:themeTint="BF"/>
    </w:rPr>
  </w:style>
  <w:style w:type="character" w:customStyle="1" w:styleId="QuoteChar">
    <w:name w:val="Quote Char"/>
    <w:basedOn w:val="DefaultParagraphFont"/>
    <w:link w:val="Quote"/>
    <w:uiPriority w:val="29"/>
    <w:rsid w:val="00E26EEA"/>
    <w:rPr>
      <w:i/>
      <w:iCs/>
      <w:color w:val="404040" w:themeColor="text1" w:themeTint="BF"/>
    </w:rPr>
  </w:style>
  <w:style w:type="paragraph" w:styleId="ListParagraph">
    <w:name w:val="List Paragraph"/>
    <w:basedOn w:val="Normal"/>
    <w:uiPriority w:val="34"/>
    <w:qFormat/>
    <w:rsid w:val="00E26EEA"/>
    <w:pPr>
      <w:ind w:left="720"/>
      <w:contextualSpacing/>
    </w:pPr>
  </w:style>
  <w:style w:type="character" w:styleId="IntenseEmphasis">
    <w:name w:val="Intense Emphasis"/>
    <w:basedOn w:val="DefaultParagraphFont"/>
    <w:uiPriority w:val="21"/>
    <w:qFormat/>
    <w:rsid w:val="00E26EEA"/>
    <w:rPr>
      <w:i/>
      <w:iCs/>
      <w:color w:val="0F4761" w:themeColor="accent1" w:themeShade="BF"/>
    </w:rPr>
  </w:style>
  <w:style w:type="paragraph" w:styleId="IntenseQuote">
    <w:name w:val="Intense Quote"/>
    <w:basedOn w:val="Normal"/>
    <w:next w:val="Normal"/>
    <w:link w:val="IntenseQuoteChar"/>
    <w:uiPriority w:val="30"/>
    <w:qFormat/>
    <w:rsid w:val="00E26E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6EEA"/>
    <w:rPr>
      <w:i/>
      <w:iCs/>
      <w:color w:val="0F4761" w:themeColor="accent1" w:themeShade="BF"/>
    </w:rPr>
  </w:style>
  <w:style w:type="character" w:styleId="IntenseReference">
    <w:name w:val="Intense Reference"/>
    <w:basedOn w:val="DefaultParagraphFont"/>
    <w:uiPriority w:val="32"/>
    <w:qFormat/>
    <w:rsid w:val="00E26EEA"/>
    <w:rPr>
      <w:b/>
      <w:bCs/>
      <w:smallCaps/>
      <w:color w:val="0F4761" w:themeColor="accent1" w:themeShade="BF"/>
      <w:spacing w:val="5"/>
    </w:rPr>
  </w:style>
  <w:style w:type="character" w:styleId="Hyperlink">
    <w:name w:val="Hyperlink"/>
    <w:basedOn w:val="DefaultParagraphFont"/>
    <w:uiPriority w:val="99"/>
    <w:unhideWhenUsed/>
    <w:rsid w:val="00E26EEA"/>
    <w:rPr>
      <w:color w:val="467886" w:themeColor="hyperlink"/>
      <w:u w:val="single"/>
    </w:rPr>
  </w:style>
  <w:style w:type="character" w:styleId="UnresolvedMention">
    <w:name w:val="Unresolved Mention"/>
    <w:basedOn w:val="DefaultParagraphFont"/>
    <w:uiPriority w:val="99"/>
    <w:semiHidden/>
    <w:unhideWhenUsed/>
    <w:rsid w:val="00E26EEA"/>
    <w:rPr>
      <w:color w:val="605E5C"/>
      <w:shd w:val="clear" w:color="auto" w:fill="E1DFDD"/>
    </w:rPr>
  </w:style>
  <w:style w:type="paragraph" w:styleId="NoSpacing">
    <w:name w:val="No Spacing"/>
    <w:link w:val="NoSpacingChar"/>
    <w:uiPriority w:val="1"/>
    <w:qFormat/>
    <w:rsid w:val="00C94A9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94A9C"/>
    <w:rPr>
      <w:rFonts w:eastAsiaTheme="minorEastAsia"/>
      <w:kern w:val="0"/>
      <w:sz w:val="22"/>
      <w:szCs w:val="22"/>
      <w:lang w:eastAsia="en-GB"/>
      <w14:ligatures w14:val="none"/>
    </w:rPr>
  </w:style>
  <w:style w:type="paragraph" w:styleId="Header">
    <w:name w:val="header"/>
    <w:basedOn w:val="Normal"/>
    <w:link w:val="HeaderChar"/>
    <w:uiPriority w:val="99"/>
    <w:unhideWhenUsed/>
    <w:rsid w:val="00325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6F6"/>
  </w:style>
  <w:style w:type="paragraph" w:styleId="Footer">
    <w:name w:val="footer"/>
    <w:basedOn w:val="Normal"/>
    <w:link w:val="FooterChar"/>
    <w:uiPriority w:val="99"/>
    <w:unhideWhenUsed/>
    <w:rsid w:val="00325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6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nvasbusinessmodel.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sta.com" TargetMode="External"/><Relationship Id="rId5" Type="http://schemas.openxmlformats.org/officeDocument/2006/relationships/footnotes" Target="footnotes.xml"/><Relationship Id="rId10" Type="http://schemas.openxmlformats.org/officeDocument/2006/relationships/hyperlink" Target="https://gruppe.schwarz/en" TargetMode="External"/><Relationship Id="rId4" Type="http://schemas.openxmlformats.org/officeDocument/2006/relationships/webSettings" Target="webSettings.xml"/><Relationship Id="rId9" Type="http://schemas.openxmlformats.org/officeDocument/2006/relationships/hyperlink" Target="https://retailtimes.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1962</Words>
  <Characters>13362</Characters>
  <Application>Microsoft Office Word</Application>
  <DocSecurity>0</DocSecurity>
  <Lines>342</Lines>
  <Paragraphs>151</Paragraphs>
  <ScaleCrop>false</ScaleCrop>
  <Company/>
  <LinksUpToDate>false</LinksUpToDate>
  <CharactersWithSpaces>15173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Zauca</dc:creator>
  <cp:keywords/>
  <dc:description/>
  <cp:lastModifiedBy>Florentina Zauca</cp:lastModifiedBy>
  <cp:revision>2</cp:revision>
  <dcterms:created xsi:type="dcterms:W3CDTF">2026-02-25T22:32:00Z</dcterms:created>
  <dcterms:modified xsi:type="dcterms:W3CDTF">2026-02-25T22:32:00Z</dcterms:modified>
</cp:coreProperties>
</file>