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A25A5" w14:textId="77777777" w:rsidR="003A1A7D" w:rsidRPr="00130423" w:rsidRDefault="003A1A7D" w:rsidP="00130423">
      <w:pPr>
        <w:jc w:val="both"/>
        <w:rPr>
          <w:rFonts w:cstheme="minorHAnsi"/>
          <w:b/>
          <w:bCs/>
          <w:sz w:val="24"/>
          <w:szCs w:val="24"/>
          <w:u w:val="single"/>
        </w:rPr>
      </w:pPr>
      <w:r w:rsidRPr="00130423">
        <w:rPr>
          <w:rFonts w:cstheme="minorHAnsi"/>
          <w:b/>
          <w:bCs/>
          <w:sz w:val="24"/>
          <w:szCs w:val="24"/>
          <w:u w:val="single"/>
        </w:rPr>
        <w:t>Student Number; 2236338</w:t>
      </w:r>
    </w:p>
    <w:p w14:paraId="224DBCBF" w14:textId="2E1D6AC7" w:rsidR="006A1D55" w:rsidRPr="00130423" w:rsidRDefault="00792399" w:rsidP="00130423">
      <w:pPr>
        <w:jc w:val="both"/>
        <w:rPr>
          <w:rFonts w:cstheme="minorHAnsi"/>
          <w:b/>
          <w:bCs/>
          <w:sz w:val="24"/>
          <w:szCs w:val="24"/>
          <w:u w:val="single"/>
        </w:rPr>
      </w:pPr>
      <w:r>
        <w:rPr>
          <w:rFonts w:cstheme="minorHAnsi"/>
          <w:b/>
          <w:bCs/>
          <w:sz w:val="24"/>
          <w:szCs w:val="24"/>
          <w:u w:val="single"/>
        </w:rPr>
        <w:t xml:space="preserve">Cohort 1/23 PCDA - </w:t>
      </w:r>
      <w:r w:rsidR="003A1A7D" w:rsidRPr="00130423">
        <w:rPr>
          <w:rFonts w:cstheme="minorHAnsi"/>
          <w:b/>
          <w:bCs/>
          <w:sz w:val="24"/>
          <w:szCs w:val="24"/>
          <w:u w:val="single"/>
        </w:rPr>
        <w:t>Assignment One</w:t>
      </w:r>
    </w:p>
    <w:p w14:paraId="5AF19E84" w14:textId="77777777" w:rsidR="003A1A7D" w:rsidRPr="003A1A7D" w:rsidRDefault="003A1A7D" w:rsidP="00130423">
      <w:pPr>
        <w:jc w:val="both"/>
        <w:rPr>
          <w:rFonts w:cstheme="minorHAnsi"/>
          <w:b/>
          <w:bCs/>
          <w:sz w:val="24"/>
          <w:szCs w:val="24"/>
        </w:rPr>
      </w:pPr>
    </w:p>
    <w:p w14:paraId="7A189EF9" w14:textId="74C610EB" w:rsidR="003A1A7D" w:rsidRDefault="003A1A7D" w:rsidP="00130423">
      <w:pPr>
        <w:jc w:val="both"/>
        <w:rPr>
          <w:rFonts w:cstheme="minorHAnsi"/>
          <w:b/>
          <w:bCs/>
          <w:sz w:val="24"/>
          <w:szCs w:val="24"/>
        </w:rPr>
      </w:pPr>
      <w:r w:rsidRPr="003A1A7D">
        <w:rPr>
          <w:rFonts w:cstheme="minorHAnsi"/>
          <w:b/>
          <w:bCs/>
          <w:sz w:val="24"/>
          <w:szCs w:val="24"/>
        </w:rPr>
        <w:t xml:space="preserve">Essay one – </w:t>
      </w:r>
    </w:p>
    <w:p w14:paraId="515E2FD7" w14:textId="77777777" w:rsidR="00130423" w:rsidRPr="00754658" w:rsidRDefault="00130423" w:rsidP="00130423">
      <w:pPr>
        <w:jc w:val="both"/>
        <w:rPr>
          <w:rFonts w:cstheme="minorHAnsi"/>
          <w:sz w:val="24"/>
          <w:szCs w:val="24"/>
        </w:rPr>
      </w:pPr>
      <w:r w:rsidRPr="00754658">
        <w:rPr>
          <w:rFonts w:cstheme="minorHAnsi"/>
          <w:sz w:val="24"/>
          <w:szCs w:val="24"/>
        </w:rPr>
        <w:t xml:space="preserve">The public’s confidence in police can be bolstered by a variety of policing policies and procedures, that are designed to lessen police misconduct and malpractice. In this essay, I will critically examine these policing policies and procedures, highlighting their advantages and disadvantages. </w:t>
      </w:r>
    </w:p>
    <w:p w14:paraId="255E1A02" w14:textId="77777777" w:rsidR="00130423" w:rsidRDefault="00130423" w:rsidP="00130423">
      <w:pPr>
        <w:jc w:val="both"/>
        <w:rPr>
          <w:rFonts w:ascii="Arial" w:hAnsi="Arial" w:cs="Arial"/>
        </w:rPr>
      </w:pPr>
    </w:p>
    <w:p w14:paraId="26187C78" w14:textId="77777777" w:rsidR="00130423" w:rsidRDefault="00130423" w:rsidP="00130423">
      <w:pPr>
        <w:jc w:val="both"/>
        <w:rPr>
          <w:rFonts w:cstheme="minorHAnsi"/>
          <w:sz w:val="24"/>
          <w:szCs w:val="24"/>
        </w:rPr>
      </w:pPr>
      <w:r w:rsidRPr="00754658">
        <w:rPr>
          <w:rFonts w:cstheme="minorHAnsi"/>
          <w:sz w:val="24"/>
          <w:szCs w:val="24"/>
        </w:rPr>
        <w:t xml:space="preserve">The first policing policy and procedure I would like to discuss is the Police and Criminal Evidence Act 1984. (Home Office, 2013) states that PACE and the accompanying Codes of Practice establish the powers of the police to combat crimes while protecting the rights of the public. The Police and Criminal Evidence Act 1984 oversees most police investigative powers, such as arrest, detention, interviews, personnel search and entry and search of premises. </w:t>
      </w:r>
    </w:p>
    <w:p w14:paraId="146BD4D9" w14:textId="77777777" w:rsidR="00130423" w:rsidRPr="00754658" w:rsidRDefault="00130423" w:rsidP="00130423">
      <w:pPr>
        <w:jc w:val="both"/>
        <w:rPr>
          <w:rFonts w:cstheme="minorHAnsi"/>
          <w:sz w:val="24"/>
          <w:szCs w:val="24"/>
        </w:rPr>
      </w:pPr>
    </w:p>
    <w:p w14:paraId="07D146BA" w14:textId="6192A00A" w:rsidR="00130423" w:rsidRDefault="00130423" w:rsidP="00130423">
      <w:pPr>
        <w:jc w:val="both"/>
        <w:rPr>
          <w:rFonts w:cstheme="minorHAnsi"/>
          <w:sz w:val="24"/>
          <w:szCs w:val="24"/>
        </w:rPr>
      </w:pPr>
      <w:r w:rsidRPr="00754658">
        <w:rPr>
          <w:rFonts w:cstheme="minorHAnsi"/>
          <w:sz w:val="24"/>
          <w:szCs w:val="24"/>
        </w:rPr>
        <w:t xml:space="preserve">Like any other policy and procedure, the Police and Criminal Evidence Act 1984 comes with numerous advantages and disadvantages. Firstly, the evolution of PACE is seen as an advantageous, whereby flaws within previous years have been identified and overcome. (Coliandris, 2014) states that overall, the legislation has been largely successful, and is hailed as ‘one of the most significant developments in modern policing’. The first major development within the police force, was the change in ‘sus’ laws. Prior to PACE being introduced, anyone seen loitering in a public area may be stopped by any police officer if they appear to be planning to commit a crime. Such actions of officers within the 1970s caused a major uproar within the United Kingdom, due to the growing concern of racism. </w:t>
      </w:r>
      <w:r w:rsidR="007B23B5">
        <w:rPr>
          <w:rFonts w:cstheme="minorHAnsi"/>
          <w:sz w:val="24"/>
          <w:szCs w:val="24"/>
        </w:rPr>
        <w:t xml:space="preserve">However, to uphold the public’s confidence in police, a police officer will conduct themselves through ‘policing by consent from the public’. The public must consent to the authorities that the police can use. The Police and Criminal Evidence Act 1984 must be regularly reviewed to guarantee that a person’s </w:t>
      </w:r>
      <w:r w:rsidR="00FC347E">
        <w:rPr>
          <w:rFonts w:cstheme="minorHAnsi"/>
          <w:sz w:val="24"/>
          <w:szCs w:val="24"/>
        </w:rPr>
        <w:t xml:space="preserve">privacy is only violated in extremely rare situations and to prevent the police from losing their authority, failure to do so will drastically decrease the public’s confidence in the police. </w:t>
      </w:r>
    </w:p>
    <w:p w14:paraId="02930266" w14:textId="77777777" w:rsidR="00130423" w:rsidRDefault="00130423" w:rsidP="00130423">
      <w:pPr>
        <w:jc w:val="both"/>
        <w:rPr>
          <w:rFonts w:cstheme="minorHAnsi"/>
          <w:sz w:val="24"/>
          <w:szCs w:val="24"/>
        </w:rPr>
      </w:pPr>
    </w:p>
    <w:p w14:paraId="5CCFB8B4" w14:textId="77777777" w:rsidR="00130423" w:rsidRDefault="00130423" w:rsidP="00130423">
      <w:pPr>
        <w:jc w:val="both"/>
        <w:rPr>
          <w:rFonts w:cstheme="minorHAnsi"/>
          <w:sz w:val="24"/>
          <w:szCs w:val="24"/>
        </w:rPr>
      </w:pPr>
      <w:r w:rsidRPr="00754658">
        <w:rPr>
          <w:rFonts w:cstheme="minorHAnsi"/>
          <w:sz w:val="24"/>
          <w:szCs w:val="24"/>
        </w:rPr>
        <w:t xml:space="preserve">The second policing policy and procedure I would like to discuss is the use of officer Body Worn Video. There have been notable historical events, such as the Brixton Riots 1981, that have been crucial moments in the history of policing, leading to officers becoming equipped with Body Worn Video’s. Which in turn, has resulted in police forces changing their policies and procedures, to increase the public’s confidence in police. </w:t>
      </w:r>
    </w:p>
    <w:p w14:paraId="27EDAD55" w14:textId="77777777" w:rsidR="00130423" w:rsidRPr="00754658" w:rsidRDefault="00130423" w:rsidP="00130423">
      <w:pPr>
        <w:jc w:val="both"/>
        <w:rPr>
          <w:rFonts w:cstheme="minorHAnsi"/>
          <w:sz w:val="24"/>
          <w:szCs w:val="24"/>
        </w:rPr>
      </w:pPr>
    </w:p>
    <w:p w14:paraId="641F5B7C" w14:textId="77777777" w:rsidR="00130423" w:rsidRDefault="00130423" w:rsidP="00130423">
      <w:pPr>
        <w:jc w:val="both"/>
        <w:rPr>
          <w:rFonts w:cstheme="minorHAnsi"/>
          <w:sz w:val="24"/>
          <w:szCs w:val="24"/>
        </w:rPr>
      </w:pPr>
      <w:r w:rsidRPr="00754658">
        <w:rPr>
          <w:rFonts w:cstheme="minorHAnsi"/>
          <w:sz w:val="24"/>
          <w:szCs w:val="24"/>
        </w:rPr>
        <w:t>Like any other policy and procedure, the use of officer Body Worn Video comes with numerous advantages and disadvantages when reducing misconduct and malpractice by police officers.</w:t>
      </w:r>
      <w:r>
        <w:rPr>
          <w:rFonts w:cstheme="minorHAnsi"/>
          <w:sz w:val="24"/>
          <w:szCs w:val="24"/>
        </w:rPr>
        <w:t xml:space="preserve"> </w:t>
      </w:r>
      <w:r w:rsidRPr="00754658">
        <w:rPr>
          <w:rFonts w:cstheme="minorHAnsi"/>
          <w:sz w:val="24"/>
          <w:szCs w:val="24"/>
        </w:rPr>
        <w:t>The first advantage of the use of Body Worn Video is in relation to the Brixton Riots, prior to the introduction of Body Worn Video, there were numerous altercations between mainly black youths and the metropolitan police. Consequently, this resulted from racist discrimination against the black community, including the police’s increase in the use of stop and search. Ready and Young</w:t>
      </w:r>
      <w:r>
        <w:rPr>
          <w:rFonts w:cstheme="minorHAnsi"/>
          <w:sz w:val="24"/>
          <w:szCs w:val="24"/>
        </w:rPr>
        <w:t xml:space="preserve"> (</w:t>
      </w:r>
      <w:r w:rsidRPr="00754658">
        <w:rPr>
          <w:rFonts w:cstheme="minorHAnsi"/>
          <w:sz w:val="24"/>
          <w:szCs w:val="24"/>
        </w:rPr>
        <w:t>2015) states “The presence of a camera may promote increased police legitimacy in the eyes of the public due to the perception of greater accountability”</w:t>
      </w:r>
      <w:r>
        <w:rPr>
          <w:rFonts w:cstheme="minorHAnsi"/>
          <w:sz w:val="24"/>
          <w:szCs w:val="24"/>
        </w:rPr>
        <w:t>.</w:t>
      </w:r>
    </w:p>
    <w:p w14:paraId="22059A70" w14:textId="77777777" w:rsidR="00130423" w:rsidRPr="00754658" w:rsidRDefault="00130423" w:rsidP="00130423">
      <w:pPr>
        <w:jc w:val="both"/>
        <w:rPr>
          <w:rFonts w:cstheme="minorHAnsi"/>
          <w:sz w:val="24"/>
          <w:szCs w:val="24"/>
        </w:rPr>
      </w:pPr>
    </w:p>
    <w:p w14:paraId="4C026DDD" w14:textId="77777777" w:rsidR="00130423" w:rsidRDefault="00130423" w:rsidP="00130423">
      <w:pPr>
        <w:jc w:val="both"/>
        <w:rPr>
          <w:rFonts w:cstheme="minorHAnsi"/>
          <w:sz w:val="24"/>
          <w:szCs w:val="24"/>
        </w:rPr>
      </w:pPr>
      <w:r w:rsidRPr="00754658">
        <w:rPr>
          <w:rFonts w:cstheme="minorHAnsi"/>
          <w:sz w:val="24"/>
          <w:szCs w:val="24"/>
        </w:rPr>
        <w:lastRenderedPageBreak/>
        <w:t xml:space="preserve">Through looking at numerous research that has been conducted, such as (Farrar and Ariel, 2013) study which states “People become more self-aware when they are being watched, and as a result, they are more likely to alter their conduct”, I was able to find that through their study they were able to document a reduced amount of use of force incidents by 50% among officers wearing Body Worn Videos. </w:t>
      </w:r>
    </w:p>
    <w:p w14:paraId="143D9373" w14:textId="77777777" w:rsidR="00130423" w:rsidRPr="00754658" w:rsidRDefault="00130423" w:rsidP="00130423">
      <w:pPr>
        <w:jc w:val="both"/>
        <w:rPr>
          <w:rFonts w:cstheme="minorHAnsi"/>
          <w:sz w:val="24"/>
          <w:szCs w:val="24"/>
        </w:rPr>
      </w:pPr>
    </w:p>
    <w:p w14:paraId="194E664A" w14:textId="6729E332" w:rsidR="00130423" w:rsidRDefault="00130423" w:rsidP="00130423">
      <w:pPr>
        <w:jc w:val="both"/>
        <w:rPr>
          <w:rFonts w:cstheme="minorHAnsi"/>
          <w:sz w:val="24"/>
          <w:szCs w:val="24"/>
        </w:rPr>
      </w:pPr>
      <w:r>
        <w:rPr>
          <w:rFonts w:cstheme="minorHAnsi"/>
          <w:sz w:val="24"/>
          <w:szCs w:val="24"/>
        </w:rPr>
        <w:t xml:space="preserve">On the other hand, a </w:t>
      </w:r>
      <w:r w:rsidRPr="00754658">
        <w:rPr>
          <w:rFonts w:cstheme="minorHAnsi"/>
          <w:sz w:val="24"/>
          <w:szCs w:val="24"/>
        </w:rPr>
        <w:t xml:space="preserve">disadvantage I would like to discuss regarding the use of officers Body Worn Video is that officers wearing Body Worn Videos can increase the risk of assault against an officer (Ariel et al, 2016b). </w:t>
      </w:r>
      <w:r>
        <w:rPr>
          <w:rFonts w:cstheme="minorHAnsi"/>
          <w:sz w:val="24"/>
          <w:szCs w:val="24"/>
        </w:rPr>
        <w:t xml:space="preserve">However, Ariel did acknowledge that this area required further validation into the scrutiny of such argument. During my academic research a further explanation by Dempsey et all (2023) shows that due to situations </w:t>
      </w:r>
      <w:r>
        <w:rPr>
          <w:rFonts w:cstheme="minorHAnsi"/>
          <w:sz w:val="24"/>
          <w:szCs w:val="24"/>
        </w:rPr>
        <w:t>like</w:t>
      </w:r>
      <w:r>
        <w:rPr>
          <w:rFonts w:cstheme="minorHAnsi"/>
          <w:sz w:val="24"/>
          <w:szCs w:val="24"/>
        </w:rPr>
        <w:t xml:space="preserve"> the one stated above, officers have become more prone to believe most individuals are a threat. </w:t>
      </w:r>
    </w:p>
    <w:p w14:paraId="53D909F3" w14:textId="77777777" w:rsidR="00371C2E" w:rsidRDefault="00371C2E" w:rsidP="00130423">
      <w:pPr>
        <w:jc w:val="both"/>
        <w:rPr>
          <w:rFonts w:cstheme="minorHAnsi"/>
          <w:sz w:val="24"/>
          <w:szCs w:val="24"/>
        </w:rPr>
      </w:pPr>
    </w:p>
    <w:p w14:paraId="40476FE5" w14:textId="3768FB59" w:rsidR="00371C2E" w:rsidRDefault="00371C2E" w:rsidP="00130423">
      <w:pPr>
        <w:jc w:val="both"/>
        <w:rPr>
          <w:rFonts w:cstheme="minorHAnsi"/>
          <w:sz w:val="24"/>
          <w:szCs w:val="24"/>
        </w:rPr>
      </w:pPr>
      <w:r>
        <w:rPr>
          <w:rFonts w:cstheme="minorHAnsi"/>
          <w:sz w:val="24"/>
          <w:szCs w:val="24"/>
        </w:rPr>
        <w:t>The National Decision Model (NDM) is a model that was designed to assist officers when making any decision, either in a fast-moving incident where it may not be possible to think in straight and sensible manner, or in everyday decision making. The College of Policing (2013) states that decision makers can use the NDM to structure a rationale of what they did during an incident and why, this model is designed to hold all officers accountable for their actions</w:t>
      </w:r>
      <w:r w:rsidR="004D28A8">
        <w:rPr>
          <w:rFonts w:cstheme="minorHAnsi"/>
          <w:sz w:val="24"/>
          <w:szCs w:val="24"/>
        </w:rPr>
        <w:t xml:space="preserve"> and ensuring that officer are kept inline with current legislation. </w:t>
      </w:r>
      <w:r w:rsidR="009C2627">
        <w:rPr>
          <w:rFonts w:cstheme="minorHAnsi"/>
          <w:sz w:val="24"/>
          <w:szCs w:val="24"/>
        </w:rPr>
        <w:t xml:space="preserve">The use of the National Decision Model is structured into six elements, where officers must consider the policing code of ethics, the threat and risk of such situation, powers and policies that apply as well as identifying options and contingencies that can be completed. By doing so, officers are showing to the public that the police are making decisions with the public at the forefront, therefore increasing the public’s confidence in the police. The National Decision Model was designed to reduce misconduct and malpractice by police officers, </w:t>
      </w:r>
      <w:r w:rsidR="002D6969">
        <w:rPr>
          <w:rFonts w:cstheme="minorHAnsi"/>
          <w:sz w:val="24"/>
          <w:szCs w:val="24"/>
        </w:rPr>
        <w:t xml:space="preserve">by being given the few extra minutes to consider what exactly the public would want out of the situation they are in. </w:t>
      </w:r>
    </w:p>
    <w:p w14:paraId="4A9D298E" w14:textId="77777777" w:rsidR="00136A53" w:rsidRDefault="00136A53" w:rsidP="00130423">
      <w:pPr>
        <w:jc w:val="both"/>
        <w:rPr>
          <w:rFonts w:cstheme="minorHAnsi"/>
          <w:sz w:val="24"/>
          <w:szCs w:val="24"/>
        </w:rPr>
      </w:pPr>
    </w:p>
    <w:p w14:paraId="39A365D3" w14:textId="7B5B73A7" w:rsidR="00136A53" w:rsidRDefault="00136A53" w:rsidP="00130423">
      <w:pPr>
        <w:jc w:val="both"/>
        <w:rPr>
          <w:rFonts w:cstheme="minorHAnsi"/>
          <w:sz w:val="24"/>
          <w:szCs w:val="24"/>
        </w:rPr>
      </w:pPr>
      <w:r>
        <w:rPr>
          <w:rFonts w:cstheme="minorHAnsi"/>
          <w:sz w:val="24"/>
          <w:szCs w:val="24"/>
        </w:rPr>
        <w:t xml:space="preserve">Overall, </w:t>
      </w:r>
      <w:r w:rsidR="009C2627">
        <w:rPr>
          <w:rFonts w:cstheme="minorHAnsi"/>
          <w:sz w:val="24"/>
          <w:szCs w:val="24"/>
        </w:rPr>
        <w:t>I believe that police forces within the UK are taking the correct steps to uphold the public’s confidence in their surrounding police force. However, society is ever-changing, and I believe that on order to maintain the public’s trust in the police, policies and procedures will require a change also. A way to do such thing is by conducting questionnaires, whether online or in person to allow the public to have their day and highlight their wants and needs for the police force that surrounds them.</w:t>
      </w:r>
    </w:p>
    <w:p w14:paraId="585FC782" w14:textId="4E4701F9" w:rsidR="003A1A7D" w:rsidRDefault="00130423" w:rsidP="00130423">
      <w:pPr>
        <w:jc w:val="both"/>
        <w:rPr>
          <w:rFonts w:cstheme="minorHAnsi"/>
          <w:b/>
          <w:bCs/>
          <w:sz w:val="24"/>
          <w:szCs w:val="24"/>
        </w:rPr>
      </w:pPr>
      <w:r>
        <w:rPr>
          <w:rFonts w:cstheme="minorHAnsi"/>
          <w:b/>
          <w:bCs/>
          <w:sz w:val="24"/>
          <w:szCs w:val="24"/>
        </w:rPr>
        <w:t xml:space="preserve">Word Count - </w:t>
      </w:r>
      <w:r w:rsidR="00FC347E">
        <w:rPr>
          <w:rFonts w:cstheme="minorHAnsi"/>
          <w:b/>
          <w:bCs/>
          <w:sz w:val="24"/>
          <w:szCs w:val="24"/>
        </w:rPr>
        <w:t>9</w:t>
      </w:r>
      <w:r w:rsidR="009304C3">
        <w:rPr>
          <w:rFonts w:cstheme="minorHAnsi"/>
          <w:b/>
          <w:bCs/>
          <w:sz w:val="24"/>
          <w:szCs w:val="24"/>
        </w:rPr>
        <w:t>46</w:t>
      </w:r>
      <w:r>
        <w:rPr>
          <w:rFonts w:cstheme="minorHAnsi"/>
          <w:b/>
          <w:bCs/>
          <w:sz w:val="24"/>
          <w:szCs w:val="24"/>
        </w:rPr>
        <w:br w:type="page"/>
      </w:r>
    </w:p>
    <w:p w14:paraId="55062D72" w14:textId="7633D0C0" w:rsidR="003A1A7D" w:rsidRDefault="003A1A7D" w:rsidP="00130423">
      <w:pPr>
        <w:jc w:val="both"/>
        <w:rPr>
          <w:rFonts w:cstheme="minorHAnsi"/>
          <w:b/>
          <w:bCs/>
          <w:sz w:val="24"/>
          <w:szCs w:val="24"/>
        </w:rPr>
      </w:pPr>
      <w:r>
        <w:rPr>
          <w:rFonts w:cstheme="minorHAnsi"/>
          <w:b/>
          <w:bCs/>
          <w:sz w:val="24"/>
          <w:szCs w:val="24"/>
        </w:rPr>
        <w:lastRenderedPageBreak/>
        <w:t xml:space="preserve">Essay two – </w:t>
      </w:r>
    </w:p>
    <w:p w14:paraId="770F8A3C" w14:textId="77777777" w:rsidR="00130423" w:rsidRDefault="00130423" w:rsidP="00130423">
      <w:pPr>
        <w:jc w:val="both"/>
        <w:rPr>
          <w:rFonts w:cstheme="minorHAnsi"/>
          <w:sz w:val="24"/>
          <w:szCs w:val="24"/>
        </w:rPr>
      </w:pPr>
      <w:r>
        <w:rPr>
          <w:rFonts w:cstheme="minorHAnsi"/>
          <w:sz w:val="24"/>
          <w:szCs w:val="24"/>
        </w:rPr>
        <w:t xml:space="preserve">This essay will define vulnerability and exploitation, as well as highlight and explore the traits that puts a person at risk of being taken advantage of by criminal gangs. This essay will also discuss the definition of a criminal gang and consider how the socio-economic and psychological characteristics of a person may sway members of a criminal gang to exploit such person. </w:t>
      </w:r>
    </w:p>
    <w:p w14:paraId="2A3724B9" w14:textId="77777777" w:rsidR="00130423" w:rsidRDefault="00130423" w:rsidP="00130423">
      <w:pPr>
        <w:jc w:val="both"/>
        <w:rPr>
          <w:rFonts w:cstheme="minorHAnsi"/>
          <w:sz w:val="24"/>
          <w:szCs w:val="24"/>
        </w:rPr>
      </w:pPr>
    </w:p>
    <w:p w14:paraId="208889AD" w14:textId="77777777" w:rsidR="00130423" w:rsidRDefault="00130423" w:rsidP="00130423">
      <w:pPr>
        <w:jc w:val="both"/>
        <w:rPr>
          <w:rFonts w:cstheme="minorHAnsi"/>
          <w:sz w:val="24"/>
          <w:szCs w:val="24"/>
        </w:rPr>
      </w:pPr>
      <w:r>
        <w:rPr>
          <w:rFonts w:cstheme="minorHAnsi"/>
          <w:sz w:val="24"/>
          <w:szCs w:val="24"/>
        </w:rPr>
        <w:t xml:space="preserve">As defined by the National Alliance of Gang Investigators Associations, a criminal gang is a group or association of three or more persons who may have a common identifying sign, symbol, or name and who individually, or collectively engage in, or have engaged in, criminal activity which creates an atmosphere of fear and intimidation (National Alliance of Gang Investigators Associations, 2024). To be criminally exploited means being manipulated and coerced into committing crimes, as well as used for the gain of another person, for example financial gain. </w:t>
      </w:r>
    </w:p>
    <w:p w14:paraId="31167BBA" w14:textId="77777777" w:rsidR="00130423" w:rsidRDefault="00130423" w:rsidP="00130423">
      <w:pPr>
        <w:jc w:val="both"/>
        <w:rPr>
          <w:rFonts w:cstheme="minorHAnsi"/>
          <w:sz w:val="24"/>
          <w:szCs w:val="24"/>
        </w:rPr>
      </w:pPr>
    </w:p>
    <w:p w14:paraId="46956C28" w14:textId="77777777" w:rsidR="00130423" w:rsidRDefault="00130423" w:rsidP="00130423">
      <w:pPr>
        <w:jc w:val="both"/>
        <w:rPr>
          <w:rFonts w:cstheme="minorHAnsi"/>
          <w:sz w:val="24"/>
          <w:szCs w:val="24"/>
        </w:rPr>
      </w:pPr>
      <w:r>
        <w:rPr>
          <w:rFonts w:cstheme="minorHAnsi"/>
          <w:sz w:val="24"/>
          <w:szCs w:val="24"/>
        </w:rPr>
        <w:t xml:space="preserve">The NHS defines the term ‘vulnerable person’ as any adult, person over the age of eighteen, who is unable to take care of themselves or protect themselves from exploitation </w:t>
      </w:r>
      <w:r w:rsidRPr="002E1923">
        <w:rPr>
          <w:rFonts w:cstheme="minorHAnsi"/>
          <w:sz w:val="24"/>
          <w:szCs w:val="24"/>
        </w:rPr>
        <w:t>(Office for Health Improvement and Disparities, 2022)</w:t>
      </w:r>
      <w:r>
        <w:rPr>
          <w:rFonts w:cstheme="minorHAnsi"/>
          <w:sz w:val="24"/>
          <w:szCs w:val="24"/>
        </w:rPr>
        <w:t>. There are numerous theories which highlights how vulnerable people can be exploited, ranging from the victim’s viewpoint to the viewpoint of such gangs. For example, the routine active theory which discusses three situations that can help explain the rate of victimisation. The three situations are the availability of targets coinciding with the absence of capable guardians and the presence of motivated offenders. Seigel (2006) states that the presence of one or more of the above stated factors can create a higher risk of victimisation. Cohen and Felson’s research, which found that a decline in the number of guardianships in the home between 1960 and 1980 contributed to an increase in crime rates and provides empirical evidence for this argument.</w:t>
      </w:r>
    </w:p>
    <w:p w14:paraId="6D630F59" w14:textId="77777777" w:rsidR="00130423" w:rsidRDefault="00130423" w:rsidP="00130423">
      <w:pPr>
        <w:jc w:val="both"/>
        <w:rPr>
          <w:rFonts w:cstheme="minorHAnsi"/>
          <w:sz w:val="24"/>
          <w:szCs w:val="24"/>
        </w:rPr>
      </w:pPr>
    </w:p>
    <w:p w14:paraId="0C50BADA" w14:textId="77777777" w:rsidR="00130423" w:rsidRDefault="00130423" w:rsidP="00130423">
      <w:pPr>
        <w:jc w:val="both"/>
        <w:rPr>
          <w:rFonts w:cstheme="minorHAnsi"/>
          <w:sz w:val="24"/>
          <w:szCs w:val="24"/>
        </w:rPr>
      </w:pPr>
      <w:r>
        <w:rPr>
          <w:rFonts w:cstheme="minorHAnsi"/>
          <w:sz w:val="24"/>
          <w:szCs w:val="24"/>
        </w:rPr>
        <w:t xml:space="preserve">There are numerous characteristics, including socio-economic and psychological factors that can make a person vulnerable to exploitation. Firstly, focusing on the psychological characteristics, neurodiversity can create a high rate of vulnerability, which is the variations in each person’s brain chemistry and phenotypes. After completing some extensive research into the exploitation of vulnerable people from criminal gangs, it was clear to myself that there are countless occasions whereby exploitation has occurred. An example of this is documented throughout a BBC article, in relation to a young boy who regularly went missing from school. It states within the article ‘a child with special educational needs was left vulnerable to drug dealers because of failings by Devon County Council’ (BBC, 2023). Subsequently, due to the lack of support within the school system, this boy was fed cannabis and cocaine from the dealers, accruing debt by such gang and as a result was recruited to deal drugs to repay the loss that he caused to the gang. </w:t>
      </w:r>
    </w:p>
    <w:p w14:paraId="101CF7DE" w14:textId="77777777" w:rsidR="00130423" w:rsidRDefault="00130423" w:rsidP="00130423">
      <w:pPr>
        <w:jc w:val="both"/>
        <w:rPr>
          <w:rFonts w:cstheme="minorHAnsi"/>
          <w:sz w:val="24"/>
          <w:szCs w:val="24"/>
        </w:rPr>
      </w:pPr>
    </w:p>
    <w:p w14:paraId="425DBBBE" w14:textId="0E3F4894" w:rsidR="00130423" w:rsidRDefault="00130423" w:rsidP="00130423">
      <w:pPr>
        <w:jc w:val="both"/>
        <w:rPr>
          <w:rFonts w:cstheme="minorHAnsi"/>
          <w:sz w:val="24"/>
          <w:szCs w:val="24"/>
        </w:rPr>
      </w:pPr>
      <w:r>
        <w:rPr>
          <w:rFonts w:cstheme="minorHAnsi"/>
          <w:sz w:val="24"/>
          <w:szCs w:val="24"/>
        </w:rPr>
        <w:t>On the other hand, there are numerous socio-</w:t>
      </w:r>
      <w:r>
        <w:rPr>
          <w:rFonts w:cstheme="minorHAnsi"/>
          <w:sz w:val="24"/>
          <w:szCs w:val="24"/>
        </w:rPr>
        <w:t>economic</w:t>
      </w:r>
      <w:r>
        <w:rPr>
          <w:rFonts w:cstheme="minorHAnsi"/>
          <w:sz w:val="24"/>
          <w:szCs w:val="24"/>
        </w:rPr>
        <w:t xml:space="preserve"> factors that can make a person vulnerable to exploitation. A socio-economic factor can be thought of as the social makeup of a household or community. An example of a socio-economic element that can put a person at risk of being exploited by criminals is their level of wealth, education, or income. In today’s world, a person’s ability to support their family might be perceived as heavily influenced by their financial situation. Vulnerability factors may surface if an individual cannot support their family or make ends meet in the face of the worsening current living crisis. This has been documented through a Sky News article online, where a seventeen-year-old male, who at just fourteen years old was pressured into selling Class A substances for a gang local to him (Mararike, 2022). </w:t>
      </w:r>
    </w:p>
    <w:p w14:paraId="20F8356D" w14:textId="77777777" w:rsidR="00130423" w:rsidRDefault="00130423" w:rsidP="00130423">
      <w:pPr>
        <w:jc w:val="both"/>
        <w:rPr>
          <w:rFonts w:cstheme="minorHAnsi"/>
          <w:sz w:val="24"/>
          <w:szCs w:val="24"/>
        </w:rPr>
      </w:pPr>
    </w:p>
    <w:p w14:paraId="6D26626C" w14:textId="77777777" w:rsidR="00130423" w:rsidRDefault="00130423" w:rsidP="00130423">
      <w:pPr>
        <w:jc w:val="both"/>
        <w:rPr>
          <w:rFonts w:cstheme="minorHAnsi"/>
          <w:sz w:val="24"/>
          <w:szCs w:val="24"/>
        </w:rPr>
      </w:pPr>
      <w:r>
        <w:rPr>
          <w:rFonts w:cstheme="minorHAnsi"/>
          <w:sz w:val="24"/>
          <w:szCs w:val="24"/>
        </w:rPr>
        <w:t xml:space="preserve">The abuse the criminal gangs inflict onto their victims can have a multitude of psychological effects, because of the level of exploitation they are exposed to. In addition to potential financial costs, crime can cause physical, psychological, and behavioural harm to its victims. Abuse that victims may endure can be both short term and long term, examples of long-term being flashbacks, depression, or suicide. In few cases, a power imbalance phenomenon can occur. Foote (1988) states that a person who has been maltreated, may see themselves as requiring to be dominated by the offender.  </w:t>
      </w:r>
    </w:p>
    <w:p w14:paraId="749AC28A" w14:textId="77777777" w:rsidR="00130423" w:rsidRDefault="00130423" w:rsidP="00130423">
      <w:pPr>
        <w:jc w:val="both"/>
        <w:rPr>
          <w:rFonts w:cstheme="minorHAnsi"/>
          <w:sz w:val="24"/>
          <w:szCs w:val="24"/>
        </w:rPr>
      </w:pPr>
    </w:p>
    <w:p w14:paraId="70262B54" w14:textId="77777777" w:rsidR="00130423" w:rsidRDefault="00130423" w:rsidP="00130423">
      <w:pPr>
        <w:jc w:val="both"/>
        <w:rPr>
          <w:rFonts w:cstheme="minorHAnsi"/>
          <w:sz w:val="24"/>
          <w:szCs w:val="24"/>
        </w:rPr>
      </w:pPr>
      <w:r>
        <w:rPr>
          <w:rFonts w:cstheme="minorHAnsi"/>
          <w:sz w:val="24"/>
          <w:szCs w:val="24"/>
        </w:rPr>
        <w:t xml:space="preserve">The government draws attention to the multi-agency public protection arrangements, also known as MAPPA, that are in place to guarantee the effective handling of sexual and violent offenders (Ministry of Justice, 2024). The College of Policing (2023) states that MAPPA requires criminal justice organisations and other entities to collaborate with these offenders. The MAPPA’s approach is to firstly assess the offender, by ascertaining out of the three categories which category the offender fits into. Once the assessment has taken place, the agency must ensure that they can handle the hazards that the offender poses. </w:t>
      </w:r>
    </w:p>
    <w:p w14:paraId="035937D2" w14:textId="77777777" w:rsidR="00130423" w:rsidRDefault="00130423" w:rsidP="00130423">
      <w:pPr>
        <w:jc w:val="both"/>
        <w:rPr>
          <w:rFonts w:cstheme="minorHAnsi"/>
          <w:sz w:val="24"/>
          <w:szCs w:val="24"/>
        </w:rPr>
      </w:pPr>
    </w:p>
    <w:p w14:paraId="10BF21F9" w14:textId="77777777" w:rsidR="00130423" w:rsidRDefault="00130423" w:rsidP="00130423">
      <w:pPr>
        <w:jc w:val="both"/>
        <w:rPr>
          <w:rFonts w:cstheme="minorHAnsi"/>
          <w:sz w:val="24"/>
          <w:szCs w:val="24"/>
        </w:rPr>
      </w:pPr>
      <w:r>
        <w:rPr>
          <w:rFonts w:cstheme="minorHAnsi"/>
          <w:sz w:val="24"/>
          <w:szCs w:val="24"/>
        </w:rPr>
        <w:t xml:space="preserve">A case study that demonstrates the misconduct of a police officer, whereby they have misused their position of police powers and trust to commit public protection offences is in relation to an officer who was convicted of five offences. Two complaints were received from the public, an investigation into the officer’s conduct was initiated. After investigation, it was found that this officer had incited over two-hundred young girls to send explicit images of themselves. It was also found that the officer had also used his police presence when dealing with calls to meet individuals, after considering them vulnerable he would add them on social media and attempt to develop a sexual relationship with them, as well as torment these young girls (Morris, 2023). </w:t>
      </w:r>
    </w:p>
    <w:p w14:paraId="0F870728" w14:textId="77777777" w:rsidR="00130423" w:rsidRDefault="00130423" w:rsidP="00130423">
      <w:pPr>
        <w:jc w:val="both"/>
        <w:rPr>
          <w:rFonts w:cstheme="minorHAnsi"/>
          <w:sz w:val="24"/>
          <w:szCs w:val="24"/>
        </w:rPr>
      </w:pPr>
    </w:p>
    <w:p w14:paraId="4A2A37C3" w14:textId="77777777" w:rsidR="00130423" w:rsidRPr="00F74EC9" w:rsidRDefault="00130423" w:rsidP="00130423">
      <w:pPr>
        <w:jc w:val="both"/>
        <w:rPr>
          <w:rFonts w:cstheme="minorHAnsi"/>
          <w:sz w:val="24"/>
          <w:szCs w:val="24"/>
        </w:rPr>
      </w:pPr>
      <w:r>
        <w:rPr>
          <w:rFonts w:cstheme="minorHAnsi"/>
          <w:sz w:val="24"/>
          <w:szCs w:val="24"/>
        </w:rPr>
        <w:t xml:space="preserve">Social media coverage in relation to public protection policing strategies can have a huge importance, in relation to public protection cases there can be a high level of engagement from the community, via social media. Whereby, the community may experience alarm and distress of such cases, with the potential to lead to public disorder. A prevalent case which demonstrates this is known as Operation Yew Tree, which was led by the Metropolitan Police in 2012 in relation to the sexual abuse caused by Jimmy Savile. In 2013, ‘Giving victims a voice’ was published, increasing confidence in the victims of Savile, allowing themselves to speak up and be heard, to repair the harm caused and find a positive way to move forward. Evidence of this is documented through a BBC article, where the document of such findings from the Savile case was exported to the public (BBC News, 2013). In this case, without the use of social media coverage, many victims may have been left unheard, and a significant amount of confidence would have been lost between the police and the public. </w:t>
      </w:r>
    </w:p>
    <w:p w14:paraId="2745F919" w14:textId="77777777" w:rsidR="00130423" w:rsidRPr="00130423" w:rsidRDefault="00130423" w:rsidP="00130423">
      <w:pPr>
        <w:jc w:val="both"/>
        <w:rPr>
          <w:rFonts w:cstheme="minorHAnsi"/>
          <w:b/>
          <w:bCs/>
          <w:sz w:val="24"/>
          <w:szCs w:val="24"/>
        </w:rPr>
      </w:pPr>
      <w:r w:rsidRPr="00130423">
        <w:rPr>
          <w:rFonts w:cstheme="minorHAnsi"/>
          <w:b/>
          <w:bCs/>
          <w:sz w:val="24"/>
          <w:szCs w:val="24"/>
        </w:rPr>
        <w:t>Word Count – 1097</w:t>
      </w:r>
    </w:p>
    <w:p w14:paraId="7D73655F" w14:textId="4F04E03A" w:rsidR="003A1A7D" w:rsidRDefault="00130423" w:rsidP="00130423">
      <w:pPr>
        <w:jc w:val="both"/>
        <w:rPr>
          <w:rFonts w:cstheme="minorHAnsi"/>
          <w:b/>
          <w:bCs/>
          <w:sz w:val="24"/>
          <w:szCs w:val="24"/>
        </w:rPr>
      </w:pPr>
      <w:r>
        <w:rPr>
          <w:rFonts w:cstheme="minorHAnsi"/>
          <w:b/>
          <w:bCs/>
          <w:sz w:val="24"/>
          <w:szCs w:val="24"/>
        </w:rPr>
        <w:br w:type="page"/>
      </w:r>
    </w:p>
    <w:p w14:paraId="6D025624" w14:textId="4C5D89B1" w:rsidR="003A1A7D" w:rsidRDefault="003A1A7D" w:rsidP="00130423">
      <w:pPr>
        <w:jc w:val="both"/>
        <w:rPr>
          <w:rFonts w:cstheme="minorHAnsi"/>
          <w:b/>
          <w:bCs/>
          <w:sz w:val="24"/>
          <w:szCs w:val="24"/>
        </w:rPr>
      </w:pPr>
      <w:r>
        <w:rPr>
          <w:rFonts w:cstheme="minorHAnsi"/>
          <w:b/>
          <w:bCs/>
          <w:sz w:val="24"/>
          <w:szCs w:val="24"/>
        </w:rPr>
        <w:lastRenderedPageBreak/>
        <w:t>Essay three –</w:t>
      </w:r>
    </w:p>
    <w:p w14:paraId="4DD33426" w14:textId="77777777" w:rsidR="00130423" w:rsidRDefault="00130423" w:rsidP="00130423">
      <w:pPr>
        <w:jc w:val="both"/>
        <w:rPr>
          <w:rFonts w:cstheme="minorHAnsi"/>
          <w:sz w:val="24"/>
          <w:szCs w:val="24"/>
        </w:rPr>
      </w:pPr>
      <w:r>
        <w:rPr>
          <w:rFonts w:cstheme="minorHAnsi"/>
          <w:sz w:val="24"/>
          <w:szCs w:val="24"/>
        </w:rPr>
        <w:t xml:space="preserve">This essay will discuss whether early intervention is a successful strategy for keeping young people from offending. Additionally, increases or detracts from its effectiveness. Early intervention is the process of identifying children or young persons who are at risk of negative outcomes and offering them appropriate early care. </w:t>
      </w:r>
    </w:p>
    <w:p w14:paraId="3A846C0C" w14:textId="77777777" w:rsidR="00130423" w:rsidRDefault="00130423" w:rsidP="00130423">
      <w:pPr>
        <w:jc w:val="both"/>
        <w:rPr>
          <w:rFonts w:cstheme="minorHAnsi"/>
          <w:sz w:val="24"/>
          <w:szCs w:val="24"/>
        </w:rPr>
      </w:pPr>
    </w:p>
    <w:p w14:paraId="0531E4D3" w14:textId="77777777" w:rsidR="00130423" w:rsidRDefault="00130423" w:rsidP="00130423">
      <w:pPr>
        <w:jc w:val="both"/>
        <w:rPr>
          <w:rFonts w:cstheme="minorHAnsi"/>
          <w:sz w:val="24"/>
          <w:szCs w:val="24"/>
        </w:rPr>
      </w:pPr>
      <w:r>
        <w:rPr>
          <w:rFonts w:cstheme="minorHAnsi"/>
          <w:sz w:val="24"/>
          <w:szCs w:val="24"/>
        </w:rPr>
        <w:t>There are two major factors that may incline a person to commit a crime, or if having committed a crime, then reoffending to commit a further crime. The two major factors can make identify the concepts of how a person can become a victim to the offending/reoffending world. The first impact factor is in relation to environmental risk factors, which are being from a low socio-economic neighbourhood and having and encounters with the police, for example enduring continual stop and searches. After an increase in funding for extra support for young people who have been victims of domestic abuse, one study found that there was a decrease in offending rates from 25% to 7%. (Thompson, 2021).</w:t>
      </w:r>
    </w:p>
    <w:p w14:paraId="66242BAC" w14:textId="77777777" w:rsidR="00130423" w:rsidRDefault="00130423" w:rsidP="00130423">
      <w:pPr>
        <w:jc w:val="both"/>
        <w:rPr>
          <w:rFonts w:cstheme="minorHAnsi"/>
          <w:sz w:val="24"/>
          <w:szCs w:val="24"/>
        </w:rPr>
      </w:pPr>
    </w:p>
    <w:p w14:paraId="14AC4818" w14:textId="77777777" w:rsidR="00130423" w:rsidRDefault="00130423" w:rsidP="00130423">
      <w:pPr>
        <w:jc w:val="both"/>
        <w:rPr>
          <w:rFonts w:cstheme="minorHAnsi"/>
          <w:sz w:val="24"/>
          <w:szCs w:val="24"/>
        </w:rPr>
      </w:pPr>
      <w:r>
        <w:rPr>
          <w:rFonts w:cstheme="minorHAnsi"/>
          <w:sz w:val="24"/>
          <w:szCs w:val="24"/>
        </w:rPr>
        <w:t xml:space="preserve">The second impact factor that may incline a person to commit a crime or recommit a crime is due to their individual risk factors, for example being exposed to adverse childhood experiences. Young Minds (2018) states that adverse childhood experiences are adolescent events that are extremely stressful and may even be traumatic. Threats to a young person’s safety, security or trust might take the form of one-time incidents or ongoing dangers. In a 2014 study on ACE’s, 47% of people experiences at least one ACE with 9% of the population experiencing 4+ ACE’s (Bellis et al, 2014). ACE’s can make a person more susceptible to offend in their lives, as well as increase their chances of being diagnosed with a mental health problem. This suggests that a person who may have been exposed to a higher level of ACE’s, such as enduring exposure to domestic violence, being around a substance user, or living with someone who has gone to jail could therefore be more susceptible to either offending or reoffending within their lives. </w:t>
      </w:r>
    </w:p>
    <w:p w14:paraId="305675B2" w14:textId="77777777" w:rsidR="00130423" w:rsidRDefault="00130423" w:rsidP="00130423">
      <w:pPr>
        <w:jc w:val="both"/>
        <w:rPr>
          <w:rFonts w:cstheme="minorHAnsi"/>
          <w:sz w:val="24"/>
          <w:szCs w:val="24"/>
        </w:rPr>
      </w:pPr>
    </w:p>
    <w:p w14:paraId="2FF192D9" w14:textId="172E5F61" w:rsidR="007A3814" w:rsidRDefault="007A3814" w:rsidP="00130423">
      <w:pPr>
        <w:jc w:val="both"/>
        <w:rPr>
          <w:rFonts w:cstheme="minorHAnsi"/>
          <w:sz w:val="24"/>
          <w:szCs w:val="24"/>
        </w:rPr>
      </w:pPr>
      <w:r>
        <w:rPr>
          <w:rFonts w:cstheme="minorHAnsi"/>
          <w:sz w:val="24"/>
          <w:szCs w:val="24"/>
        </w:rPr>
        <w:t>Early intervention can include a range of different pathways for children and adolescents, whereby a young person can be shown and then develop how to control their behaviour</w:t>
      </w:r>
      <w:r w:rsidR="002B4C39">
        <w:rPr>
          <w:rFonts w:cstheme="minorHAnsi"/>
          <w:sz w:val="24"/>
          <w:szCs w:val="24"/>
        </w:rPr>
        <w:t>, this is commonly known as ‘skills-based intervention’</w:t>
      </w:r>
      <w:r>
        <w:rPr>
          <w:rFonts w:cstheme="minorHAnsi"/>
          <w:sz w:val="24"/>
          <w:szCs w:val="24"/>
        </w:rPr>
        <w:t xml:space="preserve">. Another example is </w:t>
      </w:r>
      <w:r w:rsidR="002B4C39">
        <w:rPr>
          <w:rFonts w:cstheme="minorHAnsi"/>
          <w:sz w:val="24"/>
          <w:szCs w:val="24"/>
        </w:rPr>
        <w:t>‘</w:t>
      </w:r>
      <w:r>
        <w:rPr>
          <w:rFonts w:cstheme="minorHAnsi"/>
          <w:sz w:val="24"/>
          <w:szCs w:val="24"/>
        </w:rPr>
        <w:t>mentoring intervention</w:t>
      </w:r>
      <w:r w:rsidR="002B4C39">
        <w:rPr>
          <w:rFonts w:cstheme="minorHAnsi"/>
          <w:sz w:val="24"/>
          <w:szCs w:val="24"/>
        </w:rPr>
        <w:t>’</w:t>
      </w:r>
      <w:r>
        <w:rPr>
          <w:rFonts w:cstheme="minorHAnsi"/>
          <w:sz w:val="24"/>
          <w:szCs w:val="24"/>
        </w:rPr>
        <w:t xml:space="preserve">, whereby a more experienced person, whether that be due to age, or skills can offer support and guidance to the child/adolescent. Both approaches have a significant impact on children and adolescents, being evidenced as effective. </w:t>
      </w:r>
      <w:r w:rsidR="002B4C39">
        <w:rPr>
          <w:rFonts w:cstheme="minorHAnsi"/>
          <w:sz w:val="24"/>
          <w:szCs w:val="24"/>
        </w:rPr>
        <w:t xml:space="preserve">Both approaches are commonly used in schools, highlighting the importance of education within a child’s life, failure to engage with school can potentially lead to offending. </w:t>
      </w:r>
    </w:p>
    <w:p w14:paraId="1E2BACC7" w14:textId="77777777" w:rsidR="007A3814" w:rsidRDefault="007A3814" w:rsidP="00130423">
      <w:pPr>
        <w:jc w:val="both"/>
        <w:rPr>
          <w:rFonts w:cstheme="minorHAnsi"/>
          <w:sz w:val="24"/>
          <w:szCs w:val="24"/>
        </w:rPr>
      </w:pPr>
    </w:p>
    <w:p w14:paraId="7FEDF13F" w14:textId="69A060EF" w:rsidR="00130423" w:rsidRDefault="00130423" w:rsidP="00130423">
      <w:pPr>
        <w:jc w:val="both"/>
        <w:rPr>
          <w:rFonts w:cstheme="minorHAnsi"/>
          <w:sz w:val="24"/>
          <w:szCs w:val="24"/>
        </w:rPr>
      </w:pPr>
      <w:r>
        <w:rPr>
          <w:rFonts w:cstheme="minorHAnsi"/>
          <w:sz w:val="24"/>
          <w:szCs w:val="24"/>
        </w:rPr>
        <w:t xml:space="preserve">There are numerous reasons why early intervention can be an effective means of preventing young people from offending. Firstly, the Public Health England (2019) has created a framework, referred to as CAPRICORN. This framework was developed to support local authorities by collaborating on strategies to stop young offenders from both offending and reoffending. Both the primary and secondary reasons for criminal behaviour are at the concentration of the CAPRICORN framework. It describes different strategies that local partnerships might employ to deter young offenders or their recidivism rates. </w:t>
      </w:r>
    </w:p>
    <w:p w14:paraId="664CF7F1" w14:textId="77777777" w:rsidR="00130423" w:rsidRDefault="00130423" w:rsidP="00130423">
      <w:pPr>
        <w:jc w:val="both"/>
        <w:rPr>
          <w:rFonts w:cstheme="minorHAnsi"/>
          <w:sz w:val="24"/>
          <w:szCs w:val="24"/>
        </w:rPr>
      </w:pPr>
    </w:p>
    <w:p w14:paraId="31D0D4B5" w14:textId="77777777" w:rsidR="00130423" w:rsidRDefault="00130423" w:rsidP="00130423">
      <w:pPr>
        <w:jc w:val="both"/>
        <w:rPr>
          <w:rFonts w:cstheme="minorHAnsi"/>
          <w:sz w:val="24"/>
          <w:szCs w:val="24"/>
        </w:rPr>
      </w:pPr>
      <w:r>
        <w:rPr>
          <w:rFonts w:cstheme="minorHAnsi"/>
          <w:sz w:val="24"/>
          <w:szCs w:val="24"/>
        </w:rPr>
        <w:t xml:space="preserve">A case study that demonstrates how the CAPRICORN framework can be effective is in relation to the Scotland’s Violence Reduction Unit. After Scotland was branded the most violent country in the developed world, funding was sought to create the violence reduction unit, who implemented strategies to help aid the </w:t>
      </w:r>
      <w:r>
        <w:rPr>
          <w:rFonts w:cstheme="minorHAnsi"/>
          <w:sz w:val="24"/>
          <w:szCs w:val="24"/>
        </w:rPr>
        <w:lastRenderedPageBreak/>
        <w:t xml:space="preserve">intervention of offending. Two strategies implemented were school based programmes to teach bystander intervention and a project named Street and Arrow. This project offered monitoring and support to those who were either prior offenders or those at risk of committing crime. Public Health England (2019) states that since the establishment of the violence reduction unit, Scotland has seen a 54% decrease in non-sexual violence recorded by the police. </w:t>
      </w:r>
    </w:p>
    <w:p w14:paraId="337CFCC5" w14:textId="77777777" w:rsidR="00130423" w:rsidRDefault="00130423" w:rsidP="00130423">
      <w:pPr>
        <w:jc w:val="both"/>
        <w:rPr>
          <w:rFonts w:cstheme="minorHAnsi"/>
          <w:sz w:val="24"/>
          <w:szCs w:val="24"/>
        </w:rPr>
      </w:pPr>
      <w:r>
        <w:rPr>
          <w:rFonts w:cstheme="minorHAnsi"/>
          <w:sz w:val="24"/>
          <w:szCs w:val="24"/>
        </w:rPr>
        <w:t xml:space="preserve"> </w:t>
      </w:r>
    </w:p>
    <w:p w14:paraId="5CF9E350" w14:textId="77777777" w:rsidR="00130423" w:rsidRDefault="00130423" w:rsidP="00130423">
      <w:pPr>
        <w:jc w:val="both"/>
        <w:rPr>
          <w:rFonts w:cstheme="minorHAnsi"/>
          <w:sz w:val="24"/>
          <w:szCs w:val="24"/>
        </w:rPr>
      </w:pPr>
      <w:r>
        <w:rPr>
          <w:rFonts w:cstheme="minorHAnsi"/>
          <w:sz w:val="24"/>
          <w:szCs w:val="24"/>
        </w:rPr>
        <w:t xml:space="preserve">In 2024, the Youth Justice Statistics published numerous findings from March 2022 to March 2023, focussing on young offenders between the ages of 10-17 (Youth Justice Board, 2024). As stated by the Youth Justice Statistics, there was an average of around 440 children in custody at any one time during the year, a fall of 3% against the previous year and the lowest number on record. There was also a finding that arrests increased by 9% compared to the previous year, however even though there was an increase in arrests, the number remained lower than pre-pandemic levels. It is essential to note that there was a decrease of 53% compared to the year ending March 2013, which demonstrates how early intervention is benefitting children and adolescents in terms of their criminal behaviour or reoffending behaviour. </w:t>
      </w:r>
    </w:p>
    <w:p w14:paraId="7992546B" w14:textId="77777777" w:rsidR="00130423" w:rsidRDefault="00130423" w:rsidP="00130423">
      <w:pPr>
        <w:jc w:val="both"/>
        <w:rPr>
          <w:rFonts w:cstheme="minorHAnsi"/>
          <w:sz w:val="24"/>
          <w:szCs w:val="24"/>
        </w:rPr>
      </w:pPr>
    </w:p>
    <w:p w14:paraId="7DBD7D56" w14:textId="77777777" w:rsidR="00130423" w:rsidRDefault="00130423" w:rsidP="00130423">
      <w:pPr>
        <w:jc w:val="both"/>
        <w:rPr>
          <w:rFonts w:cstheme="minorHAnsi"/>
          <w:sz w:val="24"/>
          <w:szCs w:val="24"/>
        </w:rPr>
      </w:pPr>
      <w:r>
        <w:rPr>
          <w:rFonts w:cstheme="minorHAnsi"/>
          <w:sz w:val="24"/>
          <w:szCs w:val="24"/>
        </w:rPr>
        <w:t xml:space="preserve">On the other hand, Goldson (2019) states that early intervention is how the future is governed by actuarial forms of social control that erodes the rule of law and can therefore subject children and adolescents to ever-higher degrees of criminalisation, surveillance, and regulation. Goldson highlights that children and adolescents are judged not only for what they have done or may do, but also for who they are seen to be, as ‘potential offenders’. </w:t>
      </w:r>
    </w:p>
    <w:p w14:paraId="17CFA7C1" w14:textId="77777777" w:rsidR="007A3814" w:rsidRDefault="007A3814" w:rsidP="00130423">
      <w:pPr>
        <w:jc w:val="both"/>
        <w:rPr>
          <w:rFonts w:cstheme="minorHAnsi"/>
          <w:sz w:val="24"/>
          <w:szCs w:val="24"/>
        </w:rPr>
      </w:pPr>
    </w:p>
    <w:p w14:paraId="2B3C5AB3" w14:textId="77777777" w:rsidR="00130423" w:rsidRDefault="00130423" w:rsidP="00130423">
      <w:pPr>
        <w:jc w:val="both"/>
        <w:rPr>
          <w:rFonts w:cstheme="minorHAnsi"/>
          <w:sz w:val="24"/>
          <w:szCs w:val="24"/>
        </w:rPr>
      </w:pPr>
      <w:r>
        <w:rPr>
          <w:rFonts w:cstheme="minorHAnsi"/>
          <w:sz w:val="24"/>
          <w:szCs w:val="24"/>
        </w:rPr>
        <w:t xml:space="preserve">Although there is numerous evidence to suggest how early intervention can be a powerful tool to assist in the prevention of children or adolescents offending or reoffending, it also upholds negative aspects. For example, early intervention can be too expensive to deliver to its selected audience of people who pose risks of being inclined to offend. Tremblay et al (1992) states that growing research indicates a substantial correlation between early behavioural offending and the absence of long-term funding for this kind of early intervention. Overall, based upon my academic research into early intervention, I have found that there are numerous studies to suggest that early intervention has a positive impact on children and adolescents and the offending/reoffending rates. </w:t>
      </w:r>
    </w:p>
    <w:p w14:paraId="01592ED1" w14:textId="0CB0BACB" w:rsidR="00130423" w:rsidRPr="00130423" w:rsidRDefault="00130423" w:rsidP="00130423">
      <w:pPr>
        <w:jc w:val="both"/>
        <w:rPr>
          <w:rFonts w:cstheme="minorHAnsi"/>
          <w:b/>
          <w:bCs/>
          <w:sz w:val="24"/>
          <w:szCs w:val="24"/>
        </w:rPr>
      </w:pPr>
      <w:r w:rsidRPr="00130423">
        <w:rPr>
          <w:rFonts w:cstheme="minorHAnsi"/>
          <w:b/>
          <w:bCs/>
          <w:sz w:val="24"/>
          <w:szCs w:val="24"/>
        </w:rPr>
        <w:t xml:space="preserve">Word Count – </w:t>
      </w:r>
      <w:r w:rsidR="007A3814">
        <w:rPr>
          <w:rFonts w:cstheme="minorHAnsi"/>
          <w:b/>
          <w:bCs/>
          <w:sz w:val="24"/>
          <w:szCs w:val="24"/>
        </w:rPr>
        <w:t>9</w:t>
      </w:r>
      <w:r w:rsidR="002B4C39">
        <w:rPr>
          <w:rFonts w:cstheme="minorHAnsi"/>
          <w:b/>
          <w:bCs/>
          <w:sz w:val="24"/>
          <w:szCs w:val="24"/>
        </w:rPr>
        <w:t>68</w:t>
      </w:r>
    </w:p>
    <w:p w14:paraId="3CD5B8F1" w14:textId="6E24D1A3" w:rsidR="003A1A7D" w:rsidRDefault="00130423" w:rsidP="00130423">
      <w:pPr>
        <w:jc w:val="both"/>
        <w:rPr>
          <w:rFonts w:cstheme="minorHAnsi"/>
          <w:b/>
          <w:bCs/>
          <w:sz w:val="24"/>
          <w:szCs w:val="24"/>
        </w:rPr>
      </w:pPr>
      <w:r>
        <w:rPr>
          <w:rFonts w:cstheme="minorHAnsi"/>
          <w:b/>
          <w:bCs/>
          <w:sz w:val="24"/>
          <w:szCs w:val="24"/>
        </w:rPr>
        <w:br w:type="page"/>
      </w:r>
    </w:p>
    <w:p w14:paraId="0DC22A65" w14:textId="1C660346" w:rsidR="003A1A7D" w:rsidRDefault="003A1A7D" w:rsidP="00130423">
      <w:pPr>
        <w:jc w:val="both"/>
        <w:rPr>
          <w:rFonts w:cstheme="minorHAnsi"/>
          <w:b/>
          <w:bCs/>
          <w:sz w:val="24"/>
          <w:szCs w:val="24"/>
        </w:rPr>
      </w:pPr>
      <w:r>
        <w:rPr>
          <w:rFonts w:cstheme="minorHAnsi"/>
          <w:b/>
          <w:bCs/>
          <w:sz w:val="24"/>
          <w:szCs w:val="24"/>
        </w:rPr>
        <w:lastRenderedPageBreak/>
        <w:t xml:space="preserve">Essay four – </w:t>
      </w:r>
    </w:p>
    <w:p w14:paraId="5E80F22B" w14:textId="77777777" w:rsidR="00130423" w:rsidRDefault="00130423" w:rsidP="00130423">
      <w:pPr>
        <w:jc w:val="both"/>
        <w:rPr>
          <w:rFonts w:cstheme="minorHAnsi"/>
          <w:sz w:val="24"/>
          <w:szCs w:val="24"/>
        </w:rPr>
      </w:pPr>
      <w:r>
        <w:rPr>
          <w:rFonts w:cstheme="minorHAnsi"/>
          <w:sz w:val="24"/>
          <w:szCs w:val="24"/>
        </w:rPr>
        <w:t xml:space="preserve">This essay will discuss how policing has adapted to accommodate diversity within the UK, and whether this has been effective or not. The essay will further go on to discuss how policing has made a conscious effort to narrow the gap between the police itself and the diverse communities that they serve, whilst understanding and adapting to everyone’s personal needs. </w:t>
      </w:r>
    </w:p>
    <w:p w14:paraId="13D73B15" w14:textId="77777777" w:rsidR="00130423" w:rsidRDefault="00130423" w:rsidP="00130423">
      <w:pPr>
        <w:jc w:val="both"/>
        <w:rPr>
          <w:rFonts w:cstheme="minorHAnsi"/>
          <w:sz w:val="24"/>
          <w:szCs w:val="24"/>
        </w:rPr>
      </w:pPr>
    </w:p>
    <w:p w14:paraId="430257D7" w14:textId="77777777" w:rsidR="00130423" w:rsidRDefault="00130423" w:rsidP="00130423">
      <w:pPr>
        <w:jc w:val="both"/>
        <w:rPr>
          <w:rFonts w:cstheme="minorHAnsi"/>
          <w:sz w:val="24"/>
          <w:szCs w:val="24"/>
        </w:rPr>
      </w:pPr>
      <w:r>
        <w:rPr>
          <w:rFonts w:cstheme="minorHAnsi"/>
          <w:sz w:val="24"/>
          <w:szCs w:val="24"/>
        </w:rPr>
        <w:t>It is important to understand the meaning of diversity and inclusion which coincide with each other, whilst focussing on the four main elements of discrimination that relate to this. Diversity is a depiction of a wide range of individuals emphasising their differences. The conscious act of embracing diversity is to enable participation and achievement for everyone, is known as inclusion. Stout (2010) states ‘an individual has the right to impartial and non-discriminatory treatment whenever they interact with the criminal justice system, be it as the defendant, victim or witness’.</w:t>
      </w:r>
    </w:p>
    <w:p w14:paraId="4BF0AA52" w14:textId="77777777" w:rsidR="00130423" w:rsidRDefault="00130423" w:rsidP="00130423">
      <w:pPr>
        <w:jc w:val="both"/>
        <w:rPr>
          <w:rFonts w:cstheme="minorHAnsi"/>
          <w:sz w:val="24"/>
          <w:szCs w:val="24"/>
        </w:rPr>
      </w:pPr>
    </w:p>
    <w:p w14:paraId="6AC2F61C" w14:textId="77777777" w:rsidR="00130423" w:rsidRDefault="00130423" w:rsidP="00130423">
      <w:pPr>
        <w:jc w:val="both"/>
        <w:rPr>
          <w:rFonts w:cstheme="minorHAnsi"/>
          <w:sz w:val="24"/>
          <w:szCs w:val="24"/>
        </w:rPr>
      </w:pPr>
      <w:r>
        <w:rPr>
          <w:rFonts w:cstheme="minorHAnsi"/>
          <w:sz w:val="24"/>
          <w:szCs w:val="24"/>
        </w:rPr>
        <w:t>Academic research has highlighted a pivotal change in the way the police have engaged with diverse communities, which to this day is still abided by. An article on The Guardian website discusses a report known as the ‘Scarman Report’, which identifies the lack of relationship between the police and the community. As stated in the article, ‘if it is not to become an endemic, incurable sickness that threatens society’s survival, immediate action is required’ (Cook, 2021). The Scarman report was based off the Brixton Riots 1981, whereby there was no relationship between the police or the public, and as stated throughout a BBC article, racial tensions were high, unemployment was rampant, and the black community in the nation had a bad rapport with the police. Many black individuals felt that police officers had unfairly and badly treated them, and that one way the police had done so was through using the stop and search law (BBC, 2021).</w:t>
      </w:r>
    </w:p>
    <w:p w14:paraId="546886B5" w14:textId="77777777" w:rsidR="00130423" w:rsidRDefault="00130423" w:rsidP="00130423">
      <w:pPr>
        <w:jc w:val="both"/>
        <w:rPr>
          <w:rFonts w:cstheme="minorHAnsi"/>
          <w:sz w:val="24"/>
          <w:szCs w:val="24"/>
        </w:rPr>
      </w:pPr>
    </w:p>
    <w:p w14:paraId="4904B53B" w14:textId="616E61B6" w:rsidR="00130423" w:rsidRDefault="00130423" w:rsidP="00130423">
      <w:pPr>
        <w:jc w:val="both"/>
        <w:rPr>
          <w:rFonts w:cstheme="minorHAnsi"/>
          <w:sz w:val="24"/>
          <w:szCs w:val="24"/>
        </w:rPr>
      </w:pPr>
      <w:r>
        <w:rPr>
          <w:rFonts w:cstheme="minorHAnsi"/>
          <w:sz w:val="24"/>
          <w:szCs w:val="24"/>
        </w:rPr>
        <w:t xml:space="preserve">Bhugowandeen states that since the Lawrence Enquiry Report 1999 on police failings in relation to the murder of Stephen Lawrence in 1993, awareness of the notion of ‘diversity’ in the police force recognised that a service that was designed for a white majority population no longer worked. Since this discovery and understanding of such issues, numerous initiatives were started to highlight the issues of discrimination and changes officers’ behaviour to put an end to such issues. Since publications like the one above have been published and acknowledged by police forces, from 2016-2019 there has been a positive correlation yearly in relation to the </w:t>
      </w:r>
      <w:r w:rsidR="00136A53">
        <w:rPr>
          <w:rFonts w:cstheme="minorHAnsi"/>
          <w:sz w:val="24"/>
          <w:szCs w:val="24"/>
        </w:rPr>
        <w:t>public’s</w:t>
      </w:r>
      <w:r>
        <w:rPr>
          <w:rFonts w:cstheme="minorHAnsi"/>
          <w:sz w:val="24"/>
          <w:szCs w:val="24"/>
        </w:rPr>
        <w:t xml:space="preserve"> trust in police ages 16 and over in England and Wales. For example, within the Black/African/Caribbean/Black British ethnic group in England and Wales there has been an increase in their trust in the police. In 2016, 73% of the public stated that they trust the police, compared to an 81% trust rate in 2019 (Office for National Statistics, 2021). </w:t>
      </w:r>
    </w:p>
    <w:p w14:paraId="54A96C5A" w14:textId="77777777" w:rsidR="00130423" w:rsidRDefault="00130423" w:rsidP="00130423">
      <w:pPr>
        <w:jc w:val="both"/>
        <w:rPr>
          <w:rFonts w:cstheme="minorHAnsi"/>
          <w:sz w:val="24"/>
          <w:szCs w:val="24"/>
        </w:rPr>
      </w:pPr>
    </w:p>
    <w:p w14:paraId="02AEA353" w14:textId="77777777" w:rsidR="00130423" w:rsidRDefault="00130423" w:rsidP="00130423">
      <w:pPr>
        <w:jc w:val="both"/>
        <w:rPr>
          <w:rFonts w:cstheme="minorHAnsi"/>
          <w:sz w:val="24"/>
          <w:szCs w:val="24"/>
        </w:rPr>
      </w:pPr>
      <w:r>
        <w:rPr>
          <w:rFonts w:cstheme="minorHAnsi"/>
          <w:sz w:val="24"/>
          <w:szCs w:val="24"/>
        </w:rPr>
        <w:t>Due to the above incident, the equality act which provides a legal framework to shield people from unfair and discriminatory treatment, was introduced in 2010. The Equality Act 2010 creates a single act that supersedes all current anti-discrimination statutes. It makes the law simpler, getting rid of contradictions and making it simpler for people to comprehend an abide by. It also significantly tightens the law to combat inequality and prejudice (Government Equalities Office, 2010).</w:t>
      </w:r>
    </w:p>
    <w:p w14:paraId="00BC467A" w14:textId="77777777" w:rsidR="00130423" w:rsidRDefault="00130423" w:rsidP="00130423">
      <w:pPr>
        <w:jc w:val="both"/>
        <w:rPr>
          <w:rFonts w:cstheme="minorHAnsi"/>
          <w:sz w:val="24"/>
          <w:szCs w:val="24"/>
        </w:rPr>
      </w:pPr>
    </w:p>
    <w:p w14:paraId="51E866F3" w14:textId="77777777" w:rsidR="00130423" w:rsidRDefault="00130423" w:rsidP="00130423">
      <w:pPr>
        <w:jc w:val="both"/>
        <w:rPr>
          <w:rFonts w:cstheme="minorHAnsi"/>
          <w:sz w:val="24"/>
          <w:szCs w:val="24"/>
        </w:rPr>
      </w:pPr>
      <w:r>
        <w:rPr>
          <w:rFonts w:cstheme="minorHAnsi"/>
          <w:sz w:val="24"/>
          <w:szCs w:val="24"/>
        </w:rPr>
        <w:t xml:space="preserve">Furthermore, another way that policing has effectively adapted to accommodate diversity within the UK is by abiding by the College of Policing Competency and Values Framework. The College of Policing (2023) states “The Competency and Values Framework sets out nationally raised values and behaviours to support all </w:t>
      </w:r>
      <w:r>
        <w:rPr>
          <w:rFonts w:cstheme="minorHAnsi"/>
          <w:sz w:val="24"/>
          <w:szCs w:val="24"/>
        </w:rPr>
        <w:lastRenderedPageBreak/>
        <w:t>policing professionals. All competencies are underpinned by four values that support everything that we do as a police service”. The four values are: public service, integrity, transparency, and impartiality. Evidence of how officers adapt to effectively accommodate diversity within the UK is through the public service of the competency and values framework. An example of this is ensuring that police officers act in the best interests of society, an officer’s behaviour can show this by adapting to address the needs and concerns of different communities. A second example of this can be shown through officer’s behaviour as treating people fairly, regardless of their circumstances. The demands of diverse populations are acknowledged by policing. Neighbourhood policing efforts are focused on meeting the unique needs and demands of various communities while taking threat, danger, harm, and vulnerability into account (College of Policing, 2021).</w:t>
      </w:r>
    </w:p>
    <w:p w14:paraId="5BC264B1" w14:textId="77777777" w:rsidR="00130423" w:rsidRDefault="00130423" w:rsidP="00130423">
      <w:pPr>
        <w:jc w:val="both"/>
        <w:rPr>
          <w:rFonts w:cstheme="minorHAnsi"/>
          <w:sz w:val="24"/>
          <w:szCs w:val="24"/>
        </w:rPr>
      </w:pPr>
    </w:p>
    <w:p w14:paraId="4B9DC107" w14:textId="77777777" w:rsidR="00130423" w:rsidRDefault="00130423" w:rsidP="00130423">
      <w:pPr>
        <w:jc w:val="both"/>
        <w:rPr>
          <w:rFonts w:cstheme="minorHAnsi"/>
          <w:sz w:val="24"/>
          <w:szCs w:val="24"/>
        </w:rPr>
      </w:pPr>
      <w:r>
        <w:rPr>
          <w:rFonts w:cstheme="minorHAnsi"/>
          <w:sz w:val="24"/>
          <w:szCs w:val="24"/>
        </w:rPr>
        <w:t xml:space="preserve">As a police officer myself, I have been made aware of the importance of creating a multi-cultural workplace, including members of the public who are believed to be from a diverse community, not only in my current work force of South Wales Police, but other numerous forces within the UK. With focus on not only recruiting such individuals who fit the ‘diverse communities or groups’ but to retain such individuals to create a diverse work force. The College of Policing (2022) provides numerous resources to help forces create a ‘positive work environment based on equity and respect, so all officers and staff can fulfil their potential’. Carruthers (2023) supports this through a recent blog, whereby she states nationwide, around 65% of people agreed that they feel seen represented within their local police force. Which in turn, demonstrates how the police itself and its officer’s engagement narrows the gap between the police and diverse communities within the UK. </w:t>
      </w:r>
    </w:p>
    <w:p w14:paraId="7E030481" w14:textId="77777777" w:rsidR="00130423" w:rsidRDefault="00130423" w:rsidP="00130423">
      <w:pPr>
        <w:jc w:val="both"/>
        <w:rPr>
          <w:rFonts w:cstheme="minorHAnsi"/>
          <w:sz w:val="24"/>
          <w:szCs w:val="24"/>
        </w:rPr>
      </w:pPr>
    </w:p>
    <w:p w14:paraId="54D0B655" w14:textId="77777777" w:rsidR="00130423" w:rsidRDefault="00130423" w:rsidP="00130423">
      <w:pPr>
        <w:jc w:val="both"/>
        <w:rPr>
          <w:rFonts w:cstheme="minorHAnsi"/>
          <w:sz w:val="24"/>
          <w:szCs w:val="24"/>
        </w:rPr>
      </w:pPr>
      <w:r>
        <w:rPr>
          <w:rFonts w:cstheme="minorHAnsi"/>
          <w:sz w:val="24"/>
          <w:szCs w:val="24"/>
        </w:rPr>
        <w:t xml:space="preserve">Having researched how effectively policing has adapted to accommodate diversity within the UK, it was apparent to me that numerous police forces have implemented numerous strategies to overcome a distance between the police and the public as well as improve the engagement with such diverse communities. </w:t>
      </w:r>
    </w:p>
    <w:p w14:paraId="3298183D" w14:textId="56198821" w:rsidR="003A1A7D" w:rsidRPr="00130423" w:rsidRDefault="00130423" w:rsidP="00130423">
      <w:pPr>
        <w:jc w:val="both"/>
        <w:rPr>
          <w:rFonts w:cstheme="minorHAnsi"/>
          <w:sz w:val="24"/>
          <w:szCs w:val="24"/>
        </w:rPr>
      </w:pPr>
      <w:r w:rsidRPr="00130423">
        <w:rPr>
          <w:rFonts w:cstheme="minorHAnsi"/>
          <w:b/>
          <w:bCs/>
          <w:sz w:val="24"/>
          <w:szCs w:val="24"/>
        </w:rPr>
        <w:t>Word Count - 934</w:t>
      </w:r>
      <w:r w:rsidRPr="00650D4A">
        <w:rPr>
          <w:rFonts w:cstheme="minorHAnsi"/>
          <w:sz w:val="24"/>
          <w:szCs w:val="24"/>
        </w:rPr>
        <w:br w:type="page"/>
      </w:r>
    </w:p>
    <w:p w14:paraId="41EDC8B2" w14:textId="30188E31" w:rsidR="003A1A7D" w:rsidRPr="003A1A7D" w:rsidRDefault="003A1A7D" w:rsidP="00130423">
      <w:pPr>
        <w:jc w:val="both"/>
        <w:rPr>
          <w:rFonts w:cstheme="minorHAnsi"/>
          <w:b/>
          <w:bCs/>
          <w:sz w:val="24"/>
          <w:szCs w:val="24"/>
        </w:rPr>
      </w:pPr>
      <w:r>
        <w:rPr>
          <w:rFonts w:cstheme="minorHAnsi"/>
          <w:b/>
          <w:bCs/>
          <w:sz w:val="24"/>
          <w:szCs w:val="24"/>
        </w:rPr>
        <w:lastRenderedPageBreak/>
        <w:t xml:space="preserve">Bibliography - </w:t>
      </w:r>
    </w:p>
    <w:p w14:paraId="48913373" w14:textId="77777777" w:rsidR="00130423" w:rsidRPr="00CF5CDA" w:rsidRDefault="00130423" w:rsidP="00130423">
      <w:pPr>
        <w:jc w:val="both"/>
        <w:rPr>
          <w:rFonts w:cstheme="minorHAnsi"/>
          <w:color w:val="4472C4" w:themeColor="accent1"/>
          <w:sz w:val="24"/>
          <w:szCs w:val="24"/>
        </w:rPr>
      </w:pPr>
      <w:r w:rsidRPr="00CF5CDA">
        <w:rPr>
          <w:rFonts w:cstheme="minorHAnsi"/>
          <w:color w:val="333333"/>
          <w:sz w:val="24"/>
          <w:szCs w:val="24"/>
          <w:shd w:val="clear" w:color="auto" w:fill="FFFFFF"/>
        </w:rPr>
        <w:t>Ariel B, Sutherland A, Henstock D (2016b) Multi-site randomized controlled trial shows that police body-worn cameras reduce citizen’s complaints against the police: a case of contagious accountability? </w:t>
      </w:r>
      <w:r w:rsidRPr="00CF5CDA">
        <w:rPr>
          <w:rStyle w:val="Emphasis"/>
          <w:rFonts w:cstheme="minorHAnsi"/>
          <w:color w:val="333333"/>
          <w:sz w:val="24"/>
          <w:szCs w:val="24"/>
          <w:shd w:val="clear" w:color="auto" w:fill="FFFFFF"/>
        </w:rPr>
        <w:t xml:space="preserve">Criminal Justice and Behaviour. Available at: </w:t>
      </w:r>
      <w:hyperlink r:id="rId5" w:history="1">
        <w:r w:rsidRPr="00EA2B7C">
          <w:rPr>
            <w:rStyle w:val="Hyperlink"/>
            <w:rFonts w:cstheme="minorHAnsi"/>
            <w:color w:val="4472C4" w:themeColor="accent1"/>
            <w:sz w:val="24"/>
            <w:szCs w:val="24"/>
          </w:rPr>
          <w:t xml:space="preserve">Through an Australian Lens: Exploring the Impact of Body-Worn Cameras on Police–Community Relations | Policing: A Journal of Policy and Practice | Oxford </w:t>
        </w:r>
        <w:r w:rsidRPr="00EA2B7C">
          <w:rPr>
            <w:rStyle w:val="Hyperlink"/>
            <w:rFonts w:cstheme="minorHAnsi"/>
            <w:color w:val="4472C4" w:themeColor="accent1"/>
            <w:sz w:val="24"/>
            <w:szCs w:val="24"/>
          </w:rPr>
          <w:t>Academic (oup.com)</w:t>
        </w:r>
      </w:hyperlink>
      <w:r w:rsidRPr="00EA2B7C">
        <w:rPr>
          <w:rFonts w:cstheme="minorHAnsi"/>
          <w:color w:val="4472C4" w:themeColor="accent1"/>
          <w:sz w:val="24"/>
          <w:szCs w:val="24"/>
        </w:rPr>
        <w:t xml:space="preserve"> </w:t>
      </w:r>
    </w:p>
    <w:p w14:paraId="056F9A4C" w14:textId="77777777" w:rsidR="00130423" w:rsidRPr="00CF5CDA" w:rsidRDefault="00130423" w:rsidP="00130423">
      <w:pPr>
        <w:jc w:val="both"/>
        <w:rPr>
          <w:rFonts w:cstheme="minorHAnsi"/>
          <w:sz w:val="24"/>
          <w:szCs w:val="24"/>
        </w:rPr>
      </w:pPr>
      <w:r w:rsidRPr="00CF5CDA">
        <w:rPr>
          <w:rFonts w:cstheme="minorHAnsi"/>
          <w:sz w:val="24"/>
          <w:szCs w:val="24"/>
        </w:rPr>
        <w:t>[Accessed 27</w:t>
      </w:r>
      <w:r w:rsidRPr="00CF5CDA">
        <w:rPr>
          <w:rFonts w:cstheme="minorHAnsi"/>
          <w:sz w:val="24"/>
          <w:szCs w:val="24"/>
          <w:vertAlign w:val="superscript"/>
        </w:rPr>
        <w:t>th</w:t>
      </w:r>
      <w:r w:rsidRPr="00CF5CDA">
        <w:rPr>
          <w:rFonts w:cstheme="minorHAnsi"/>
          <w:sz w:val="24"/>
          <w:szCs w:val="24"/>
        </w:rPr>
        <w:t xml:space="preserve"> February 2024].</w:t>
      </w:r>
    </w:p>
    <w:p w14:paraId="257F0F15" w14:textId="77777777" w:rsidR="00130423" w:rsidRDefault="00130423" w:rsidP="00130423">
      <w:pPr>
        <w:jc w:val="both"/>
        <w:rPr>
          <w:rFonts w:cstheme="minorHAnsi"/>
          <w:sz w:val="24"/>
          <w:szCs w:val="24"/>
        </w:rPr>
      </w:pPr>
    </w:p>
    <w:p w14:paraId="16725852" w14:textId="77777777" w:rsidR="00130423" w:rsidRDefault="00130423" w:rsidP="00130423">
      <w:pPr>
        <w:jc w:val="both"/>
        <w:rPr>
          <w:rFonts w:cstheme="minorHAnsi"/>
          <w:sz w:val="24"/>
          <w:szCs w:val="24"/>
        </w:rPr>
      </w:pPr>
      <w:r>
        <w:rPr>
          <w:rFonts w:cstheme="minorHAnsi"/>
          <w:sz w:val="24"/>
          <w:szCs w:val="24"/>
        </w:rPr>
        <w:t xml:space="preserve">BBC News (2013), Jimmy Saville scandal: report reveals decades of abuse [online]. Available at: </w:t>
      </w:r>
      <w:hyperlink r:id="rId6" w:history="1">
        <w:r w:rsidRPr="00326B69">
          <w:rPr>
            <w:rStyle w:val="Hyperlink"/>
            <w:rFonts w:cstheme="minorHAnsi"/>
            <w:color w:val="4472C4" w:themeColor="accent1"/>
            <w:sz w:val="24"/>
            <w:szCs w:val="24"/>
          </w:rPr>
          <w:t>https://www.bbc.co.uk/news/uk-20981611</w:t>
        </w:r>
      </w:hyperlink>
    </w:p>
    <w:p w14:paraId="3BB30467" w14:textId="77777777" w:rsidR="00130423" w:rsidRDefault="00130423" w:rsidP="00130423">
      <w:pPr>
        <w:jc w:val="both"/>
        <w:rPr>
          <w:rFonts w:cstheme="minorHAnsi"/>
          <w:sz w:val="24"/>
          <w:szCs w:val="24"/>
        </w:rPr>
      </w:pPr>
    </w:p>
    <w:p w14:paraId="5DBCA940" w14:textId="77777777" w:rsidR="00130423" w:rsidRDefault="00130423" w:rsidP="00130423">
      <w:pPr>
        <w:jc w:val="both"/>
        <w:rPr>
          <w:rFonts w:cstheme="minorHAnsi"/>
          <w:sz w:val="24"/>
          <w:szCs w:val="24"/>
        </w:rPr>
      </w:pPr>
      <w:r>
        <w:rPr>
          <w:rFonts w:cstheme="minorHAnsi"/>
          <w:sz w:val="24"/>
          <w:szCs w:val="24"/>
        </w:rPr>
        <w:t xml:space="preserve">BBC (2021), Brixton riots 1981: What happened 40 years ago in London [online]. Available at: </w:t>
      </w:r>
      <w:hyperlink r:id="rId7" w:history="1">
        <w:r w:rsidRPr="00E12609">
          <w:rPr>
            <w:rStyle w:val="Hyperlink"/>
            <w:rFonts w:cstheme="minorHAnsi"/>
            <w:color w:val="4472C4" w:themeColor="accent1"/>
            <w:sz w:val="24"/>
            <w:szCs w:val="24"/>
          </w:rPr>
          <w:t>https://www.bbc.co.uk/newsround/50035769</w:t>
        </w:r>
      </w:hyperlink>
    </w:p>
    <w:p w14:paraId="29B5E12E" w14:textId="77777777" w:rsidR="00130423" w:rsidRDefault="00130423" w:rsidP="00130423">
      <w:pPr>
        <w:jc w:val="both"/>
        <w:rPr>
          <w:rFonts w:cstheme="minorHAnsi"/>
          <w:sz w:val="24"/>
          <w:szCs w:val="24"/>
        </w:rPr>
      </w:pPr>
    </w:p>
    <w:p w14:paraId="418C6EE3" w14:textId="77777777" w:rsidR="00130423" w:rsidRPr="00CF5CDA" w:rsidRDefault="00130423" w:rsidP="00130423">
      <w:pPr>
        <w:jc w:val="both"/>
        <w:rPr>
          <w:rFonts w:cstheme="minorHAnsi"/>
          <w:color w:val="4472C4" w:themeColor="accent1"/>
          <w:sz w:val="24"/>
          <w:szCs w:val="24"/>
        </w:rPr>
      </w:pPr>
      <w:r w:rsidRPr="00CF5CDA">
        <w:rPr>
          <w:rFonts w:cstheme="minorHAnsi"/>
          <w:sz w:val="24"/>
          <w:szCs w:val="24"/>
        </w:rPr>
        <w:t xml:space="preserve">BBC (2023), Autistic boy ‘left vulnerable to drugs gang’, Devon mother says [online]. Available at: </w:t>
      </w:r>
      <w:hyperlink r:id="rId8" w:history="1">
        <w:r w:rsidRPr="00CF5CDA">
          <w:rPr>
            <w:rStyle w:val="Hyperlink"/>
            <w:rFonts w:cstheme="minorHAnsi"/>
            <w:color w:val="4472C4" w:themeColor="accent1"/>
            <w:sz w:val="24"/>
            <w:szCs w:val="24"/>
          </w:rPr>
          <w:t>https://www.bbc.co.uk/news/articles/cd1w9dyl74zo</w:t>
        </w:r>
      </w:hyperlink>
      <w:r w:rsidRPr="00CF5CDA">
        <w:rPr>
          <w:rFonts w:cstheme="minorHAnsi"/>
          <w:color w:val="4472C4" w:themeColor="accent1"/>
          <w:sz w:val="24"/>
          <w:szCs w:val="24"/>
        </w:rPr>
        <w:t xml:space="preserve">  </w:t>
      </w:r>
    </w:p>
    <w:p w14:paraId="4386D7C0" w14:textId="77777777" w:rsidR="00130423" w:rsidRDefault="00130423" w:rsidP="00130423">
      <w:pPr>
        <w:jc w:val="both"/>
        <w:rPr>
          <w:rFonts w:cstheme="minorHAnsi"/>
          <w:sz w:val="24"/>
          <w:szCs w:val="24"/>
          <w:u w:val="single"/>
        </w:rPr>
      </w:pPr>
    </w:p>
    <w:p w14:paraId="270FC010" w14:textId="77777777" w:rsidR="00130423" w:rsidRDefault="00130423" w:rsidP="00130423">
      <w:pPr>
        <w:jc w:val="both"/>
        <w:rPr>
          <w:rFonts w:cstheme="minorHAnsi"/>
          <w:sz w:val="24"/>
          <w:szCs w:val="24"/>
        </w:rPr>
      </w:pPr>
      <w:r>
        <w:rPr>
          <w:rFonts w:cstheme="minorHAnsi"/>
          <w:sz w:val="24"/>
          <w:szCs w:val="24"/>
        </w:rPr>
        <w:t xml:space="preserve">Bellis, M. Lowey, H. Leckenby, N. Hughes, K. Harrison, D (2014), Adverse childhood experiences: retrospective study to determine their impact on adult health behaviours and health outcomes in a UK population. </w:t>
      </w:r>
      <w:r>
        <w:rPr>
          <w:rFonts w:cstheme="minorHAnsi"/>
          <w:i/>
          <w:iCs/>
          <w:sz w:val="24"/>
          <w:szCs w:val="24"/>
        </w:rPr>
        <w:t xml:space="preserve">Journal of Public Health, volume 36. </w:t>
      </w:r>
      <w:r>
        <w:rPr>
          <w:rFonts w:cstheme="minorHAnsi"/>
          <w:sz w:val="24"/>
          <w:szCs w:val="24"/>
        </w:rPr>
        <w:t xml:space="preserve">Available at: </w:t>
      </w:r>
      <w:hyperlink r:id="rId9" w:history="1">
        <w:r w:rsidRPr="006A001B">
          <w:rPr>
            <w:rStyle w:val="Hyperlink"/>
            <w:rFonts w:cstheme="minorHAnsi"/>
            <w:color w:val="4472C4" w:themeColor="accent1"/>
            <w:sz w:val="24"/>
            <w:szCs w:val="24"/>
          </w:rPr>
          <w:t>https://academic.oup.com/jpubhealth/article/36/1/81/1571104?login=false</w:t>
        </w:r>
      </w:hyperlink>
    </w:p>
    <w:p w14:paraId="2247DB17" w14:textId="77777777" w:rsidR="00130423" w:rsidRDefault="00130423" w:rsidP="00130423">
      <w:pPr>
        <w:jc w:val="both"/>
        <w:rPr>
          <w:rFonts w:cstheme="minorHAnsi"/>
          <w:sz w:val="24"/>
          <w:szCs w:val="24"/>
          <w:u w:val="single"/>
        </w:rPr>
      </w:pPr>
    </w:p>
    <w:p w14:paraId="39ACBA74" w14:textId="77777777" w:rsidR="00130423" w:rsidRDefault="00130423" w:rsidP="00130423">
      <w:pPr>
        <w:jc w:val="both"/>
        <w:rPr>
          <w:rFonts w:cstheme="minorHAnsi"/>
          <w:sz w:val="24"/>
          <w:szCs w:val="24"/>
        </w:rPr>
      </w:pPr>
      <w:r w:rsidRPr="009248B3">
        <w:rPr>
          <w:rFonts w:cstheme="minorHAnsi"/>
          <w:sz w:val="24"/>
          <w:szCs w:val="24"/>
        </w:rPr>
        <w:t xml:space="preserve">Bhugowandeen, B, Diversity in the British Police: Adapting to a multicultural society [online]. Available at: </w:t>
      </w:r>
      <w:hyperlink r:id="rId10" w:history="1">
        <w:r w:rsidRPr="009248B3">
          <w:rPr>
            <w:rStyle w:val="Hyperlink"/>
            <w:rFonts w:cstheme="minorHAnsi"/>
            <w:color w:val="4472C4" w:themeColor="accent1"/>
            <w:sz w:val="24"/>
            <w:szCs w:val="24"/>
          </w:rPr>
          <w:t>https://journals.openedition.org/mimmoc/1340</w:t>
        </w:r>
      </w:hyperlink>
    </w:p>
    <w:p w14:paraId="3279B75A" w14:textId="77777777" w:rsidR="00130423" w:rsidRDefault="00130423" w:rsidP="00130423">
      <w:pPr>
        <w:jc w:val="both"/>
        <w:rPr>
          <w:rFonts w:cstheme="minorHAnsi"/>
          <w:sz w:val="24"/>
          <w:szCs w:val="24"/>
          <w:u w:val="single"/>
        </w:rPr>
      </w:pPr>
    </w:p>
    <w:p w14:paraId="027BCEEA" w14:textId="77777777" w:rsidR="00130423" w:rsidRPr="00A65A62" w:rsidRDefault="00130423" w:rsidP="00130423">
      <w:pPr>
        <w:jc w:val="both"/>
        <w:rPr>
          <w:rFonts w:cstheme="minorHAnsi"/>
          <w:sz w:val="24"/>
          <w:szCs w:val="24"/>
        </w:rPr>
      </w:pPr>
      <w:r w:rsidRPr="00A65A62">
        <w:rPr>
          <w:rFonts w:cstheme="minorHAnsi"/>
          <w:sz w:val="24"/>
          <w:szCs w:val="24"/>
        </w:rPr>
        <w:t xml:space="preserve">Carruthers, E (2023), Diversity in policing 2023: Do constabularies truly represent the communities they serve? </w:t>
      </w:r>
      <w:r w:rsidRPr="00A65A62">
        <w:rPr>
          <w:rFonts w:cstheme="minorHAnsi"/>
          <w:i/>
          <w:iCs/>
          <w:sz w:val="24"/>
          <w:szCs w:val="24"/>
        </w:rPr>
        <w:t>Law.ac.uk</w:t>
      </w:r>
      <w:r>
        <w:rPr>
          <w:rFonts w:cstheme="minorHAnsi"/>
          <w:sz w:val="24"/>
          <w:szCs w:val="24"/>
        </w:rPr>
        <w:t xml:space="preserve"> </w:t>
      </w:r>
      <w:r w:rsidRPr="00A65A62">
        <w:rPr>
          <w:rFonts w:cstheme="minorHAnsi"/>
          <w:sz w:val="24"/>
          <w:szCs w:val="24"/>
        </w:rPr>
        <w:t xml:space="preserve">[online]. Available at: </w:t>
      </w:r>
      <w:hyperlink r:id="rId11" w:history="1">
        <w:r w:rsidRPr="00A65A62">
          <w:rPr>
            <w:rStyle w:val="Hyperlink"/>
            <w:color w:val="4472C4" w:themeColor="accent1"/>
          </w:rPr>
          <w:t>Diversity in policing 2023: Do constabularies truly represent the communities they serve? (law.ac.uk)</w:t>
        </w:r>
      </w:hyperlink>
    </w:p>
    <w:p w14:paraId="62BDAAF7" w14:textId="77777777" w:rsidR="00130423" w:rsidRDefault="00130423" w:rsidP="00130423">
      <w:pPr>
        <w:jc w:val="both"/>
        <w:rPr>
          <w:rFonts w:cstheme="minorHAnsi"/>
          <w:sz w:val="24"/>
          <w:szCs w:val="24"/>
          <w:u w:val="single"/>
        </w:rPr>
      </w:pPr>
    </w:p>
    <w:p w14:paraId="6DBD88A6" w14:textId="113453D4" w:rsidR="00130423" w:rsidRPr="00130423" w:rsidRDefault="00130423" w:rsidP="00130423">
      <w:pPr>
        <w:jc w:val="both"/>
        <w:rPr>
          <w:rFonts w:cstheme="minorHAnsi"/>
          <w:color w:val="212529"/>
          <w:sz w:val="24"/>
          <w:szCs w:val="24"/>
          <w:shd w:val="clear" w:color="auto" w:fill="FFFFFF"/>
        </w:rPr>
      </w:pPr>
      <w:r w:rsidRPr="00CF5CDA">
        <w:rPr>
          <w:rFonts w:cstheme="minorHAnsi"/>
          <w:color w:val="212529"/>
          <w:sz w:val="24"/>
          <w:szCs w:val="24"/>
          <w:shd w:val="clear" w:color="auto" w:fill="FFFFFF"/>
        </w:rPr>
        <w:t>Coliandris, G., ‘Zander on PACE: the Police and Criminal Evidence Act 1984’ </w:t>
      </w:r>
      <w:r w:rsidRPr="00CF5CDA">
        <w:rPr>
          <w:rStyle w:val="Emphasis"/>
          <w:rFonts w:cstheme="minorHAnsi"/>
          <w:color w:val="212529"/>
          <w:sz w:val="24"/>
          <w:szCs w:val="24"/>
          <w:shd w:val="clear" w:color="auto" w:fill="FFFFFF"/>
        </w:rPr>
        <w:t>[2014] Pol J 139</w:t>
      </w:r>
      <w:r w:rsidRPr="00CF5CDA">
        <w:rPr>
          <w:rFonts w:cstheme="minorHAnsi"/>
          <w:color w:val="212529"/>
          <w:sz w:val="24"/>
          <w:szCs w:val="24"/>
          <w:shd w:val="clear" w:color="auto" w:fill="FFFFFF"/>
        </w:rPr>
        <w:t> at p.13</w:t>
      </w:r>
    </w:p>
    <w:p w14:paraId="23E7D12B" w14:textId="77777777" w:rsidR="00130423" w:rsidRDefault="00130423" w:rsidP="00130423">
      <w:pPr>
        <w:jc w:val="both"/>
        <w:rPr>
          <w:rFonts w:cstheme="minorHAnsi"/>
          <w:sz w:val="24"/>
          <w:szCs w:val="24"/>
          <w:u w:val="single"/>
        </w:rPr>
      </w:pPr>
    </w:p>
    <w:p w14:paraId="0B7D7CE0" w14:textId="42BD33DA" w:rsidR="00371C2E" w:rsidRPr="00371C2E" w:rsidRDefault="00371C2E" w:rsidP="00130423">
      <w:pPr>
        <w:jc w:val="both"/>
        <w:rPr>
          <w:rFonts w:cstheme="minorHAnsi"/>
          <w:color w:val="4472C4" w:themeColor="accent1"/>
          <w:sz w:val="24"/>
          <w:szCs w:val="24"/>
        </w:rPr>
      </w:pPr>
      <w:r w:rsidRPr="00371C2E">
        <w:rPr>
          <w:rFonts w:cstheme="minorHAnsi"/>
          <w:sz w:val="24"/>
          <w:szCs w:val="24"/>
        </w:rPr>
        <w:t>College of Policing (2013), National Decision Model [online]. Available at:</w:t>
      </w:r>
      <w:r>
        <w:rPr>
          <w:rFonts w:cstheme="minorHAnsi"/>
          <w:sz w:val="24"/>
          <w:szCs w:val="24"/>
        </w:rPr>
        <w:t xml:space="preserve"> </w:t>
      </w:r>
      <w:hyperlink r:id="rId12" w:history="1">
        <w:r w:rsidRPr="00371C2E">
          <w:rPr>
            <w:rStyle w:val="Hyperlink"/>
            <w:rFonts w:cstheme="minorHAnsi"/>
            <w:color w:val="4472C4" w:themeColor="accent1"/>
            <w:sz w:val="24"/>
            <w:szCs w:val="24"/>
          </w:rPr>
          <w:t>https://www.college.police.uk/app/national-decision-model/national-decision-model</w:t>
        </w:r>
      </w:hyperlink>
    </w:p>
    <w:p w14:paraId="0A14CB1E" w14:textId="77777777" w:rsidR="00371C2E" w:rsidRDefault="00371C2E" w:rsidP="00130423">
      <w:pPr>
        <w:jc w:val="both"/>
        <w:rPr>
          <w:rFonts w:cstheme="minorHAnsi"/>
          <w:sz w:val="24"/>
          <w:szCs w:val="24"/>
          <w:u w:val="single"/>
        </w:rPr>
      </w:pPr>
    </w:p>
    <w:p w14:paraId="2154BC46" w14:textId="77777777" w:rsidR="00130423" w:rsidRDefault="00130423" w:rsidP="00130423">
      <w:pPr>
        <w:jc w:val="both"/>
        <w:rPr>
          <w:rFonts w:cstheme="minorHAnsi"/>
          <w:sz w:val="24"/>
          <w:szCs w:val="24"/>
        </w:rPr>
      </w:pPr>
      <w:r>
        <w:rPr>
          <w:rFonts w:cstheme="minorHAnsi"/>
          <w:sz w:val="24"/>
          <w:szCs w:val="24"/>
        </w:rPr>
        <w:t xml:space="preserve">College of Policing (2021), Targeting activity [online]. Available at: </w:t>
      </w:r>
      <w:hyperlink r:id="rId13" w:history="1">
        <w:r w:rsidRPr="00917C07">
          <w:rPr>
            <w:rStyle w:val="Hyperlink"/>
            <w:rFonts w:cstheme="minorHAnsi"/>
            <w:color w:val="4472C4" w:themeColor="accent1"/>
            <w:sz w:val="24"/>
            <w:szCs w:val="24"/>
          </w:rPr>
          <w:t>https://www.college.police.uk/guidance/neighbourhood-policing/targeting-activity</w:t>
        </w:r>
      </w:hyperlink>
    </w:p>
    <w:p w14:paraId="4AC77B2F" w14:textId="77777777" w:rsidR="00130423" w:rsidRDefault="00130423" w:rsidP="00130423">
      <w:pPr>
        <w:jc w:val="both"/>
        <w:rPr>
          <w:rFonts w:cstheme="minorHAnsi"/>
          <w:sz w:val="24"/>
          <w:szCs w:val="24"/>
          <w:u w:val="single"/>
        </w:rPr>
      </w:pPr>
    </w:p>
    <w:p w14:paraId="61CD84ED" w14:textId="77777777" w:rsidR="00130423" w:rsidRDefault="00130423" w:rsidP="00130423">
      <w:pPr>
        <w:jc w:val="both"/>
        <w:rPr>
          <w:rFonts w:cstheme="minorHAnsi"/>
          <w:sz w:val="24"/>
          <w:szCs w:val="24"/>
        </w:rPr>
      </w:pPr>
      <w:r w:rsidRPr="00056D2F">
        <w:rPr>
          <w:rFonts w:cstheme="minorHAnsi"/>
          <w:sz w:val="24"/>
          <w:szCs w:val="24"/>
        </w:rPr>
        <w:lastRenderedPageBreak/>
        <w:t xml:space="preserve">College of Policing (2022), Diversity and Inclusion [online]. Available at: </w:t>
      </w:r>
      <w:hyperlink r:id="rId14" w:history="1">
        <w:r w:rsidRPr="00056D2F">
          <w:rPr>
            <w:rStyle w:val="Hyperlink"/>
            <w:rFonts w:cstheme="minorHAnsi"/>
            <w:color w:val="4472C4" w:themeColor="accent1"/>
            <w:sz w:val="24"/>
            <w:szCs w:val="24"/>
          </w:rPr>
          <w:t>https://www.college.police.uk/support-forces/diversity-and-inclusion</w:t>
        </w:r>
      </w:hyperlink>
    </w:p>
    <w:p w14:paraId="2471638C" w14:textId="77777777" w:rsidR="00130423" w:rsidRDefault="00130423" w:rsidP="00130423">
      <w:pPr>
        <w:jc w:val="both"/>
        <w:rPr>
          <w:rFonts w:cstheme="minorHAnsi"/>
          <w:sz w:val="24"/>
          <w:szCs w:val="24"/>
          <w:u w:val="single"/>
        </w:rPr>
      </w:pPr>
    </w:p>
    <w:p w14:paraId="2D04B778" w14:textId="77777777" w:rsidR="00130423" w:rsidRPr="008E7C3F" w:rsidRDefault="00130423" w:rsidP="00130423">
      <w:pPr>
        <w:jc w:val="both"/>
        <w:rPr>
          <w:rFonts w:cstheme="minorHAnsi"/>
          <w:color w:val="4472C4" w:themeColor="accent1"/>
          <w:sz w:val="24"/>
          <w:szCs w:val="24"/>
        </w:rPr>
      </w:pPr>
      <w:r>
        <w:rPr>
          <w:rFonts w:cstheme="minorHAnsi"/>
          <w:sz w:val="24"/>
          <w:szCs w:val="24"/>
        </w:rPr>
        <w:t xml:space="preserve">College of Policing (2023), Multi-agency public protection arrangements (MAPPA) [online]. Available at: </w:t>
      </w:r>
      <w:hyperlink r:id="rId15" w:history="1">
        <w:r w:rsidRPr="008E7C3F">
          <w:rPr>
            <w:rStyle w:val="Hyperlink"/>
            <w:rFonts w:cstheme="minorHAnsi"/>
            <w:color w:val="4472C4" w:themeColor="accent1"/>
            <w:sz w:val="24"/>
            <w:szCs w:val="24"/>
          </w:rPr>
          <w:t>https://www.college.police.uk/app/major-investigation-and-public-protection/managing-sexual-offenders-and-violent-offenders/multi-agency-public-protection-arrangements-mappa</w:t>
        </w:r>
      </w:hyperlink>
    </w:p>
    <w:p w14:paraId="28FF469E" w14:textId="77777777" w:rsidR="00130423" w:rsidRDefault="00130423" w:rsidP="00130423">
      <w:pPr>
        <w:jc w:val="both"/>
        <w:rPr>
          <w:rFonts w:cstheme="minorHAnsi"/>
          <w:sz w:val="24"/>
          <w:szCs w:val="24"/>
          <w:u w:val="single"/>
        </w:rPr>
      </w:pPr>
    </w:p>
    <w:p w14:paraId="6444F4F0" w14:textId="77777777" w:rsidR="00130423" w:rsidRDefault="00130423" w:rsidP="00130423">
      <w:pPr>
        <w:jc w:val="both"/>
        <w:rPr>
          <w:rStyle w:val="Hyperlink"/>
          <w:color w:val="0070C0"/>
        </w:rPr>
      </w:pPr>
      <w:r w:rsidRPr="00754658">
        <w:rPr>
          <w:rFonts w:cstheme="minorHAnsi"/>
          <w:sz w:val="24"/>
          <w:szCs w:val="24"/>
        </w:rPr>
        <w:t xml:space="preserve">College of Policing (2023), Competency and values [online]. Available at: </w:t>
      </w:r>
      <w:hyperlink r:id="rId16" w:history="1">
        <w:r w:rsidRPr="00754658">
          <w:rPr>
            <w:rStyle w:val="Hyperlink"/>
            <w:color w:val="0070C0"/>
            <w:sz w:val="24"/>
            <w:szCs w:val="24"/>
          </w:rPr>
          <w:t>https://profdev.college.police.uk/competency-values/</w:t>
        </w:r>
      </w:hyperlink>
    </w:p>
    <w:p w14:paraId="41C594F8" w14:textId="77777777" w:rsidR="00130423" w:rsidRDefault="00130423" w:rsidP="00130423">
      <w:pPr>
        <w:jc w:val="both"/>
        <w:rPr>
          <w:rFonts w:cstheme="minorHAnsi"/>
          <w:sz w:val="24"/>
          <w:szCs w:val="24"/>
          <w:u w:val="single"/>
        </w:rPr>
      </w:pPr>
    </w:p>
    <w:p w14:paraId="69707B34" w14:textId="77777777" w:rsidR="00130423" w:rsidRDefault="00130423" w:rsidP="00130423">
      <w:pPr>
        <w:jc w:val="both"/>
        <w:rPr>
          <w:rFonts w:cstheme="minorHAnsi"/>
          <w:sz w:val="24"/>
          <w:szCs w:val="24"/>
        </w:rPr>
      </w:pPr>
      <w:r>
        <w:rPr>
          <w:rFonts w:cstheme="minorHAnsi"/>
          <w:sz w:val="24"/>
          <w:szCs w:val="24"/>
        </w:rPr>
        <w:t xml:space="preserve">Cook, S (2021), The Guardian, </w:t>
      </w:r>
      <w:r>
        <w:rPr>
          <w:rFonts w:cstheme="minorHAnsi"/>
          <w:i/>
          <w:iCs/>
          <w:sz w:val="24"/>
          <w:szCs w:val="24"/>
        </w:rPr>
        <w:t xml:space="preserve">Scarman report into Brixton Riots published – archived 1981 </w:t>
      </w:r>
      <w:r>
        <w:rPr>
          <w:rFonts w:cstheme="minorHAnsi"/>
          <w:sz w:val="24"/>
          <w:szCs w:val="24"/>
        </w:rPr>
        <w:t xml:space="preserve">[online]. Available at: </w:t>
      </w:r>
      <w:hyperlink r:id="rId17" w:history="1">
        <w:r w:rsidRPr="00D57DFA">
          <w:rPr>
            <w:rStyle w:val="Hyperlink"/>
            <w:rFonts w:cstheme="minorHAnsi"/>
            <w:color w:val="4472C4" w:themeColor="accent1"/>
            <w:sz w:val="24"/>
            <w:szCs w:val="24"/>
          </w:rPr>
          <w:t>https://www.theguardian.com/world/2021/nov/26/scarman-report-into-brixton-riots-published-archive-1981</w:t>
        </w:r>
      </w:hyperlink>
    </w:p>
    <w:p w14:paraId="1B336CFC" w14:textId="77777777" w:rsidR="00130423" w:rsidRPr="00754658" w:rsidRDefault="00130423" w:rsidP="00130423">
      <w:pPr>
        <w:jc w:val="both"/>
        <w:rPr>
          <w:rFonts w:cstheme="minorHAnsi"/>
          <w:sz w:val="24"/>
          <w:szCs w:val="24"/>
        </w:rPr>
      </w:pPr>
    </w:p>
    <w:p w14:paraId="1EE8B306" w14:textId="77777777" w:rsidR="00130423" w:rsidRDefault="00130423" w:rsidP="00130423">
      <w:pPr>
        <w:jc w:val="both"/>
        <w:rPr>
          <w:rFonts w:cstheme="minorHAnsi"/>
          <w:sz w:val="24"/>
          <w:szCs w:val="24"/>
        </w:rPr>
      </w:pPr>
      <w:r>
        <w:rPr>
          <w:rFonts w:cstheme="minorHAnsi"/>
          <w:sz w:val="24"/>
          <w:szCs w:val="24"/>
        </w:rPr>
        <w:t xml:space="preserve">Goldson, B, (2019), Child criminalisation and the mistake of early intervention, </w:t>
      </w:r>
      <w:r w:rsidRPr="00CA0EBC">
        <w:rPr>
          <w:rFonts w:cstheme="minorHAnsi"/>
          <w:i/>
          <w:iCs/>
          <w:sz w:val="24"/>
          <w:szCs w:val="24"/>
        </w:rPr>
        <w:t>Centre for crime and justice studies.</w:t>
      </w:r>
      <w:r>
        <w:rPr>
          <w:rFonts w:cstheme="minorHAnsi"/>
          <w:i/>
          <w:iCs/>
          <w:sz w:val="24"/>
          <w:szCs w:val="24"/>
        </w:rPr>
        <w:t xml:space="preserve"> </w:t>
      </w:r>
      <w:r>
        <w:rPr>
          <w:rFonts w:cstheme="minorHAnsi"/>
          <w:sz w:val="24"/>
          <w:szCs w:val="24"/>
        </w:rPr>
        <w:t xml:space="preserve">Available at: </w:t>
      </w:r>
      <w:hyperlink r:id="rId18" w:history="1">
        <w:r w:rsidRPr="00CA0EBC">
          <w:rPr>
            <w:rStyle w:val="Hyperlink"/>
            <w:rFonts w:cstheme="minorHAnsi"/>
            <w:color w:val="4472C4" w:themeColor="accent1"/>
            <w:sz w:val="24"/>
            <w:szCs w:val="24"/>
          </w:rPr>
          <w:t>https://www.crimeandjustice.org.uk/publications/cjm/article/child-criminalisation-and-mistake-early-intervention</w:t>
        </w:r>
      </w:hyperlink>
    </w:p>
    <w:p w14:paraId="6028BEDA" w14:textId="77777777" w:rsidR="00130423" w:rsidRDefault="00130423" w:rsidP="00130423">
      <w:pPr>
        <w:jc w:val="both"/>
        <w:rPr>
          <w:rFonts w:cstheme="minorHAnsi"/>
          <w:sz w:val="24"/>
          <w:szCs w:val="24"/>
          <w:u w:val="single"/>
        </w:rPr>
      </w:pPr>
    </w:p>
    <w:p w14:paraId="162E8A96" w14:textId="77777777" w:rsidR="00130423" w:rsidRDefault="00130423" w:rsidP="00130423">
      <w:pPr>
        <w:jc w:val="both"/>
        <w:rPr>
          <w:rFonts w:cstheme="minorHAnsi"/>
          <w:sz w:val="24"/>
          <w:szCs w:val="24"/>
        </w:rPr>
      </w:pPr>
      <w:r>
        <w:rPr>
          <w:rFonts w:cstheme="minorHAnsi"/>
          <w:sz w:val="24"/>
          <w:szCs w:val="24"/>
        </w:rPr>
        <w:t xml:space="preserve">Government Equalities Office (2010), Equality Act 2010: What do I need to know? A summary guide for public sectors. Putting equality at the heart of the government [online]. Available at: </w:t>
      </w:r>
      <w:hyperlink r:id="rId19" w:history="1">
        <w:r w:rsidRPr="008F4FA4">
          <w:rPr>
            <w:rStyle w:val="Hyperlink"/>
            <w:rFonts w:cstheme="minorHAnsi"/>
            <w:color w:val="4472C4" w:themeColor="accent1"/>
            <w:sz w:val="24"/>
            <w:szCs w:val="24"/>
          </w:rPr>
          <w:t>https://assets.publishing.service.gov.uk/government/uploads/system/uploads/attachment_data/file/85021/public-sector.pdf</w:t>
        </w:r>
      </w:hyperlink>
    </w:p>
    <w:p w14:paraId="12876AB8" w14:textId="77777777" w:rsidR="00130423" w:rsidRPr="00CF5CDA" w:rsidRDefault="00130423" w:rsidP="00130423">
      <w:pPr>
        <w:jc w:val="both"/>
        <w:rPr>
          <w:rFonts w:cstheme="minorHAnsi"/>
          <w:sz w:val="24"/>
          <w:szCs w:val="24"/>
          <w:u w:val="single"/>
        </w:rPr>
      </w:pPr>
    </w:p>
    <w:p w14:paraId="7015E098" w14:textId="77777777" w:rsidR="00130423" w:rsidRPr="00CF5CDA" w:rsidRDefault="00130423" w:rsidP="00130423">
      <w:pPr>
        <w:jc w:val="both"/>
        <w:rPr>
          <w:rFonts w:cstheme="minorHAnsi"/>
          <w:sz w:val="24"/>
          <w:szCs w:val="24"/>
        </w:rPr>
      </w:pPr>
      <w:r w:rsidRPr="00CF5CDA">
        <w:rPr>
          <w:rFonts w:cstheme="minorHAnsi"/>
          <w:sz w:val="24"/>
          <w:szCs w:val="24"/>
        </w:rPr>
        <w:t xml:space="preserve">Home Office (2013), Police and Criminal Evidence Act 1984 (PACE), </w:t>
      </w:r>
      <w:r w:rsidRPr="00CF5CDA">
        <w:rPr>
          <w:rFonts w:cstheme="minorHAnsi"/>
          <w:i/>
          <w:iCs/>
          <w:sz w:val="24"/>
          <w:szCs w:val="24"/>
        </w:rPr>
        <w:t>Codes of Practice</w:t>
      </w:r>
      <w:r w:rsidRPr="00CF5CDA">
        <w:rPr>
          <w:rFonts w:cstheme="minorHAnsi"/>
          <w:sz w:val="24"/>
          <w:szCs w:val="24"/>
        </w:rPr>
        <w:t xml:space="preserve"> </w:t>
      </w:r>
      <w:r>
        <w:rPr>
          <w:rFonts w:cstheme="minorHAnsi"/>
          <w:sz w:val="24"/>
          <w:szCs w:val="24"/>
        </w:rPr>
        <w:t>[</w:t>
      </w:r>
      <w:r w:rsidRPr="00CF5CDA">
        <w:rPr>
          <w:rFonts w:cstheme="minorHAnsi"/>
          <w:sz w:val="24"/>
          <w:szCs w:val="24"/>
        </w:rPr>
        <w:t>online</w:t>
      </w:r>
      <w:r>
        <w:rPr>
          <w:rFonts w:cstheme="minorHAnsi"/>
          <w:sz w:val="24"/>
          <w:szCs w:val="24"/>
        </w:rPr>
        <w:t>]</w:t>
      </w:r>
      <w:r w:rsidRPr="00CF5CDA">
        <w:rPr>
          <w:rFonts w:cstheme="minorHAnsi"/>
          <w:sz w:val="24"/>
          <w:szCs w:val="24"/>
        </w:rPr>
        <w:t xml:space="preserve">. Available at: </w:t>
      </w:r>
      <w:hyperlink r:id="rId20" w:anchor="Pace%20Codes%20of%20Practice" w:history="1">
        <w:r w:rsidRPr="00CF5CDA">
          <w:rPr>
            <w:rStyle w:val="Hyperlink"/>
            <w:rFonts w:cstheme="minorHAnsi"/>
            <w:color w:val="4472C4" w:themeColor="accent1"/>
            <w:sz w:val="24"/>
            <w:szCs w:val="24"/>
          </w:rPr>
          <w:t>https://www.gov.uk/guidance/police-and-criminal-evidence-act-1984-pace-codes-of-practice#Pace%20Codes%20of%20Practice</w:t>
        </w:r>
      </w:hyperlink>
    </w:p>
    <w:p w14:paraId="12561990" w14:textId="77777777" w:rsidR="00130423" w:rsidRPr="00CF5CDA" w:rsidRDefault="00130423" w:rsidP="00130423">
      <w:pPr>
        <w:jc w:val="both"/>
        <w:rPr>
          <w:rFonts w:cstheme="minorHAnsi"/>
          <w:sz w:val="24"/>
          <w:szCs w:val="24"/>
        </w:rPr>
      </w:pPr>
      <w:r w:rsidRPr="00CF5CDA">
        <w:rPr>
          <w:rFonts w:cstheme="minorHAnsi"/>
          <w:sz w:val="24"/>
          <w:szCs w:val="24"/>
        </w:rPr>
        <w:t>[Accessed 5</w:t>
      </w:r>
      <w:r w:rsidRPr="00CF5CDA">
        <w:rPr>
          <w:rFonts w:cstheme="minorHAnsi"/>
          <w:sz w:val="24"/>
          <w:szCs w:val="24"/>
          <w:vertAlign w:val="superscript"/>
        </w:rPr>
        <w:t>th</w:t>
      </w:r>
      <w:r w:rsidRPr="00CF5CDA">
        <w:rPr>
          <w:rFonts w:cstheme="minorHAnsi"/>
          <w:sz w:val="24"/>
          <w:szCs w:val="24"/>
        </w:rPr>
        <w:t xml:space="preserve"> January 2024].</w:t>
      </w:r>
    </w:p>
    <w:p w14:paraId="0C1F63FC" w14:textId="77777777" w:rsidR="00130423" w:rsidRDefault="00130423" w:rsidP="00130423">
      <w:pPr>
        <w:jc w:val="both"/>
        <w:rPr>
          <w:rFonts w:cstheme="minorHAnsi"/>
          <w:sz w:val="24"/>
          <w:szCs w:val="24"/>
        </w:rPr>
      </w:pPr>
    </w:p>
    <w:p w14:paraId="2B4B76A4" w14:textId="77777777" w:rsidR="00130423" w:rsidRPr="00CF5CDA" w:rsidRDefault="00130423" w:rsidP="00130423">
      <w:pPr>
        <w:jc w:val="both"/>
        <w:rPr>
          <w:rFonts w:cstheme="minorHAnsi"/>
          <w:sz w:val="24"/>
          <w:szCs w:val="24"/>
        </w:rPr>
      </w:pPr>
      <w:r w:rsidRPr="00CF5CDA">
        <w:rPr>
          <w:rFonts w:cstheme="minorHAnsi"/>
          <w:sz w:val="24"/>
          <w:szCs w:val="24"/>
        </w:rPr>
        <w:t xml:space="preserve">Mararike, S (2022), Cost of Living Crisis: Teens making money for their families by joining gangs and selling drugs [online]. Available at: </w:t>
      </w:r>
    </w:p>
    <w:p w14:paraId="09133EFC" w14:textId="77777777" w:rsidR="00130423" w:rsidRPr="00CF5CDA" w:rsidRDefault="00130423" w:rsidP="00130423">
      <w:pPr>
        <w:jc w:val="both"/>
        <w:rPr>
          <w:rFonts w:cstheme="minorHAnsi"/>
          <w:color w:val="4472C4" w:themeColor="accent1"/>
          <w:sz w:val="24"/>
          <w:szCs w:val="24"/>
        </w:rPr>
      </w:pPr>
      <w:hyperlink r:id="rId21" w:history="1">
        <w:r w:rsidRPr="00CF5CDA">
          <w:rPr>
            <w:rStyle w:val="Hyperlink"/>
            <w:rFonts w:cstheme="minorHAnsi"/>
            <w:color w:val="4472C4" w:themeColor="accent1"/>
            <w:sz w:val="24"/>
            <w:szCs w:val="24"/>
          </w:rPr>
          <w:t>https://news.sky.com/story/cost-of-living-crisis-teens-making-money-for-their-families-by-joining-gangs-and-selling-drugs-12656948</w:t>
        </w:r>
      </w:hyperlink>
    </w:p>
    <w:p w14:paraId="4263EF03" w14:textId="77777777" w:rsidR="00130423" w:rsidRDefault="00130423" w:rsidP="00130423">
      <w:pPr>
        <w:jc w:val="both"/>
        <w:rPr>
          <w:rFonts w:cstheme="minorHAnsi"/>
          <w:sz w:val="24"/>
          <w:szCs w:val="24"/>
        </w:rPr>
      </w:pPr>
    </w:p>
    <w:p w14:paraId="0ED5190A" w14:textId="77777777" w:rsidR="00130423" w:rsidRDefault="00130423" w:rsidP="00130423">
      <w:pPr>
        <w:jc w:val="both"/>
        <w:rPr>
          <w:rFonts w:cstheme="minorHAnsi"/>
          <w:sz w:val="24"/>
          <w:szCs w:val="24"/>
        </w:rPr>
      </w:pPr>
      <w:r>
        <w:rPr>
          <w:rFonts w:cstheme="minorHAnsi"/>
          <w:sz w:val="24"/>
          <w:szCs w:val="24"/>
        </w:rPr>
        <w:t xml:space="preserve">Ministry of Justice (2024), Multi-agency public protection arrangements (MAPPA): Guidance. Available at: </w:t>
      </w:r>
      <w:hyperlink r:id="rId22" w:history="1">
        <w:r w:rsidRPr="007D085E">
          <w:rPr>
            <w:rStyle w:val="Hyperlink"/>
            <w:rFonts w:cstheme="minorHAnsi"/>
            <w:color w:val="4472C4" w:themeColor="accent1"/>
            <w:sz w:val="24"/>
            <w:szCs w:val="24"/>
          </w:rPr>
          <w:t>https://www.gov.uk/government/publications/multi-agency-public-protection-arrangements-mappa-guidance</w:t>
        </w:r>
      </w:hyperlink>
    </w:p>
    <w:p w14:paraId="202E4B08" w14:textId="77777777" w:rsidR="00130423" w:rsidRDefault="00130423" w:rsidP="00130423">
      <w:pPr>
        <w:jc w:val="both"/>
        <w:rPr>
          <w:rFonts w:cstheme="minorHAnsi"/>
          <w:sz w:val="24"/>
          <w:szCs w:val="24"/>
        </w:rPr>
      </w:pPr>
    </w:p>
    <w:p w14:paraId="2B0146CD" w14:textId="77777777" w:rsidR="00130423" w:rsidRDefault="00130423" w:rsidP="00130423">
      <w:pPr>
        <w:jc w:val="both"/>
        <w:rPr>
          <w:rFonts w:cstheme="minorHAnsi"/>
          <w:sz w:val="24"/>
          <w:szCs w:val="24"/>
        </w:rPr>
      </w:pPr>
      <w:r>
        <w:rPr>
          <w:rFonts w:cstheme="minorHAnsi"/>
          <w:sz w:val="24"/>
          <w:szCs w:val="24"/>
        </w:rPr>
        <w:lastRenderedPageBreak/>
        <w:t xml:space="preserve">Morris, S (2023), The Guardian, </w:t>
      </w:r>
      <w:r>
        <w:rPr>
          <w:rFonts w:cstheme="minorHAnsi"/>
          <w:i/>
          <w:iCs/>
          <w:sz w:val="24"/>
          <w:szCs w:val="24"/>
        </w:rPr>
        <w:t xml:space="preserve">Welsh Police Officer targeted vulnerable girl he met during work, court hears </w:t>
      </w:r>
      <w:r>
        <w:rPr>
          <w:rFonts w:cstheme="minorHAnsi"/>
          <w:sz w:val="24"/>
          <w:szCs w:val="24"/>
        </w:rPr>
        <w:t xml:space="preserve">[online]. Available at: </w:t>
      </w:r>
      <w:hyperlink r:id="rId23" w:history="1">
        <w:r w:rsidRPr="00433BE5">
          <w:rPr>
            <w:rStyle w:val="Hyperlink"/>
            <w:rFonts w:cstheme="minorHAnsi"/>
            <w:color w:val="4472C4" w:themeColor="accent1"/>
            <w:sz w:val="24"/>
            <w:szCs w:val="24"/>
          </w:rPr>
          <w:t>https://www.theguardian.com/uk-news/2023/oct/24/welsh-police-officer-incited-200-girls-to-send-him-explicit-images-court-hears</w:t>
        </w:r>
      </w:hyperlink>
    </w:p>
    <w:p w14:paraId="6B05F897" w14:textId="77777777" w:rsidR="00130423" w:rsidRDefault="00130423" w:rsidP="00130423">
      <w:pPr>
        <w:jc w:val="both"/>
        <w:rPr>
          <w:rFonts w:cstheme="minorHAnsi"/>
          <w:sz w:val="24"/>
          <w:szCs w:val="24"/>
        </w:rPr>
      </w:pPr>
    </w:p>
    <w:p w14:paraId="5F1EBC0E" w14:textId="77777777" w:rsidR="00130423" w:rsidRPr="00CF5CDA" w:rsidRDefault="00130423" w:rsidP="00130423">
      <w:pPr>
        <w:jc w:val="both"/>
        <w:rPr>
          <w:rFonts w:cstheme="minorHAnsi"/>
          <w:color w:val="212529"/>
          <w:sz w:val="24"/>
          <w:szCs w:val="24"/>
          <w:shd w:val="clear" w:color="auto" w:fill="FFFFFF"/>
        </w:rPr>
      </w:pPr>
      <w:r w:rsidRPr="00CF5CDA">
        <w:rPr>
          <w:rFonts w:cstheme="minorHAnsi"/>
          <w:sz w:val="24"/>
          <w:szCs w:val="24"/>
        </w:rPr>
        <w:t>National Alliance of Gang Investigators Associations (2024), Gang Definition. Available at:</w:t>
      </w:r>
      <w:r w:rsidRPr="00CF5CDA">
        <w:rPr>
          <w:rFonts w:cstheme="minorHAnsi"/>
          <w:color w:val="212529"/>
          <w:sz w:val="24"/>
          <w:szCs w:val="24"/>
          <w:shd w:val="clear" w:color="auto" w:fill="FFFFFF"/>
        </w:rPr>
        <w:t xml:space="preserve"> </w:t>
      </w:r>
      <w:hyperlink r:id="rId24" w:history="1">
        <w:r w:rsidRPr="00CF5CDA">
          <w:rPr>
            <w:rStyle w:val="Hyperlink"/>
            <w:rFonts w:cstheme="minorHAnsi"/>
            <w:color w:val="4472C4" w:themeColor="accent1"/>
            <w:sz w:val="24"/>
            <w:szCs w:val="24"/>
            <w:shd w:val="clear" w:color="auto" w:fill="FFFFFF"/>
          </w:rPr>
          <w:t>www.nagia.org/about-nagia.html#:~:text=gang%3A%20A%20group%20or%20association,atmosphere%20of%20fear%20and%20intimidation</w:t>
        </w:r>
      </w:hyperlink>
      <w:r w:rsidRPr="00CF5CDA">
        <w:rPr>
          <w:rFonts w:cstheme="minorHAnsi"/>
          <w:color w:val="4472C4" w:themeColor="accent1"/>
          <w:sz w:val="24"/>
          <w:szCs w:val="24"/>
          <w:shd w:val="clear" w:color="auto" w:fill="FFFFFF"/>
        </w:rPr>
        <w:t>.</w:t>
      </w:r>
    </w:p>
    <w:p w14:paraId="39214106" w14:textId="77777777" w:rsidR="00130423" w:rsidRDefault="00130423" w:rsidP="00130423">
      <w:pPr>
        <w:jc w:val="both"/>
        <w:rPr>
          <w:rFonts w:cstheme="minorHAnsi"/>
          <w:sz w:val="24"/>
          <w:szCs w:val="24"/>
        </w:rPr>
      </w:pPr>
    </w:p>
    <w:p w14:paraId="4BC85826" w14:textId="77777777" w:rsidR="00130423" w:rsidRPr="00CF5CDA" w:rsidRDefault="00130423" w:rsidP="00130423">
      <w:pPr>
        <w:jc w:val="both"/>
        <w:rPr>
          <w:rFonts w:cstheme="minorHAnsi"/>
          <w:sz w:val="24"/>
          <w:szCs w:val="24"/>
        </w:rPr>
      </w:pPr>
      <w:r w:rsidRPr="00CF5CDA">
        <w:rPr>
          <w:rFonts w:cstheme="minorHAnsi"/>
          <w:sz w:val="24"/>
          <w:szCs w:val="24"/>
        </w:rPr>
        <w:t xml:space="preserve">Office for Health Improvement and Disparities (2022) Vulnerabilities: applying All Our Health. Available at: </w:t>
      </w:r>
    </w:p>
    <w:p w14:paraId="5FEA82E5" w14:textId="77777777" w:rsidR="00130423" w:rsidRPr="00CF5CDA" w:rsidRDefault="00130423" w:rsidP="00130423">
      <w:pPr>
        <w:jc w:val="both"/>
        <w:rPr>
          <w:rFonts w:cstheme="minorHAnsi"/>
          <w:color w:val="4472C4" w:themeColor="accent1"/>
          <w:sz w:val="24"/>
          <w:szCs w:val="24"/>
        </w:rPr>
      </w:pPr>
      <w:hyperlink r:id="rId25" w:history="1">
        <w:r w:rsidRPr="00CF5CDA">
          <w:rPr>
            <w:rStyle w:val="Hyperlink"/>
            <w:rFonts w:cstheme="minorHAnsi"/>
            <w:color w:val="4472C4" w:themeColor="accent1"/>
            <w:sz w:val="24"/>
            <w:szCs w:val="24"/>
          </w:rPr>
          <w:t>https://www.gov.uk/government/publications/vulnerabilities-applying-all-our-health/vulnerabilities-applying-all-our-health</w:t>
        </w:r>
      </w:hyperlink>
    </w:p>
    <w:p w14:paraId="42AC63E8" w14:textId="77777777" w:rsidR="00130423" w:rsidRDefault="00130423" w:rsidP="00130423">
      <w:pPr>
        <w:jc w:val="both"/>
        <w:rPr>
          <w:rFonts w:cstheme="minorHAnsi"/>
          <w:sz w:val="24"/>
          <w:szCs w:val="24"/>
        </w:rPr>
      </w:pPr>
    </w:p>
    <w:p w14:paraId="6A819784" w14:textId="77777777" w:rsidR="00130423" w:rsidRDefault="00130423" w:rsidP="00130423">
      <w:pPr>
        <w:jc w:val="both"/>
        <w:rPr>
          <w:rFonts w:cstheme="minorHAnsi"/>
          <w:sz w:val="24"/>
          <w:szCs w:val="24"/>
        </w:rPr>
      </w:pPr>
      <w:r>
        <w:rPr>
          <w:rFonts w:cstheme="minorHAnsi"/>
          <w:sz w:val="24"/>
          <w:szCs w:val="24"/>
        </w:rPr>
        <w:t xml:space="preserve">Office for National Statistics (2021), Trust in police among adults aged 16 and over in England and Wales and London, year ending March 2016 to year ending March 2019, CSEW [online]. Available at: </w:t>
      </w:r>
      <w:hyperlink r:id="rId26" w:history="1">
        <w:r w:rsidRPr="00950098">
          <w:rPr>
            <w:rStyle w:val="Hyperlink"/>
            <w:rFonts w:cstheme="minorHAnsi"/>
            <w:color w:val="4472C4" w:themeColor="accent1"/>
            <w:sz w:val="24"/>
            <w:szCs w:val="24"/>
          </w:rPr>
          <w:t>https://www.ons.gov.uk/peoplepopulationandcommunity/crimeandjustice/adhocs/11445trustinpoliceamongadultsaged16andoverinenglandandwalesandlondonyearendingmarch2016toyearendingmarch2019csew</w:t>
        </w:r>
      </w:hyperlink>
    </w:p>
    <w:p w14:paraId="089E93CD" w14:textId="77777777" w:rsidR="00130423" w:rsidRDefault="00130423" w:rsidP="00130423">
      <w:pPr>
        <w:jc w:val="both"/>
        <w:rPr>
          <w:rFonts w:cstheme="minorHAnsi"/>
          <w:sz w:val="24"/>
          <w:szCs w:val="24"/>
        </w:rPr>
      </w:pPr>
    </w:p>
    <w:p w14:paraId="4698C1B7" w14:textId="77777777" w:rsidR="00130423" w:rsidRDefault="00130423" w:rsidP="00130423">
      <w:pPr>
        <w:jc w:val="both"/>
        <w:rPr>
          <w:rFonts w:cstheme="minorHAnsi"/>
          <w:sz w:val="24"/>
          <w:szCs w:val="24"/>
        </w:rPr>
      </w:pPr>
      <w:r>
        <w:rPr>
          <w:rFonts w:cstheme="minorHAnsi"/>
          <w:sz w:val="24"/>
          <w:szCs w:val="24"/>
        </w:rPr>
        <w:t xml:space="preserve">Public Health England (2019), Collaborative approaches to preventing offending and re-offending by children (CAPRICORN): summary [online]. Available at: </w:t>
      </w:r>
      <w:hyperlink r:id="rId27" w:history="1">
        <w:r w:rsidRPr="006407BB">
          <w:rPr>
            <w:rStyle w:val="Hyperlink"/>
            <w:rFonts w:cstheme="minorHAnsi"/>
            <w:color w:val="4472C4" w:themeColor="accent1"/>
            <w:sz w:val="24"/>
            <w:szCs w:val="24"/>
          </w:rPr>
          <w:t>https://www.gov.uk/government/publications/preventing-offending-and-re-offending-by-children/collaborative-approaches-to-preventing-offending-and-re-offending-by-children-capricorn-summary</w:t>
        </w:r>
      </w:hyperlink>
    </w:p>
    <w:p w14:paraId="6D4C63B1" w14:textId="77777777" w:rsidR="00130423" w:rsidRDefault="00130423" w:rsidP="00130423">
      <w:pPr>
        <w:jc w:val="both"/>
        <w:rPr>
          <w:rFonts w:cstheme="minorHAnsi"/>
          <w:sz w:val="24"/>
          <w:szCs w:val="24"/>
        </w:rPr>
      </w:pPr>
    </w:p>
    <w:p w14:paraId="269971D1" w14:textId="77777777" w:rsidR="00130423" w:rsidRDefault="00130423" w:rsidP="00130423">
      <w:pPr>
        <w:jc w:val="both"/>
        <w:rPr>
          <w:rFonts w:cstheme="minorHAnsi"/>
          <w:sz w:val="24"/>
          <w:szCs w:val="24"/>
        </w:rPr>
      </w:pPr>
      <w:r>
        <w:rPr>
          <w:rFonts w:cstheme="minorHAnsi"/>
          <w:sz w:val="24"/>
          <w:szCs w:val="24"/>
        </w:rPr>
        <w:t xml:space="preserve">Public Health England (2019), Collaborative approaches to preventing offending and re-offending by children (CAPRICORN). </w:t>
      </w:r>
      <w:r w:rsidRPr="007C36C4">
        <w:rPr>
          <w:rFonts w:cstheme="minorHAnsi"/>
          <w:i/>
          <w:iCs/>
          <w:sz w:val="24"/>
          <w:szCs w:val="24"/>
        </w:rPr>
        <w:t>A resource for local health &amp; justice system leaders to support collaborative working for children and young people with complex needs</w:t>
      </w:r>
      <w:r>
        <w:rPr>
          <w:rFonts w:cstheme="minorHAnsi"/>
          <w:sz w:val="24"/>
          <w:szCs w:val="24"/>
        </w:rPr>
        <w:t xml:space="preserve"> [online]. Available at: </w:t>
      </w:r>
      <w:hyperlink r:id="rId28" w:history="1">
        <w:r w:rsidRPr="007C36C4">
          <w:rPr>
            <w:rStyle w:val="Hyperlink"/>
            <w:rFonts w:cstheme="minorHAnsi"/>
            <w:color w:val="4472C4" w:themeColor="accent1"/>
            <w:sz w:val="24"/>
            <w:szCs w:val="24"/>
          </w:rPr>
          <w:t>https://assets.publishing.service.gov.uk/government/uploads/system/uploads/attachment_data/file/828228/CAPRICORN_resource.pdf</w:t>
        </w:r>
      </w:hyperlink>
    </w:p>
    <w:p w14:paraId="67B023C8" w14:textId="77777777" w:rsidR="00130423" w:rsidRPr="00CF5CDA" w:rsidRDefault="00130423" w:rsidP="00130423">
      <w:pPr>
        <w:jc w:val="both"/>
        <w:rPr>
          <w:rFonts w:cstheme="minorHAnsi"/>
          <w:sz w:val="24"/>
          <w:szCs w:val="24"/>
        </w:rPr>
      </w:pPr>
    </w:p>
    <w:p w14:paraId="6B59AD15" w14:textId="77777777" w:rsidR="00130423" w:rsidRPr="00CF5CDA" w:rsidRDefault="00130423" w:rsidP="00130423">
      <w:pPr>
        <w:jc w:val="both"/>
        <w:rPr>
          <w:rFonts w:cstheme="minorHAnsi"/>
          <w:color w:val="4472C4" w:themeColor="accent1"/>
          <w:sz w:val="24"/>
          <w:szCs w:val="24"/>
          <w:shd w:val="clear" w:color="auto" w:fill="FFFFFF"/>
        </w:rPr>
      </w:pPr>
      <w:r w:rsidRPr="00CF5CDA">
        <w:rPr>
          <w:rFonts w:cstheme="minorHAnsi"/>
          <w:color w:val="3A3A3A"/>
          <w:sz w:val="24"/>
          <w:szCs w:val="24"/>
          <w:shd w:val="clear" w:color="auto" w:fill="FFFFFF"/>
        </w:rPr>
        <w:t>Ready, J.T. and Young, J.T.N. (2015) The impact of on-officer video cameras on police–citizen contacts: findings from a controlled experiment in Mesa, AZ, </w:t>
      </w:r>
      <w:r w:rsidRPr="00CF5CDA">
        <w:rPr>
          <w:rFonts w:cstheme="minorHAnsi"/>
          <w:i/>
          <w:iCs/>
          <w:color w:val="3A3A3A"/>
          <w:sz w:val="24"/>
          <w:szCs w:val="24"/>
          <w:shd w:val="clear" w:color="auto" w:fill="FFFFFF"/>
        </w:rPr>
        <w:t xml:space="preserve">Journal of experimental criminology. </w:t>
      </w:r>
      <w:r w:rsidRPr="00CF5CDA">
        <w:rPr>
          <w:rFonts w:cstheme="minorHAnsi"/>
          <w:color w:val="3A3A3A"/>
          <w:sz w:val="24"/>
          <w:szCs w:val="24"/>
          <w:shd w:val="clear" w:color="auto" w:fill="FFFFFF"/>
        </w:rPr>
        <w:t xml:space="preserve">Available at:  </w:t>
      </w:r>
      <w:hyperlink r:id="rId29" w:history="1">
        <w:r w:rsidRPr="00CF5CDA">
          <w:rPr>
            <w:rStyle w:val="Hyperlink"/>
            <w:rFonts w:cstheme="minorHAnsi"/>
            <w:color w:val="4472C4" w:themeColor="accent1"/>
            <w:sz w:val="24"/>
            <w:szCs w:val="24"/>
            <w:shd w:val="clear" w:color="auto" w:fill="FFFFFF"/>
          </w:rPr>
          <w:t>https://doi.org/10.1007/s11292-015-9237-8</w:t>
        </w:r>
      </w:hyperlink>
    </w:p>
    <w:p w14:paraId="6A520160" w14:textId="77777777" w:rsidR="00130423" w:rsidRPr="00CF5CDA" w:rsidRDefault="00130423" w:rsidP="00130423">
      <w:pPr>
        <w:jc w:val="both"/>
        <w:rPr>
          <w:rFonts w:cstheme="minorHAnsi"/>
          <w:sz w:val="24"/>
          <w:szCs w:val="24"/>
          <w:shd w:val="clear" w:color="auto" w:fill="FFFFFF"/>
        </w:rPr>
      </w:pPr>
      <w:r w:rsidRPr="00CF5CDA">
        <w:rPr>
          <w:rFonts w:cstheme="minorHAnsi"/>
          <w:sz w:val="24"/>
          <w:szCs w:val="24"/>
          <w:shd w:val="clear" w:color="auto" w:fill="FFFFFF"/>
        </w:rPr>
        <w:t>[Accessed 25</w:t>
      </w:r>
      <w:r w:rsidRPr="00CF5CDA">
        <w:rPr>
          <w:rFonts w:cstheme="minorHAnsi"/>
          <w:sz w:val="24"/>
          <w:szCs w:val="24"/>
          <w:shd w:val="clear" w:color="auto" w:fill="FFFFFF"/>
          <w:vertAlign w:val="superscript"/>
        </w:rPr>
        <w:t>th</w:t>
      </w:r>
      <w:r w:rsidRPr="00CF5CDA">
        <w:rPr>
          <w:rFonts w:cstheme="minorHAnsi"/>
          <w:sz w:val="24"/>
          <w:szCs w:val="24"/>
          <w:shd w:val="clear" w:color="auto" w:fill="FFFFFF"/>
        </w:rPr>
        <w:t xml:space="preserve"> February 2024].</w:t>
      </w:r>
    </w:p>
    <w:p w14:paraId="670BBEBA" w14:textId="77777777" w:rsidR="00130423" w:rsidRDefault="00130423" w:rsidP="00130423">
      <w:pPr>
        <w:jc w:val="both"/>
        <w:rPr>
          <w:rFonts w:cstheme="minorHAnsi"/>
          <w:color w:val="212529"/>
          <w:sz w:val="24"/>
          <w:szCs w:val="24"/>
          <w:shd w:val="clear" w:color="auto" w:fill="FFFFFF"/>
        </w:rPr>
      </w:pPr>
    </w:p>
    <w:p w14:paraId="48A0D344" w14:textId="77777777" w:rsidR="00130423" w:rsidRDefault="00130423" w:rsidP="00130423">
      <w:pPr>
        <w:jc w:val="both"/>
        <w:rPr>
          <w:rFonts w:cstheme="minorHAnsi"/>
          <w:sz w:val="24"/>
          <w:szCs w:val="24"/>
        </w:rPr>
      </w:pPr>
      <w:r>
        <w:rPr>
          <w:rFonts w:cstheme="minorHAnsi"/>
          <w:sz w:val="24"/>
          <w:szCs w:val="24"/>
        </w:rPr>
        <w:t>Siegel, L, J (2006). Criminology, 10</w:t>
      </w:r>
      <w:r w:rsidRPr="000E42E7">
        <w:rPr>
          <w:rFonts w:cstheme="minorHAnsi"/>
          <w:sz w:val="24"/>
          <w:szCs w:val="24"/>
          <w:vertAlign w:val="superscript"/>
        </w:rPr>
        <w:t>th</w:t>
      </w:r>
      <w:r>
        <w:rPr>
          <w:rFonts w:cstheme="minorHAnsi"/>
          <w:sz w:val="24"/>
          <w:szCs w:val="24"/>
        </w:rPr>
        <w:t xml:space="preserve"> edition. University of Massachusetts, Lowell. Thomson Wadsworth. </w:t>
      </w:r>
    </w:p>
    <w:p w14:paraId="5CD5AE8B" w14:textId="77777777" w:rsidR="00130423" w:rsidRDefault="00130423" w:rsidP="00130423">
      <w:pPr>
        <w:jc w:val="both"/>
        <w:rPr>
          <w:rFonts w:cstheme="minorHAnsi"/>
          <w:color w:val="212529"/>
          <w:sz w:val="24"/>
          <w:szCs w:val="24"/>
          <w:shd w:val="clear" w:color="auto" w:fill="FFFFFF"/>
        </w:rPr>
      </w:pPr>
    </w:p>
    <w:p w14:paraId="0C95F858" w14:textId="77777777" w:rsidR="00130423" w:rsidRDefault="00130423" w:rsidP="00130423">
      <w:pPr>
        <w:jc w:val="both"/>
      </w:pPr>
      <w:r>
        <w:rPr>
          <w:rFonts w:cstheme="minorHAnsi"/>
          <w:color w:val="212529"/>
          <w:sz w:val="24"/>
          <w:szCs w:val="24"/>
          <w:shd w:val="clear" w:color="auto" w:fill="FFFFFF"/>
        </w:rPr>
        <w:t xml:space="preserve">Thompson, K (2021), Revise Sociology, </w:t>
      </w:r>
      <w:r>
        <w:rPr>
          <w:rFonts w:cstheme="minorHAnsi"/>
          <w:i/>
          <w:iCs/>
          <w:color w:val="212529"/>
          <w:sz w:val="24"/>
          <w:szCs w:val="24"/>
          <w:shd w:val="clear" w:color="auto" w:fill="FFFFFF"/>
        </w:rPr>
        <w:t xml:space="preserve">How successful are early interventions in reducing crime? </w:t>
      </w:r>
      <w:r>
        <w:rPr>
          <w:rFonts w:cstheme="minorHAnsi"/>
          <w:color w:val="212529"/>
          <w:sz w:val="24"/>
          <w:szCs w:val="24"/>
          <w:shd w:val="clear" w:color="auto" w:fill="FFFFFF"/>
        </w:rPr>
        <w:t xml:space="preserve">[online]. Available at: </w:t>
      </w:r>
      <w:hyperlink r:id="rId30" w:history="1">
        <w:r w:rsidRPr="004C02FC">
          <w:rPr>
            <w:rStyle w:val="Hyperlink"/>
            <w:color w:val="4472C4" w:themeColor="accent1"/>
          </w:rPr>
          <w:t>How successful are early interventions in reducing violent crime? - ReviseSociology</w:t>
        </w:r>
      </w:hyperlink>
    </w:p>
    <w:p w14:paraId="70650662" w14:textId="77777777" w:rsidR="00130423" w:rsidRDefault="00130423" w:rsidP="00130423">
      <w:pPr>
        <w:jc w:val="both"/>
        <w:rPr>
          <w:rFonts w:cstheme="minorHAnsi"/>
          <w:color w:val="212529"/>
          <w:sz w:val="24"/>
          <w:szCs w:val="24"/>
          <w:shd w:val="clear" w:color="auto" w:fill="FFFFFF"/>
        </w:rPr>
      </w:pPr>
    </w:p>
    <w:p w14:paraId="6EB2C334" w14:textId="77777777" w:rsidR="00130423" w:rsidRDefault="00130423" w:rsidP="00130423">
      <w:pPr>
        <w:jc w:val="both"/>
      </w:pPr>
      <w:r>
        <w:rPr>
          <w:rFonts w:cstheme="minorHAnsi"/>
          <w:color w:val="212529"/>
          <w:sz w:val="24"/>
          <w:szCs w:val="24"/>
          <w:shd w:val="clear" w:color="auto" w:fill="FFFFFF"/>
        </w:rPr>
        <w:lastRenderedPageBreak/>
        <w:t xml:space="preserve">Tremblay R.E, Masse, B, Perron, D, Leblanc, M, Schwartzman, A,E, Ledingham J,E (1992), Early disruptive behaviour, poor school achievement, delinquent behaviour, and delinquent personality: longitudinal analyses. </w:t>
      </w:r>
      <w:r w:rsidRPr="00D257F5">
        <w:rPr>
          <w:rFonts w:cstheme="minorHAnsi"/>
          <w:i/>
          <w:iCs/>
          <w:color w:val="212529"/>
          <w:sz w:val="24"/>
          <w:szCs w:val="24"/>
          <w:shd w:val="clear" w:color="auto" w:fill="FFFFFF"/>
        </w:rPr>
        <w:t>National library of medicine</w:t>
      </w:r>
      <w:r>
        <w:rPr>
          <w:rFonts w:cstheme="minorHAnsi"/>
          <w:color w:val="212529"/>
          <w:sz w:val="24"/>
          <w:szCs w:val="24"/>
          <w:shd w:val="clear" w:color="auto" w:fill="FFFFFF"/>
        </w:rPr>
        <w:t xml:space="preserve"> [online]. Available at: </w:t>
      </w:r>
      <w:hyperlink r:id="rId31" w:history="1">
        <w:r w:rsidRPr="00D257F5">
          <w:rPr>
            <w:rStyle w:val="Hyperlink"/>
            <w:color w:val="4472C4" w:themeColor="accent1"/>
          </w:rPr>
          <w:t>Early disruptive behavior, poor school achievement, delinquent behavior, and delinquent personality: longitudinal analyses - PubMed (nih.gov)</w:t>
        </w:r>
      </w:hyperlink>
    </w:p>
    <w:p w14:paraId="5AF7876B" w14:textId="77777777" w:rsidR="00130423" w:rsidRDefault="00130423" w:rsidP="00130423">
      <w:pPr>
        <w:jc w:val="both"/>
        <w:rPr>
          <w:rFonts w:cstheme="minorHAnsi"/>
          <w:color w:val="212529"/>
          <w:sz w:val="24"/>
          <w:szCs w:val="24"/>
          <w:shd w:val="clear" w:color="auto" w:fill="FFFFFF"/>
        </w:rPr>
      </w:pPr>
    </w:p>
    <w:p w14:paraId="6512F281" w14:textId="77777777" w:rsidR="00130423" w:rsidRDefault="00130423" w:rsidP="00130423">
      <w:pPr>
        <w:jc w:val="both"/>
        <w:rPr>
          <w:rFonts w:cstheme="minorHAnsi"/>
          <w:color w:val="212529"/>
          <w:sz w:val="24"/>
          <w:szCs w:val="24"/>
          <w:shd w:val="clear" w:color="auto" w:fill="FFFFFF"/>
        </w:rPr>
      </w:pPr>
      <w:r>
        <w:rPr>
          <w:rFonts w:cstheme="minorHAnsi"/>
          <w:color w:val="212529"/>
          <w:sz w:val="24"/>
          <w:szCs w:val="24"/>
          <w:shd w:val="clear" w:color="auto" w:fill="FFFFFF"/>
        </w:rPr>
        <w:t xml:space="preserve">Young Minds (2018), NHS Health Education for England, </w:t>
      </w:r>
      <w:r w:rsidRPr="00344DD6">
        <w:rPr>
          <w:rFonts w:cstheme="minorHAnsi"/>
          <w:i/>
          <w:iCs/>
          <w:color w:val="212529"/>
          <w:sz w:val="24"/>
          <w:szCs w:val="24"/>
          <w:shd w:val="clear" w:color="auto" w:fill="FFFFFF"/>
        </w:rPr>
        <w:t>Addressing childhood adversity and trauma</w:t>
      </w:r>
      <w:r>
        <w:rPr>
          <w:rFonts w:cstheme="minorHAnsi"/>
          <w:i/>
          <w:iCs/>
          <w:color w:val="212529"/>
          <w:sz w:val="24"/>
          <w:szCs w:val="24"/>
          <w:shd w:val="clear" w:color="auto" w:fill="FFFFFF"/>
        </w:rPr>
        <w:t xml:space="preserve"> </w:t>
      </w:r>
      <w:r>
        <w:rPr>
          <w:rFonts w:cstheme="minorHAnsi"/>
          <w:color w:val="212529"/>
          <w:sz w:val="24"/>
          <w:szCs w:val="24"/>
          <w:shd w:val="clear" w:color="auto" w:fill="FFFFFF"/>
        </w:rPr>
        <w:t xml:space="preserve">[online]. Available at: </w:t>
      </w:r>
      <w:hyperlink r:id="rId32" w:history="1">
        <w:r w:rsidRPr="005C2E4B">
          <w:rPr>
            <w:rStyle w:val="Hyperlink"/>
            <w:rFonts w:cstheme="minorHAnsi"/>
            <w:color w:val="4472C4" w:themeColor="accent1"/>
            <w:sz w:val="24"/>
            <w:szCs w:val="24"/>
            <w:shd w:val="clear" w:color="auto" w:fill="FFFFFF"/>
          </w:rPr>
          <w:t>https://www.youngminds.org.uk/media/ojpon1ut/addressing-adversity-infographic-poster.pdf</w:t>
        </w:r>
      </w:hyperlink>
    </w:p>
    <w:p w14:paraId="22EE2884" w14:textId="77777777" w:rsidR="00130423" w:rsidRDefault="00130423" w:rsidP="00130423">
      <w:pPr>
        <w:jc w:val="both"/>
        <w:rPr>
          <w:rFonts w:cstheme="minorHAnsi"/>
          <w:color w:val="212529"/>
          <w:sz w:val="24"/>
          <w:szCs w:val="24"/>
          <w:shd w:val="clear" w:color="auto" w:fill="FFFFFF"/>
        </w:rPr>
      </w:pPr>
    </w:p>
    <w:p w14:paraId="259507C7" w14:textId="77777777" w:rsidR="00130423" w:rsidRPr="00170799" w:rsidRDefault="00130423" w:rsidP="00130423">
      <w:pPr>
        <w:jc w:val="both"/>
        <w:rPr>
          <w:rFonts w:cstheme="minorHAnsi"/>
          <w:color w:val="4472C4" w:themeColor="accent1"/>
          <w:sz w:val="24"/>
          <w:szCs w:val="24"/>
          <w:shd w:val="clear" w:color="auto" w:fill="FFFFFF"/>
        </w:rPr>
      </w:pPr>
      <w:r>
        <w:rPr>
          <w:rFonts w:cstheme="minorHAnsi"/>
          <w:color w:val="212529"/>
          <w:sz w:val="24"/>
          <w:szCs w:val="24"/>
          <w:shd w:val="clear" w:color="auto" w:fill="FFFFFF"/>
        </w:rPr>
        <w:t xml:space="preserve">Youth Justice Board (2024), National Statistics, </w:t>
      </w:r>
      <w:r>
        <w:rPr>
          <w:rFonts w:cstheme="minorHAnsi"/>
          <w:i/>
          <w:iCs/>
          <w:color w:val="212529"/>
          <w:sz w:val="24"/>
          <w:szCs w:val="24"/>
          <w:shd w:val="clear" w:color="auto" w:fill="FFFFFF"/>
        </w:rPr>
        <w:t xml:space="preserve">Youth Justice Statistics: 2022 to 2023 (accessible version) </w:t>
      </w:r>
      <w:r w:rsidRPr="00170799">
        <w:rPr>
          <w:rFonts w:cstheme="minorHAnsi"/>
          <w:color w:val="212529"/>
          <w:sz w:val="24"/>
          <w:szCs w:val="24"/>
          <w:shd w:val="clear" w:color="auto" w:fill="FFFFFF"/>
        </w:rPr>
        <w:t>[online].</w:t>
      </w:r>
      <w:r>
        <w:rPr>
          <w:rFonts w:cstheme="minorHAnsi"/>
          <w:i/>
          <w:iCs/>
          <w:color w:val="212529"/>
          <w:sz w:val="24"/>
          <w:szCs w:val="24"/>
          <w:shd w:val="clear" w:color="auto" w:fill="FFFFFF"/>
        </w:rPr>
        <w:t xml:space="preserve"> </w:t>
      </w:r>
      <w:r>
        <w:rPr>
          <w:rFonts w:cstheme="minorHAnsi"/>
          <w:color w:val="212529"/>
          <w:sz w:val="24"/>
          <w:szCs w:val="24"/>
          <w:shd w:val="clear" w:color="auto" w:fill="FFFFFF"/>
        </w:rPr>
        <w:t xml:space="preserve">Available at: </w:t>
      </w:r>
      <w:hyperlink r:id="rId33" w:history="1">
        <w:r w:rsidRPr="00170799">
          <w:rPr>
            <w:rStyle w:val="Hyperlink"/>
            <w:rFonts w:cstheme="minorHAnsi"/>
            <w:color w:val="4472C4" w:themeColor="accent1"/>
            <w:sz w:val="24"/>
            <w:szCs w:val="24"/>
            <w:shd w:val="clear" w:color="auto" w:fill="FFFFFF"/>
          </w:rPr>
          <w:t>https://www.gov.uk/government/statistics/youth-justice-statistics-2022-to-2023/youth-justice-statistics-2022-to-2023-accessible-version</w:t>
        </w:r>
      </w:hyperlink>
    </w:p>
    <w:p w14:paraId="61581D21" w14:textId="77777777" w:rsidR="00130423" w:rsidRPr="00CF5CDA" w:rsidRDefault="00130423" w:rsidP="00130423">
      <w:pPr>
        <w:jc w:val="both"/>
        <w:rPr>
          <w:rFonts w:cstheme="minorHAnsi"/>
          <w:color w:val="212529"/>
          <w:sz w:val="24"/>
          <w:szCs w:val="24"/>
          <w:shd w:val="clear" w:color="auto" w:fill="FFFFFF"/>
        </w:rPr>
      </w:pPr>
    </w:p>
    <w:p w14:paraId="0AD2C15B" w14:textId="77777777" w:rsidR="003A1A7D" w:rsidRPr="003A1A7D" w:rsidRDefault="003A1A7D" w:rsidP="003A1A7D">
      <w:pPr>
        <w:jc w:val="both"/>
        <w:rPr>
          <w:sz w:val="24"/>
          <w:szCs w:val="24"/>
        </w:rPr>
      </w:pPr>
    </w:p>
    <w:sectPr w:rsidR="003A1A7D" w:rsidRPr="003A1A7D" w:rsidSect="003A1A7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A7D"/>
    <w:rsid w:val="00130423"/>
    <w:rsid w:val="00136A53"/>
    <w:rsid w:val="002B4C39"/>
    <w:rsid w:val="002D6969"/>
    <w:rsid w:val="00371C2E"/>
    <w:rsid w:val="003A1A7D"/>
    <w:rsid w:val="004D28A8"/>
    <w:rsid w:val="006A1D55"/>
    <w:rsid w:val="00701C80"/>
    <w:rsid w:val="00792399"/>
    <w:rsid w:val="007A3814"/>
    <w:rsid w:val="007B23B5"/>
    <w:rsid w:val="009304C3"/>
    <w:rsid w:val="009C2627"/>
    <w:rsid w:val="00EA2B7C"/>
    <w:rsid w:val="00EA5C95"/>
    <w:rsid w:val="00ED36A8"/>
    <w:rsid w:val="00FC3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8BF5A"/>
  <w15:chartTrackingRefBased/>
  <w15:docId w15:val="{6002BDD6-52C9-44B7-83C0-AE6DE73DB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A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130423"/>
    <w:rPr>
      <w:color w:val="0000FF"/>
      <w:u w:val="single"/>
    </w:rPr>
  </w:style>
  <w:style w:type="character" w:styleId="Emphasis">
    <w:name w:val="Emphasis"/>
    <w:basedOn w:val="DefaultParagraphFont"/>
    <w:uiPriority w:val="20"/>
    <w:qFormat/>
    <w:rsid w:val="00130423"/>
    <w:rPr>
      <w:i/>
      <w:iCs/>
    </w:rPr>
  </w:style>
  <w:style w:type="character" w:styleId="FollowedHyperlink">
    <w:name w:val="FollowedHyperlink"/>
    <w:basedOn w:val="DefaultParagraphFont"/>
    <w:uiPriority w:val="99"/>
    <w:semiHidden/>
    <w:unhideWhenUsed/>
    <w:rsid w:val="00130423"/>
    <w:rPr>
      <w:color w:val="954F72" w:themeColor="followedHyperlink"/>
      <w:u w:val="single"/>
    </w:rPr>
  </w:style>
  <w:style w:type="character" w:styleId="UnresolvedMention">
    <w:name w:val="Unresolved Mention"/>
    <w:basedOn w:val="DefaultParagraphFont"/>
    <w:uiPriority w:val="99"/>
    <w:semiHidden/>
    <w:unhideWhenUsed/>
    <w:rsid w:val="00371C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guidance/neighbourhood-policing/targeting-activity" TargetMode="External"/><Relationship Id="rId18" Type="http://schemas.openxmlformats.org/officeDocument/2006/relationships/hyperlink" Target="https://www.crimeandjustice.org.uk/publications/cjm/article/child-criminalisation-and-mistake-early-intervention" TargetMode="External"/><Relationship Id="rId26" Type="http://schemas.openxmlformats.org/officeDocument/2006/relationships/hyperlink" Target="https://www.ons.gov.uk/peoplepopulationandcommunity/crimeandjustice/adhocs/11445trustinpoliceamongadultsaged16andoverinenglandandwalesandlondonyearendingmarch2016toyearendingmarch2019csew" TargetMode="External"/><Relationship Id="rId3" Type="http://schemas.openxmlformats.org/officeDocument/2006/relationships/settings" Target="settings.xml"/><Relationship Id="rId21" Type="http://schemas.openxmlformats.org/officeDocument/2006/relationships/hyperlink" Target="https://news.sky.com/story/cost-of-living-crisis-teens-making-money-for-their-families-by-joining-gangs-and-selling-drugs-12656948" TargetMode="External"/><Relationship Id="rId34" Type="http://schemas.openxmlformats.org/officeDocument/2006/relationships/fontTable" Target="fontTable.xml"/><Relationship Id="rId7" Type="http://schemas.openxmlformats.org/officeDocument/2006/relationships/hyperlink" Target="https://www.bbc.co.uk/newsround/50035769" TargetMode="External"/><Relationship Id="rId12" Type="http://schemas.openxmlformats.org/officeDocument/2006/relationships/hyperlink" Target="https://www.college.police.uk/app/national-decision-model/national-decision-model" TargetMode="External"/><Relationship Id="rId17" Type="http://schemas.openxmlformats.org/officeDocument/2006/relationships/hyperlink" Target="https://www.theguardian.com/world/2021/nov/26/scarman-report-into-brixton-riots-published-archive-1981" TargetMode="External"/><Relationship Id="rId25" Type="http://schemas.openxmlformats.org/officeDocument/2006/relationships/hyperlink" Target="https://www.gov.uk/government/publications/vulnerabilities-applying-all-our-health/vulnerabilities-applying-all-our-health" TargetMode="External"/><Relationship Id="rId33" Type="http://schemas.openxmlformats.org/officeDocument/2006/relationships/hyperlink" Target="https://www.gov.uk/government/statistics/youth-justice-statistics-2022-to-2023/youth-justice-statistics-2022-to-2023-accessible-version" TargetMode="External"/><Relationship Id="rId2" Type="http://schemas.openxmlformats.org/officeDocument/2006/relationships/styles" Target="styles.xml"/><Relationship Id="rId16" Type="http://schemas.openxmlformats.org/officeDocument/2006/relationships/hyperlink" Target="https://profdev.college.police.uk/competency-values/" TargetMode="External"/><Relationship Id="rId20" Type="http://schemas.openxmlformats.org/officeDocument/2006/relationships/hyperlink" Target="https://www.gov.uk/guidance/police-and-criminal-evidence-act-1984-pace-codes-of-practice" TargetMode="External"/><Relationship Id="rId29" Type="http://schemas.openxmlformats.org/officeDocument/2006/relationships/hyperlink" Target="https://doi.org/10.1007/s11292-015-9237-8" TargetMode="External"/><Relationship Id="rId1" Type="http://schemas.openxmlformats.org/officeDocument/2006/relationships/customXml" Target="../customXml/item1.xml"/><Relationship Id="rId6" Type="http://schemas.openxmlformats.org/officeDocument/2006/relationships/hyperlink" Target="https://www.bbc.co.uk/news/uk-20981611" TargetMode="External"/><Relationship Id="rId11" Type="http://schemas.openxmlformats.org/officeDocument/2006/relationships/hyperlink" Target="https://www.law.ac.uk/resources/blog/diversity-in-policing/" TargetMode="External"/><Relationship Id="rId24" Type="http://schemas.openxmlformats.org/officeDocument/2006/relationships/hyperlink" Target="http://www.nagia.org/about-nagia.html#:~:text=gang%3A%20A%20group%20or%20association,atmosphere%20of%20fear%20and%20intimidation" TargetMode="External"/><Relationship Id="rId32" Type="http://schemas.openxmlformats.org/officeDocument/2006/relationships/hyperlink" Target="https://www.youngminds.org.uk/media/ojpon1ut/addressing-adversity-infographic-poster.pdf" TargetMode="External"/><Relationship Id="rId5" Type="http://schemas.openxmlformats.org/officeDocument/2006/relationships/hyperlink" Target="https://academic.oup.com/policing/article/doi/10.1093/police/paac065/6717938" TargetMode="External"/><Relationship Id="rId15" Type="http://schemas.openxmlformats.org/officeDocument/2006/relationships/hyperlink" Target="https://www.college.police.uk/app/major-investigation-and-public-protection/managing-sexual-offenders-and-violent-offenders/multi-agency-public-protection-arrangements-mappa" TargetMode="External"/><Relationship Id="rId23" Type="http://schemas.openxmlformats.org/officeDocument/2006/relationships/hyperlink" Target="https://www.theguardian.com/uk-news/2023/oct/24/welsh-police-officer-incited-200-girls-to-send-him-explicit-images-court-hears" TargetMode="External"/><Relationship Id="rId28" Type="http://schemas.openxmlformats.org/officeDocument/2006/relationships/hyperlink" Target="https://assets.publishing.service.gov.uk/government/uploads/system/uploads/attachment_data/file/828228/CAPRICORN_resource.pdf" TargetMode="External"/><Relationship Id="rId10" Type="http://schemas.openxmlformats.org/officeDocument/2006/relationships/hyperlink" Target="https://journals.openedition.org/mimmoc/1340" TargetMode="External"/><Relationship Id="rId19" Type="http://schemas.openxmlformats.org/officeDocument/2006/relationships/hyperlink" Target="https://assets.publishing.service.gov.uk/government/uploads/system/uploads/attachment_data/file/85021/public-sector.pdf" TargetMode="External"/><Relationship Id="rId31" Type="http://schemas.openxmlformats.org/officeDocument/2006/relationships/hyperlink" Target="https://pubmed.ncbi.nlm.nih.gov/1556287/" TargetMode="External"/><Relationship Id="rId4" Type="http://schemas.openxmlformats.org/officeDocument/2006/relationships/webSettings" Target="webSettings.xml"/><Relationship Id="rId9" Type="http://schemas.openxmlformats.org/officeDocument/2006/relationships/hyperlink" Target="https://academic.oup.com/jpubhealth/article/36/1/81/1571104?login=false" TargetMode="External"/><Relationship Id="rId14" Type="http://schemas.openxmlformats.org/officeDocument/2006/relationships/hyperlink" Target="https://www.college.police.uk/support-forces/diversity-and-inclusion" TargetMode="External"/><Relationship Id="rId22" Type="http://schemas.openxmlformats.org/officeDocument/2006/relationships/hyperlink" Target="https://www.gov.uk/government/publications/multi-agency-public-protection-arrangements-mappa-guidance" TargetMode="External"/><Relationship Id="rId27" Type="http://schemas.openxmlformats.org/officeDocument/2006/relationships/hyperlink" Target="https://www.gov.uk/government/publications/preventing-offending-and-re-offending-by-children/collaborative-approaches-to-preventing-offending-and-re-offending-by-children-capricorn-summary" TargetMode="External"/><Relationship Id="rId30" Type="http://schemas.openxmlformats.org/officeDocument/2006/relationships/hyperlink" Target="https://revisesociology.com/2021/05/26/how-successful-are-early-interventions-in-reducing-violent-crime/" TargetMode="External"/><Relationship Id="rId35" Type="http://schemas.openxmlformats.org/officeDocument/2006/relationships/theme" Target="theme/theme1.xml"/><Relationship Id="rId8" Type="http://schemas.openxmlformats.org/officeDocument/2006/relationships/hyperlink" Target="https://www.bbc.co.uk/news/articles/cd1w9dyl74z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AAED1-0B41-48E7-8A9C-C5E5FB473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12</Pages>
  <Words>5334</Words>
  <Characters>30404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Davies,Holly swp8610</dc:creator>
  <cp:keywords/>
  <dc:description/>
  <cp:lastModifiedBy>Davies,Holly swp8610</cp:lastModifiedBy>
  <cp:revision>11</cp:revision>
  <dcterms:created xsi:type="dcterms:W3CDTF">2024-05-06T21:06:00Z</dcterms:created>
  <dcterms:modified xsi:type="dcterms:W3CDTF">2024-05-06T22:06:00Z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2024-05-06T21:09:09Z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8ad7ef1a-95b9-4c79-9b31-a9c71a9c1bc0</vt:lpwstr>
  </property>
  <property fmtid="{D5CDD505-2E9C-101B-9397-08002B2CF9AE}" pid="8" name="MSIP_Label_66cf8fe5-b7b7-4df7-b38d-1c61ac2f6639_ContentBits">
    <vt:lpwstr>0</vt:lpwstr>
  </property>
</Properties>
</file>