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02">
      <w:pPr>
        <w:rPr>
          <w:rFonts w:ascii="Times New Roman" w:cs="Times New Roman" w:eastAsia="Times New Roman" w:hAnsi="Times New Roman"/>
          <w:i w:val="1"/>
          <w:sz w:val="26"/>
          <w:szCs w:val="26"/>
        </w:rPr>
      </w:pPr>
      <w:r w:rsidDel="00000000" w:rsidR="00000000" w:rsidRPr="00000000">
        <w:rPr>
          <w:rFonts w:ascii="Times New Roman" w:cs="Times New Roman" w:eastAsia="Times New Roman" w:hAnsi="Times New Roman"/>
          <w:i w:val="1"/>
          <w:sz w:val="26"/>
          <w:szCs w:val="26"/>
          <w:rtl w:val="0"/>
        </w:rPr>
        <w:t xml:space="preserve">Ille mi par esse deo videtur,</w:t>
      </w:r>
    </w:p>
    <w:p w:rsidR="00000000" w:rsidDel="00000000" w:rsidP="00000000" w:rsidRDefault="00000000" w:rsidRPr="00000000" w14:paraId="00000003">
      <w:pPr>
        <w:rPr>
          <w:rFonts w:ascii="Times New Roman" w:cs="Times New Roman" w:eastAsia="Times New Roman" w:hAnsi="Times New Roman"/>
          <w:i w:val="1"/>
          <w:sz w:val="26"/>
          <w:szCs w:val="26"/>
        </w:rPr>
      </w:pPr>
      <w:r w:rsidDel="00000000" w:rsidR="00000000" w:rsidRPr="00000000">
        <w:rPr>
          <w:rFonts w:ascii="Times New Roman" w:cs="Times New Roman" w:eastAsia="Times New Roman" w:hAnsi="Times New Roman"/>
          <w:i w:val="1"/>
          <w:sz w:val="26"/>
          <w:szCs w:val="26"/>
          <w:rtl w:val="0"/>
        </w:rPr>
        <w:t xml:space="preserve">ille, si fas est, superare diuos</w:t>
      </w:r>
    </w:p>
    <w:p w:rsidR="00000000" w:rsidDel="00000000" w:rsidP="00000000" w:rsidRDefault="00000000" w:rsidRPr="00000000" w14:paraId="00000004">
      <w:pPr>
        <w:rPr>
          <w:rFonts w:ascii="Times New Roman" w:cs="Times New Roman" w:eastAsia="Times New Roman" w:hAnsi="Times New Roman"/>
          <w:i w:val="1"/>
          <w:sz w:val="26"/>
          <w:szCs w:val="26"/>
        </w:rPr>
      </w:pPr>
      <w:r w:rsidDel="00000000" w:rsidR="00000000" w:rsidRPr="00000000">
        <w:rPr>
          <w:rFonts w:ascii="Times New Roman" w:cs="Times New Roman" w:eastAsia="Times New Roman" w:hAnsi="Times New Roman"/>
          <w:i w:val="1"/>
          <w:sz w:val="26"/>
          <w:szCs w:val="26"/>
          <w:rtl w:val="0"/>
        </w:rPr>
        <w:t xml:space="preserve">qui sedens aduersus identidem te</w:t>
      </w:r>
    </w:p>
    <w:p w:rsidR="00000000" w:rsidDel="00000000" w:rsidP="00000000" w:rsidRDefault="00000000" w:rsidRPr="00000000" w14:paraId="00000005">
      <w:pPr>
        <w:rPr>
          <w:rFonts w:ascii="Times New Roman" w:cs="Times New Roman" w:eastAsia="Times New Roman" w:hAnsi="Times New Roman"/>
          <w:i w:val="1"/>
          <w:sz w:val="26"/>
          <w:szCs w:val="26"/>
        </w:rPr>
      </w:pPr>
      <w:r w:rsidDel="00000000" w:rsidR="00000000" w:rsidRPr="00000000">
        <w:rPr>
          <w:rFonts w:ascii="Times New Roman" w:cs="Times New Roman" w:eastAsia="Times New Roman" w:hAnsi="Times New Roman"/>
          <w:i w:val="1"/>
          <w:sz w:val="26"/>
          <w:szCs w:val="26"/>
          <w:rtl w:val="0"/>
        </w:rPr>
        <w:t xml:space="preserve">spectat et audit</w:t>
      </w:r>
    </w:p>
    <w:p w:rsidR="00000000" w:rsidDel="00000000" w:rsidP="00000000" w:rsidRDefault="00000000" w:rsidRPr="00000000" w14:paraId="00000006">
      <w:pPr>
        <w:rPr>
          <w:rFonts w:ascii="Times New Roman" w:cs="Times New Roman" w:eastAsia="Times New Roman" w:hAnsi="Times New Roman"/>
          <w:i w:val="1"/>
          <w:sz w:val="26"/>
          <w:szCs w:val="26"/>
        </w:rPr>
      </w:pPr>
      <w:r w:rsidDel="00000000" w:rsidR="00000000" w:rsidRPr="00000000">
        <w:rPr>
          <w:rFonts w:ascii="Times New Roman" w:cs="Times New Roman" w:eastAsia="Times New Roman" w:hAnsi="Times New Roman"/>
          <w:i w:val="1"/>
          <w:sz w:val="26"/>
          <w:szCs w:val="26"/>
          <w:rtl w:val="0"/>
        </w:rPr>
        <w:t xml:space="preserve">dulce ridentum, misero quod omnis</w:t>
      </w:r>
    </w:p>
    <w:p w:rsidR="00000000" w:rsidDel="00000000" w:rsidP="00000000" w:rsidRDefault="00000000" w:rsidRPr="00000000" w14:paraId="00000007">
      <w:pPr>
        <w:rPr>
          <w:rFonts w:ascii="Times New Roman" w:cs="Times New Roman" w:eastAsia="Times New Roman" w:hAnsi="Times New Roman"/>
          <w:i w:val="1"/>
          <w:sz w:val="26"/>
          <w:szCs w:val="26"/>
        </w:rPr>
      </w:pPr>
      <w:r w:rsidDel="00000000" w:rsidR="00000000" w:rsidRPr="00000000">
        <w:rPr>
          <w:rFonts w:ascii="Times New Roman" w:cs="Times New Roman" w:eastAsia="Times New Roman" w:hAnsi="Times New Roman"/>
          <w:i w:val="1"/>
          <w:sz w:val="26"/>
          <w:szCs w:val="26"/>
          <w:rtl w:val="0"/>
        </w:rPr>
        <w:t xml:space="preserve">eripit sensus mihi: nam simsul te,</w:t>
      </w:r>
    </w:p>
    <w:p w:rsidR="00000000" w:rsidDel="00000000" w:rsidP="00000000" w:rsidRDefault="00000000" w:rsidRPr="00000000" w14:paraId="00000008">
      <w:pPr>
        <w:rPr>
          <w:rFonts w:ascii="Times New Roman" w:cs="Times New Roman" w:eastAsia="Times New Roman" w:hAnsi="Times New Roman"/>
          <w:i w:val="1"/>
          <w:sz w:val="26"/>
          <w:szCs w:val="26"/>
        </w:rPr>
      </w:pPr>
      <w:r w:rsidDel="00000000" w:rsidR="00000000" w:rsidRPr="00000000">
        <w:rPr>
          <w:rFonts w:ascii="Times New Roman" w:cs="Times New Roman" w:eastAsia="Times New Roman" w:hAnsi="Times New Roman"/>
          <w:i w:val="1"/>
          <w:sz w:val="26"/>
          <w:szCs w:val="26"/>
          <w:rtl w:val="0"/>
        </w:rPr>
        <w:t xml:space="preserve">Lesbia, aspexi, nihil est super mi</w:t>
      </w:r>
    </w:p>
    <w:p w:rsidR="00000000" w:rsidDel="00000000" w:rsidP="00000000" w:rsidRDefault="00000000" w:rsidRPr="00000000" w14:paraId="00000009">
      <w:pPr>
        <w:rPr>
          <w:rFonts w:ascii="Times New Roman" w:cs="Times New Roman" w:eastAsia="Times New Roman" w:hAnsi="Times New Roman"/>
          <w:i w:val="1"/>
          <w:sz w:val="26"/>
          <w:szCs w:val="26"/>
        </w:rPr>
      </w:pPr>
      <w:r w:rsidDel="00000000" w:rsidR="00000000" w:rsidRPr="00000000">
        <w:rPr>
          <w:rFonts w:ascii="Times New Roman" w:cs="Times New Roman" w:eastAsia="Times New Roman" w:hAnsi="Times New Roman"/>
          <w:i w:val="1"/>
          <w:sz w:val="26"/>
          <w:szCs w:val="26"/>
          <w:rtl w:val="0"/>
        </w:rPr>
        <w:t xml:space="preserve">&lt;vocis”</w:t>
      </w:r>
    </w:p>
    <w:p w:rsidR="00000000" w:rsidDel="00000000" w:rsidP="00000000" w:rsidRDefault="00000000" w:rsidRPr="00000000" w14:paraId="0000000A">
      <w:pPr>
        <w:rPr>
          <w:rFonts w:ascii="Times New Roman" w:cs="Times New Roman" w:eastAsia="Times New Roman" w:hAnsi="Times New Roman"/>
          <w:i w:val="1"/>
          <w:sz w:val="26"/>
          <w:szCs w:val="26"/>
        </w:rPr>
      </w:pPr>
      <w:r w:rsidDel="00000000" w:rsidR="00000000" w:rsidRPr="00000000">
        <w:rPr>
          <w:rFonts w:ascii="Times New Roman" w:cs="Times New Roman" w:eastAsia="Times New Roman" w:hAnsi="Times New Roman"/>
          <w:i w:val="1"/>
          <w:sz w:val="26"/>
          <w:szCs w:val="26"/>
          <w:rtl w:val="0"/>
        </w:rPr>
        <w:t xml:space="preserve">Otium, Catulle, tibi molestum est:</w:t>
      </w:r>
    </w:p>
    <w:p w:rsidR="00000000" w:rsidDel="00000000" w:rsidP="00000000" w:rsidRDefault="00000000" w:rsidRPr="00000000" w14:paraId="0000000B">
      <w:pPr>
        <w:rPr>
          <w:rFonts w:ascii="Times New Roman" w:cs="Times New Roman" w:eastAsia="Times New Roman" w:hAnsi="Times New Roman"/>
          <w:i w:val="1"/>
          <w:sz w:val="26"/>
          <w:szCs w:val="26"/>
        </w:rPr>
      </w:pPr>
      <w:r w:rsidDel="00000000" w:rsidR="00000000" w:rsidRPr="00000000">
        <w:rPr>
          <w:rFonts w:ascii="Times New Roman" w:cs="Times New Roman" w:eastAsia="Times New Roman" w:hAnsi="Times New Roman"/>
          <w:i w:val="1"/>
          <w:sz w:val="26"/>
          <w:szCs w:val="26"/>
          <w:rtl w:val="0"/>
        </w:rPr>
        <w:t xml:space="preserve">otio exsultas nimiumque gestis:</w:t>
      </w:r>
    </w:p>
    <w:p w:rsidR="00000000" w:rsidDel="00000000" w:rsidP="00000000" w:rsidRDefault="00000000" w:rsidRPr="00000000" w14:paraId="0000000C">
      <w:pPr>
        <w:rPr>
          <w:rFonts w:ascii="Times New Roman" w:cs="Times New Roman" w:eastAsia="Times New Roman" w:hAnsi="Times New Roman"/>
          <w:i w:val="1"/>
          <w:sz w:val="26"/>
          <w:szCs w:val="26"/>
        </w:rPr>
      </w:pPr>
      <w:r w:rsidDel="00000000" w:rsidR="00000000" w:rsidRPr="00000000">
        <w:rPr>
          <w:rFonts w:ascii="Times New Roman" w:cs="Times New Roman" w:eastAsia="Times New Roman" w:hAnsi="Times New Roman"/>
          <w:i w:val="1"/>
          <w:sz w:val="26"/>
          <w:szCs w:val="26"/>
          <w:rtl w:val="0"/>
        </w:rPr>
        <w:t xml:space="preserve">otium et reges prius et beatas</w:t>
      </w:r>
    </w:p>
    <w:p w:rsidR="00000000" w:rsidDel="00000000" w:rsidP="00000000" w:rsidRDefault="00000000" w:rsidRPr="00000000" w14:paraId="0000000D">
      <w:pPr>
        <w:rPr>
          <w:rFonts w:ascii="Times New Roman" w:cs="Times New Roman" w:eastAsia="Times New Roman" w:hAnsi="Times New Roman"/>
          <w:i w:val="1"/>
          <w:sz w:val="26"/>
          <w:szCs w:val="26"/>
        </w:rPr>
      </w:pPr>
      <w:r w:rsidDel="00000000" w:rsidR="00000000" w:rsidRPr="00000000">
        <w:rPr>
          <w:rFonts w:ascii="Times New Roman" w:cs="Times New Roman" w:eastAsia="Times New Roman" w:hAnsi="Times New Roman"/>
          <w:i w:val="1"/>
          <w:sz w:val="26"/>
          <w:szCs w:val="26"/>
          <w:rtl w:val="0"/>
        </w:rPr>
        <w:t xml:space="preserve">perdidit urbes.</w:t>
      </w:r>
    </w:p>
    <w:p w:rsidR="00000000" w:rsidDel="00000000" w:rsidP="00000000" w:rsidRDefault="00000000" w:rsidRPr="00000000" w14:paraId="0000000E">
      <w:pPr>
        <w:rPr>
          <w:rFonts w:ascii="Times New Roman" w:cs="Times New Roman" w:eastAsia="Times New Roman" w:hAnsi="Times New Roman"/>
          <w:i w:val="1"/>
          <w:sz w:val="26"/>
          <w:szCs w:val="26"/>
        </w:rPr>
      </w:pPr>
      <w:r w:rsidDel="00000000" w:rsidR="00000000" w:rsidRPr="00000000">
        <w:rPr>
          <w:rtl w:val="0"/>
        </w:rPr>
      </w:r>
    </w:p>
    <w:p w:rsidR="00000000" w:rsidDel="00000000" w:rsidP="00000000" w:rsidRDefault="00000000" w:rsidRPr="00000000" w14:paraId="0000000F">
      <w:pPr>
        <w:rPr>
          <w:rFonts w:ascii="Times New Roman" w:cs="Times New Roman" w:eastAsia="Times New Roman" w:hAnsi="Times New Roman"/>
          <w:i w:val="1"/>
          <w:sz w:val="26"/>
          <w:szCs w:val="26"/>
        </w:rPr>
      </w:pPr>
      <w:r w:rsidDel="00000000" w:rsidR="00000000" w:rsidRPr="00000000">
        <w:rPr>
          <w:rFonts w:ascii="Times New Roman" w:cs="Times New Roman" w:eastAsia="Times New Roman" w:hAnsi="Times New Roman"/>
          <w:i w:val="1"/>
          <w:sz w:val="26"/>
          <w:szCs w:val="26"/>
          <w:rtl w:val="0"/>
        </w:rPr>
        <w:t xml:space="preserve">“He seems to me to be equal to a god, he, if it may be, seems to surpass the very gods, who sitting opposite you again and again gazes at you and hears you sweetly laughing. Such a thing takes away all my senses, alas! for whenever I see you, Lesbia, at once no sound of voice remains within my mouth, but my tongue falters, a subtle flame steals down through my limbs, my ears ring with inward humming, my eyes are shrouded in twofold night. Idleness, Catullus, does you harm, you riot in your idleness and wanton too much. Idleness ere now has ruined both kings and wealthy cities.” (Catullus 51)</w:t>
      </w:r>
    </w:p>
    <w:p w:rsidR="00000000" w:rsidDel="00000000" w:rsidP="00000000" w:rsidRDefault="00000000" w:rsidRPr="00000000" w14:paraId="00000010">
      <w:pPr>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1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Catullus 51 is the work of Gaius Valerius Catullus (c. 84 - c. 54 BC),  A poem built upon the work of Sappho. Catullus was a Roman poet and was generally considered the author of the finest lyric poetry known to ancient Rome. Catullus’ twenty-five Lesbia works are heralded as his most memorable as they are said to register emotions from ecstasy to despair. The work presents an atypical relationship between a woman, her partner, and a captivated onlooker. Within the additional context revealed by Catullus’ other Lesbia works and outside historical understandings, the married noblewoman he admires so is likely to be Clodia Metelli. Catullus 51 is a close but not slavish adaptation of Sappho’s 31, one of her fragmented poems, and is written in the Sapphic meter, which is unlike the majority of Catullus' poems.</w:t>
      </w:r>
    </w:p>
    <w:p w:rsidR="00000000" w:rsidDel="00000000" w:rsidP="00000000" w:rsidRDefault="00000000" w:rsidRPr="00000000" w14:paraId="0000001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3">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prima facia of the text is unusual with Catullus’ social incapacity before a woman at odds with the classical conception of manhood. Lesbia, the aforementioned muse, and the focus of twenty-five other works in Catullus’ collection is the center of an affair, </w:t>
      </w:r>
      <w:r w:rsidDel="00000000" w:rsidR="00000000" w:rsidRPr="00000000">
        <w:rPr>
          <w:rFonts w:ascii="Times New Roman" w:cs="Times New Roman" w:eastAsia="Times New Roman" w:hAnsi="Times New Roman"/>
          <w:rtl w:val="0"/>
        </w:rPr>
        <w:t xml:space="preserve">in which the peculiar</w:t>
      </w:r>
      <w:r w:rsidDel="00000000" w:rsidR="00000000" w:rsidRPr="00000000">
        <w:rPr>
          <w:rFonts w:ascii="Times New Roman" w:cs="Times New Roman" w:eastAsia="Times New Roman" w:hAnsi="Times New Roman"/>
          <w:rtl w:val="0"/>
        </w:rPr>
        <w:t xml:space="preserve"> dynamic between her lover and husband is displayed</w:t>
      </w:r>
      <w:r w:rsidDel="00000000" w:rsidR="00000000" w:rsidRPr="00000000">
        <w:rPr>
          <w:rFonts w:ascii="Times New Roman" w:cs="Times New Roman" w:eastAsia="Times New Roman" w:hAnsi="Times New Roman"/>
          <w:rtl w:val="0"/>
        </w:rPr>
        <w:t xml:space="preserve">. Where a lover would usually hold disdain for the husband, Catullus holds him as an object of admiration. Through phrases such as “...to be equal to a god…”, Catullus places his rival on a pedestal far above his own station. This is unusual with the dynamic abrasive to the typical romanticist scheme, particularly in the face of contemporary Roman attitudes towards the idea of masculinity and the desire to be considered an elite within society, Catullus’ image of the typically Roman male fawning over a woman reverses conventional classic gender roles - in a period of fragile masculinity and the increased importance of bravado this creates a more captivating dynamic, Catullus attempts to navigate the ancient worlds </w:t>
      </w:r>
      <w:r w:rsidDel="00000000" w:rsidR="00000000" w:rsidRPr="00000000">
        <w:rPr>
          <w:rFonts w:ascii="Times New Roman" w:cs="Times New Roman" w:eastAsia="Times New Roman" w:hAnsi="Times New Roman"/>
          <w:rtl w:val="0"/>
        </w:rPr>
        <w:t xml:space="preserve">fragile</w:t>
      </w:r>
      <w:r w:rsidDel="00000000" w:rsidR="00000000" w:rsidRPr="00000000">
        <w:rPr>
          <w:rFonts w:ascii="Times New Roman" w:cs="Times New Roman" w:eastAsia="Times New Roman" w:hAnsi="Times New Roman"/>
          <w:rtl w:val="0"/>
        </w:rPr>
        <w:t xml:space="preserve"> relationship with a conservative image turned on its head. It is clear that to Catullus, Lesbia’s companion is among the most powerful men he knows, going as far as to suggest that he had seemed to “surpass the very gods”, something which at the time of Catullus 51’s creation (</w:t>
      </w:r>
      <w:r w:rsidDel="00000000" w:rsidR="00000000" w:rsidRPr="00000000">
        <w:rPr>
          <w:rFonts w:ascii="Times New Roman" w:cs="Times New Roman" w:eastAsia="Times New Roman" w:hAnsi="Times New Roman"/>
          <w:rtl w:val="0"/>
        </w:rPr>
        <w:t xml:space="preserve">84 – c. 54 BC) holds greater significance, the God’s played a more involved role in Roman society compared to modern secular society, his awe and fixation with Lesbia’s partner almost creates the image of a master and slave, such an obedient admiration and commitment to the idea of one man greater than the other can allow the reader to interpret this odd dynamic in two men who should be by all real measures be on the same social standing. </w:t>
      </w:r>
      <w:r w:rsidDel="00000000" w:rsidR="00000000" w:rsidRPr="00000000">
        <w:rPr>
          <w:rFonts w:ascii="Times New Roman" w:cs="Times New Roman" w:eastAsia="Times New Roman" w:hAnsi="Times New Roman"/>
          <w:rtl w:val="0"/>
        </w:rPr>
        <w:t xml:space="preserve"> It is evident that Catullus considers Lesbia’s companion to reflect the ideal masculine character, portraying the common attributes of a virtuous man. Lesbia’s companion is able to sit opposite her “...again and again…” yet remains unfazed by the vices that Catullus is unable to handle, or at least without making him feel “shrouded in twofold night.”. The passage describing the husband reflects the conditions named by Seneca to be considered a “good man”, that is to “suppress any sign of wounds and dig in [their] heels”</w:t>
      </w:r>
      <w:r w:rsidDel="00000000" w:rsidR="00000000" w:rsidRPr="00000000">
        <w:rPr>
          <w:rFonts w:ascii="Times New Roman" w:cs="Times New Roman" w:eastAsia="Times New Roman" w:hAnsi="Times New Roman"/>
          <w:i w:val="1"/>
          <w:rtl w:val="0"/>
        </w:rPr>
        <w:t xml:space="preserve">. </w:t>
      </w:r>
      <w:r w:rsidDel="00000000" w:rsidR="00000000" w:rsidRPr="00000000">
        <w:rPr>
          <w:rFonts w:ascii="Times New Roman" w:cs="Times New Roman" w:eastAsia="Times New Roman" w:hAnsi="Times New Roman"/>
          <w:rtl w:val="0"/>
        </w:rPr>
        <w:t xml:space="preserve">This idea of a “good man” is an interesting subtopic for Catullus 51, as it is frankly an affront to the post-modern theory of masculinity, written in a period in which masculinity could simply be reduced to the game of status, statues, and reputation, where importance rested upon being good at being a man rather than being a “good man”, the most captivating dynamic is not presented by the prima facie dance between anguished lover Catullus and the lecherous Lesbia, but the entangled mess between the unnamed man and Catullus, which borders almost upon a homoerotic fantasy of Lesbia’s escort.</w:t>
      </w:r>
    </w:p>
    <w:p w:rsidR="00000000" w:rsidDel="00000000" w:rsidP="00000000" w:rsidRDefault="00000000" w:rsidRPr="00000000" w14:paraId="00000014">
      <w:pPr>
        <w:rPr>
          <w:rFonts w:ascii="Times New Roman" w:cs="Times New Roman" w:eastAsia="Times New Roman" w:hAnsi="Times New Roman"/>
          <w:i w:val="1"/>
        </w:rPr>
      </w:pPr>
      <w:r w:rsidDel="00000000" w:rsidR="00000000" w:rsidRPr="00000000">
        <w:rPr>
          <w:rtl w:val="0"/>
        </w:rPr>
      </w:r>
    </w:p>
    <w:p w:rsidR="00000000" w:rsidDel="00000000" w:rsidP="00000000" w:rsidRDefault="00000000" w:rsidRPr="00000000" w14:paraId="0000001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Latin translation of Catullus 51 contains a threefold repetition of </w:t>
      </w:r>
      <w:r w:rsidDel="00000000" w:rsidR="00000000" w:rsidRPr="00000000">
        <w:rPr>
          <w:rFonts w:ascii="Times New Roman" w:cs="Times New Roman" w:eastAsia="Times New Roman" w:hAnsi="Times New Roman"/>
          <w:i w:val="1"/>
          <w:rtl w:val="0"/>
        </w:rPr>
        <w:t xml:space="preserve">“ille…ille..qui”</w:t>
      </w:r>
      <w:r w:rsidDel="00000000" w:rsidR="00000000" w:rsidRPr="00000000">
        <w:rPr>
          <w:rFonts w:ascii="Times New Roman" w:cs="Times New Roman" w:eastAsia="Times New Roman" w:hAnsi="Times New Roman"/>
          <w:rtl w:val="0"/>
        </w:rPr>
        <w:t xml:space="preserve">, although the repetition of his pronoun and obsessive focus on Lesbia’s significant other emphasizes the admiration Catullus holds, the exclusion of the husband's name suggests an attempt to retain some power within the one-sided dynamic, by referring to him as </w:t>
      </w:r>
      <w:r w:rsidDel="00000000" w:rsidR="00000000" w:rsidRPr="00000000">
        <w:rPr>
          <w:rFonts w:ascii="Times New Roman" w:cs="Times New Roman" w:eastAsia="Times New Roman" w:hAnsi="Times New Roman"/>
          <w:i w:val="1"/>
          <w:rtl w:val="0"/>
        </w:rPr>
        <w:t xml:space="preserve">ille </w:t>
      </w:r>
      <w:r w:rsidDel="00000000" w:rsidR="00000000" w:rsidRPr="00000000">
        <w:rPr>
          <w:rFonts w:ascii="Times New Roman" w:cs="Times New Roman" w:eastAsia="Times New Roman" w:hAnsi="Times New Roman"/>
          <w:rtl w:val="0"/>
        </w:rPr>
        <w:t xml:space="preserve">(“that man”), Catullus does not allow Lesbia’s husband the satisfaction of being labeled as one who had surpassed the Gods. I would also consider this the first instance of Catullus’ criticisms of Roman masculinity, at this point Lesbia is hardly the focus of her supposedly obsessed lover and seems to simply be an insignificant point of tension between the two men. Lesbia is simply referred to as “</w:t>
      </w:r>
      <w:r w:rsidDel="00000000" w:rsidR="00000000" w:rsidRPr="00000000">
        <w:rPr>
          <w:rFonts w:ascii="Times New Roman" w:cs="Times New Roman" w:eastAsia="Times New Roman" w:hAnsi="Times New Roman"/>
          <w:i w:val="1"/>
          <w:rtl w:val="0"/>
        </w:rPr>
        <w:t xml:space="preserve">te</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i w:val="1"/>
          <w:rtl w:val="0"/>
        </w:rPr>
        <w:t xml:space="preserve">you</w:t>
      </w:r>
      <w:r w:rsidDel="00000000" w:rsidR="00000000" w:rsidRPr="00000000">
        <w:rPr>
          <w:rFonts w:ascii="Times New Roman" w:cs="Times New Roman" w:eastAsia="Times New Roman" w:hAnsi="Times New Roman"/>
          <w:rtl w:val="0"/>
        </w:rPr>
        <w:t xml:space="preserve">”) up until the seventh line of the Latin translation, further reducing her importance to the poem, confining her to ambiguous terms despite at first glance appearing to be the centerpiece of Catullus’ work. However, Lesbia is an interesting figure in her own right. Evidently a pseudonym for Clodia Metelli, Catullus depicts Lesbia as the heartless tormentor of our lovesick speaker, after breaking his heart Catullus reveals the lechery of Lesbia in a poem written for her other lover, Caelius. This is an interesting reflection of historical events that took place involving Clodia’s husband Metellus, Caelius, and Cicero. While Clodia was acting witness for the prosecution of Caelius versus the state, Cicero convinced the jury it was Clodia who had convinced Caelius into having an affair and was only testifying against him as an act of spite having been rejected. Cicero cleverly portrayed Clodia as everything a Roman woman shouldn’t be, even going so far as to liken her to Medea, a mythical witch, and murderer. These events provide an interesting context for the figure of Lesbia within Catullus’ works.</w:t>
      </w:r>
    </w:p>
    <w:p w:rsidR="00000000" w:rsidDel="00000000" w:rsidP="00000000" w:rsidRDefault="00000000" w:rsidRPr="00000000" w14:paraId="0000001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7">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Catullus 51, one of his twenty-five Lesbia works can be considered one of his most notable. An altered translation of Sappho’s 31, it reflects Catullus’ contemporary issues, challenging then social norms on masculinity and the Roman notion of manhood. The most interesting aspect of the piece is the relationship between would-be rivals turned admirer and object of admiration. An almost homoerotic obsession creates a poem that holds numerous caveats beneath the surface and beyond first impressions.</w:t>
      </w:r>
    </w:p>
    <w:p w:rsidR="00000000" w:rsidDel="00000000" w:rsidP="00000000" w:rsidRDefault="00000000" w:rsidRPr="00000000" w14:paraId="0000001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9">
      <w:pPr>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1A">
      <w:pPr>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1B">
      <w:pPr>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1C">
      <w:pPr>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1D">
      <w:pPr>
        <w:rPr>
          <w:rFonts w:ascii="Times New Roman" w:cs="Times New Roman" w:eastAsia="Times New Roman" w:hAnsi="Times New Roman"/>
          <w:b w:val="1"/>
          <w:sz w:val="26"/>
          <w:szCs w:val="26"/>
          <w:u w:val="single"/>
        </w:rPr>
      </w:pPr>
      <w:r w:rsidDel="00000000" w:rsidR="00000000" w:rsidRPr="00000000">
        <w:rPr>
          <w:rtl w:val="0"/>
        </w:rPr>
      </w:r>
    </w:p>
    <w:p w:rsidR="00000000" w:rsidDel="00000000" w:rsidP="00000000" w:rsidRDefault="00000000" w:rsidRPr="00000000" w14:paraId="0000001E">
      <w:pPr>
        <w:rPr>
          <w:rFonts w:ascii="Times New Roman" w:cs="Times New Roman" w:eastAsia="Times New Roman" w:hAnsi="Times New Roman"/>
          <w:b w:val="1"/>
          <w:sz w:val="26"/>
          <w:szCs w:val="26"/>
          <w:u w:val="single"/>
        </w:rPr>
      </w:pPr>
      <w:r w:rsidDel="00000000" w:rsidR="00000000" w:rsidRPr="00000000">
        <w:rPr>
          <w:rFonts w:ascii="Times New Roman" w:cs="Times New Roman" w:eastAsia="Times New Roman" w:hAnsi="Times New Roman"/>
          <w:b w:val="1"/>
          <w:sz w:val="26"/>
          <w:szCs w:val="26"/>
          <w:u w:val="single"/>
          <w:rtl w:val="0"/>
        </w:rPr>
        <w:t xml:space="preserve">Bibliography</w:t>
      </w:r>
    </w:p>
    <w:p w:rsidR="00000000" w:rsidDel="00000000" w:rsidP="00000000" w:rsidRDefault="00000000" w:rsidRPr="00000000" w14:paraId="0000001F">
      <w:pPr>
        <w:rPr>
          <w:rFonts w:ascii="Times New Roman" w:cs="Times New Roman" w:eastAsia="Times New Roman" w:hAnsi="Times New Roman"/>
          <w:b w:val="1"/>
          <w:sz w:val="26"/>
          <w:szCs w:val="26"/>
          <w:u w:val="single"/>
        </w:rPr>
      </w:pPr>
      <w:r w:rsidDel="00000000" w:rsidR="00000000" w:rsidRPr="00000000">
        <w:rPr>
          <w:rtl w:val="0"/>
        </w:rPr>
      </w:r>
    </w:p>
    <w:p w:rsidR="00000000" w:rsidDel="00000000" w:rsidP="00000000" w:rsidRDefault="00000000" w:rsidRPr="00000000" w14:paraId="00000020">
      <w:pPr>
        <w:numPr>
          <w:ilvl w:val="0"/>
          <w:numId w:val="1"/>
        </w:numPr>
        <w:spacing w:after="0" w:afterAutospacing="0" w:before="240" w:lineRule="auto"/>
        <w:ind w:left="720" w:hanging="360"/>
        <w:rPr>
          <w:rFonts w:ascii="Times New Roman" w:cs="Times New Roman" w:eastAsia="Times New Roman" w:hAnsi="Times New Roman"/>
          <w:sz w:val="26"/>
          <w:szCs w:val="26"/>
          <w:u w:val="none"/>
        </w:rPr>
      </w:pPr>
      <w:r w:rsidDel="00000000" w:rsidR="00000000" w:rsidRPr="00000000">
        <w:rPr>
          <w:rFonts w:ascii="Times New Roman" w:cs="Times New Roman" w:eastAsia="Times New Roman" w:hAnsi="Times New Roman"/>
          <w:i w:val="1"/>
          <w:sz w:val="26"/>
          <w:szCs w:val="26"/>
          <w:rtl w:val="0"/>
        </w:rPr>
        <w:t xml:space="preserve">Catullus 51 translation</w:t>
      </w:r>
      <w:r w:rsidDel="00000000" w:rsidR="00000000" w:rsidRPr="00000000">
        <w:rPr>
          <w:rFonts w:ascii="Times New Roman" w:cs="Times New Roman" w:eastAsia="Times New Roman" w:hAnsi="Times New Roman"/>
          <w:sz w:val="26"/>
          <w:szCs w:val="26"/>
          <w:rtl w:val="0"/>
        </w:rPr>
        <w:t xml:space="preserve"> (2022) </w:t>
      </w:r>
      <w:r w:rsidDel="00000000" w:rsidR="00000000" w:rsidRPr="00000000">
        <w:rPr>
          <w:rFonts w:ascii="Times New Roman" w:cs="Times New Roman" w:eastAsia="Times New Roman" w:hAnsi="Times New Roman"/>
          <w:i w:val="1"/>
          <w:sz w:val="26"/>
          <w:szCs w:val="26"/>
          <w:rtl w:val="0"/>
        </w:rPr>
        <w:t xml:space="preserve">Ancient Literature</w:t>
      </w:r>
      <w:r w:rsidDel="00000000" w:rsidR="00000000" w:rsidRPr="00000000">
        <w:rPr>
          <w:rFonts w:ascii="Times New Roman" w:cs="Times New Roman" w:eastAsia="Times New Roman" w:hAnsi="Times New Roman"/>
          <w:sz w:val="26"/>
          <w:szCs w:val="26"/>
          <w:rtl w:val="0"/>
        </w:rPr>
        <w:t xml:space="preserve">. Available at: https://www.ancient-literature.com/catullus-51-translation-2.html (Accessed: October 2, 2022). </w:t>
      </w:r>
    </w:p>
    <w:p w:rsidR="00000000" w:rsidDel="00000000" w:rsidP="00000000" w:rsidRDefault="00000000" w:rsidRPr="00000000" w14:paraId="00000021">
      <w:pPr>
        <w:numPr>
          <w:ilvl w:val="0"/>
          <w:numId w:val="1"/>
        </w:numPr>
        <w:spacing w:after="0" w:afterAutospacing="0" w:before="0" w:beforeAutospacing="0" w:lineRule="auto"/>
        <w:ind w:left="720" w:hanging="360"/>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Sandin, P. (2019) </w:t>
      </w:r>
      <w:r w:rsidDel="00000000" w:rsidR="00000000" w:rsidRPr="00000000">
        <w:rPr>
          <w:rFonts w:ascii="Times New Roman" w:cs="Times New Roman" w:eastAsia="Times New Roman" w:hAnsi="Times New Roman"/>
          <w:i w:val="1"/>
          <w:sz w:val="26"/>
          <w:szCs w:val="26"/>
          <w:rtl w:val="0"/>
        </w:rPr>
        <w:t xml:space="preserve">Gemina nox: Pornographic Allusion in Catullus 51</w:t>
      </w:r>
      <w:r w:rsidDel="00000000" w:rsidR="00000000" w:rsidRPr="00000000">
        <w:rPr>
          <w:rFonts w:ascii="Times New Roman" w:cs="Times New Roman" w:eastAsia="Times New Roman" w:hAnsi="Times New Roman"/>
          <w:sz w:val="26"/>
          <w:szCs w:val="26"/>
          <w:rtl w:val="0"/>
        </w:rPr>
        <w:t xml:space="preserve">, </w:t>
      </w:r>
      <w:r w:rsidDel="00000000" w:rsidR="00000000" w:rsidRPr="00000000">
        <w:rPr>
          <w:rFonts w:ascii="Times New Roman" w:cs="Times New Roman" w:eastAsia="Times New Roman" w:hAnsi="Times New Roman"/>
          <w:i w:val="1"/>
          <w:sz w:val="26"/>
          <w:szCs w:val="26"/>
          <w:rtl w:val="0"/>
        </w:rPr>
        <w:t xml:space="preserve">Classica et Mediaevalia</w:t>
      </w:r>
      <w:r w:rsidDel="00000000" w:rsidR="00000000" w:rsidRPr="00000000">
        <w:rPr>
          <w:rFonts w:ascii="Times New Roman" w:cs="Times New Roman" w:eastAsia="Times New Roman" w:hAnsi="Times New Roman"/>
          <w:sz w:val="26"/>
          <w:szCs w:val="26"/>
          <w:rtl w:val="0"/>
        </w:rPr>
        <w:t xml:space="preserve">. Available at: https://www.academia.edu/39425837/Gemina_nox_Pornographic_allusion_in_Catullus_51 (Accessed: October 2, 2022). </w:t>
      </w:r>
    </w:p>
    <w:p w:rsidR="00000000" w:rsidDel="00000000" w:rsidP="00000000" w:rsidRDefault="00000000" w:rsidRPr="00000000" w14:paraId="00000022">
      <w:pPr>
        <w:numPr>
          <w:ilvl w:val="0"/>
          <w:numId w:val="1"/>
        </w:numPr>
        <w:spacing w:after="0" w:afterAutospacing="0" w:before="0" w:beforeAutospacing="0" w:lineRule="auto"/>
        <w:ind w:left="720" w:hanging="360"/>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Classicist, M. (2020) </w:t>
      </w:r>
      <w:r w:rsidDel="00000000" w:rsidR="00000000" w:rsidRPr="00000000">
        <w:rPr>
          <w:rFonts w:ascii="Times New Roman" w:cs="Times New Roman" w:eastAsia="Times New Roman" w:hAnsi="Times New Roman"/>
          <w:i w:val="1"/>
          <w:sz w:val="26"/>
          <w:szCs w:val="26"/>
          <w:rtl w:val="0"/>
        </w:rPr>
        <w:t xml:space="preserve">How to ace classics close reading exams (Gobbets)</w:t>
      </w:r>
      <w:r w:rsidDel="00000000" w:rsidR="00000000" w:rsidRPr="00000000">
        <w:rPr>
          <w:rFonts w:ascii="Times New Roman" w:cs="Times New Roman" w:eastAsia="Times New Roman" w:hAnsi="Times New Roman"/>
          <w:sz w:val="26"/>
          <w:szCs w:val="26"/>
          <w:rtl w:val="0"/>
        </w:rPr>
        <w:t xml:space="preserve">, </w:t>
      </w:r>
      <w:r w:rsidDel="00000000" w:rsidR="00000000" w:rsidRPr="00000000">
        <w:rPr>
          <w:rFonts w:ascii="Times New Roman" w:cs="Times New Roman" w:eastAsia="Times New Roman" w:hAnsi="Times New Roman"/>
          <w:i w:val="1"/>
          <w:sz w:val="26"/>
          <w:szCs w:val="26"/>
          <w:rtl w:val="0"/>
        </w:rPr>
        <w:t xml:space="preserve">YouTube</w:t>
      </w:r>
      <w:r w:rsidDel="00000000" w:rsidR="00000000" w:rsidRPr="00000000">
        <w:rPr>
          <w:rFonts w:ascii="Times New Roman" w:cs="Times New Roman" w:eastAsia="Times New Roman" w:hAnsi="Times New Roman"/>
          <w:sz w:val="26"/>
          <w:szCs w:val="26"/>
          <w:rtl w:val="0"/>
        </w:rPr>
        <w:t xml:space="preserve">. YouTube. Available at: https://www.youtube.com/watch?v=4ymeas6JDo4 (Accessed: October 3, 2022). </w:t>
      </w:r>
    </w:p>
    <w:p w:rsidR="00000000" w:rsidDel="00000000" w:rsidP="00000000" w:rsidRDefault="00000000" w:rsidRPr="00000000" w14:paraId="00000023">
      <w:pPr>
        <w:numPr>
          <w:ilvl w:val="0"/>
          <w:numId w:val="1"/>
        </w:numPr>
        <w:spacing w:after="0" w:afterAutospacing="0" w:before="0" w:beforeAutospacing="0" w:lineRule="auto"/>
        <w:ind w:left="720" w:hanging="360"/>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Childers, C. (2016) </w:t>
      </w:r>
      <w:r w:rsidDel="00000000" w:rsidR="00000000" w:rsidRPr="00000000">
        <w:rPr>
          <w:rFonts w:ascii="Times New Roman" w:cs="Times New Roman" w:eastAsia="Times New Roman" w:hAnsi="Times New Roman"/>
          <w:i w:val="1"/>
          <w:sz w:val="26"/>
          <w:szCs w:val="26"/>
          <w:rtl w:val="0"/>
        </w:rPr>
        <w:t xml:space="preserve">Catullus 51 - literary matters</w:t>
      </w:r>
      <w:r w:rsidDel="00000000" w:rsidR="00000000" w:rsidRPr="00000000">
        <w:rPr>
          <w:rFonts w:ascii="Times New Roman" w:cs="Times New Roman" w:eastAsia="Times New Roman" w:hAnsi="Times New Roman"/>
          <w:sz w:val="26"/>
          <w:szCs w:val="26"/>
          <w:rtl w:val="0"/>
        </w:rPr>
        <w:t xml:space="preserve">, </w:t>
      </w:r>
      <w:r w:rsidDel="00000000" w:rsidR="00000000" w:rsidRPr="00000000">
        <w:rPr>
          <w:rFonts w:ascii="Times New Roman" w:cs="Times New Roman" w:eastAsia="Times New Roman" w:hAnsi="Times New Roman"/>
          <w:i w:val="1"/>
          <w:sz w:val="26"/>
          <w:szCs w:val="26"/>
          <w:rtl w:val="0"/>
        </w:rPr>
        <w:t xml:space="preserve">Literary Matters - The Literary Magazine of the Association of Literary Scholars, Critics, and Writers</w:t>
      </w:r>
      <w:r w:rsidDel="00000000" w:rsidR="00000000" w:rsidRPr="00000000">
        <w:rPr>
          <w:rFonts w:ascii="Times New Roman" w:cs="Times New Roman" w:eastAsia="Times New Roman" w:hAnsi="Times New Roman"/>
          <w:sz w:val="26"/>
          <w:szCs w:val="26"/>
          <w:rtl w:val="0"/>
        </w:rPr>
        <w:t xml:space="preserve">. Available at: https://www.literarymatters.org/1-1-catullus-51/ (Accessed: October 3, 2022). </w:t>
      </w:r>
    </w:p>
    <w:p w:rsidR="00000000" w:rsidDel="00000000" w:rsidP="00000000" w:rsidRDefault="00000000" w:rsidRPr="00000000" w14:paraId="00000024">
      <w:pPr>
        <w:numPr>
          <w:ilvl w:val="0"/>
          <w:numId w:val="1"/>
        </w:numPr>
        <w:spacing w:after="0" w:afterAutospacing="0" w:before="0" w:beforeAutospacing="0" w:lineRule="auto"/>
        <w:ind w:left="720" w:hanging="360"/>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Kamil, M. (2016) </w:t>
      </w:r>
      <w:r w:rsidDel="00000000" w:rsidR="00000000" w:rsidRPr="00000000">
        <w:rPr>
          <w:rFonts w:ascii="Times New Roman" w:cs="Times New Roman" w:eastAsia="Times New Roman" w:hAnsi="Times New Roman"/>
          <w:i w:val="1"/>
          <w:sz w:val="26"/>
          <w:szCs w:val="26"/>
          <w:rtl w:val="0"/>
        </w:rPr>
        <w:t xml:space="preserve">The infamy of Clodia Metelli</w:t>
      </w:r>
      <w:r w:rsidDel="00000000" w:rsidR="00000000" w:rsidRPr="00000000">
        <w:rPr>
          <w:rFonts w:ascii="Times New Roman" w:cs="Times New Roman" w:eastAsia="Times New Roman" w:hAnsi="Times New Roman"/>
          <w:sz w:val="26"/>
          <w:szCs w:val="26"/>
          <w:rtl w:val="0"/>
        </w:rPr>
        <w:t xml:space="preserve">, </w:t>
      </w:r>
      <w:r w:rsidDel="00000000" w:rsidR="00000000" w:rsidRPr="00000000">
        <w:rPr>
          <w:rFonts w:ascii="Times New Roman" w:cs="Times New Roman" w:eastAsia="Times New Roman" w:hAnsi="Times New Roman"/>
          <w:i w:val="1"/>
          <w:sz w:val="26"/>
          <w:szCs w:val="26"/>
          <w:rtl w:val="0"/>
        </w:rPr>
        <w:t xml:space="preserve">Ancient Origins</w:t>
      </w:r>
      <w:r w:rsidDel="00000000" w:rsidR="00000000" w:rsidRPr="00000000">
        <w:rPr>
          <w:rFonts w:ascii="Times New Roman" w:cs="Times New Roman" w:eastAsia="Times New Roman" w:hAnsi="Times New Roman"/>
          <w:sz w:val="26"/>
          <w:szCs w:val="26"/>
          <w:rtl w:val="0"/>
        </w:rPr>
        <w:t xml:space="preserve">. Ancient Origins. Available at: https://www.ancient-origins.net/myths-legends/infamy-clodia-metelli-002022 (Accessed: October 3, 2022). </w:t>
      </w:r>
    </w:p>
    <w:p w:rsidR="00000000" w:rsidDel="00000000" w:rsidP="00000000" w:rsidRDefault="00000000" w:rsidRPr="00000000" w14:paraId="00000025">
      <w:pPr>
        <w:numPr>
          <w:ilvl w:val="0"/>
          <w:numId w:val="1"/>
        </w:numPr>
        <w:spacing w:after="240" w:before="0" w:beforeAutospacing="0" w:lineRule="auto"/>
        <w:ind w:left="720" w:hanging="360"/>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H, S. (no date) </w:t>
      </w:r>
      <w:r w:rsidDel="00000000" w:rsidR="00000000" w:rsidRPr="00000000">
        <w:rPr>
          <w:rFonts w:ascii="Times New Roman" w:cs="Times New Roman" w:eastAsia="Times New Roman" w:hAnsi="Times New Roman"/>
          <w:i w:val="1"/>
          <w:sz w:val="26"/>
          <w:szCs w:val="26"/>
          <w:rtl w:val="0"/>
        </w:rPr>
        <w:t xml:space="preserve">Analyse and discuss the themes of catullus' carmen 51.</w:t>
      </w:r>
      <w:r w:rsidDel="00000000" w:rsidR="00000000" w:rsidRPr="00000000">
        <w:rPr>
          <w:rFonts w:ascii="Times New Roman" w:cs="Times New Roman" w:eastAsia="Times New Roman" w:hAnsi="Times New Roman"/>
          <w:sz w:val="26"/>
          <w:szCs w:val="26"/>
          <w:rtl w:val="0"/>
        </w:rPr>
        <w:t xml:space="preserve">, </w:t>
      </w:r>
      <w:r w:rsidDel="00000000" w:rsidR="00000000" w:rsidRPr="00000000">
        <w:rPr>
          <w:rFonts w:ascii="Times New Roman" w:cs="Times New Roman" w:eastAsia="Times New Roman" w:hAnsi="Times New Roman"/>
          <w:i w:val="1"/>
          <w:sz w:val="26"/>
          <w:szCs w:val="26"/>
          <w:rtl w:val="0"/>
        </w:rPr>
        <w:t xml:space="preserve">MyTutor</w:t>
      </w:r>
      <w:r w:rsidDel="00000000" w:rsidR="00000000" w:rsidRPr="00000000">
        <w:rPr>
          <w:rFonts w:ascii="Times New Roman" w:cs="Times New Roman" w:eastAsia="Times New Roman" w:hAnsi="Times New Roman"/>
          <w:sz w:val="26"/>
          <w:szCs w:val="26"/>
          <w:rtl w:val="0"/>
        </w:rPr>
        <w:t xml:space="preserve">. Available at: https://www.mytutor.co.uk/answers/41321/IB/Latin/Analyse-and-discuss-the-themes-of-Catullus-Carmen-51/ (Accessed: October 3, 2022). </w:t>
      </w:r>
    </w:p>
    <w:p w:rsidR="00000000" w:rsidDel="00000000" w:rsidP="00000000" w:rsidRDefault="00000000" w:rsidRPr="00000000" w14:paraId="00000026">
      <w:pPr>
        <w:spacing w:after="240" w:before="240" w:lineRule="auto"/>
        <w:ind w:left="720" w:firstLine="0"/>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27">
      <w:pPr>
        <w:spacing w:after="240" w:before="240" w:lineRule="auto"/>
        <w:ind w:left="720" w:firstLine="0"/>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28">
      <w:pPr>
        <w:spacing w:after="240" w:before="240" w:lineRule="auto"/>
        <w:ind w:left="720" w:firstLine="0"/>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29">
      <w:pPr>
        <w:spacing w:after="240" w:before="240" w:lineRule="auto"/>
        <w:ind w:left="720" w:firstLine="0"/>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2A">
      <w:pPr>
        <w:rPr>
          <w:rFonts w:ascii="Times New Roman" w:cs="Times New Roman" w:eastAsia="Times New Roman" w:hAnsi="Times New Roman"/>
          <w:sz w:val="26"/>
          <w:szCs w:val="26"/>
          <w:u w:val="single"/>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b w:val="1"/>
          <w:u w:val="single"/>
        </w:rPr>
      </w:pPr>
      <w:r w:rsidDel="00000000" w:rsidR="00000000" w:rsidRPr="00000000">
        <w:rPr>
          <w:rtl w:val="0"/>
        </w:rPr>
      </w:r>
    </w:p>
    <w:p w:rsidR="00000000" w:rsidDel="00000000" w:rsidP="00000000" w:rsidRDefault="00000000" w:rsidRPr="00000000" w14:paraId="0000002D">
      <w:pPr>
        <w:rPr>
          <w:b w:val="1"/>
          <w:u w:val="single"/>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