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EF81F7" w14:textId="6FDFCA8A" w:rsidR="00300E41" w:rsidRDefault="00300E41">
      <w:r w:rsidRPr="00074402">
        <w:rPr>
          <w:rFonts w:ascii="Arial" w:hAnsi="Arial" w:cs="Arial"/>
          <w:noProof/>
        </w:rPr>
        <w:drawing>
          <wp:anchor distT="0" distB="0" distL="114300" distR="114300" simplePos="0" relativeHeight="251659264" behindDoc="0" locked="0" layoutInCell="1" allowOverlap="1" wp14:anchorId="7ABE323E" wp14:editId="6B48C5E5">
            <wp:simplePos x="0" y="0"/>
            <wp:positionH relativeFrom="column">
              <wp:posOffset>-564515</wp:posOffset>
            </wp:positionH>
            <wp:positionV relativeFrom="page">
              <wp:posOffset>700108</wp:posOffset>
            </wp:positionV>
            <wp:extent cx="1809750" cy="723900"/>
            <wp:effectExtent l="0" t="0" r="6350" b="0"/>
            <wp:wrapTopAndBottom/>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FE69DB8" w14:textId="3538D4D9" w:rsidR="00300E41" w:rsidRDefault="00300E41"/>
    <w:p w14:paraId="6F5BB664" w14:textId="77777777" w:rsidR="00300E41" w:rsidRPr="00C83A82" w:rsidRDefault="00300E41" w:rsidP="00300E41">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Pr="008F186E">
        <w:rPr>
          <w:rFonts w:ascii="Arial" w:hAnsi="Arial" w:cs="Arial"/>
          <w:b/>
          <w:bCs/>
          <w:sz w:val="28"/>
          <w:szCs w:val="28"/>
        </w:rPr>
        <w:t>ARCENIA FATIMA NHAMPOSSA</w:t>
      </w:r>
    </w:p>
    <w:p w14:paraId="2C711895" w14:textId="77777777" w:rsidR="00300E41" w:rsidRPr="008F186E" w:rsidRDefault="00300E41" w:rsidP="00300E41">
      <w:pPr>
        <w:tabs>
          <w:tab w:val="left" w:pos="6540"/>
        </w:tabs>
        <w:spacing w:line="360" w:lineRule="auto"/>
        <w:rPr>
          <w:rFonts w:ascii="Arial" w:hAnsi="Arial" w:cs="Arial"/>
          <w:b/>
          <w:bCs/>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 xml:space="preserve"> </w:t>
      </w:r>
      <w:r w:rsidRPr="008F186E">
        <w:rPr>
          <w:rFonts w:ascii="Arial" w:hAnsi="Arial" w:cs="Arial"/>
          <w:b/>
          <w:bCs/>
          <w:sz w:val="28"/>
          <w:szCs w:val="28"/>
          <w:lang w:val="nl-NL"/>
        </w:rPr>
        <w:t>2508568</w:t>
      </w:r>
    </w:p>
    <w:p w14:paraId="09C8E885" w14:textId="77777777" w:rsidR="00300E41" w:rsidRPr="00C83A82" w:rsidRDefault="00300E41" w:rsidP="00300E41">
      <w:pPr>
        <w:tabs>
          <w:tab w:val="left" w:pos="6540"/>
        </w:tabs>
        <w:spacing w:line="360" w:lineRule="auto"/>
        <w:rPr>
          <w:rFonts w:ascii="Arial" w:hAnsi="Arial" w:cs="Arial"/>
          <w:sz w:val="28"/>
          <w:szCs w:val="28"/>
          <w:lang w:val="nl-NL"/>
        </w:rPr>
      </w:pPr>
    </w:p>
    <w:p w14:paraId="7B8CE85D" w14:textId="15D99ABC" w:rsidR="00300E41" w:rsidRDefault="00300E41" w:rsidP="00300E41">
      <w:pPr>
        <w:pStyle w:val="p1"/>
      </w:pPr>
      <w:r w:rsidRPr="00C83A82">
        <w:rPr>
          <w:b/>
          <w:bCs/>
          <w:sz w:val="28"/>
          <w:szCs w:val="28"/>
          <w:lang w:val="nl-NL"/>
        </w:rPr>
        <w:t>Module name</w:t>
      </w:r>
      <w:r w:rsidRPr="00C83A82">
        <w:rPr>
          <w:sz w:val="28"/>
          <w:szCs w:val="28"/>
          <w:lang w:val="nl-NL"/>
        </w:rPr>
        <w:t xml:space="preserve">: </w:t>
      </w:r>
      <w:r w:rsidRPr="00300E41">
        <w:rPr>
          <w:b/>
          <w:bCs/>
          <w:i/>
          <w:iCs/>
          <w:sz w:val="28"/>
          <w:szCs w:val="28"/>
        </w:rPr>
        <w:t>INTRODUCTION TO PUBLIC HEALTH</w:t>
      </w:r>
    </w:p>
    <w:p w14:paraId="67BB44DF" w14:textId="77777777" w:rsidR="00300E41" w:rsidRPr="00C83A82" w:rsidRDefault="00300E41" w:rsidP="00300E41">
      <w:pPr>
        <w:tabs>
          <w:tab w:val="left" w:pos="6540"/>
        </w:tabs>
        <w:spacing w:line="360" w:lineRule="auto"/>
        <w:rPr>
          <w:rFonts w:ascii="Arial" w:hAnsi="Arial" w:cs="Arial"/>
          <w:sz w:val="28"/>
          <w:szCs w:val="28"/>
          <w:lang w:val="nl-NL"/>
        </w:rPr>
      </w:pPr>
    </w:p>
    <w:p w14:paraId="164E206A" w14:textId="2B99AC09" w:rsidR="00300E41" w:rsidRDefault="00300E41" w:rsidP="00300E41">
      <w:pPr>
        <w:pStyle w:val="p1"/>
      </w:pPr>
      <w:r w:rsidRPr="0020413D">
        <w:rPr>
          <w:b/>
          <w:bCs/>
          <w:sz w:val="28"/>
          <w:szCs w:val="28"/>
        </w:rPr>
        <w:t>Module code</w:t>
      </w:r>
      <w:r w:rsidRPr="0020413D">
        <w:rPr>
          <w:sz w:val="28"/>
          <w:szCs w:val="28"/>
        </w:rPr>
        <w:t>:</w:t>
      </w:r>
      <w:r>
        <w:rPr>
          <w:sz w:val="28"/>
          <w:szCs w:val="28"/>
        </w:rPr>
        <w:t xml:space="preserve"> </w:t>
      </w:r>
      <w:r w:rsidRPr="008F186E">
        <w:rPr>
          <w:b/>
          <w:bCs/>
          <w:sz w:val="28"/>
          <w:szCs w:val="28"/>
        </w:rPr>
        <w:t>LCHS400</w:t>
      </w:r>
      <w:r>
        <w:rPr>
          <w:b/>
          <w:bCs/>
          <w:sz w:val="28"/>
          <w:szCs w:val="28"/>
        </w:rPr>
        <w:t>8</w:t>
      </w:r>
    </w:p>
    <w:p w14:paraId="4E3E5095" w14:textId="77777777" w:rsidR="00300E41" w:rsidRPr="0020413D" w:rsidRDefault="00300E41" w:rsidP="00300E41">
      <w:pPr>
        <w:tabs>
          <w:tab w:val="left" w:pos="6540"/>
        </w:tabs>
        <w:spacing w:line="360" w:lineRule="auto"/>
        <w:rPr>
          <w:rFonts w:ascii="Arial" w:hAnsi="Arial" w:cs="Arial"/>
          <w:sz w:val="28"/>
          <w:szCs w:val="28"/>
        </w:rPr>
      </w:pPr>
    </w:p>
    <w:p w14:paraId="3A692BC5" w14:textId="4C64BBC7" w:rsidR="00300E41" w:rsidRDefault="00300E41" w:rsidP="00300E41">
      <w:r w:rsidRPr="0020413D">
        <w:rPr>
          <w:rFonts w:ascii="Arial" w:hAnsi="Arial" w:cs="Arial"/>
          <w:b/>
          <w:bCs/>
          <w:sz w:val="28"/>
          <w:szCs w:val="28"/>
        </w:rPr>
        <w:t>Lecturer name</w:t>
      </w:r>
      <w:bookmarkEnd w:id="0"/>
      <w:r>
        <w:rPr>
          <w:rFonts w:ascii="Arial" w:hAnsi="Arial" w:cs="Arial"/>
          <w:b/>
          <w:bCs/>
          <w:sz w:val="28"/>
          <w:szCs w:val="28"/>
        </w:rPr>
        <w:t>: Caroline Salami</w:t>
      </w:r>
    </w:p>
    <w:p w14:paraId="7962B18C" w14:textId="5B6C9F4D" w:rsidR="00300E41" w:rsidRDefault="00300E41"/>
    <w:p w14:paraId="385567B5" w14:textId="77777777" w:rsidR="00300E41" w:rsidRDefault="00300E41"/>
    <w:p w14:paraId="1B46A8B9" w14:textId="0244CD41" w:rsidR="00300E41" w:rsidRDefault="00300E41"/>
    <w:p w14:paraId="2482DE2D" w14:textId="77777777" w:rsidR="00300E41" w:rsidRDefault="00300E41">
      <w:r>
        <w:br w:type="page"/>
      </w:r>
    </w:p>
    <w:p w14:paraId="31C589D0" w14:textId="762550BD" w:rsidR="00AD05E3" w:rsidRPr="001E332A" w:rsidRDefault="00300E41" w:rsidP="00300E41">
      <w:pPr>
        <w:jc w:val="center"/>
        <w:rPr>
          <w:rFonts w:ascii="Arial" w:hAnsi="Arial" w:cs="Arial"/>
          <w:b/>
          <w:bCs/>
        </w:rPr>
      </w:pPr>
      <w:r w:rsidRPr="001E332A">
        <w:rPr>
          <w:rFonts w:ascii="Arial" w:hAnsi="Arial" w:cs="Arial"/>
          <w:b/>
          <w:bCs/>
        </w:rPr>
        <w:lastRenderedPageBreak/>
        <w:t>Introduction</w:t>
      </w:r>
    </w:p>
    <w:p w14:paraId="15CBC518" w14:textId="77777777" w:rsidR="00F00B49" w:rsidRPr="00F00B49" w:rsidRDefault="00F00B49" w:rsidP="00F00B49">
      <w:pPr>
        <w:spacing w:after="180" w:line="240" w:lineRule="auto"/>
        <w:rPr>
          <w:rFonts w:ascii="Arial" w:eastAsia="Times New Roman" w:hAnsi="Arial" w:cs="Arial"/>
          <w:color w:val="26221F"/>
          <w:kern w:val="0"/>
          <w:sz w:val="20"/>
          <w:szCs w:val="20"/>
          <w:lang w:eastAsia="en-GB"/>
          <w14:ligatures w14:val="none"/>
        </w:rPr>
      </w:pPr>
      <w:r w:rsidRPr="00F00B49">
        <w:rPr>
          <w:rFonts w:ascii="Arial" w:eastAsia="Times New Roman" w:hAnsi="Arial" w:cs="Arial"/>
          <w:color w:val="26221F"/>
          <w:spacing w:val="2"/>
          <w:kern w:val="0"/>
          <w:sz w:val="20"/>
          <w:szCs w:val="20"/>
          <w:lang w:eastAsia="en-GB"/>
          <w14:ligatures w14:val="none"/>
        </w:rPr>
        <w:t>Tuberculosis (TB) is a major communicable disease caused by Mycobacterium tuberculosis, primarily affecting the lungs but capable of involving multiple organs (World Health Organization, 2024). Globally, TB remains one of the leading infectious causes of illness and death, with an estimated 10.6 million new cases and 1.3 million deaths reported in 2023 (WHO, 2024). The burden is highest in South</w:t>
      </w:r>
      <w:r w:rsidRPr="00F00B49">
        <w:rPr>
          <w:rFonts w:ascii="Arial" w:eastAsia="Times New Roman" w:hAnsi="Arial" w:cs="Arial"/>
          <w:color w:val="26221F"/>
          <w:spacing w:val="2"/>
          <w:kern w:val="0"/>
          <w:sz w:val="20"/>
          <w:szCs w:val="20"/>
          <w:lang w:eastAsia="en-GB"/>
          <w14:ligatures w14:val="none"/>
        </w:rPr>
        <w:noBreakHyphen/>
        <w:t>East Asia, Africa, and the Western Pacific, where social and economic inequalities contribute to sustained transmission. In the United Kingdom, TB continues to pose a public health challenge, with 9.4 cases per 100,000 population recorded in England in 2024, marking a rise compared with previous years (UKHSA, 2024). Similar trends are observed internationally: the United States reported approximately 8,300 cases in 2023, while Germany recorded 5.8 cases per 100,000 population (CDC, 2024; Robert Koch Institute, 2024). These figures highlight TB’s persistent global impact and the need for coordinated, evidence</w:t>
      </w:r>
      <w:r w:rsidRPr="00F00B49">
        <w:rPr>
          <w:rFonts w:ascii="Arial" w:eastAsia="Times New Roman" w:hAnsi="Arial" w:cs="Arial"/>
          <w:color w:val="26221F"/>
          <w:spacing w:val="2"/>
          <w:kern w:val="0"/>
          <w:sz w:val="20"/>
          <w:szCs w:val="20"/>
          <w:lang w:eastAsia="en-GB"/>
          <w14:ligatures w14:val="none"/>
        </w:rPr>
        <w:noBreakHyphen/>
        <w:t>based strategies to reduce transmission and improve outcomes.</w:t>
      </w:r>
    </w:p>
    <w:p w14:paraId="2B851D93" w14:textId="77777777" w:rsidR="00534CD7" w:rsidRPr="00F00B49" w:rsidRDefault="00534CD7" w:rsidP="00534CD7">
      <w:pPr>
        <w:spacing w:after="0" w:line="240" w:lineRule="auto"/>
        <w:textAlignment w:val="baseline"/>
        <w:rPr>
          <w:rFonts w:ascii="Arial" w:eastAsia="Times New Roman" w:hAnsi="Arial" w:cs="Arial"/>
          <w:color w:val="242424"/>
          <w:kern w:val="0"/>
          <w:sz w:val="20"/>
          <w:szCs w:val="20"/>
          <w:lang w:eastAsia="en-GB"/>
          <w14:ligatures w14:val="none"/>
        </w:rPr>
      </w:pPr>
    </w:p>
    <w:p w14:paraId="6F8A0083" w14:textId="38271EF0" w:rsidR="00534CD7" w:rsidRDefault="00534CD7" w:rsidP="00534CD7">
      <w:pPr>
        <w:rPr>
          <w:rFonts w:ascii="Segoe UI" w:eastAsia="Times New Roman" w:hAnsi="Segoe UI" w:cs="Segoe UI"/>
          <w:color w:val="242424"/>
          <w:kern w:val="0"/>
          <w:sz w:val="23"/>
          <w:szCs w:val="23"/>
          <w:lang w:eastAsia="en-GB"/>
          <w14:ligatures w14:val="none"/>
        </w:rPr>
      </w:pPr>
    </w:p>
    <w:p w14:paraId="4FDAB993" w14:textId="77777777" w:rsidR="00534CD7" w:rsidRDefault="00534CD7">
      <w:pPr>
        <w:rPr>
          <w:rFonts w:ascii="Segoe UI" w:eastAsia="Times New Roman" w:hAnsi="Segoe UI" w:cs="Segoe UI"/>
          <w:color w:val="242424"/>
          <w:kern w:val="0"/>
          <w:sz w:val="23"/>
          <w:szCs w:val="23"/>
          <w:lang w:eastAsia="en-GB"/>
          <w14:ligatures w14:val="none"/>
        </w:rPr>
      </w:pPr>
      <w:r>
        <w:rPr>
          <w:rFonts w:ascii="Segoe UI" w:eastAsia="Times New Roman" w:hAnsi="Segoe UI" w:cs="Segoe UI"/>
          <w:color w:val="242424"/>
          <w:kern w:val="0"/>
          <w:sz w:val="23"/>
          <w:szCs w:val="23"/>
          <w:lang w:eastAsia="en-GB"/>
          <w14:ligatures w14:val="none"/>
        </w:rPr>
        <w:br w:type="page"/>
      </w:r>
    </w:p>
    <w:p w14:paraId="61B67B63" w14:textId="7652583C" w:rsidR="00BE262E" w:rsidRPr="001E332A" w:rsidRDefault="00BE262E" w:rsidP="00BE262E">
      <w:pPr>
        <w:spacing w:after="0" w:line="240" w:lineRule="auto"/>
        <w:textAlignment w:val="baseline"/>
        <w:rPr>
          <w:rFonts w:ascii="Arial" w:eastAsia="Times New Roman" w:hAnsi="Arial" w:cs="Arial"/>
          <w:b/>
          <w:bCs/>
          <w:color w:val="242424"/>
          <w:kern w:val="0"/>
          <w:lang w:eastAsia="en-GB"/>
          <w14:ligatures w14:val="none"/>
        </w:rPr>
      </w:pPr>
      <w:r w:rsidRPr="001E332A">
        <w:rPr>
          <w:rFonts w:ascii="Arial" w:eastAsia="Times New Roman" w:hAnsi="Arial" w:cs="Arial"/>
          <w:b/>
          <w:bCs/>
          <w:color w:val="242424"/>
          <w:kern w:val="0"/>
          <w:lang w:eastAsia="en-GB"/>
          <w14:ligatures w14:val="none"/>
        </w:rPr>
        <w:lastRenderedPageBreak/>
        <w:t>Measure and Monitor Tuberculosis</w:t>
      </w:r>
    </w:p>
    <w:p w14:paraId="30A85F7B" w14:textId="77777777" w:rsidR="00BE262E" w:rsidRPr="00BE262E" w:rsidRDefault="00BE262E" w:rsidP="00BE262E">
      <w:pPr>
        <w:spacing w:after="0" w:line="240" w:lineRule="auto"/>
        <w:textAlignment w:val="baseline"/>
        <w:rPr>
          <w:rFonts w:ascii="Arial" w:eastAsia="Times New Roman" w:hAnsi="Arial" w:cs="Arial"/>
          <w:color w:val="242424"/>
          <w:kern w:val="0"/>
          <w:lang w:eastAsia="en-GB"/>
          <w14:ligatures w14:val="none"/>
        </w:rPr>
      </w:pPr>
    </w:p>
    <w:p w14:paraId="4663B558"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Monitoring and measuring TB incidence and prevalence are essential components of national and global public health strategies. Surveillance systems provide the foundation for understanding disease patterns, identifying outbreaks, and evaluating the effectiveness of interventions. In the United Kingdom, TB surveillance is coordinated by the UK Health Security Agency (UKHSA), which collects data on notifications, demographic characteristics, risk factors, and treatment outcomes. This information is used to identify trends, geographic clusters, and populations at increased risk.</w:t>
      </w:r>
    </w:p>
    <w:p w14:paraId="7A30CBA1"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3D00D773"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Globally, the World Health Organization (WHO) compiles annual data from 184 countries through the Global Tuberculosis Report. This includes estimates of incidence, mortality, drug resistance, and treatment success rates. These data are derived from national surveillance systems, prevalence surveys, and modelling techniques. The WHO’s standardised approach allows for international comparisons and supports global monitoring of progress toward the End TB Strategy.</w:t>
      </w:r>
    </w:p>
    <w:p w14:paraId="64562946"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587A3BBE"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Diagnostic monitoring is another critical component of TB measurement. Advances in diagnostic technologies have significantly improved the accuracy and speed of TB detection. WHO recommends rapid molecular tests, such as Xpert MTB/RIF, as the initial diagnostic tool for suspected TB cases. These tests detect TB DNA and rifampicin resistance within hours, enabling earlier treatment initiation and improved outcomes. Additional diagnostic methods include sputum smear microscopy, culture testing, chest radiography, and interferon-gamma release assays (IGRAs) for latent TB infection.</w:t>
      </w:r>
    </w:p>
    <w:p w14:paraId="6452D5A4"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58DAEAD0"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Monitoring also includes assessing diagnostic delays, which can contribute to ongoing transmission. In England, the median time from symptom onset to diagnosis was reported as 72 days in 2024, highlighting the need for improved awareness and access to diagnostic services. Drug resistance surveillance is equally important, as multidrug-resistant TB (MDR</w:t>
      </w:r>
      <w:r w:rsidRPr="001E332A">
        <w:rPr>
          <w:rFonts w:ascii="Arial" w:eastAsia="Times New Roman" w:hAnsi="Arial" w:cs="Arial"/>
          <w:color w:val="242424"/>
          <w:kern w:val="0"/>
          <w:sz w:val="20"/>
          <w:szCs w:val="20"/>
          <w:lang w:eastAsia="en-GB"/>
          <w14:ligatures w14:val="none"/>
        </w:rPr>
        <w:noBreakHyphen/>
        <w:t>TB) poses significant challenges to treatment and control. Surveillance systems track resistance patterns to inform treatment guidelines and ensure appropriate use of antibiotics.</w:t>
      </w:r>
    </w:p>
    <w:p w14:paraId="616F1F87"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7F196271"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Contact tracing is a further essential approach used to monitor TB transmission. Public health teams identify and screen individuals who have been in close contact with infectious TB cases. In 2024, contact tracing in England identified 9,676 contacts of pulmonary TB cases, resulting in the diagnosis of 182 active TB cases and 1,276 latent infections. This process helps to interrupt transmission chains and prevent future cases.</w:t>
      </w:r>
    </w:p>
    <w:p w14:paraId="0BE2988B"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0F02B9FB"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Together, these approaches—surveillance, diagnostic monitoring, drug resistance tracking, and contact tracing—form a comprehensive framework for measuring and monitoring TB at both national and global levels.</w:t>
      </w:r>
    </w:p>
    <w:p w14:paraId="76A58F79" w14:textId="77777777" w:rsidR="00BE262E" w:rsidRPr="00BE262E" w:rsidRDefault="00BE262E" w:rsidP="00BE262E">
      <w:pPr>
        <w:spacing w:after="0" w:line="240" w:lineRule="auto"/>
        <w:textAlignment w:val="baseline"/>
        <w:rPr>
          <w:rFonts w:ascii="Arial" w:eastAsia="Times New Roman" w:hAnsi="Arial" w:cs="Arial"/>
          <w:color w:val="242424"/>
          <w:kern w:val="0"/>
          <w:lang w:eastAsia="en-GB"/>
          <w14:ligatures w14:val="none"/>
        </w:rPr>
      </w:pPr>
    </w:p>
    <w:p w14:paraId="487E0520" w14:textId="3C35F5A6" w:rsidR="00BE262E" w:rsidRDefault="00BE262E" w:rsidP="00BE262E">
      <w:pPr>
        <w:spacing w:after="0" w:line="240" w:lineRule="auto"/>
        <w:textAlignment w:val="baseline"/>
        <w:rPr>
          <w:rFonts w:ascii="Arial" w:eastAsia="Times New Roman" w:hAnsi="Arial" w:cs="Arial"/>
          <w:color w:val="242424"/>
          <w:kern w:val="0"/>
          <w:lang w:eastAsia="en-GB"/>
          <w14:ligatures w14:val="none"/>
        </w:rPr>
      </w:pPr>
    </w:p>
    <w:p w14:paraId="79A9C036" w14:textId="77777777" w:rsidR="00BE262E" w:rsidRDefault="00BE262E" w:rsidP="00BE262E">
      <w:pPr>
        <w:spacing w:after="0" w:line="240" w:lineRule="auto"/>
        <w:textAlignment w:val="baseline"/>
        <w:rPr>
          <w:rFonts w:ascii="Arial" w:eastAsia="Times New Roman" w:hAnsi="Arial" w:cs="Arial"/>
          <w:color w:val="242424"/>
          <w:kern w:val="0"/>
          <w:lang w:eastAsia="en-GB"/>
          <w14:ligatures w14:val="none"/>
        </w:rPr>
      </w:pPr>
    </w:p>
    <w:p w14:paraId="2CE29E0E" w14:textId="77777777" w:rsidR="00BE262E" w:rsidRPr="00BE262E" w:rsidRDefault="00BE262E" w:rsidP="00BE262E">
      <w:pPr>
        <w:spacing w:after="0" w:line="240" w:lineRule="auto"/>
        <w:textAlignment w:val="baseline"/>
        <w:rPr>
          <w:rFonts w:ascii="Arial" w:eastAsia="Times New Roman" w:hAnsi="Arial" w:cs="Arial"/>
          <w:color w:val="242424"/>
          <w:kern w:val="0"/>
          <w:lang w:eastAsia="en-GB"/>
          <w14:ligatures w14:val="none"/>
        </w:rPr>
      </w:pPr>
    </w:p>
    <w:p w14:paraId="25977352" w14:textId="77777777" w:rsidR="00BE262E" w:rsidRDefault="00BE262E" w:rsidP="00BE262E">
      <w:pPr>
        <w:spacing w:after="0" w:line="240" w:lineRule="auto"/>
        <w:textAlignment w:val="baseline"/>
        <w:rPr>
          <w:rFonts w:ascii="Arial" w:eastAsia="Times New Roman" w:hAnsi="Arial" w:cs="Arial"/>
          <w:color w:val="242424"/>
          <w:kern w:val="0"/>
          <w:lang w:eastAsia="en-GB"/>
          <w14:ligatures w14:val="none"/>
        </w:rPr>
      </w:pPr>
    </w:p>
    <w:p w14:paraId="697CCAE9"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420F16C6"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31C4CD05"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431B2631"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03236AA8"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46AF03DF"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48B1C98C"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4750006D"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550F098D"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1D725C96"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64122616"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2AEF605C"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73FCDEB9" w14:textId="77777777" w:rsidR="001E332A" w:rsidRPr="00BE262E"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4A720BE6" w14:textId="7A0F6B83" w:rsidR="00BE262E" w:rsidRPr="001E332A" w:rsidRDefault="00BE262E" w:rsidP="00BE262E">
      <w:pPr>
        <w:spacing w:after="0" w:line="240" w:lineRule="auto"/>
        <w:textAlignment w:val="baseline"/>
        <w:rPr>
          <w:rFonts w:ascii="Arial" w:eastAsia="Times New Roman" w:hAnsi="Arial" w:cs="Arial"/>
          <w:b/>
          <w:bCs/>
          <w:color w:val="242424"/>
          <w:kern w:val="0"/>
          <w:lang w:eastAsia="en-GB"/>
          <w14:ligatures w14:val="none"/>
        </w:rPr>
      </w:pPr>
      <w:r w:rsidRPr="001E332A">
        <w:rPr>
          <w:rFonts w:ascii="Arial" w:eastAsia="Times New Roman" w:hAnsi="Arial" w:cs="Arial"/>
          <w:b/>
          <w:bCs/>
          <w:color w:val="242424"/>
          <w:kern w:val="0"/>
          <w:lang w:eastAsia="en-GB"/>
          <w14:ligatures w14:val="none"/>
        </w:rPr>
        <w:lastRenderedPageBreak/>
        <w:t>Disease is controlled</w:t>
      </w:r>
    </w:p>
    <w:p w14:paraId="5AF19E52" w14:textId="77777777" w:rsidR="00BE262E" w:rsidRPr="00BE262E" w:rsidRDefault="00BE262E" w:rsidP="00BE262E">
      <w:pPr>
        <w:spacing w:after="0" w:line="240" w:lineRule="auto"/>
        <w:textAlignment w:val="baseline"/>
        <w:rPr>
          <w:rFonts w:ascii="Arial" w:eastAsia="Times New Roman" w:hAnsi="Arial" w:cs="Arial"/>
          <w:b/>
          <w:bCs/>
          <w:color w:val="242424"/>
          <w:kern w:val="0"/>
          <w:sz w:val="28"/>
          <w:szCs w:val="28"/>
          <w:lang w:eastAsia="en-GB"/>
          <w14:ligatures w14:val="none"/>
        </w:rPr>
      </w:pPr>
    </w:p>
    <w:p w14:paraId="143F5B69"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Controlling TB requires a multifaceted approach that combines early diagnosis, effective treatment, public health interventions, and social support. Early diagnosis is fundamental, as untreated TB can lead to severe illness, death, and ongoing transmission. Rapid diagnostic tests and improved access to healthcare services are essential to achieving timely detection.</w:t>
      </w:r>
    </w:p>
    <w:p w14:paraId="5DA2915A"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40AF0B1A"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Treatment is the cornerstone of TB control. Standard treatment for drug</w:t>
      </w:r>
      <w:r w:rsidRPr="001E332A">
        <w:rPr>
          <w:rFonts w:ascii="Arial" w:eastAsia="Times New Roman" w:hAnsi="Arial" w:cs="Arial"/>
          <w:color w:val="242424"/>
          <w:kern w:val="0"/>
          <w:sz w:val="20"/>
          <w:szCs w:val="20"/>
          <w:lang w:eastAsia="en-GB"/>
          <w14:ligatures w14:val="none"/>
        </w:rPr>
        <w:noBreakHyphen/>
        <w:t>susceptible TB involves a six</w:t>
      </w:r>
      <w:r w:rsidRPr="001E332A">
        <w:rPr>
          <w:rFonts w:ascii="Arial" w:eastAsia="Times New Roman" w:hAnsi="Arial" w:cs="Arial"/>
          <w:color w:val="242424"/>
          <w:kern w:val="0"/>
          <w:sz w:val="20"/>
          <w:szCs w:val="20"/>
          <w:lang w:eastAsia="en-GB"/>
          <w14:ligatures w14:val="none"/>
        </w:rPr>
        <w:noBreakHyphen/>
        <w:t>month regimen of antibiotics, typically including isoniazid, rifampicin, pyrazinamide, and ethambutol. Adherence to treatment is crucial to prevent relapse and the development of drug resistance. Directly Observed Therapy (DOT), where healthcare workers supervise medication intake, has been widely used to support adherence, although modern approaches increasingly incorporate digital adherence technologies.</w:t>
      </w:r>
    </w:p>
    <w:p w14:paraId="1649C362"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26D93F66"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Public health strategies play a central role in TB control. The WHO’s End TB Strategy aims to reduce TB deaths by 95% and incidence by 90% by 2035. This strategy emphasises integrated patient</w:t>
      </w:r>
      <w:r w:rsidRPr="001E332A">
        <w:rPr>
          <w:rFonts w:ascii="Arial" w:eastAsia="Times New Roman" w:hAnsi="Arial" w:cs="Arial"/>
          <w:color w:val="242424"/>
          <w:kern w:val="0"/>
          <w:sz w:val="20"/>
          <w:szCs w:val="20"/>
          <w:lang w:eastAsia="en-GB"/>
          <w14:ligatures w14:val="none"/>
        </w:rPr>
        <w:noBreakHyphen/>
        <w:t>centred care, bold public health policies, and intensified research and innovation. In England, the TB Action Plan (2021–2026) aligns with these goals by focusing on early diagnosis, improved access to services, targeted screening, and reducing health inequalities.</w:t>
      </w:r>
    </w:p>
    <w:p w14:paraId="7761F9C1"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04B748D1"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Preventive measures are also essential. These include screening high</w:t>
      </w:r>
      <w:r w:rsidRPr="001E332A">
        <w:rPr>
          <w:rFonts w:ascii="Arial" w:eastAsia="Times New Roman" w:hAnsi="Arial" w:cs="Arial"/>
          <w:color w:val="242424"/>
          <w:kern w:val="0"/>
          <w:sz w:val="20"/>
          <w:szCs w:val="20"/>
          <w:lang w:eastAsia="en-GB"/>
          <w14:ligatures w14:val="none"/>
        </w:rPr>
        <w:noBreakHyphen/>
        <w:t>risk groups such as migrants from high</w:t>
      </w:r>
      <w:r w:rsidRPr="001E332A">
        <w:rPr>
          <w:rFonts w:ascii="Arial" w:eastAsia="Times New Roman" w:hAnsi="Arial" w:cs="Arial"/>
          <w:color w:val="242424"/>
          <w:kern w:val="0"/>
          <w:sz w:val="20"/>
          <w:szCs w:val="20"/>
          <w:lang w:eastAsia="en-GB"/>
          <w14:ligatures w14:val="none"/>
        </w:rPr>
        <w:noBreakHyphen/>
        <w:t>incidence countries, people experiencing homelessness, and individuals with weakened immune systems. Vaccination with the Bacillus Calmette–Guérin (BCG) vaccine provides protection against severe forms of TB in children and is offered to infants in high</w:t>
      </w:r>
      <w:r w:rsidRPr="001E332A">
        <w:rPr>
          <w:rFonts w:ascii="Arial" w:eastAsia="Times New Roman" w:hAnsi="Arial" w:cs="Arial"/>
          <w:color w:val="242424"/>
          <w:kern w:val="0"/>
          <w:sz w:val="20"/>
          <w:szCs w:val="20"/>
          <w:lang w:eastAsia="en-GB"/>
          <w14:ligatures w14:val="none"/>
        </w:rPr>
        <w:noBreakHyphen/>
        <w:t>risk areas or families.</w:t>
      </w:r>
    </w:p>
    <w:p w14:paraId="06713C64"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4126803A"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Addressing social determinants of health is critical to TB control. Factors such as poverty, overcrowded housing, malnutrition, and limited access to healthcare contribute to increased vulnerability. Effective TB control therefore requires collaboration between healthcare providers, public health agencies, and social services to address these underlying issues.</w:t>
      </w:r>
    </w:p>
    <w:p w14:paraId="22071297"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5E152625" w14:textId="77777777" w:rsidR="00BE262E" w:rsidRDefault="00BE262E" w:rsidP="00BE262E">
      <w:pPr>
        <w:spacing w:after="0" w:line="240" w:lineRule="auto"/>
        <w:textAlignment w:val="baseline"/>
        <w:rPr>
          <w:rFonts w:ascii="Arial" w:eastAsia="Times New Roman" w:hAnsi="Arial" w:cs="Arial"/>
          <w:color w:val="242424"/>
          <w:kern w:val="0"/>
          <w:lang w:eastAsia="en-GB"/>
          <w14:ligatures w14:val="none"/>
        </w:rPr>
      </w:pPr>
    </w:p>
    <w:p w14:paraId="118FC77E"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12054030"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2C7E4CB9"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5E45C3A7"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1C8069A3"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04A0B097"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4A617877"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650F6913"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579F0666"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4EB1B361"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0EC87744"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3C7CF962"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1357C780" w14:textId="77777777" w:rsidR="001D73F8" w:rsidRDefault="001D73F8" w:rsidP="00BE262E">
      <w:pPr>
        <w:spacing w:after="0" w:line="240" w:lineRule="auto"/>
        <w:textAlignment w:val="baseline"/>
        <w:rPr>
          <w:rFonts w:ascii="Arial" w:eastAsia="Times New Roman" w:hAnsi="Arial" w:cs="Arial"/>
          <w:color w:val="242424"/>
          <w:kern w:val="0"/>
          <w:lang w:eastAsia="en-GB"/>
          <w14:ligatures w14:val="none"/>
        </w:rPr>
      </w:pPr>
    </w:p>
    <w:p w14:paraId="082B9DD5" w14:textId="77777777" w:rsidR="001E332A" w:rsidRDefault="001E332A" w:rsidP="00BE262E">
      <w:pPr>
        <w:spacing w:after="0" w:line="240" w:lineRule="auto"/>
        <w:textAlignment w:val="baseline"/>
        <w:rPr>
          <w:rFonts w:ascii="Arial" w:eastAsia="Times New Roman" w:hAnsi="Arial" w:cs="Arial"/>
          <w:color w:val="242424"/>
          <w:kern w:val="0"/>
          <w:lang w:eastAsia="en-GB"/>
          <w14:ligatures w14:val="none"/>
        </w:rPr>
      </w:pPr>
    </w:p>
    <w:p w14:paraId="5B825CC5"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01ACE641"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58ED771F"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77BB3049"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013A551E"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716AEF00"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2C72CC6F"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2CEA17B8"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37FBBDE1"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32E45E0E" w14:textId="77777777" w:rsidR="001E332A" w:rsidRDefault="001E332A"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0460E6A7" w14:textId="4FB020BA" w:rsidR="00BE262E" w:rsidRPr="001E332A" w:rsidRDefault="00BE262E" w:rsidP="00BE262E">
      <w:pPr>
        <w:spacing w:after="0" w:line="240" w:lineRule="auto"/>
        <w:textAlignment w:val="baseline"/>
        <w:rPr>
          <w:rFonts w:ascii="Arial" w:eastAsia="Times New Roman" w:hAnsi="Arial" w:cs="Arial"/>
          <w:b/>
          <w:bCs/>
          <w:color w:val="242424"/>
          <w:kern w:val="0"/>
          <w:sz w:val="22"/>
          <w:szCs w:val="22"/>
          <w:lang w:eastAsia="en-GB"/>
          <w14:ligatures w14:val="none"/>
        </w:rPr>
      </w:pPr>
      <w:r w:rsidRPr="001E332A">
        <w:rPr>
          <w:rFonts w:ascii="Arial" w:eastAsia="Times New Roman" w:hAnsi="Arial" w:cs="Arial"/>
          <w:b/>
          <w:bCs/>
          <w:color w:val="242424"/>
          <w:kern w:val="0"/>
          <w:sz w:val="22"/>
          <w:szCs w:val="22"/>
          <w:lang w:eastAsia="en-GB"/>
          <w14:ligatures w14:val="none"/>
        </w:rPr>
        <w:lastRenderedPageBreak/>
        <w:t>Consequences of Tuberculosis on People and Communities</w:t>
      </w:r>
    </w:p>
    <w:p w14:paraId="147D4633" w14:textId="77777777" w:rsidR="00BE262E" w:rsidRPr="008D7E71" w:rsidRDefault="00BE262E" w:rsidP="00BE262E">
      <w:pPr>
        <w:spacing w:after="0" w:line="240" w:lineRule="auto"/>
        <w:textAlignment w:val="baseline"/>
        <w:rPr>
          <w:rFonts w:ascii="Arial" w:eastAsia="Times New Roman" w:hAnsi="Arial" w:cs="Arial"/>
          <w:b/>
          <w:bCs/>
          <w:color w:val="242424"/>
          <w:kern w:val="0"/>
          <w:sz w:val="28"/>
          <w:szCs w:val="28"/>
          <w:lang w:eastAsia="en-GB"/>
          <w14:ligatures w14:val="none"/>
        </w:rPr>
      </w:pPr>
    </w:p>
    <w:p w14:paraId="24FAC87A"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TB has profound consequences for individuals, families, and communities. At the individual level, TB can cause severe physical illness, long</w:t>
      </w:r>
      <w:r w:rsidRPr="001E332A">
        <w:rPr>
          <w:rFonts w:ascii="Arial" w:eastAsia="Times New Roman" w:hAnsi="Arial" w:cs="Arial"/>
          <w:color w:val="242424"/>
          <w:kern w:val="0"/>
          <w:sz w:val="20"/>
          <w:szCs w:val="20"/>
          <w:lang w:eastAsia="en-GB"/>
          <w14:ligatures w14:val="none"/>
        </w:rPr>
        <w:noBreakHyphen/>
        <w:t>term lung damage, and disability. Treatment can be lengthy and demanding, particularly for drug</w:t>
      </w:r>
      <w:r w:rsidRPr="001E332A">
        <w:rPr>
          <w:rFonts w:ascii="Arial" w:eastAsia="Times New Roman" w:hAnsi="Arial" w:cs="Arial"/>
          <w:color w:val="242424"/>
          <w:kern w:val="0"/>
          <w:sz w:val="20"/>
          <w:szCs w:val="20"/>
          <w:lang w:eastAsia="en-GB"/>
          <w14:ligatures w14:val="none"/>
        </w:rPr>
        <w:noBreakHyphen/>
        <w:t>resistant TB, which requires more toxic medications and longer treatment durations. Individuals may experience fatigue, stigma, anxiety, and social isolation during their illness.</w:t>
      </w:r>
    </w:p>
    <w:p w14:paraId="43E9C1C4"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79BB670C"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Social and economic consequences are significant. TB disproportionately affects vulnerable populations, including migrants, people experiencing homelessness, and those with substance use disorders. These groups often face barriers to accessing healthcare, such as language difficulties, financial constraints, and unstable living conditions. TB can exacerbate existing inequalities, as individuals may be unable to work during treatment, leading to financial hardship.</w:t>
      </w:r>
    </w:p>
    <w:p w14:paraId="256D3850"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6A161FC4"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At the community level, TB contributes to increased healthcare costs, pressure on public health services, and wider social inequalities. Delayed diagnosis and incomplete treatment can lead to ongoing transmission, creating a cycle of infection that affects entire communities. TB rates are five times higher in the most deprived areas of England, demonstrating the strong link between social disadvantage and disease burden.</w:t>
      </w:r>
    </w:p>
    <w:p w14:paraId="6DCD7FB6"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1F6E553B"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66C879B2" w14:textId="77777777" w:rsidR="00BE262E" w:rsidRPr="001E332A" w:rsidRDefault="00BE262E" w:rsidP="00BE262E">
      <w:pPr>
        <w:spacing w:after="0" w:line="240" w:lineRule="auto"/>
        <w:textAlignment w:val="baseline"/>
        <w:rPr>
          <w:rFonts w:ascii="Arial" w:eastAsia="Times New Roman" w:hAnsi="Arial" w:cs="Arial"/>
          <w:b/>
          <w:bCs/>
          <w:color w:val="242424"/>
          <w:kern w:val="0"/>
          <w:sz w:val="22"/>
          <w:szCs w:val="22"/>
          <w:lang w:eastAsia="en-GB"/>
          <w14:ligatures w14:val="none"/>
        </w:rPr>
      </w:pPr>
      <w:r w:rsidRPr="001E332A">
        <w:rPr>
          <w:rFonts w:ascii="Arial" w:eastAsia="Times New Roman" w:hAnsi="Arial" w:cs="Arial"/>
          <w:b/>
          <w:bCs/>
          <w:color w:val="242424"/>
          <w:kern w:val="0"/>
          <w:sz w:val="22"/>
          <w:szCs w:val="22"/>
          <w:lang w:eastAsia="en-GB"/>
          <w14:ligatures w14:val="none"/>
        </w:rPr>
        <w:t>Health and Social Care Support Services Required</w:t>
      </w:r>
    </w:p>
    <w:p w14:paraId="33F18385"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534F67B2"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Effective TB management requires a coordinated approach involving healthcare services, public health teams, and social care providers. Primary care services play a vital role in recognising symptoms, initiating diagnostic testing, and referring patients to specialist TB clinics. Specialist clinics provide comprehensive care, including diagnosis, treatment supervision, drug resistance management, and monitoring of treatment outcomes.</w:t>
      </w:r>
    </w:p>
    <w:p w14:paraId="284A0476"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3A99F2D1"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Public health teams are responsible for contact tracing, community outreach, and health promotion. They work closely with healthcare providers to ensure timely diagnosis and reduce transmission. Mental health support is also essential, as individuals with TB may experience anxiety, depression, or stigma.</w:t>
      </w:r>
    </w:p>
    <w:p w14:paraId="3F050E7F"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4009FE6B"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Social care services provide crucial support for individuals facing housing instability, financial difficulties, or social isolation. This may include temporary accommodation, welfare support, translation services, and assistance for asylum seekers and migrants. Community organisations play an important role in delivering culturally appropriate support and improving engagement with healthcare services.</w:t>
      </w:r>
    </w:p>
    <w:p w14:paraId="5A72385E"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p>
    <w:p w14:paraId="6AE964C2" w14:textId="77777777" w:rsidR="00BE262E" w:rsidRPr="001E332A" w:rsidRDefault="00BE262E" w:rsidP="00BE262E">
      <w:pPr>
        <w:spacing w:after="0" w:line="240" w:lineRule="auto"/>
        <w:textAlignment w:val="baseline"/>
        <w:rPr>
          <w:rFonts w:ascii="Arial" w:eastAsia="Times New Roman" w:hAnsi="Arial" w:cs="Arial"/>
          <w:color w:val="242424"/>
          <w:kern w:val="0"/>
          <w:sz w:val="20"/>
          <w:szCs w:val="20"/>
          <w:lang w:eastAsia="en-GB"/>
          <w14:ligatures w14:val="none"/>
        </w:rPr>
      </w:pPr>
      <w:r w:rsidRPr="001E332A">
        <w:rPr>
          <w:rFonts w:ascii="Arial" w:eastAsia="Times New Roman" w:hAnsi="Arial" w:cs="Arial"/>
          <w:color w:val="242424"/>
          <w:kern w:val="0"/>
          <w:sz w:val="20"/>
          <w:szCs w:val="20"/>
          <w:lang w:eastAsia="en-GB"/>
          <w14:ligatures w14:val="none"/>
        </w:rPr>
        <w:t>An integrated care approach is essential to meet the complex needs of individuals affected by TB. Collaboration between NHS services, local authorities, and voluntary organisations ensures that individuals receive holistic support, enabling them to complete treatment and reduce the risk of transmission.</w:t>
      </w:r>
    </w:p>
    <w:p w14:paraId="1D51CD93" w14:textId="77777777" w:rsidR="00653DA5" w:rsidRDefault="00653DA5" w:rsidP="00534CD7">
      <w:pPr>
        <w:rPr>
          <w:rFonts w:ascii="Arial" w:hAnsi="Arial" w:cs="Arial"/>
          <w:b/>
          <w:bCs/>
        </w:rPr>
      </w:pPr>
    </w:p>
    <w:p w14:paraId="1BD78C0F" w14:textId="77777777" w:rsidR="00653DA5" w:rsidRPr="001E332A" w:rsidRDefault="00653DA5" w:rsidP="00653DA5">
      <w:pPr>
        <w:spacing w:after="18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TB remains a major global health crisis. In 2024, around 10.7 million people developed TB and 1.23 million died, making it one of the world’s deadliest infectious diseases. It disproportionately affects low</w:t>
      </w:r>
      <w:r w:rsidRPr="001E332A">
        <w:rPr>
          <w:rFonts w:ascii="Arial" w:eastAsia="Times New Roman" w:hAnsi="Arial" w:cs="Arial"/>
          <w:color w:val="26221F"/>
          <w:spacing w:val="2"/>
          <w:kern w:val="0"/>
          <w:sz w:val="20"/>
          <w:szCs w:val="20"/>
          <w:lang w:eastAsia="en-GB"/>
          <w14:ligatures w14:val="none"/>
        </w:rPr>
        <w:noBreakHyphen/>
        <w:t>income and vulnerable communities.</w:t>
      </w:r>
    </w:p>
    <w:p w14:paraId="1A768806" w14:textId="77777777" w:rsidR="00653DA5" w:rsidRPr="001E332A" w:rsidRDefault="00653DA5" w:rsidP="00653DA5">
      <w:pPr>
        <w:spacing w:before="60" w:after="9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kern w:val="0"/>
          <w:sz w:val="20"/>
          <w:szCs w:val="20"/>
          <w:lang w:eastAsia="en-GB"/>
          <w14:ligatures w14:val="none"/>
        </w:rPr>
        <w:t>Incidence, Prevalence &amp; Mortality</w:t>
      </w:r>
    </w:p>
    <w:p w14:paraId="504CFCC9" w14:textId="6B5BFBAD" w:rsidR="00653DA5" w:rsidRPr="001E332A" w:rsidRDefault="00653DA5" w:rsidP="00653DA5">
      <w:pPr>
        <w:numPr>
          <w:ilvl w:val="0"/>
          <w:numId w:val="1"/>
        </w:numPr>
        <w:spacing w:before="60" w:after="15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Incidence: 10.7 million new cases in 2024, with increases in some regions post</w:t>
      </w:r>
      <w:r w:rsidRPr="001E332A">
        <w:rPr>
          <w:rFonts w:ascii="Arial" w:eastAsia="Times New Roman" w:hAnsi="Arial" w:cs="Arial"/>
          <w:color w:val="26221F"/>
          <w:spacing w:val="2"/>
          <w:kern w:val="0"/>
          <w:sz w:val="20"/>
          <w:szCs w:val="20"/>
          <w:lang w:eastAsia="en-GB"/>
          <w14:ligatures w14:val="none"/>
        </w:rPr>
        <w:noBreakHyphen/>
        <w:t>COVID</w:t>
      </w:r>
      <w:r w:rsidRPr="001E332A">
        <w:rPr>
          <w:rFonts w:ascii="Arial" w:eastAsia="Times New Roman" w:hAnsi="Arial" w:cs="Arial"/>
          <w:color w:val="26221F"/>
          <w:spacing w:val="2"/>
          <w:kern w:val="0"/>
          <w:sz w:val="20"/>
          <w:szCs w:val="20"/>
          <w:lang w:eastAsia="en-GB"/>
          <w14:ligatures w14:val="none"/>
        </w:rPr>
        <w:noBreakHyphen/>
        <w:t>19.</w:t>
      </w:r>
    </w:p>
    <w:p w14:paraId="348A841C" w14:textId="77777777" w:rsidR="00653DA5" w:rsidRPr="001E332A" w:rsidRDefault="00653DA5" w:rsidP="00653DA5">
      <w:pPr>
        <w:numPr>
          <w:ilvl w:val="0"/>
          <w:numId w:val="1"/>
        </w:numPr>
        <w:spacing w:after="15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Prevalence: Highest in Southeast Asia, Africa, and the Western Pacific; latent TB makes exact prevalence difficult to measure.</w:t>
      </w:r>
    </w:p>
    <w:p w14:paraId="781126B3" w14:textId="36FD382B" w:rsidR="00653DA5" w:rsidRPr="001E332A" w:rsidRDefault="00653DA5" w:rsidP="00653DA5">
      <w:pPr>
        <w:numPr>
          <w:ilvl w:val="0"/>
          <w:numId w:val="1"/>
        </w:numPr>
        <w:spacing w:after="21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Mortality:</w:t>
      </w:r>
      <w:r w:rsidR="001E332A">
        <w:rPr>
          <w:rFonts w:ascii="Arial" w:eastAsia="Times New Roman" w:hAnsi="Arial" w:cs="Arial"/>
          <w:color w:val="26221F"/>
          <w:spacing w:val="2"/>
          <w:kern w:val="0"/>
          <w:sz w:val="20"/>
          <w:szCs w:val="20"/>
          <w:lang w:eastAsia="en-GB"/>
          <w14:ligatures w14:val="none"/>
        </w:rPr>
        <w:t xml:space="preserve"> </w:t>
      </w:r>
      <w:r w:rsidRPr="001E332A">
        <w:rPr>
          <w:rFonts w:ascii="Arial" w:eastAsia="Times New Roman" w:hAnsi="Arial" w:cs="Arial"/>
          <w:color w:val="26221F"/>
          <w:spacing w:val="2"/>
          <w:kern w:val="0"/>
          <w:sz w:val="20"/>
          <w:szCs w:val="20"/>
          <w:lang w:eastAsia="en-GB"/>
          <w14:ligatures w14:val="none"/>
        </w:rPr>
        <w:t>1.23 million deaths in 2024; untreated TB has a fatality rate of up to 50%.</w:t>
      </w:r>
    </w:p>
    <w:p w14:paraId="450691DF" w14:textId="77777777" w:rsidR="00653DA5" w:rsidRPr="001E332A" w:rsidRDefault="00653DA5" w:rsidP="00653DA5">
      <w:pPr>
        <w:spacing w:before="60" w:after="9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kern w:val="0"/>
          <w:sz w:val="20"/>
          <w:szCs w:val="20"/>
          <w:lang w:eastAsia="en-GB"/>
          <w14:ligatures w14:val="none"/>
        </w:rPr>
        <w:t>Impact on Communities</w:t>
      </w:r>
    </w:p>
    <w:p w14:paraId="2816E09E" w14:textId="77777777" w:rsidR="00653DA5" w:rsidRPr="001E332A" w:rsidRDefault="00653DA5" w:rsidP="00653DA5">
      <w:pPr>
        <w:numPr>
          <w:ilvl w:val="0"/>
          <w:numId w:val="2"/>
        </w:numPr>
        <w:spacing w:before="60" w:after="15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lastRenderedPageBreak/>
        <w:t>Economic: Households face catastrophic costs (often &gt;20% of annual income), leading to deeper poverty.</w:t>
      </w:r>
    </w:p>
    <w:p w14:paraId="10B3E79E" w14:textId="77777777" w:rsidR="00653DA5" w:rsidRPr="001E332A" w:rsidRDefault="00653DA5" w:rsidP="00653DA5">
      <w:pPr>
        <w:numPr>
          <w:ilvl w:val="0"/>
          <w:numId w:val="2"/>
        </w:numPr>
        <w:spacing w:after="15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Social: Stigma causes delayed diagnosis and worsens transmission; mental health impacts are common.</w:t>
      </w:r>
    </w:p>
    <w:p w14:paraId="60C9402F" w14:textId="77777777" w:rsidR="00653DA5" w:rsidRPr="001E332A" w:rsidRDefault="00653DA5" w:rsidP="00653DA5">
      <w:pPr>
        <w:numPr>
          <w:ilvl w:val="0"/>
          <w:numId w:val="2"/>
        </w:numPr>
        <w:spacing w:after="21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Health: Long</w:t>
      </w:r>
      <w:r w:rsidRPr="001E332A">
        <w:rPr>
          <w:rFonts w:ascii="Arial" w:eastAsia="Times New Roman" w:hAnsi="Arial" w:cs="Arial"/>
          <w:color w:val="26221F"/>
          <w:spacing w:val="2"/>
          <w:kern w:val="0"/>
          <w:sz w:val="20"/>
          <w:szCs w:val="20"/>
          <w:lang w:eastAsia="en-GB"/>
          <w14:ligatures w14:val="none"/>
        </w:rPr>
        <w:noBreakHyphen/>
        <w:t>term lung damage, fatigue, and reduced work capacity even after treatment.</w:t>
      </w:r>
    </w:p>
    <w:p w14:paraId="3A1CF8CE" w14:textId="77777777" w:rsidR="00653DA5" w:rsidRPr="001E332A" w:rsidRDefault="00653DA5" w:rsidP="00653DA5">
      <w:pPr>
        <w:spacing w:before="60" w:after="9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kern w:val="0"/>
          <w:sz w:val="20"/>
          <w:szCs w:val="20"/>
          <w:lang w:eastAsia="en-GB"/>
          <w14:ligatures w14:val="none"/>
        </w:rPr>
        <w:t>Key Determinants / Risk Factors</w:t>
      </w:r>
    </w:p>
    <w:p w14:paraId="0481D759" w14:textId="77777777" w:rsidR="00653DA5" w:rsidRPr="001E332A" w:rsidRDefault="00653DA5" w:rsidP="00653DA5">
      <w:pPr>
        <w:numPr>
          <w:ilvl w:val="0"/>
          <w:numId w:val="3"/>
        </w:numPr>
        <w:spacing w:before="60" w:after="15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Social: Poverty, overcrowding, poor housing, malnutrition, poor ventilation.</w:t>
      </w:r>
    </w:p>
    <w:p w14:paraId="042F2303" w14:textId="77777777" w:rsidR="00653DA5" w:rsidRPr="001E332A" w:rsidRDefault="00653DA5" w:rsidP="00653DA5">
      <w:pPr>
        <w:numPr>
          <w:ilvl w:val="0"/>
          <w:numId w:val="3"/>
        </w:numPr>
        <w:spacing w:after="15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Individual: HIV, diabetes, smoking, alcohol use disorder, malnutrition.</w:t>
      </w:r>
    </w:p>
    <w:p w14:paraId="17DC5907" w14:textId="1073695A" w:rsidR="00653DA5" w:rsidRPr="001E332A" w:rsidRDefault="00653DA5" w:rsidP="001E332A">
      <w:pPr>
        <w:numPr>
          <w:ilvl w:val="0"/>
          <w:numId w:val="3"/>
        </w:numPr>
        <w:spacing w:after="21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Drug Resistance: MDR</w:t>
      </w:r>
      <w:r w:rsidRPr="001E332A">
        <w:rPr>
          <w:rFonts w:ascii="Arial" w:eastAsia="Times New Roman" w:hAnsi="Arial" w:cs="Arial"/>
          <w:color w:val="26221F"/>
          <w:spacing w:val="2"/>
          <w:kern w:val="0"/>
          <w:sz w:val="20"/>
          <w:szCs w:val="20"/>
          <w:lang w:eastAsia="en-GB"/>
          <w14:ligatures w14:val="none"/>
        </w:rPr>
        <w:noBreakHyphen/>
        <w:t>TB requires longer, more expensive treatment and poses a growing threat.</w:t>
      </w:r>
    </w:p>
    <w:p w14:paraId="7B5026C6" w14:textId="77777777" w:rsidR="00653DA5" w:rsidRPr="001E332A" w:rsidRDefault="00653DA5" w:rsidP="00653DA5">
      <w:pPr>
        <w:spacing w:before="60" w:after="9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kern w:val="0"/>
          <w:sz w:val="20"/>
          <w:szCs w:val="20"/>
          <w:lang w:eastAsia="en-GB"/>
          <w14:ligatures w14:val="none"/>
        </w:rPr>
        <w:t>3P’s of Public Health Applied to TB</w:t>
      </w:r>
    </w:p>
    <w:p w14:paraId="4CEC73D6" w14:textId="77777777" w:rsidR="00653DA5" w:rsidRPr="001E332A" w:rsidRDefault="00653DA5" w:rsidP="00653DA5">
      <w:pPr>
        <w:spacing w:before="240" w:after="90" w:line="240" w:lineRule="auto"/>
        <w:rPr>
          <w:rFonts w:ascii="Arial" w:eastAsia="Times New Roman" w:hAnsi="Arial" w:cs="Arial"/>
          <w:b/>
          <w:bCs/>
          <w:color w:val="26221F"/>
          <w:kern w:val="0"/>
          <w:sz w:val="20"/>
          <w:szCs w:val="20"/>
          <w:lang w:eastAsia="en-GB"/>
          <w14:ligatures w14:val="none"/>
        </w:rPr>
      </w:pPr>
      <w:r w:rsidRPr="001E332A">
        <w:rPr>
          <w:rFonts w:ascii="Arial" w:eastAsia="Times New Roman" w:hAnsi="Arial" w:cs="Arial"/>
          <w:b/>
          <w:bCs/>
          <w:color w:val="26221F"/>
          <w:spacing w:val="-2"/>
          <w:kern w:val="0"/>
          <w:sz w:val="20"/>
          <w:szCs w:val="20"/>
          <w:lang w:eastAsia="en-GB"/>
          <w14:ligatures w14:val="none"/>
        </w:rPr>
        <w:t>Population</w:t>
      </w:r>
    </w:p>
    <w:p w14:paraId="2624C6F7" w14:textId="77777777" w:rsidR="00653DA5" w:rsidRPr="001E332A" w:rsidRDefault="00653DA5" w:rsidP="00653DA5">
      <w:pPr>
        <w:spacing w:after="18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TB heavily affects high</w:t>
      </w:r>
      <w:r w:rsidRPr="001E332A">
        <w:rPr>
          <w:rFonts w:ascii="Arial" w:eastAsia="Times New Roman" w:hAnsi="Arial" w:cs="Arial"/>
          <w:color w:val="26221F"/>
          <w:spacing w:val="2"/>
          <w:kern w:val="0"/>
          <w:sz w:val="20"/>
          <w:szCs w:val="20"/>
          <w:lang w:eastAsia="en-GB"/>
          <w14:ligatures w14:val="none"/>
        </w:rPr>
        <w:noBreakHyphen/>
        <w:t>risk groups: migrants, prisoners, homeless individuals, and people with limited healthcare access.</w:t>
      </w:r>
    </w:p>
    <w:p w14:paraId="6BF1AC9F" w14:textId="77777777" w:rsidR="00653DA5" w:rsidRPr="001E332A" w:rsidRDefault="00653DA5" w:rsidP="00653DA5">
      <w:pPr>
        <w:spacing w:before="60" w:after="90" w:line="240" w:lineRule="auto"/>
        <w:rPr>
          <w:rFonts w:ascii="Arial" w:eastAsia="Times New Roman" w:hAnsi="Arial" w:cs="Arial"/>
          <w:b/>
          <w:bCs/>
          <w:color w:val="26221F"/>
          <w:kern w:val="0"/>
          <w:sz w:val="20"/>
          <w:szCs w:val="20"/>
          <w:lang w:eastAsia="en-GB"/>
          <w14:ligatures w14:val="none"/>
        </w:rPr>
      </w:pPr>
      <w:r w:rsidRPr="001E332A">
        <w:rPr>
          <w:rFonts w:ascii="Arial" w:eastAsia="Times New Roman" w:hAnsi="Arial" w:cs="Arial"/>
          <w:b/>
          <w:bCs/>
          <w:color w:val="26221F"/>
          <w:spacing w:val="-2"/>
          <w:kern w:val="0"/>
          <w:sz w:val="20"/>
          <w:szCs w:val="20"/>
          <w:lang w:eastAsia="en-GB"/>
          <w14:ligatures w14:val="none"/>
        </w:rPr>
        <w:t>Prevention</w:t>
      </w:r>
    </w:p>
    <w:p w14:paraId="31784720" w14:textId="77777777" w:rsidR="00653DA5" w:rsidRPr="001E332A" w:rsidRDefault="00653DA5" w:rsidP="00653DA5">
      <w:pPr>
        <w:spacing w:after="18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BCG vaccination, infection control, treating latent TB, improving nutrition and living conditions.</w:t>
      </w:r>
    </w:p>
    <w:p w14:paraId="6E4D57BC" w14:textId="77777777" w:rsidR="00653DA5" w:rsidRPr="001E332A" w:rsidRDefault="00653DA5" w:rsidP="00653DA5">
      <w:pPr>
        <w:spacing w:before="60" w:after="90" w:line="240" w:lineRule="auto"/>
        <w:rPr>
          <w:rFonts w:ascii="Arial" w:eastAsia="Times New Roman" w:hAnsi="Arial" w:cs="Arial"/>
          <w:b/>
          <w:bCs/>
          <w:color w:val="26221F"/>
          <w:kern w:val="0"/>
          <w:sz w:val="20"/>
          <w:szCs w:val="20"/>
          <w:lang w:eastAsia="en-GB"/>
          <w14:ligatures w14:val="none"/>
        </w:rPr>
      </w:pPr>
      <w:r w:rsidRPr="001E332A">
        <w:rPr>
          <w:rFonts w:ascii="Arial" w:eastAsia="Times New Roman" w:hAnsi="Arial" w:cs="Arial"/>
          <w:b/>
          <w:bCs/>
          <w:color w:val="26221F"/>
          <w:spacing w:val="-2"/>
          <w:kern w:val="0"/>
          <w:sz w:val="20"/>
          <w:szCs w:val="20"/>
          <w:lang w:eastAsia="en-GB"/>
          <w14:ligatures w14:val="none"/>
        </w:rPr>
        <w:t>Promotion</w:t>
      </w:r>
    </w:p>
    <w:p w14:paraId="282BC195" w14:textId="77777777" w:rsidR="00653DA5" w:rsidRPr="001E332A" w:rsidRDefault="00653DA5" w:rsidP="00653DA5">
      <w:pPr>
        <w:spacing w:after="180" w:line="240" w:lineRule="auto"/>
        <w:rPr>
          <w:rFonts w:ascii="Arial" w:eastAsia="Times New Roman" w:hAnsi="Arial" w:cs="Arial"/>
          <w:color w:val="26221F"/>
          <w:kern w:val="0"/>
          <w:sz w:val="20"/>
          <w:szCs w:val="20"/>
          <w:lang w:eastAsia="en-GB"/>
          <w14:ligatures w14:val="none"/>
        </w:rPr>
      </w:pPr>
      <w:r w:rsidRPr="001E332A">
        <w:rPr>
          <w:rFonts w:ascii="Arial" w:eastAsia="Times New Roman" w:hAnsi="Arial" w:cs="Arial"/>
          <w:color w:val="26221F"/>
          <w:spacing w:val="2"/>
          <w:kern w:val="0"/>
          <w:sz w:val="20"/>
          <w:szCs w:val="20"/>
          <w:lang w:eastAsia="en-GB"/>
          <w14:ligatures w14:val="none"/>
        </w:rPr>
        <w:t>Community education to reduce stigma, expanding DOTS to ensure treatment completion, and strengthening international collaboration.</w:t>
      </w:r>
    </w:p>
    <w:p w14:paraId="7ED2242D" w14:textId="77777777" w:rsidR="00653DA5" w:rsidRDefault="00653DA5" w:rsidP="00534CD7">
      <w:pPr>
        <w:rPr>
          <w:rFonts w:ascii="Arial" w:hAnsi="Arial" w:cs="Arial"/>
          <w:b/>
          <w:bCs/>
        </w:rPr>
      </w:pPr>
    </w:p>
    <w:p w14:paraId="74842C6A" w14:textId="77777777" w:rsidR="00653DA5" w:rsidRDefault="00653DA5" w:rsidP="00534CD7">
      <w:pPr>
        <w:rPr>
          <w:rFonts w:ascii="Arial" w:hAnsi="Arial" w:cs="Arial"/>
          <w:b/>
          <w:bCs/>
        </w:rPr>
      </w:pPr>
    </w:p>
    <w:p w14:paraId="1F1F0433" w14:textId="77777777" w:rsidR="00653DA5" w:rsidRDefault="00653DA5" w:rsidP="00534CD7">
      <w:pPr>
        <w:rPr>
          <w:rFonts w:ascii="Arial" w:hAnsi="Arial" w:cs="Arial"/>
          <w:b/>
          <w:bCs/>
        </w:rPr>
      </w:pPr>
    </w:p>
    <w:p w14:paraId="4CF0B8EF" w14:textId="77777777" w:rsidR="00653DA5" w:rsidRDefault="00653DA5" w:rsidP="00534CD7">
      <w:pPr>
        <w:rPr>
          <w:rFonts w:ascii="Arial" w:hAnsi="Arial" w:cs="Arial"/>
          <w:b/>
          <w:bCs/>
        </w:rPr>
      </w:pPr>
    </w:p>
    <w:p w14:paraId="1D502C49" w14:textId="77777777" w:rsidR="00653DA5" w:rsidRDefault="00653DA5" w:rsidP="00534CD7">
      <w:pPr>
        <w:rPr>
          <w:rFonts w:ascii="Arial" w:hAnsi="Arial" w:cs="Arial"/>
          <w:b/>
          <w:bCs/>
        </w:rPr>
      </w:pPr>
    </w:p>
    <w:p w14:paraId="0154FE2E" w14:textId="77777777" w:rsidR="00653DA5" w:rsidRDefault="00653DA5" w:rsidP="00534CD7">
      <w:pPr>
        <w:rPr>
          <w:rFonts w:ascii="Arial" w:hAnsi="Arial" w:cs="Arial"/>
          <w:b/>
          <w:bCs/>
        </w:rPr>
      </w:pPr>
    </w:p>
    <w:p w14:paraId="01599956" w14:textId="77777777" w:rsidR="001E332A" w:rsidRDefault="001E332A" w:rsidP="00534CD7">
      <w:pPr>
        <w:rPr>
          <w:rFonts w:ascii="Arial" w:hAnsi="Arial" w:cs="Arial"/>
          <w:b/>
          <w:bCs/>
        </w:rPr>
      </w:pPr>
    </w:p>
    <w:p w14:paraId="45A446FA" w14:textId="77777777" w:rsidR="00653DA5" w:rsidRDefault="00653DA5" w:rsidP="00534CD7">
      <w:pPr>
        <w:rPr>
          <w:rFonts w:ascii="Arial" w:hAnsi="Arial" w:cs="Arial"/>
          <w:b/>
          <w:bCs/>
        </w:rPr>
      </w:pPr>
    </w:p>
    <w:p w14:paraId="455F16B5" w14:textId="77777777" w:rsidR="001E332A" w:rsidRDefault="001E332A" w:rsidP="00534CD7">
      <w:pPr>
        <w:rPr>
          <w:rFonts w:ascii="Arial" w:hAnsi="Arial" w:cs="Arial"/>
          <w:b/>
          <w:bCs/>
        </w:rPr>
      </w:pPr>
    </w:p>
    <w:p w14:paraId="7D852861" w14:textId="77777777" w:rsidR="001E332A" w:rsidRDefault="001E332A" w:rsidP="00534CD7">
      <w:pPr>
        <w:rPr>
          <w:rFonts w:ascii="Arial" w:hAnsi="Arial" w:cs="Arial"/>
          <w:b/>
          <w:bCs/>
        </w:rPr>
      </w:pPr>
    </w:p>
    <w:p w14:paraId="3B419390" w14:textId="77777777" w:rsidR="001E332A" w:rsidRDefault="001E332A" w:rsidP="00534CD7">
      <w:pPr>
        <w:rPr>
          <w:rFonts w:ascii="Arial" w:hAnsi="Arial" w:cs="Arial"/>
          <w:b/>
          <w:bCs/>
        </w:rPr>
      </w:pPr>
    </w:p>
    <w:p w14:paraId="2D45A95D" w14:textId="77777777" w:rsidR="001E332A" w:rsidRDefault="001E332A" w:rsidP="00534CD7">
      <w:pPr>
        <w:rPr>
          <w:rFonts w:ascii="Arial" w:hAnsi="Arial" w:cs="Arial"/>
          <w:b/>
          <w:bCs/>
        </w:rPr>
      </w:pPr>
    </w:p>
    <w:p w14:paraId="7A60ED81" w14:textId="77777777" w:rsidR="001E332A" w:rsidRDefault="001E332A" w:rsidP="00534CD7">
      <w:pPr>
        <w:rPr>
          <w:rFonts w:ascii="Arial" w:hAnsi="Arial" w:cs="Arial"/>
          <w:b/>
          <w:bCs/>
        </w:rPr>
      </w:pPr>
    </w:p>
    <w:p w14:paraId="3C344044" w14:textId="77777777" w:rsidR="001E332A" w:rsidRDefault="001E332A" w:rsidP="00534CD7">
      <w:pPr>
        <w:rPr>
          <w:rFonts w:ascii="Arial" w:hAnsi="Arial" w:cs="Arial"/>
          <w:b/>
          <w:bCs/>
        </w:rPr>
      </w:pPr>
    </w:p>
    <w:p w14:paraId="755C9283" w14:textId="77777777" w:rsidR="001E332A" w:rsidRDefault="001E332A" w:rsidP="00534CD7">
      <w:pPr>
        <w:rPr>
          <w:rFonts w:ascii="Arial" w:hAnsi="Arial" w:cs="Arial"/>
          <w:b/>
          <w:bCs/>
        </w:rPr>
      </w:pPr>
    </w:p>
    <w:p w14:paraId="5065552A" w14:textId="67B5EE2D" w:rsidR="00BE262E" w:rsidRPr="001E332A" w:rsidRDefault="00BE262E" w:rsidP="001D73F8">
      <w:pPr>
        <w:jc w:val="center"/>
        <w:rPr>
          <w:rFonts w:ascii="Arial" w:hAnsi="Arial" w:cs="Arial"/>
          <w:b/>
          <w:bCs/>
          <w:sz w:val="22"/>
          <w:szCs w:val="22"/>
        </w:rPr>
      </w:pPr>
      <w:r w:rsidRPr="001E332A">
        <w:rPr>
          <w:rFonts w:ascii="Arial" w:eastAsia="Times New Roman" w:hAnsi="Arial" w:cs="Arial"/>
          <w:b/>
          <w:bCs/>
          <w:color w:val="242424"/>
          <w:kern w:val="0"/>
          <w:sz w:val="28"/>
          <w:szCs w:val="28"/>
          <w:lang w:eastAsia="en-GB"/>
          <w14:ligatures w14:val="none"/>
        </w:rPr>
        <w:lastRenderedPageBreak/>
        <w:t>Conclusion</w:t>
      </w:r>
    </w:p>
    <w:p w14:paraId="167D63F7" w14:textId="77777777" w:rsidR="00BE262E" w:rsidRPr="001E332A" w:rsidRDefault="00BE262E" w:rsidP="00BE262E">
      <w:pPr>
        <w:spacing w:after="0" w:line="240" w:lineRule="auto"/>
        <w:textAlignment w:val="baseline"/>
        <w:rPr>
          <w:rFonts w:ascii="Arial" w:eastAsia="Times New Roman" w:hAnsi="Arial" w:cs="Arial"/>
          <w:b/>
          <w:bCs/>
          <w:color w:val="242424"/>
          <w:kern w:val="0"/>
          <w:sz w:val="22"/>
          <w:szCs w:val="22"/>
          <w:lang w:eastAsia="en-GB"/>
          <w14:ligatures w14:val="none"/>
        </w:rPr>
      </w:pPr>
    </w:p>
    <w:p w14:paraId="5F6E3A56" w14:textId="30B06471" w:rsidR="00772068" w:rsidRPr="00772068" w:rsidRDefault="00772068" w:rsidP="00772068">
      <w:pPr>
        <w:spacing w:after="180" w:line="240" w:lineRule="auto"/>
        <w:rPr>
          <w:rFonts w:ascii="Arial" w:eastAsia="Times New Roman" w:hAnsi="Arial" w:cs="Arial"/>
          <w:color w:val="26221F"/>
          <w:kern w:val="0"/>
          <w:sz w:val="20"/>
          <w:szCs w:val="20"/>
          <w:lang w:eastAsia="en-GB"/>
          <w14:ligatures w14:val="none"/>
        </w:rPr>
      </w:pPr>
      <w:r w:rsidRPr="00772068">
        <w:rPr>
          <w:rFonts w:ascii="Arial" w:eastAsia="Times New Roman" w:hAnsi="Arial" w:cs="Arial"/>
          <w:color w:val="26221F"/>
          <w:spacing w:val="2"/>
          <w:kern w:val="0"/>
          <w:sz w:val="20"/>
          <w:szCs w:val="20"/>
          <w:lang w:eastAsia="en-GB"/>
          <w14:ligatures w14:val="none"/>
        </w:rPr>
        <w:t>Tuberculosis remains a major global and national public health challenge, with 10.7 million new cases and 1.23 million deaths reported in 2024. The disease disproportionately affects low</w:t>
      </w:r>
      <w:r w:rsidRPr="00772068">
        <w:rPr>
          <w:rFonts w:ascii="Arial" w:eastAsia="Times New Roman" w:hAnsi="Arial" w:cs="Arial"/>
          <w:color w:val="26221F"/>
          <w:spacing w:val="2"/>
          <w:kern w:val="0"/>
          <w:sz w:val="20"/>
          <w:szCs w:val="20"/>
          <w:lang w:eastAsia="en-GB"/>
          <w14:ligatures w14:val="none"/>
        </w:rPr>
        <w:noBreakHyphen/>
        <w:t>income and vulnerable communities, reinforcing existing health inequalities. Although preventable and curable, TB continues to rise in some regions, including England, where incidence reached 9.4 cases per 100,000 population in 2024. Effective control relies on strong surveillance systems, rapid diagnostics, timely treatment, and targeted interventions for high</w:t>
      </w:r>
      <w:r w:rsidRPr="00772068">
        <w:rPr>
          <w:rFonts w:ascii="Arial" w:eastAsia="Times New Roman" w:hAnsi="Arial" w:cs="Arial"/>
          <w:color w:val="26221F"/>
          <w:spacing w:val="2"/>
          <w:kern w:val="0"/>
          <w:sz w:val="20"/>
          <w:szCs w:val="20"/>
          <w:lang w:eastAsia="en-GB"/>
          <w14:ligatures w14:val="none"/>
        </w:rPr>
        <w:noBreakHyphen/>
        <w:t>risk groups. The impact of TB extends beyond physical illness, contributing to long</w:t>
      </w:r>
      <w:r w:rsidRPr="00772068">
        <w:rPr>
          <w:rFonts w:ascii="Arial" w:eastAsia="Times New Roman" w:hAnsi="Arial" w:cs="Arial"/>
          <w:color w:val="26221F"/>
          <w:spacing w:val="2"/>
          <w:kern w:val="0"/>
          <w:sz w:val="20"/>
          <w:szCs w:val="20"/>
          <w:lang w:eastAsia="en-GB"/>
          <w14:ligatures w14:val="none"/>
        </w:rPr>
        <w:noBreakHyphen/>
        <w:t xml:space="preserve">term lung damage, reduced work capacity, stigma, and significant financial hardship. At the community level, TB places pressure on healthcare and public health services. Addressing these challenges requires integrated support across healthcare, public health, and social care sectors. Continued investment in prevention, early detection, and the wider social </w:t>
      </w:r>
      <w:r w:rsidRPr="00772068">
        <w:rPr>
          <w:rFonts w:ascii="Arial" w:eastAsia="Times New Roman" w:hAnsi="Arial" w:cs="Arial"/>
          <w:color w:val="26221F"/>
          <w:spacing w:val="2"/>
          <w:kern w:val="0"/>
          <w:sz w:val="20"/>
          <w:szCs w:val="20"/>
          <w:lang w:eastAsia="en-GB"/>
          <w14:ligatures w14:val="none"/>
        </w:rPr>
        <w:t>determinant</w:t>
      </w:r>
      <w:r w:rsidRPr="00772068">
        <w:rPr>
          <w:rFonts w:ascii="Arial" w:eastAsia="Times New Roman" w:hAnsi="Arial" w:cs="Arial"/>
          <w:color w:val="26221F"/>
          <w:spacing w:val="2"/>
          <w:kern w:val="0"/>
          <w:sz w:val="20"/>
          <w:szCs w:val="20"/>
          <w:lang w:eastAsia="en-GB"/>
          <w14:ligatures w14:val="none"/>
        </w:rPr>
        <w:t xml:space="preserve"> of health is essential to reduce transmission, improve outcomes, and progress toward the long</w:t>
      </w:r>
      <w:r w:rsidRPr="00772068">
        <w:rPr>
          <w:rFonts w:ascii="Arial" w:eastAsia="Times New Roman" w:hAnsi="Arial" w:cs="Arial"/>
          <w:color w:val="26221F"/>
          <w:spacing w:val="2"/>
          <w:kern w:val="0"/>
          <w:sz w:val="20"/>
          <w:szCs w:val="20"/>
          <w:lang w:eastAsia="en-GB"/>
          <w14:ligatures w14:val="none"/>
        </w:rPr>
        <w:noBreakHyphen/>
        <w:t>term goal of TB elimination.</w:t>
      </w:r>
    </w:p>
    <w:p w14:paraId="2E3E5ABD" w14:textId="53A5C548" w:rsidR="00BE262E" w:rsidRDefault="00BE262E" w:rsidP="00534CD7">
      <w:pPr>
        <w:rPr>
          <w:rFonts w:ascii="Arial" w:hAnsi="Arial" w:cs="Arial"/>
          <w:b/>
          <w:bCs/>
          <w:sz w:val="28"/>
          <w:szCs w:val="28"/>
        </w:rPr>
      </w:pPr>
    </w:p>
    <w:p w14:paraId="198E3A18" w14:textId="77777777" w:rsidR="00BE262E" w:rsidRDefault="00BE262E">
      <w:pPr>
        <w:rPr>
          <w:rFonts w:ascii="Arial" w:hAnsi="Arial" w:cs="Arial"/>
          <w:b/>
          <w:bCs/>
          <w:sz w:val="28"/>
          <w:szCs w:val="28"/>
        </w:rPr>
      </w:pPr>
      <w:r>
        <w:rPr>
          <w:rFonts w:ascii="Arial" w:hAnsi="Arial" w:cs="Arial"/>
          <w:b/>
          <w:bCs/>
          <w:sz w:val="28"/>
          <w:szCs w:val="28"/>
        </w:rPr>
        <w:br w:type="page"/>
      </w:r>
    </w:p>
    <w:p w14:paraId="1A186FD8" w14:textId="77777777" w:rsidR="00BE262E" w:rsidRDefault="00BE262E" w:rsidP="00BE262E">
      <w:pPr>
        <w:spacing w:after="0" w:line="240" w:lineRule="auto"/>
        <w:jc w:val="center"/>
        <w:textAlignment w:val="baseline"/>
        <w:rPr>
          <w:rFonts w:ascii="Arial" w:eastAsia="Times New Roman" w:hAnsi="Arial" w:cs="Arial"/>
          <w:b/>
          <w:bCs/>
          <w:color w:val="242424"/>
          <w:kern w:val="0"/>
          <w:sz w:val="32"/>
          <w:szCs w:val="32"/>
          <w:lang w:eastAsia="en-GB"/>
          <w14:ligatures w14:val="none"/>
        </w:rPr>
      </w:pPr>
      <w:r w:rsidRPr="00BE262E">
        <w:rPr>
          <w:rFonts w:ascii="Arial" w:eastAsia="Times New Roman" w:hAnsi="Arial" w:cs="Arial"/>
          <w:b/>
          <w:bCs/>
          <w:color w:val="242424"/>
          <w:kern w:val="0"/>
          <w:sz w:val="32"/>
          <w:szCs w:val="32"/>
          <w:lang w:eastAsia="en-GB"/>
          <w14:ligatures w14:val="none"/>
        </w:rPr>
        <w:lastRenderedPageBreak/>
        <w:t>References</w:t>
      </w:r>
    </w:p>
    <w:p w14:paraId="39B6ABED" w14:textId="77777777" w:rsidR="00BE262E" w:rsidRPr="00FF2F02" w:rsidRDefault="00BE262E" w:rsidP="00BE262E">
      <w:pPr>
        <w:spacing w:after="0" w:line="240" w:lineRule="auto"/>
        <w:jc w:val="center"/>
        <w:textAlignment w:val="baseline"/>
        <w:rPr>
          <w:rFonts w:ascii="Arial" w:eastAsia="Times New Roman" w:hAnsi="Arial" w:cs="Arial"/>
          <w:b/>
          <w:bCs/>
          <w:color w:val="242424"/>
          <w:kern w:val="0"/>
          <w:sz w:val="20"/>
          <w:szCs w:val="20"/>
          <w:lang w:eastAsia="en-GB"/>
          <w14:ligatures w14:val="none"/>
        </w:rPr>
      </w:pPr>
    </w:p>
    <w:p w14:paraId="75CD5F8F" w14:textId="50328541" w:rsidR="00772068" w:rsidRPr="00FF2F02" w:rsidRDefault="00772068" w:rsidP="00772068">
      <w:pPr>
        <w:numPr>
          <w:ilvl w:val="0"/>
          <w:numId w:val="12"/>
        </w:numPr>
        <w:spacing w:before="60" w:after="150" w:line="240" w:lineRule="auto"/>
        <w:rPr>
          <w:rFonts w:ascii="Arial" w:eastAsia="Times New Roman" w:hAnsi="Arial" w:cs="Arial"/>
          <w:color w:val="26221F"/>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UK Health Security Agency (2024) Tuberculosis in England: 2024 Report. London: UKHSA.</w:t>
      </w:r>
      <w:r w:rsidRPr="00FF2F02">
        <w:rPr>
          <w:rFonts w:ascii="Arial" w:eastAsia="Times New Roman" w:hAnsi="Arial" w:cs="Arial"/>
          <w:color w:val="26221F"/>
          <w:kern w:val="0"/>
          <w:sz w:val="20"/>
          <w:szCs w:val="20"/>
          <w:lang w:eastAsia="en-GB"/>
          <w14:ligatures w14:val="none"/>
        </w:rPr>
        <w:t xml:space="preserve"> </w:t>
      </w:r>
      <w:r w:rsidRPr="00FF2F02">
        <w:rPr>
          <w:rFonts w:ascii="Arial" w:eastAsia="Times New Roman" w:hAnsi="Arial" w:cs="Arial"/>
          <w:color w:val="26221F"/>
          <w:spacing w:val="2"/>
          <w:kern w:val="0"/>
          <w:sz w:val="20"/>
          <w:szCs w:val="20"/>
          <w:lang w:eastAsia="en-GB"/>
          <w14:ligatures w14:val="none"/>
        </w:rPr>
        <w:t>(Incidence in England, diagnostic delays, contact tracing data, high</w:t>
      </w:r>
      <w:r w:rsidRPr="00FF2F02">
        <w:rPr>
          <w:rFonts w:ascii="Arial" w:eastAsia="Times New Roman" w:hAnsi="Arial" w:cs="Arial"/>
          <w:color w:val="26221F"/>
          <w:spacing w:val="2"/>
          <w:kern w:val="0"/>
          <w:sz w:val="20"/>
          <w:szCs w:val="20"/>
          <w:lang w:eastAsia="en-GB"/>
          <w14:ligatures w14:val="none"/>
        </w:rPr>
        <w:noBreakHyphen/>
        <w:t>risk groups.)</w:t>
      </w:r>
    </w:p>
    <w:p w14:paraId="5D0202CC" w14:textId="77777777" w:rsidR="00772068" w:rsidRPr="00FF2F02" w:rsidRDefault="00772068" w:rsidP="00772068">
      <w:pPr>
        <w:numPr>
          <w:ilvl w:val="0"/>
          <w:numId w:val="12"/>
        </w:numPr>
        <w:spacing w:after="150" w:line="240" w:lineRule="auto"/>
        <w:rPr>
          <w:rFonts w:ascii="Arial" w:eastAsia="Times New Roman" w:hAnsi="Arial" w:cs="Arial"/>
          <w:color w:val="26221F"/>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NHS England (2023) TB Action Plan for England 2021–2026. London: NHS England.</w:t>
      </w:r>
    </w:p>
    <w:p w14:paraId="31322F77" w14:textId="77777777" w:rsidR="00772068" w:rsidRPr="00FF2F02" w:rsidRDefault="00772068" w:rsidP="00772068">
      <w:pPr>
        <w:spacing w:after="180" w:line="240" w:lineRule="auto"/>
        <w:rPr>
          <w:rFonts w:ascii="Arial" w:eastAsia="Times New Roman" w:hAnsi="Arial" w:cs="Arial"/>
          <w:color w:val="26221F"/>
          <w:spacing w:val="2"/>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(National strategy, screening, prevention, health inequalities.)</w:t>
      </w:r>
    </w:p>
    <w:p w14:paraId="1BD7DFE7" w14:textId="024CAA53" w:rsidR="00FF2F02" w:rsidRPr="00FF2F02" w:rsidRDefault="00FF2F02" w:rsidP="00FF2F02">
      <w:pPr>
        <w:pStyle w:val="ListParagraph"/>
        <w:numPr>
          <w:ilvl w:val="0"/>
          <w:numId w:val="19"/>
        </w:numPr>
        <w:spacing w:before="240" w:after="90" w:line="240" w:lineRule="auto"/>
        <w:rPr>
          <w:rFonts w:ascii="Arial" w:eastAsia="Times New Roman" w:hAnsi="Arial" w:cs="Arial"/>
          <w:color w:val="26221F"/>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NHS Digital (2024)</w:t>
      </w:r>
      <w:r w:rsidRPr="00FF2F02">
        <w:rPr>
          <w:rFonts w:ascii="Arial" w:eastAsia="Times New Roman" w:hAnsi="Arial" w:cs="Arial"/>
          <w:color w:val="26221F"/>
          <w:spacing w:val="-2"/>
          <w:kern w:val="0"/>
          <w:sz w:val="20"/>
          <w:szCs w:val="20"/>
          <w:lang w:eastAsia="en-GB"/>
          <w14:ligatures w14:val="none"/>
        </w:rPr>
        <w:t xml:space="preserve"> </w:t>
      </w:r>
      <w:r w:rsidRPr="00FF2F02">
        <w:rPr>
          <w:rFonts w:ascii="Arial" w:eastAsia="Times New Roman" w:hAnsi="Arial" w:cs="Arial"/>
          <w:color w:val="26221F"/>
          <w:spacing w:val="2"/>
          <w:kern w:val="0"/>
          <w:sz w:val="20"/>
          <w:szCs w:val="20"/>
          <w:lang w:eastAsia="en-GB"/>
          <w14:ligatures w14:val="none"/>
        </w:rPr>
        <w:t>NHS Hospital Episode Statistics: Tuberculosis Admissions 2024.</w:t>
      </w:r>
    </w:p>
    <w:p w14:paraId="43B56A46" w14:textId="77777777" w:rsidR="00FF2F02" w:rsidRPr="00FF2F02" w:rsidRDefault="00FF2F02" w:rsidP="00FF2F02">
      <w:pPr>
        <w:spacing w:after="180" w:line="240" w:lineRule="auto"/>
        <w:rPr>
          <w:rFonts w:ascii="Arial" w:eastAsia="Times New Roman" w:hAnsi="Arial" w:cs="Arial"/>
          <w:color w:val="26221F"/>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(Useful for hospital admissions, emergency attendance, and healthcare utilisation.)</w:t>
      </w:r>
    </w:p>
    <w:p w14:paraId="23F82C3B" w14:textId="77777777" w:rsidR="00FF2F02" w:rsidRDefault="00FF2F02" w:rsidP="00FF2F02">
      <w:pPr>
        <w:pStyle w:val="p1"/>
        <w:numPr>
          <w:ilvl w:val="0"/>
          <w:numId w:val="20"/>
        </w:numPr>
        <w:rPr>
          <w:color w:val="26221F"/>
          <w:sz w:val="20"/>
          <w:szCs w:val="20"/>
        </w:rPr>
      </w:pPr>
      <w:r w:rsidRPr="00FF2F02">
        <w:rPr>
          <w:color w:val="26221F"/>
          <w:spacing w:val="-2"/>
          <w:sz w:val="20"/>
          <w:szCs w:val="20"/>
        </w:rPr>
        <w:t>2. British Thoracic Society (2023)</w:t>
      </w:r>
      <w:r w:rsidRPr="00FF2F02">
        <w:rPr>
          <w:color w:val="26221F"/>
          <w:spacing w:val="-2"/>
          <w:sz w:val="20"/>
          <w:szCs w:val="20"/>
        </w:rPr>
        <w:t xml:space="preserve"> </w:t>
      </w:r>
      <w:r w:rsidRPr="00FF2F02">
        <w:rPr>
          <w:color w:val="26221F"/>
          <w:spacing w:val="2"/>
          <w:sz w:val="20"/>
          <w:szCs w:val="20"/>
        </w:rPr>
        <w:t>Guidelines for the Management of Tuberculosis in the United Kingdom.</w:t>
      </w:r>
    </w:p>
    <w:p w14:paraId="3B469AE4" w14:textId="7A69AE98" w:rsidR="00FF2F02" w:rsidRDefault="00FF2F02" w:rsidP="00FF2F02">
      <w:pPr>
        <w:pStyle w:val="p1"/>
        <w:ind w:left="360"/>
        <w:rPr>
          <w:color w:val="26221F"/>
          <w:spacing w:val="2"/>
          <w:sz w:val="20"/>
          <w:szCs w:val="20"/>
        </w:rPr>
      </w:pPr>
      <w:r w:rsidRPr="00FF2F02">
        <w:rPr>
          <w:color w:val="26221F"/>
          <w:spacing w:val="2"/>
          <w:sz w:val="20"/>
          <w:szCs w:val="20"/>
        </w:rPr>
        <w:t>(Authoritative UK clinical guidance on diagnosis, treatment, and public health management.)</w:t>
      </w:r>
    </w:p>
    <w:p w14:paraId="3949FEAD" w14:textId="77777777" w:rsidR="00FF2F02" w:rsidRPr="00FF2F02" w:rsidRDefault="00FF2F02" w:rsidP="00FF2F02">
      <w:pPr>
        <w:pStyle w:val="p1"/>
        <w:ind w:left="360"/>
        <w:rPr>
          <w:color w:val="26221F"/>
          <w:sz w:val="20"/>
          <w:szCs w:val="20"/>
        </w:rPr>
      </w:pPr>
    </w:p>
    <w:p w14:paraId="7918B14E" w14:textId="77777777" w:rsidR="001E57DA" w:rsidRPr="00FF2F02" w:rsidRDefault="001E57DA" w:rsidP="001E57DA">
      <w:pPr>
        <w:numPr>
          <w:ilvl w:val="0"/>
          <w:numId w:val="15"/>
        </w:numPr>
        <w:spacing w:after="150" w:line="240" w:lineRule="auto"/>
        <w:rPr>
          <w:rFonts w:ascii="Arial" w:eastAsia="Times New Roman" w:hAnsi="Arial" w:cs="Arial"/>
          <w:color w:val="26221F"/>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World Health Organization (2024) Global Tuberculosis Report 2024. Geneva: WHO.</w:t>
      </w:r>
    </w:p>
    <w:p w14:paraId="60334910" w14:textId="2C3C9F53" w:rsidR="001E57DA" w:rsidRPr="00FF2F02" w:rsidRDefault="00AC3160" w:rsidP="001E57DA">
      <w:pPr>
        <w:numPr>
          <w:ilvl w:val="0"/>
          <w:numId w:val="15"/>
        </w:numPr>
        <w:spacing w:after="150" w:line="240" w:lineRule="auto"/>
        <w:rPr>
          <w:rFonts w:ascii="Arial" w:eastAsia="Times New Roman" w:hAnsi="Arial" w:cs="Arial"/>
          <w:color w:val="26221F"/>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Centres</w:t>
      </w:r>
      <w:r w:rsidR="001E57DA" w:rsidRPr="00FF2F02">
        <w:rPr>
          <w:rFonts w:ascii="Arial" w:eastAsia="Times New Roman" w:hAnsi="Arial" w:cs="Arial"/>
          <w:color w:val="26221F"/>
          <w:spacing w:val="2"/>
          <w:kern w:val="0"/>
          <w:sz w:val="20"/>
          <w:szCs w:val="20"/>
          <w:lang w:eastAsia="en-GB"/>
          <w14:ligatures w14:val="none"/>
        </w:rPr>
        <w:t xml:space="preserve"> for Disease Control and Prevention (2024) Tuberculosis Data and Statistics. Atlanta: CDC.</w:t>
      </w:r>
    </w:p>
    <w:p w14:paraId="4A97B0FD" w14:textId="77777777" w:rsidR="001E57DA" w:rsidRPr="00FF2F02" w:rsidRDefault="001E57DA" w:rsidP="001E57DA">
      <w:pPr>
        <w:numPr>
          <w:ilvl w:val="0"/>
          <w:numId w:val="15"/>
        </w:numPr>
        <w:spacing w:after="150" w:line="240" w:lineRule="auto"/>
        <w:rPr>
          <w:rFonts w:ascii="Arial" w:eastAsia="Times New Roman" w:hAnsi="Arial" w:cs="Arial"/>
          <w:color w:val="26221F"/>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World Health Organization (2015) The End TB Strategy. Geneva: WHO.</w:t>
      </w:r>
    </w:p>
    <w:p w14:paraId="54E2D303" w14:textId="1D7A81DD" w:rsidR="001E57DA" w:rsidRPr="00FF2F02" w:rsidRDefault="001E57DA" w:rsidP="001E57DA">
      <w:pPr>
        <w:numPr>
          <w:ilvl w:val="0"/>
          <w:numId w:val="15"/>
        </w:numPr>
        <w:spacing w:after="150" w:line="240" w:lineRule="auto"/>
        <w:rPr>
          <w:rFonts w:ascii="Arial" w:eastAsia="Times New Roman" w:hAnsi="Arial" w:cs="Arial"/>
          <w:color w:val="26221F"/>
          <w:kern w:val="0"/>
          <w:sz w:val="20"/>
          <w:szCs w:val="20"/>
          <w:lang w:eastAsia="en-GB"/>
          <w14:ligatures w14:val="none"/>
        </w:rPr>
      </w:pPr>
      <w:r w:rsidRPr="00FF2F02">
        <w:rPr>
          <w:rFonts w:ascii="Arial" w:hAnsi="Arial" w:cs="Arial"/>
          <w:color w:val="1B1B1B"/>
          <w:sz w:val="20"/>
          <w:szCs w:val="20"/>
          <w:shd w:val="clear" w:color="auto" w:fill="FFFFFF"/>
        </w:rPr>
        <w:t>World Health Organization (WHO). Fact sheets: Tuberculosis. Available at:</w:t>
      </w:r>
      <w:r w:rsidRPr="00FF2F02">
        <w:rPr>
          <w:rStyle w:val="apple-converted-space"/>
          <w:rFonts w:ascii="Arial" w:hAnsi="Arial" w:cs="Arial"/>
          <w:color w:val="1B1B1B"/>
          <w:sz w:val="20"/>
          <w:szCs w:val="20"/>
          <w:shd w:val="clear" w:color="auto" w:fill="FFFFFF"/>
        </w:rPr>
        <w:t> </w:t>
      </w:r>
      <w:hyperlink r:id="rId10" w:tgtFrame="_blank" w:history="1">
        <w:r w:rsidRPr="00FF2F02">
          <w:rPr>
            <w:rStyle w:val="Hyperlink"/>
            <w:rFonts w:ascii="Arial" w:hAnsi="Arial" w:cs="Arial"/>
            <w:color w:val="54278F"/>
            <w:sz w:val="20"/>
            <w:szCs w:val="20"/>
          </w:rPr>
          <w:t>https://www.who.int</w:t>
        </w:r>
        <w:r w:rsidRPr="00FF2F02">
          <w:rPr>
            <w:rStyle w:val="Hyperlink"/>
            <w:rFonts w:ascii="Arial" w:hAnsi="Arial" w:cs="Arial"/>
            <w:color w:val="54278F"/>
            <w:sz w:val="20"/>
            <w:szCs w:val="20"/>
          </w:rPr>
          <w:t>/</w:t>
        </w:r>
        <w:r w:rsidRPr="00FF2F02">
          <w:rPr>
            <w:rStyle w:val="Hyperlink"/>
            <w:rFonts w:ascii="Arial" w:hAnsi="Arial" w:cs="Arial"/>
            <w:color w:val="54278F"/>
            <w:sz w:val="20"/>
            <w:szCs w:val="20"/>
          </w:rPr>
          <w:t>news-room/fact-sheets/detail/tuberculosis</w:t>
        </w:r>
      </w:hyperlink>
      <w:r w:rsidRPr="00FF2F02">
        <w:rPr>
          <w:rFonts w:ascii="Arial" w:hAnsi="Arial" w:cs="Arial"/>
          <w:color w:val="1B1B1B"/>
          <w:sz w:val="20"/>
          <w:szCs w:val="20"/>
          <w:shd w:val="clear" w:color="auto" w:fill="FFFFFF"/>
        </w:rPr>
        <w:t xml:space="preserve">. (Accessed on: </w:t>
      </w:r>
      <w:r w:rsidRPr="00FF2F02">
        <w:rPr>
          <w:rFonts w:ascii="Arial" w:hAnsi="Arial" w:cs="Arial"/>
          <w:color w:val="1B1B1B"/>
          <w:sz w:val="20"/>
          <w:szCs w:val="20"/>
          <w:shd w:val="clear" w:color="auto" w:fill="FFFFFF"/>
        </w:rPr>
        <w:t>15</w:t>
      </w:r>
      <w:r w:rsidRPr="00FF2F02">
        <w:rPr>
          <w:rFonts w:ascii="Arial" w:hAnsi="Arial" w:cs="Arial"/>
          <w:color w:val="1B1B1B"/>
          <w:sz w:val="20"/>
          <w:szCs w:val="20"/>
          <w:shd w:val="clear" w:color="auto" w:fill="FFFFFF"/>
        </w:rPr>
        <w:t>/</w:t>
      </w:r>
      <w:r w:rsidRPr="00FF2F02">
        <w:rPr>
          <w:rFonts w:ascii="Arial" w:hAnsi="Arial" w:cs="Arial"/>
          <w:color w:val="1B1B1B"/>
          <w:sz w:val="20"/>
          <w:szCs w:val="20"/>
          <w:shd w:val="clear" w:color="auto" w:fill="FFFFFF"/>
        </w:rPr>
        <w:t>04</w:t>
      </w:r>
      <w:r w:rsidRPr="00FF2F02">
        <w:rPr>
          <w:rFonts w:ascii="Arial" w:hAnsi="Arial" w:cs="Arial"/>
          <w:color w:val="1B1B1B"/>
          <w:sz w:val="20"/>
          <w:szCs w:val="20"/>
          <w:shd w:val="clear" w:color="auto" w:fill="FFFFFF"/>
        </w:rPr>
        <w:t>/202</w:t>
      </w:r>
      <w:r w:rsidRPr="00FF2F02">
        <w:rPr>
          <w:rFonts w:ascii="Arial" w:hAnsi="Arial" w:cs="Arial"/>
          <w:color w:val="1B1B1B"/>
          <w:sz w:val="20"/>
          <w:szCs w:val="20"/>
          <w:shd w:val="clear" w:color="auto" w:fill="FFFFFF"/>
        </w:rPr>
        <w:t>6</w:t>
      </w:r>
      <w:r w:rsidRPr="00FF2F02">
        <w:rPr>
          <w:rFonts w:ascii="Arial" w:hAnsi="Arial" w:cs="Arial"/>
          <w:color w:val="1B1B1B"/>
          <w:sz w:val="20"/>
          <w:szCs w:val="20"/>
          <w:shd w:val="clear" w:color="auto" w:fill="FFFFFF"/>
        </w:rPr>
        <w:t>).</w:t>
      </w:r>
    </w:p>
    <w:p w14:paraId="5D0A4B1E" w14:textId="77777777" w:rsidR="001E57DA" w:rsidRPr="00FF2F02" w:rsidRDefault="001E57DA" w:rsidP="001E57DA">
      <w:pPr>
        <w:numPr>
          <w:ilvl w:val="0"/>
          <w:numId w:val="15"/>
        </w:numPr>
        <w:spacing w:after="150" w:line="240" w:lineRule="auto"/>
        <w:rPr>
          <w:rFonts w:ascii="Arial" w:eastAsia="Times New Roman" w:hAnsi="Arial" w:cs="Arial"/>
          <w:color w:val="26221F"/>
          <w:kern w:val="0"/>
          <w:sz w:val="20"/>
          <w:szCs w:val="20"/>
          <w:lang w:eastAsia="en-GB"/>
          <w14:ligatures w14:val="none"/>
        </w:rPr>
      </w:pPr>
      <w:r w:rsidRPr="00FF2F02">
        <w:rPr>
          <w:rFonts w:ascii="Arial" w:eastAsia="Times New Roman" w:hAnsi="Arial" w:cs="Arial"/>
          <w:color w:val="26221F"/>
          <w:spacing w:val="2"/>
          <w:kern w:val="0"/>
          <w:sz w:val="20"/>
          <w:szCs w:val="20"/>
          <w:lang w:eastAsia="en-GB"/>
          <w14:ligatures w14:val="none"/>
        </w:rPr>
        <w:t>Robert Koch Institute (2024) Tuberculosis Surveillance Report. Berlin: RKI</w:t>
      </w:r>
    </w:p>
    <w:p w14:paraId="48FEED40" w14:textId="77777777" w:rsidR="001E57DA" w:rsidRPr="00FF2F02" w:rsidRDefault="001E57DA" w:rsidP="001E57DA">
      <w:pPr>
        <w:spacing w:after="150" w:line="240" w:lineRule="auto"/>
        <w:ind w:left="720"/>
        <w:rPr>
          <w:rFonts w:ascii="Arial" w:eastAsia="Times New Roman" w:hAnsi="Arial" w:cs="Arial"/>
          <w:color w:val="26221F"/>
          <w:kern w:val="0"/>
          <w:sz w:val="20"/>
          <w:szCs w:val="20"/>
          <w:lang w:eastAsia="en-GB"/>
          <w14:ligatures w14:val="none"/>
        </w:rPr>
      </w:pPr>
    </w:p>
    <w:p w14:paraId="134196FB" w14:textId="3283CA08" w:rsidR="001E57DA" w:rsidRPr="00FF2F02" w:rsidRDefault="001E57DA" w:rsidP="001E57DA">
      <w:pPr>
        <w:spacing w:after="150" w:line="240" w:lineRule="auto"/>
        <w:ind w:left="720"/>
        <w:rPr>
          <w:rFonts w:ascii="Arial" w:eastAsia="Times New Roman" w:hAnsi="Arial" w:cs="Arial"/>
          <w:color w:val="26221F"/>
          <w:kern w:val="0"/>
          <w:sz w:val="20"/>
          <w:szCs w:val="20"/>
          <w:lang w:eastAsia="en-GB"/>
          <w14:ligatures w14:val="none"/>
        </w:rPr>
      </w:pPr>
    </w:p>
    <w:p w14:paraId="555808EF" w14:textId="77777777" w:rsidR="001E57DA" w:rsidRPr="001E57DA" w:rsidRDefault="001E57DA" w:rsidP="001E57DA">
      <w:pPr>
        <w:spacing w:after="150" w:line="240" w:lineRule="auto"/>
        <w:ind w:left="720"/>
        <w:rPr>
          <w:rFonts w:ascii="Arial" w:eastAsia="Times New Roman" w:hAnsi="Arial" w:cs="Arial"/>
          <w:color w:val="26221F"/>
          <w:kern w:val="0"/>
          <w:sz w:val="20"/>
          <w:szCs w:val="20"/>
          <w:lang w:eastAsia="en-GB"/>
          <w14:ligatures w14:val="none"/>
        </w:rPr>
      </w:pPr>
    </w:p>
    <w:p w14:paraId="1DEB5D29" w14:textId="77777777" w:rsidR="001E57DA" w:rsidRPr="001E57DA" w:rsidRDefault="001E57DA" w:rsidP="00772068">
      <w:pPr>
        <w:spacing w:after="180" w:line="240" w:lineRule="auto"/>
        <w:rPr>
          <w:rFonts w:ascii="Arial" w:eastAsia="Times New Roman" w:hAnsi="Arial" w:cs="Arial"/>
          <w:color w:val="26221F"/>
          <w:spacing w:val="2"/>
          <w:kern w:val="0"/>
          <w:sz w:val="20"/>
          <w:szCs w:val="20"/>
          <w:lang w:eastAsia="en-GB"/>
          <w14:ligatures w14:val="none"/>
        </w:rPr>
      </w:pPr>
    </w:p>
    <w:p w14:paraId="480BF11A" w14:textId="77777777" w:rsidR="001E57DA" w:rsidRDefault="001E57DA" w:rsidP="00772068">
      <w:pPr>
        <w:spacing w:after="180" w:line="240" w:lineRule="auto"/>
        <w:rPr>
          <w:rFonts w:ascii="Ginto Copilot Variable" w:eastAsia="Times New Roman" w:hAnsi="Ginto Copilot Variable" w:cs="Times New Roman"/>
          <w:color w:val="26221F"/>
          <w:spacing w:val="2"/>
          <w:kern w:val="0"/>
          <w:sz w:val="20"/>
          <w:szCs w:val="20"/>
          <w:lang w:eastAsia="en-GB"/>
          <w14:ligatures w14:val="none"/>
        </w:rPr>
      </w:pPr>
    </w:p>
    <w:p w14:paraId="3B85B0AB" w14:textId="77777777" w:rsidR="00772068" w:rsidRPr="00772068" w:rsidRDefault="00772068" w:rsidP="00772068">
      <w:pPr>
        <w:spacing w:after="180" w:line="240" w:lineRule="auto"/>
        <w:rPr>
          <w:rFonts w:ascii="Ginto Copilot Variable" w:eastAsia="Times New Roman" w:hAnsi="Ginto Copilot Variable" w:cs="Times New Roman"/>
          <w:color w:val="26221F"/>
          <w:kern w:val="0"/>
          <w:sz w:val="20"/>
          <w:szCs w:val="20"/>
          <w:lang w:eastAsia="en-GB"/>
          <w14:ligatures w14:val="none"/>
        </w:rPr>
      </w:pPr>
    </w:p>
    <w:p w14:paraId="0AA115B9" w14:textId="77777777" w:rsidR="00772068" w:rsidRPr="00772068" w:rsidRDefault="00772068" w:rsidP="00772068">
      <w:pPr>
        <w:spacing w:before="60" w:after="150" w:line="240" w:lineRule="auto"/>
        <w:ind w:left="720"/>
        <w:rPr>
          <w:rFonts w:ascii="Arial" w:eastAsia="Times New Roman" w:hAnsi="Arial" w:cs="Arial"/>
          <w:color w:val="26221F"/>
          <w:kern w:val="0"/>
          <w:sz w:val="20"/>
          <w:szCs w:val="20"/>
          <w:lang w:eastAsia="en-GB"/>
          <w14:ligatures w14:val="none"/>
        </w:rPr>
      </w:pPr>
    </w:p>
    <w:p w14:paraId="0EEA7561" w14:textId="77777777" w:rsidR="00BE262E" w:rsidRPr="00772068" w:rsidRDefault="00BE262E" w:rsidP="00772068">
      <w:pPr>
        <w:rPr>
          <w:rFonts w:ascii="Arial" w:hAnsi="Arial" w:cs="Arial"/>
          <w:b/>
          <w:bCs/>
          <w:sz w:val="20"/>
          <w:szCs w:val="20"/>
        </w:rPr>
      </w:pPr>
    </w:p>
    <w:sectPr w:rsidR="00BE262E" w:rsidRPr="0077206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BD3004" w14:textId="77777777" w:rsidR="00AB3F66" w:rsidRDefault="00AB3F66" w:rsidP="00300E41">
      <w:pPr>
        <w:spacing w:after="0" w:line="240" w:lineRule="auto"/>
      </w:pPr>
      <w:r>
        <w:separator/>
      </w:r>
    </w:p>
  </w:endnote>
  <w:endnote w:type="continuationSeparator" w:id="0">
    <w:p w14:paraId="19F9D49B" w14:textId="77777777" w:rsidR="00AB3F66" w:rsidRDefault="00AB3F66" w:rsidP="00300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Ginto Copilot Variable">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F79D97" w14:textId="77777777" w:rsidR="00AB3F66" w:rsidRDefault="00AB3F66" w:rsidP="00300E41">
      <w:pPr>
        <w:spacing w:after="0" w:line="240" w:lineRule="auto"/>
      </w:pPr>
      <w:r>
        <w:separator/>
      </w:r>
    </w:p>
  </w:footnote>
  <w:footnote w:type="continuationSeparator" w:id="0">
    <w:p w14:paraId="1AE676E0" w14:textId="77777777" w:rsidR="00AB3F66" w:rsidRDefault="00AB3F66" w:rsidP="00300E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E7737"/>
    <w:multiLevelType w:val="hybridMultilevel"/>
    <w:tmpl w:val="8B5E36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500A9"/>
    <w:multiLevelType w:val="multilevel"/>
    <w:tmpl w:val="F5020E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D506C1"/>
    <w:multiLevelType w:val="multilevel"/>
    <w:tmpl w:val="9F947C42"/>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313FF5"/>
    <w:multiLevelType w:val="multilevel"/>
    <w:tmpl w:val="BA444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5435A49"/>
    <w:multiLevelType w:val="hybridMultilevel"/>
    <w:tmpl w:val="B9FEC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E55EB2"/>
    <w:multiLevelType w:val="multilevel"/>
    <w:tmpl w:val="33083E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AA94BE1"/>
    <w:multiLevelType w:val="multilevel"/>
    <w:tmpl w:val="5C2C81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6F021C"/>
    <w:multiLevelType w:val="multilevel"/>
    <w:tmpl w:val="2CBC8C5A"/>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4B766D"/>
    <w:multiLevelType w:val="multilevel"/>
    <w:tmpl w:val="0D5AA3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3E216B2"/>
    <w:multiLevelType w:val="multilevel"/>
    <w:tmpl w:val="C4D24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BC24FF9"/>
    <w:multiLevelType w:val="multilevel"/>
    <w:tmpl w:val="A7CA9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D174904"/>
    <w:multiLevelType w:val="multilevel"/>
    <w:tmpl w:val="A4606E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F7A61B7"/>
    <w:multiLevelType w:val="multilevel"/>
    <w:tmpl w:val="F2F2AF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B816B06"/>
    <w:multiLevelType w:val="multilevel"/>
    <w:tmpl w:val="3356C9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BD159F0"/>
    <w:multiLevelType w:val="multilevel"/>
    <w:tmpl w:val="3B2A1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70D5E32"/>
    <w:multiLevelType w:val="multilevel"/>
    <w:tmpl w:val="CEB0D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9CC172F"/>
    <w:multiLevelType w:val="multilevel"/>
    <w:tmpl w:val="1E609D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F0728C7"/>
    <w:multiLevelType w:val="multilevel"/>
    <w:tmpl w:val="0B725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A850285"/>
    <w:multiLevelType w:val="multilevel"/>
    <w:tmpl w:val="A580AD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F63528F"/>
    <w:multiLevelType w:val="hybridMultilevel"/>
    <w:tmpl w:val="16F86A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13844011">
    <w:abstractNumId w:val="14"/>
  </w:num>
  <w:num w:numId="2" w16cid:durableId="700932783">
    <w:abstractNumId w:val="10"/>
  </w:num>
  <w:num w:numId="3" w16cid:durableId="977342742">
    <w:abstractNumId w:val="3"/>
  </w:num>
  <w:num w:numId="4" w16cid:durableId="1073040956">
    <w:abstractNumId w:val="1"/>
  </w:num>
  <w:num w:numId="5" w16cid:durableId="1987707638">
    <w:abstractNumId w:val="5"/>
  </w:num>
  <w:num w:numId="6" w16cid:durableId="746222196">
    <w:abstractNumId w:val="12"/>
  </w:num>
  <w:num w:numId="7" w16cid:durableId="1950811992">
    <w:abstractNumId w:val="6"/>
  </w:num>
  <w:num w:numId="8" w16cid:durableId="309099052">
    <w:abstractNumId w:val="18"/>
  </w:num>
  <w:num w:numId="9" w16cid:durableId="215554131">
    <w:abstractNumId w:val="8"/>
  </w:num>
  <w:num w:numId="10" w16cid:durableId="1540776699">
    <w:abstractNumId w:val="0"/>
  </w:num>
  <w:num w:numId="11" w16cid:durableId="1271232668">
    <w:abstractNumId w:val="11"/>
  </w:num>
  <w:num w:numId="12" w16cid:durableId="1470441015">
    <w:abstractNumId w:val="2"/>
  </w:num>
  <w:num w:numId="13" w16cid:durableId="1793474671">
    <w:abstractNumId w:val="9"/>
  </w:num>
  <w:num w:numId="14" w16cid:durableId="2061466938">
    <w:abstractNumId w:val="16"/>
  </w:num>
  <w:num w:numId="15" w16cid:durableId="347409799">
    <w:abstractNumId w:val="7"/>
  </w:num>
  <w:num w:numId="16" w16cid:durableId="842086774">
    <w:abstractNumId w:val="17"/>
  </w:num>
  <w:num w:numId="17" w16cid:durableId="1629899882">
    <w:abstractNumId w:val="15"/>
  </w:num>
  <w:num w:numId="18" w16cid:durableId="598679779">
    <w:abstractNumId w:val="13"/>
  </w:num>
  <w:num w:numId="19" w16cid:durableId="1498184054">
    <w:abstractNumId w:val="19"/>
  </w:num>
  <w:num w:numId="20" w16cid:durableId="154606697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E41"/>
    <w:rsid w:val="00053D22"/>
    <w:rsid w:val="000F1252"/>
    <w:rsid w:val="001D73F8"/>
    <w:rsid w:val="001E332A"/>
    <w:rsid w:val="001E57DA"/>
    <w:rsid w:val="00271F00"/>
    <w:rsid w:val="00300E41"/>
    <w:rsid w:val="00393F24"/>
    <w:rsid w:val="00466395"/>
    <w:rsid w:val="00534CD7"/>
    <w:rsid w:val="005756FB"/>
    <w:rsid w:val="00582CBA"/>
    <w:rsid w:val="00653DA5"/>
    <w:rsid w:val="00772068"/>
    <w:rsid w:val="008D7E71"/>
    <w:rsid w:val="00AB3F66"/>
    <w:rsid w:val="00AC3160"/>
    <w:rsid w:val="00AD05E3"/>
    <w:rsid w:val="00BE262E"/>
    <w:rsid w:val="00D34BF1"/>
    <w:rsid w:val="00D94DE4"/>
    <w:rsid w:val="00DA7702"/>
    <w:rsid w:val="00DC4F5E"/>
    <w:rsid w:val="00E15738"/>
    <w:rsid w:val="00F00B49"/>
    <w:rsid w:val="00FF2F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056C8"/>
  <w15:chartTrackingRefBased/>
  <w15:docId w15:val="{42626181-507B-0B47-9AF2-8E9842EAF6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E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0E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0E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E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E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E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E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E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E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E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0E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0E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E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E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E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E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E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E41"/>
    <w:rPr>
      <w:rFonts w:eastAsiaTheme="majorEastAsia" w:cstheme="majorBidi"/>
      <w:color w:val="272727" w:themeColor="text1" w:themeTint="D8"/>
    </w:rPr>
  </w:style>
  <w:style w:type="paragraph" w:styleId="Title">
    <w:name w:val="Title"/>
    <w:basedOn w:val="Normal"/>
    <w:next w:val="Normal"/>
    <w:link w:val="TitleChar"/>
    <w:uiPriority w:val="10"/>
    <w:qFormat/>
    <w:rsid w:val="00300E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E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E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E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E41"/>
    <w:pPr>
      <w:spacing w:before="160"/>
      <w:jc w:val="center"/>
    </w:pPr>
    <w:rPr>
      <w:i/>
      <w:iCs/>
      <w:color w:val="404040" w:themeColor="text1" w:themeTint="BF"/>
    </w:rPr>
  </w:style>
  <w:style w:type="character" w:customStyle="1" w:styleId="QuoteChar">
    <w:name w:val="Quote Char"/>
    <w:basedOn w:val="DefaultParagraphFont"/>
    <w:link w:val="Quote"/>
    <w:uiPriority w:val="29"/>
    <w:rsid w:val="00300E41"/>
    <w:rPr>
      <w:i/>
      <w:iCs/>
      <w:color w:val="404040" w:themeColor="text1" w:themeTint="BF"/>
    </w:rPr>
  </w:style>
  <w:style w:type="paragraph" w:styleId="ListParagraph">
    <w:name w:val="List Paragraph"/>
    <w:basedOn w:val="Normal"/>
    <w:uiPriority w:val="34"/>
    <w:qFormat/>
    <w:rsid w:val="00300E41"/>
    <w:pPr>
      <w:ind w:left="720"/>
      <w:contextualSpacing/>
    </w:pPr>
  </w:style>
  <w:style w:type="character" w:styleId="IntenseEmphasis">
    <w:name w:val="Intense Emphasis"/>
    <w:basedOn w:val="DefaultParagraphFont"/>
    <w:uiPriority w:val="21"/>
    <w:qFormat/>
    <w:rsid w:val="00300E41"/>
    <w:rPr>
      <w:i/>
      <w:iCs/>
      <w:color w:val="0F4761" w:themeColor="accent1" w:themeShade="BF"/>
    </w:rPr>
  </w:style>
  <w:style w:type="paragraph" w:styleId="IntenseQuote">
    <w:name w:val="Intense Quote"/>
    <w:basedOn w:val="Normal"/>
    <w:next w:val="Normal"/>
    <w:link w:val="IntenseQuoteChar"/>
    <w:uiPriority w:val="30"/>
    <w:qFormat/>
    <w:rsid w:val="00300E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E41"/>
    <w:rPr>
      <w:i/>
      <w:iCs/>
      <w:color w:val="0F4761" w:themeColor="accent1" w:themeShade="BF"/>
    </w:rPr>
  </w:style>
  <w:style w:type="character" w:styleId="IntenseReference">
    <w:name w:val="Intense Reference"/>
    <w:basedOn w:val="DefaultParagraphFont"/>
    <w:uiPriority w:val="32"/>
    <w:qFormat/>
    <w:rsid w:val="00300E41"/>
    <w:rPr>
      <w:b/>
      <w:bCs/>
      <w:smallCaps/>
      <w:color w:val="0F4761" w:themeColor="accent1" w:themeShade="BF"/>
      <w:spacing w:val="5"/>
    </w:rPr>
  </w:style>
  <w:style w:type="paragraph" w:styleId="Header">
    <w:name w:val="header"/>
    <w:basedOn w:val="Normal"/>
    <w:link w:val="HeaderChar"/>
    <w:uiPriority w:val="99"/>
    <w:unhideWhenUsed/>
    <w:rsid w:val="00300E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E41"/>
  </w:style>
  <w:style w:type="paragraph" w:styleId="Footer">
    <w:name w:val="footer"/>
    <w:basedOn w:val="Normal"/>
    <w:link w:val="FooterChar"/>
    <w:uiPriority w:val="99"/>
    <w:unhideWhenUsed/>
    <w:rsid w:val="00300E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E41"/>
  </w:style>
  <w:style w:type="paragraph" w:customStyle="1" w:styleId="p1">
    <w:name w:val="p1"/>
    <w:basedOn w:val="Normal"/>
    <w:rsid w:val="00300E41"/>
    <w:pPr>
      <w:spacing w:after="0" w:line="240" w:lineRule="auto"/>
    </w:pPr>
    <w:rPr>
      <w:rFonts w:ascii="Arial" w:eastAsia="Times New Roman" w:hAnsi="Arial" w:cs="Arial"/>
      <w:color w:val="000000"/>
      <w:kern w:val="0"/>
      <w:sz w:val="17"/>
      <w:szCs w:val="17"/>
      <w:lang w:eastAsia="en-GB"/>
      <w14:ligatures w14:val="none"/>
    </w:rPr>
  </w:style>
  <w:style w:type="paragraph" w:styleId="NoSpacing">
    <w:name w:val="No Spacing"/>
    <w:link w:val="NoSpacingChar"/>
    <w:uiPriority w:val="1"/>
    <w:qFormat/>
    <w:rsid w:val="00300E41"/>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00E41"/>
    <w:rPr>
      <w:rFonts w:eastAsiaTheme="minorEastAsia"/>
      <w:kern w:val="0"/>
      <w:sz w:val="22"/>
      <w:szCs w:val="22"/>
      <w:lang w:val="en-US" w:eastAsia="zh-CN"/>
      <w14:ligatures w14:val="none"/>
    </w:rPr>
  </w:style>
  <w:style w:type="paragraph" w:customStyle="1" w:styleId="p2">
    <w:name w:val="p2"/>
    <w:basedOn w:val="Normal"/>
    <w:rsid w:val="00653DA5"/>
    <w:pPr>
      <w:spacing w:after="180"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653DA5"/>
    <w:pPr>
      <w:spacing w:before="60" w:after="90" w:line="240" w:lineRule="auto"/>
    </w:pPr>
    <w:rPr>
      <w:rFonts w:ascii="Ginto Copilot Variable" w:eastAsia="Times New Roman" w:hAnsi="Ginto Copilot Variable" w:cs="Times New Roman"/>
      <w:color w:val="26221F"/>
      <w:kern w:val="0"/>
      <w:sz w:val="30"/>
      <w:szCs w:val="30"/>
      <w:lang w:eastAsia="en-GB"/>
      <w14:ligatures w14:val="none"/>
    </w:rPr>
  </w:style>
  <w:style w:type="paragraph" w:customStyle="1" w:styleId="p7">
    <w:name w:val="p7"/>
    <w:basedOn w:val="Normal"/>
    <w:rsid w:val="00653DA5"/>
    <w:pPr>
      <w:spacing w:before="240" w:after="90" w:line="240" w:lineRule="auto"/>
    </w:pPr>
    <w:rPr>
      <w:rFonts w:ascii="Ginto Copilot Variable" w:eastAsia="Times New Roman" w:hAnsi="Ginto Copilot Variable" w:cs="Times New Roman"/>
      <w:color w:val="26221F"/>
      <w:kern w:val="0"/>
      <w:sz w:val="27"/>
      <w:szCs w:val="27"/>
      <w:lang w:eastAsia="en-GB"/>
      <w14:ligatures w14:val="none"/>
    </w:rPr>
  </w:style>
  <w:style w:type="paragraph" w:customStyle="1" w:styleId="p8">
    <w:name w:val="p8"/>
    <w:basedOn w:val="Normal"/>
    <w:rsid w:val="00653DA5"/>
    <w:pPr>
      <w:spacing w:before="60" w:after="90" w:line="240" w:lineRule="auto"/>
    </w:pPr>
    <w:rPr>
      <w:rFonts w:ascii="Ginto Copilot Variable" w:eastAsia="Times New Roman" w:hAnsi="Ginto Copilot Variable" w:cs="Times New Roman"/>
      <w:color w:val="26221F"/>
      <w:kern w:val="0"/>
      <w:sz w:val="27"/>
      <w:szCs w:val="27"/>
      <w:lang w:eastAsia="en-GB"/>
      <w14:ligatures w14:val="none"/>
    </w:rPr>
  </w:style>
  <w:style w:type="character" w:customStyle="1" w:styleId="s1">
    <w:name w:val="s1"/>
    <w:basedOn w:val="DefaultParagraphFont"/>
    <w:rsid w:val="00653DA5"/>
    <w:rPr>
      <w:spacing w:val="2"/>
    </w:rPr>
  </w:style>
  <w:style w:type="character" w:customStyle="1" w:styleId="s2">
    <w:name w:val="s2"/>
    <w:basedOn w:val="DefaultParagraphFont"/>
    <w:rsid w:val="00653DA5"/>
    <w:rPr>
      <w:rFonts w:ascii="Helvetica" w:hAnsi="Helvetica" w:hint="default"/>
      <w:sz w:val="18"/>
      <w:szCs w:val="18"/>
    </w:rPr>
  </w:style>
  <w:style w:type="character" w:customStyle="1" w:styleId="s4">
    <w:name w:val="s4"/>
    <w:basedOn w:val="DefaultParagraphFont"/>
    <w:rsid w:val="00653DA5"/>
    <w:rPr>
      <w:spacing w:val="-2"/>
    </w:rPr>
  </w:style>
  <w:style w:type="paragraph" w:customStyle="1" w:styleId="li4">
    <w:name w:val="li4"/>
    <w:basedOn w:val="Normal"/>
    <w:rsid w:val="00653DA5"/>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5">
    <w:name w:val="li5"/>
    <w:basedOn w:val="Normal"/>
    <w:rsid w:val="00653DA5"/>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6">
    <w:name w:val="li6"/>
    <w:basedOn w:val="Normal"/>
    <w:rsid w:val="00653DA5"/>
    <w:pPr>
      <w:spacing w:after="21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s3">
    <w:name w:val="s3"/>
    <w:basedOn w:val="DefaultParagraphFont"/>
    <w:rsid w:val="00653DA5"/>
  </w:style>
  <w:style w:type="paragraph" w:customStyle="1" w:styleId="li1">
    <w:name w:val="li1"/>
    <w:basedOn w:val="Normal"/>
    <w:rsid w:val="00772068"/>
    <w:pPr>
      <w:spacing w:before="60" w:after="150" w:line="240" w:lineRule="auto"/>
    </w:pPr>
    <w:rPr>
      <w:rFonts w:ascii="Ginto Copilot Variable" w:eastAsia="Times New Roman" w:hAnsi="Ginto Copilot Variable" w:cs="Times New Roman"/>
      <w:color w:val="26221F"/>
      <w:kern w:val="0"/>
      <w:sz w:val="23"/>
      <w:szCs w:val="23"/>
      <w:lang w:eastAsia="en-GB"/>
      <w14:ligatures w14:val="none"/>
    </w:rPr>
  </w:style>
  <w:style w:type="paragraph" w:customStyle="1" w:styleId="li3">
    <w:name w:val="li3"/>
    <w:basedOn w:val="Normal"/>
    <w:rsid w:val="00772068"/>
    <w:pPr>
      <w:spacing w:after="150" w:line="240" w:lineRule="auto"/>
    </w:pPr>
    <w:rPr>
      <w:rFonts w:ascii="Ginto Copilot Variable" w:eastAsia="Times New Roman" w:hAnsi="Ginto Copilot Variable" w:cs="Times New Roman"/>
      <w:color w:val="26221F"/>
      <w:kern w:val="0"/>
      <w:sz w:val="23"/>
      <w:szCs w:val="23"/>
      <w:lang w:eastAsia="en-GB"/>
      <w14:ligatures w14:val="none"/>
    </w:rPr>
  </w:style>
  <w:style w:type="character" w:customStyle="1" w:styleId="apple-converted-space">
    <w:name w:val="apple-converted-space"/>
    <w:basedOn w:val="DefaultParagraphFont"/>
    <w:rsid w:val="001E57DA"/>
  </w:style>
  <w:style w:type="character" w:styleId="Hyperlink">
    <w:name w:val="Hyperlink"/>
    <w:basedOn w:val="DefaultParagraphFont"/>
    <w:uiPriority w:val="99"/>
    <w:semiHidden/>
    <w:unhideWhenUsed/>
    <w:rsid w:val="001E57DA"/>
    <w:rPr>
      <w:color w:val="0000FF"/>
      <w:u w:val="single"/>
    </w:rPr>
  </w:style>
  <w:style w:type="character" w:styleId="FollowedHyperlink">
    <w:name w:val="FollowedHyperlink"/>
    <w:basedOn w:val="DefaultParagraphFont"/>
    <w:uiPriority w:val="99"/>
    <w:semiHidden/>
    <w:unhideWhenUsed/>
    <w:rsid w:val="001E57D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who.int/news-room/fact-sheets/detail/tuberculosis"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AB2C9B-250C-CE44-B49A-B379643A3D1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84</TotalTime>
  <Pages>8</Pages>
  <Words>1964</Words>
  <Characters>11200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Arcénia Nhampossa</dc:creator>
  <cp:keywords/>
  <dc:description/>
  <cp:lastModifiedBy>Arcénia Nhampossa</cp:lastModifiedBy>
  <cp:revision>4</cp:revision>
  <dcterms:created xsi:type="dcterms:W3CDTF">2026-03-27T09:51:00Z</dcterms:created>
  <dcterms:modified xsi:type="dcterms:W3CDTF">2026-04-21T02:46:00Z</dcterms:modified>
</cp:coreProperties>
</file>