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4CCC4" w14:textId="06F5FD24" w:rsidR="00923840" w:rsidRDefault="005C74BB" w:rsidP="00923840">
      <w:pPr>
        <w:pStyle w:val="Heading1"/>
      </w:pPr>
      <w:r>
        <w:tab/>
      </w:r>
    </w:p>
    <w:p w14:paraId="25FD04ED" w14:textId="77777777" w:rsidR="00923840" w:rsidRDefault="00923840" w:rsidP="00923840"/>
    <w:p w14:paraId="76B2D06F" w14:textId="77777777" w:rsidR="00923840" w:rsidRDefault="00923840" w:rsidP="00923840"/>
    <w:p w14:paraId="44F33872" w14:textId="77777777" w:rsidR="00923840" w:rsidRDefault="00923840" w:rsidP="00923840"/>
    <w:p w14:paraId="41C94CA6" w14:textId="77777777" w:rsidR="00923840" w:rsidRDefault="00923840" w:rsidP="00923840"/>
    <w:p w14:paraId="628E50F9" w14:textId="77777777" w:rsidR="00923840" w:rsidRDefault="00923840" w:rsidP="00923840"/>
    <w:p w14:paraId="08C5440A" w14:textId="77777777" w:rsidR="00923840" w:rsidRDefault="00923840" w:rsidP="00923840"/>
    <w:p w14:paraId="748A2A79" w14:textId="77777777" w:rsidR="00331B03" w:rsidRPr="00331B03" w:rsidRDefault="00331B03" w:rsidP="00331B03">
      <w:pPr>
        <w:spacing w:after="0" w:line="480" w:lineRule="auto"/>
        <w:contextualSpacing/>
        <w:mirrorIndents/>
        <w:jc w:val="center"/>
        <w:rPr>
          <w:rFonts w:ascii="Times New Roman" w:eastAsia="Calibri" w:hAnsi="Times New Roman" w:cs="Times New Roman"/>
          <w:b/>
          <w:bCs/>
          <w:kern w:val="0"/>
          <w:sz w:val="24"/>
          <w:szCs w:val="24"/>
          <w:lang w:val="en-US"/>
          <w14:ligatures w14:val="none"/>
        </w:rPr>
      </w:pPr>
      <w:r w:rsidRPr="00331B03">
        <w:rPr>
          <w:rFonts w:ascii="Times New Roman" w:eastAsia="Calibri" w:hAnsi="Times New Roman" w:cs="Times New Roman"/>
          <w:b/>
          <w:bCs/>
          <w:kern w:val="0"/>
          <w:sz w:val="24"/>
          <w:szCs w:val="24"/>
          <w:lang w:val="en-US"/>
          <w14:ligatures w14:val="none"/>
        </w:rPr>
        <w:t>A FAILURE OF CORPORATE GOVERNANCE: THE CASE ANALYSIS OF FTX AND ALAMEDA RESEARCH</w:t>
      </w:r>
    </w:p>
    <w:p w14:paraId="63484961" w14:textId="77777777" w:rsidR="008E52A0" w:rsidRDefault="008E52A0" w:rsidP="00331B03">
      <w:pPr>
        <w:spacing w:after="0" w:line="480" w:lineRule="auto"/>
        <w:contextualSpacing/>
        <w:mirrorIndents/>
        <w:jc w:val="center"/>
        <w:rPr>
          <w:rFonts w:ascii="Times New Roman" w:eastAsia="Arial" w:hAnsi="Times New Roman" w:cs="Times New Roman"/>
          <w:kern w:val="0"/>
          <w:sz w:val="24"/>
          <w:szCs w:val="24"/>
          <w:lang w:val="en-US"/>
          <w14:ligatures w14:val="none"/>
        </w:rPr>
      </w:pPr>
    </w:p>
    <w:p w14:paraId="4E1BB046" w14:textId="77777777" w:rsidR="008E52A0" w:rsidRDefault="008E52A0" w:rsidP="00331B03">
      <w:pPr>
        <w:spacing w:after="0" w:line="480" w:lineRule="auto"/>
        <w:contextualSpacing/>
        <w:mirrorIndents/>
        <w:jc w:val="center"/>
        <w:rPr>
          <w:rFonts w:ascii="Times New Roman" w:eastAsia="Arial" w:hAnsi="Times New Roman" w:cs="Times New Roman"/>
          <w:kern w:val="0"/>
          <w:sz w:val="24"/>
          <w:szCs w:val="24"/>
          <w:lang w:val="en-US"/>
          <w14:ligatures w14:val="none"/>
        </w:rPr>
      </w:pPr>
    </w:p>
    <w:p w14:paraId="7CF56193" w14:textId="77777777" w:rsidR="008E52A0" w:rsidRDefault="008E52A0" w:rsidP="00331B03">
      <w:pPr>
        <w:spacing w:after="0" w:line="480" w:lineRule="auto"/>
        <w:contextualSpacing/>
        <w:mirrorIndents/>
        <w:jc w:val="center"/>
        <w:rPr>
          <w:rFonts w:ascii="Times New Roman" w:eastAsia="Arial" w:hAnsi="Times New Roman" w:cs="Times New Roman"/>
          <w:kern w:val="0"/>
          <w:sz w:val="24"/>
          <w:szCs w:val="24"/>
          <w:lang w:val="en-US"/>
          <w14:ligatures w14:val="none"/>
        </w:rPr>
      </w:pPr>
    </w:p>
    <w:p w14:paraId="4B340267" w14:textId="77777777" w:rsidR="008E52A0" w:rsidRDefault="008E52A0" w:rsidP="00331B03">
      <w:pPr>
        <w:spacing w:after="0" w:line="480" w:lineRule="auto"/>
        <w:contextualSpacing/>
        <w:mirrorIndents/>
        <w:jc w:val="center"/>
        <w:rPr>
          <w:rFonts w:ascii="Times New Roman" w:eastAsia="Arial" w:hAnsi="Times New Roman" w:cs="Times New Roman"/>
          <w:kern w:val="0"/>
          <w:sz w:val="24"/>
          <w:szCs w:val="24"/>
          <w:lang w:val="en-US"/>
          <w14:ligatures w14:val="none"/>
        </w:rPr>
      </w:pPr>
    </w:p>
    <w:p w14:paraId="738C6655" w14:textId="6CAD30BF" w:rsidR="00331B03" w:rsidRPr="00617288" w:rsidRDefault="00331B03" w:rsidP="00331B03">
      <w:pPr>
        <w:spacing w:after="0" w:line="480" w:lineRule="auto"/>
        <w:contextualSpacing/>
        <w:mirrorIndents/>
        <w:jc w:val="center"/>
        <w:rPr>
          <w:rFonts w:ascii="Times New Roman" w:eastAsia="Arial" w:hAnsi="Times New Roman" w:cs="Times New Roman"/>
          <w:b/>
          <w:bCs/>
          <w:kern w:val="0"/>
          <w:sz w:val="24"/>
          <w:szCs w:val="24"/>
          <w:lang w:val="en-US"/>
          <w14:ligatures w14:val="none"/>
        </w:rPr>
      </w:pPr>
      <w:r w:rsidRPr="00331B03">
        <w:rPr>
          <w:rFonts w:ascii="Times New Roman" w:eastAsia="Arial" w:hAnsi="Times New Roman" w:cs="Times New Roman"/>
          <w:b/>
          <w:bCs/>
          <w:kern w:val="0"/>
          <w:sz w:val="24"/>
          <w:szCs w:val="24"/>
          <w:lang w:val="en-US"/>
          <w14:ligatures w14:val="none"/>
        </w:rPr>
        <w:t xml:space="preserve">by </w:t>
      </w:r>
      <w:r w:rsidRPr="00617288">
        <w:rPr>
          <w:rFonts w:ascii="Times New Roman" w:eastAsia="Arial" w:hAnsi="Times New Roman" w:cs="Times New Roman"/>
          <w:b/>
          <w:bCs/>
          <w:kern w:val="0"/>
          <w:sz w:val="24"/>
          <w:szCs w:val="24"/>
          <w:lang w:val="en-US"/>
          <w14:ligatures w14:val="none"/>
        </w:rPr>
        <w:t>Adam Fisher</w:t>
      </w:r>
    </w:p>
    <w:p w14:paraId="546D993C" w14:textId="7CBFC091" w:rsidR="00331B03" w:rsidRPr="00331B03" w:rsidRDefault="008E52A0" w:rsidP="008E52A0">
      <w:pPr>
        <w:spacing w:after="0" w:line="480" w:lineRule="auto"/>
        <w:contextualSpacing/>
        <w:mirrorIndents/>
        <w:jc w:val="center"/>
        <w:rPr>
          <w:rFonts w:ascii="Times New Roman" w:eastAsia="Arial" w:hAnsi="Times New Roman" w:cs="Times New Roman"/>
          <w:b/>
          <w:bCs/>
          <w:kern w:val="0"/>
          <w:sz w:val="24"/>
          <w:szCs w:val="24"/>
          <w:lang w:val="en-US"/>
          <w14:ligatures w14:val="none"/>
        </w:rPr>
      </w:pPr>
      <w:r w:rsidRPr="00617288">
        <w:rPr>
          <w:rFonts w:ascii="Times New Roman" w:eastAsia="Arial" w:hAnsi="Times New Roman" w:cs="Times New Roman"/>
          <w:b/>
          <w:bCs/>
          <w:kern w:val="0"/>
          <w:sz w:val="24"/>
          <w:szCs w:val="24"/>
          <w:lang w:val="en-US"/>
          <w14:ligatures w14:val="none"/>
        </w:rPr>
        <w:t>(2243196)</w:t>
      </w:r>
    </w:p>
    <w:p w14:paraId="57188D84" w14:textId="32018B48" w:rsidR="008E52A0" w:rsidRPr="00331B03" w:rsidRDefault="008E52A0" w:rsidP="00331B03">
      <w:pPr>
        <w:spacing w:after="0" w:line="480" w:lineRule="auto"/>
        <w:contextualSpacing/>
        <w:mirrorIndents/>
        <w:jc w:val="center"/>
        <w:rPr>
          <w:rFonts w:ascii="Times New Roman" w:eastAsia="Calibri" w:hAnsi="Times New Roman" w:cs="Times New Roman"/>
          <w:b/>
          <w:bCs/>
          <w:kern w:val="0"/>
          <w:sz w:val="24"/>
          <w:szCs w:val="24"/>
          <w:lang w:val="en-US"/>
          <w14:ligatures w14:val="none"/>
        </w:rPr>
      </w:pPr>
      <w:r w:rsidRPr="00617288">
        <w:rPr>
          <w:rFonts w:ascii="Times New Roman" w:eastAsia="Calibri" w:hAnsi="Times New Roman" w:cs="Times New Roman"/>
          <w:b/>
          <w:bCs/>
          <w:kern w:val="0"/>
          <w:sz w:val="24"/>
          <w:szCs w:val="24"/>
          <w:lang w:val="en-US"/>
          <w14:ligatures w14:val="none"/>
        </w:rPr>
        <w:t>Master of Science in Financial Management</w:t>
      </w:r>
    </w:p>
    <w:p w14:paraId="03303A57" w14:textId="7811CE7B" w:rsidR="00331B03" w:rsidRPr="00331B03" w:rsidRDefault="00331B03" w:rsidP="00331B03">
      <w:pPr>
        <w:spacing w:after="0" w:line="480" w:lineRule="auto"/>
        <w:contextualSpacing/>
        <w:mirrorIndents/>
        <w:jc w:val="center"/>
        <w:rPr>
          <w:rFonts w:ascii="Times New Roman" w:eastAsia="Calibri" w:hAnsi="Times New Roman" w:cs="Times New Roman"/>
          <w:b/>
          <w:bCs/>
          <w:kern w:val="0"/>
          <w:sz w:val="24"/>
          <w:szCs w:val="24"/>
          <w:lang w:val="en-US"/>
          <w14:ligatures w14:val="none"/>
        </w:rPr>
      </w:pPr>
      <w:r w:rsidRPr="00331B03">
        <w:rPr>
          <w:rFonts w:ascii="Times New Roman" w:eastAsia="Calibri" w:hAnsi="Times New Roman" w:cs="Times New Roman"/>
          <w:b/>
          <w:bCs/>
          <w:kern w:val="0"/>
          <w:sz w:val="24"/>
          <w:szCs w:val="24"/>
          <w:lang w:val="en-US"/>
          <w14:ligatures w14:val="none"/>
        </w:rPr>
        <w:t>University</w:t>
      </w:r>
      <w:r w:rsidR="008E52A0" w:rsidRPr="00617288">
        <w:rPr>
          <w:rFonts w:ascii="Times New Roman" w:eastAsia="Calibri" w:hAnsi="Times New Roman" w:cs="Times New Roman"/>
          <w:b/>
          <w:bCs/>
          <w:kern w:val="0"/>
          <w:sz w:val="24"/>
          <w:szCs w:val="24"/>
          <w:lang w:val="en-US"/>
          <w14:ligatures w14:val="none"/>
        </w:rPr>
        <w:t xml:space="preserve"> of Wales Trinity Saint David</w:t>
      </w:r>
    </w:p>
    <w:p w14:paraId="5109F276" w14:textId="411B1E6A" w:rsidR="00923840" w:rsidRPr="00617288" w:rsidRDefault="008E52A0" w:rsidP="00331B03">
      <w:pPr>
        <w:spacing w:after="0" w:line="480" w:lineRule="auto"/>
        <w:contextualSpacing/>
        <w:mirrorIndents/>
        <w:jc w:val="center"/>
        <w:rPr>
          <w:rFonts w:ascii="Times New Roman" w:eastAsia="Arial" w:hAnsi="Times New Roman" w:cs="Times New Roman"/>
          <w:b/>
          <w:bCs/>
          <w:kern w:val="0"/>
          <w:sz w:val="24"/>
          <w:szCs w:val="24"/>
          <w:lang w:val="en-US"/>
          <w14:ligatures w14:val="none"/>
        </w:rPr>
      </w:pPr>
      <w:r w:rsidRPr="00617288">
        <w:rPr>
          <w:rFonts w:ascii="Times New Roman" w:eastAsia="Calibri" w:hAnsi="Times New Roman" w:cs="Times New Roman"/>
          <w:b/>
          <w:bCs/>
          <w:kern w:val="0"/>
          <w:sz w:val="24"/>
          <w:szCs w:val="24"/>
          <w:lang w:val="en-US"/>
          <w14:ligatures w14:val="none"/>
        </w:rPr>
        <w:t>2024.</w:t>
      </w:r>
    </w:p>
    <w:p w14:paraId="05A76F44" w14:textId="77777777" w:rsidR="00923840" w:rsidRDefault="00923840" w:rsidP="00923840"/>
    <w:p w14:paraId="03642CD8" w14:textId="77777777" w:rsidR="00923840" w:rsidRDefault="00923840" w:rsidP="00923840"/>
    <w:p w14:paraId="3519033B" w14:textId="77777777" w:rsidR="00923840" w:rsidRDefault="00923840" w:rsidP="00923840"/>
    <w:p w14:paraId="1B9DC115" w14:textId="77777777" w:rsidR="00923840" w:rsidRDefault="00923840" w:rsidP="00923840"/>
    <w:p w14:paraId="0E050385" w14:textId="77777777" w:rsidR="00923840" w:rsidRDefault="00923840" w:rsidP="00923840"/>
    <w:p w14:paraId="7164C454" w14:textId="77777777" w:rsidR="00923840" w:rsidRDefault="00923840" w:rsidP="00923840"/>
    <w:p w14:paraId="41CCC181" w14:textId="77777777" w:rsidR="00923840" w:rsidRDefault="00923840" w:rsidP="00923840"/>
    <w:p w14:paraId="6728366C" w14:textId="77777777" w:rsidR="00923840" w:rsidRDefault="00923840" w:rsidP="00923840"/>
    <w:p w14:paraId="1DD22D5B" w14:textId="77777777" w:rsidR="00923840" w:rsidRDefault="00923840" w:rsidP="00923840">
      <w:pPr>
        <w:rPr>
          <w:rFonts w:ascii="Times New Roman" w:hAnsi="Times New Roman" w:cs="Times New Roman"/>
          <w:b/>
          <w:sz w:val="24"/>
          <w:szCs w:val="24"/>
        </w:rPr>
      </w:pPr>
    </w:p>
    <w:p w14:paraId="1051E801" w14:textId="77777777" w:rsidR="002770D2" w:rsidRPr="00923840" w:rsidRDefault="002770D2" w:rsidP="00923840">
      <w:pPr>
        <w:rPr>
          <w:rFonts w:ascii="Times New Roman" w:hAnsi="Times New Roman" w:cs="Times New Roman"/>
          <w:b/>
          <w:sz w:val="24"/>
          <w:szCs w:val="24"/>
        </w:rPr>
      </w:pPr>
    </w:p>
    <w:p w14:paraId="2322BF1F" w14:textId="55D69E92" w:rsidR="00923840" w:rsidRDefault="00923840" w:rsidP="00923840">
      <w:pPr>
        <w:jc w:val="center"/>
        <w:rPr>
          <w:rFonts w:ascii="Times New Roman" w:hAnsi="Times New Roman" w:cs="Times New Roman"/>
          <w:b/>
          <w:sz w:val="24"/>
          <w:szCs w:val="24"/>
        </w:rPr>
      </w:pPr>
      <w:r w:rsidRPr="00923840">
        <w:rPr>
          <w:rFonts w:ascii="Times New Roman" w:hAnsi="Times New Roman" w:cs="Times New Roman"/>
          <w:b/>
          <w:sz w:val="24"/>
          <w:szCs w:val="24"/>
        </w:rPr>
        <w:lastRenderedPageBreak/>
        <w:t>Contents</w:t>
      </w:r>
    </w:p>
    <w:p w14:paraId="24CC4E07" w14:textId="77777777" w:rsidR="00923840" w:rsidRDefault="00923840" w:rsidP="00923840">
      <w:pPr>
        <w:jc w:val="center"/>
        <w:rPr>
          <w:rFonts w:ascii="Times New Roman" w:hAnsi="Times New Roman" w:cs="Times New Roman"/>
          <w:b/>
          <w:sz w:val="24"/>
          <w:szCs w:val="24"/>
        </w:rPr>
      </w:pPr>
    </w:p>
    <w:p w14:paraId="6D0ADB3E" w14:textId="45374BC4" w:rsidR="00E7748F" w:rsidRDefault="00923840">
      <w:pPr>
        <w:pStyle w:val="TOC1"/>
        <w:tabs>
          <w:tab w:val="right" w:leader="dot" w:pos="9016"/>
        </w:tabs>
        <w:rPr>
          <w:rFonts w:eastAsiaTheme="minorEastAsia"/>
          <w:noProof/>
          <w:lang w:eastAsia="en-GB"/>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TOC \o "1-3" </w:instrText>
      </w:r>
      <w:r>
        <w:rPr>
          <w:rFonts w:ascii="Times New Roman" w:hAnsi="Times New Roman" w:cs="Times New Roman"/>
          <w:b/>
          <w:sz w:val="24"/>
          <w:szCs w:val="24"/>
        </w:rPr>
        <w:fldChar w:fldCharType="separate"/>
      </w:r>
      <w:r w:rsidR="00E7748F">
        <w:rPr>
          <w:noProof/>
        </w:rPr>
        <w:t>Abstract</w:t>
      </w:r>
      <w:r w:rsidR="00E7748F">
        <w:rPr>
          <w:noProof/>
        </w:rPr>
        <w:tab/>
      </w:r>
      <w:r w:rsidR="00E7748F">
        <w:rPr>
          <w:noProof/>
        </w:rPr>
        <w:fldChar w:fldCharType="begin"/>
      </w:r>
      <w:r w:rsidR="00E7748F">
        <w:rPr>
          <w:noProof/>
        </w:rPr>
        <w:instrText xml:space="preserve"> PAGEREF _Toc165667394 \h </w:instrText>
      </w:r>
      <w:r w:rsidR="00E7748F">
        <w:rPr>
          <w:noProof/>
        </w:rPr>
      </w:r>
      <w:r w:rsidR="00E7748F">
        <w:rPr>
          <w:noProof/>
        </w:rPr>
        <w:fldChar w:fldCharType="separate"/>
      </w:r>
      <w:r w:rsidR="00E7748F">
        <w:rPr>
          <w:noProof/>
        </w:rPr>
        <w:t>4</w:t>
      </w:r>
      <w:r w:rsidR="00E7748F">
        <w:rPr>
          <w:noProof/>
        </w:rPr>
        <w:fldChar w:fldCharType="end"/>
      </w:r>
    </w:p>
    <w:p w14:paraId="5489B8D5" w14:textId="4082EDB4" w:rsidR="00E7748F" w:rsidRDefault="00E7748F">
      <w:pPr>
        <w:pStyle w:val="TOC1"/>
        <w:tabs>
          <w:tab w:val="right" w:leader="dot" w:pos="9016"/>
        </w:tabs>
        <w:rPr>
          <w:rFonts w:eastAsiaTheme="minorEastAsia"/>
          <w:noProof/>
          <w:lang w:eastAsia="en-GB"/>
        </w:rPr>
      </w:pPr>
      <w:r w:rsidRPr="006377AE">
        <w:rPr>
          <w:noProof/>
        </w:rPr>
        <w:t>Introduction</w:t>
      </w:r>
      <w:r>
        <w:rPr>
          <w:noProof/>
        </w:rPr>
        <w:tab/>
      </w:r>
      <w:r>
        <w:rPr>
          <w:noProof/>
        </w:rPr>
        <w:fldChar w:fldCharType="begin"/>
      </w:r>
      <w:r>
        <w:rPr>
          <w:noProof/>
        </w:rPr>
        <w:instrText xml:space="preserve"> PAGEREF _Toc165667395 \h </w:instrText>
      </w:r>
      <w:r>
        <w:rPr>
          <w:noProof/>
        </w:rPr>
      </w:r>
      <w:r>
        <w:rPr>
          <w:noProof/>
        </w:rPr>
        <w:fldChar w:fldCharType="separate"/>
      </w:r>
      <w:r>
        <w:rPr>
          <w:noProof/>
        </w:rPr>
        <w:t>5</w:t>
      </w:r>
      <w:r>
        <w:rPr>
          <w:noProof/>
        </w:rPr>
        <w:fldChar w:fldCharType="end"/>
      </w:r>
    </w:p>
    <w:p w14:paraId="42849F04" w14:textId="43BF6699" w:rsidR="00E7748F" w:rsidRDefault="00E7748F">
      <w:pPr>
        <w:pStyle w:val="TOC2"/>
        <w:tabs>
          <w:tab w:val="right" w:leader="dot" w:pos="9016"/>
        </w:tabs>
        <w:rPr>
          <w:rFonts w:eastAsiaTheme="minorEastAsia"/>
          <w:noProof/>
          <w:lang w:eastAsia="en-GB"/>
        </w:rPr>
      </w:pPr>
      <w:r>
        <w:rPr>
          <w:noProof/>
        </w:rPr>
        <w:t>History of FTX</w:t>
      </w:r>
      <w:r>
        <w:rPr>
          <w:noProof/>
        </w:rPr>
        <w:tab/>
      </w:r>
      <w:r>
        <w:rPr>
          <w:noProof/>
        </w:rPr>
        <w:fldChar w:fldCharType="begin"/>
      </w:r>
      <w:r>
        <w:rPr>
          <w:noProof/>
        </w:rPr>
        <w:instrText xml:space="preserve"> PAGEREF _Toc165667396 \h </w:instrText>
      </w:r>
      <w:r>
        <w:rPr>
          <w:noProof/>
        </w:rPr>
      </w:r>
      <w:r>
        <w:rPr>
          <w:noProof/>
        </w:rPr>
        <w:fldChar w:fldCharType="separate"/>
      </w:r>
      <w:r>
        <w:rPr>
          <w:noProof/>
        </w:rPr>
        <w:t>6</w:t>
      </w:r>
      <w:r>
        <w:rPr>
          <w:noProof/>
        </w:rPr>
        <w:fldChar w:fldCharType="end"/>
      </w:r>
    </w:p>
    <w:p w14:paraId="74D53BE9" w14:textId="16378762" w:rsidR="00E7748F" w:rsidRDefault="00E7748F">
      <w:pPr>
        <w:pStyle w:val="TOC2"/>
        <w:tabs>
          <w:tab w:val="right" w:leader="dot" w:pos="9016"/>
        </w:tabs>
        <w:rPr>
          <w:rFonts w:eastAsiaTheme="minorEastAsia"/>
          <w:noProof/>
          <w:lang w:eastAsia="en-GB"/>
        </w:rPr>
      </w:pPr>
      <w:r>
        <w:rPr>
          <w:noProof/>
        </w:rPr>
        <w:t>History of Alameda Research</w:t>
      </w:r>
      <w:r>
        <w:rPr>
          <w:noProof/>
        </w:rPr>
        <w:tab/>
      </w:r>
      <w:r>
        <w:rPr>
          <w:noProof/>
        </w:rPr>
        <w:fldChar w:fldCharType="begin"/>
      </w:r>
      <w:r>
        <w:rPr>
          <w:noProof/>
        </w:rPr>
        <w:instrText xml:space="preserve"> PAGEREF _Toc165667397 \h </w:instrText>
      </w:r>
      <w:r>
        <w:rPr>
          <w:noProof/>
        </w:rPr>
      </w:r>
      <w:r>
        <w:rPr>
          <w:noProof/>
        </w:rPr>
        <w:fldChar w:fldCharType="separate"/>
      </w:r>
      <w:r>
        <w:rPr>
          <w:noProof/>
        </w:rPr>
        <w:t>6</w:t>
      </w:r>
      <w:r>
        <w:rPr>
          <w:noProof/>
        </w:rPr>
        <w:fldChar w:fldCharType="end"/>
      </w:r>
    </w:p>
    <w:p w14:paraId="33684338" w14:textId="52E68C86" w:rsidR="00E7748F" w:rsidRDefault="00E7748F">
      <w:pPr>
        <w:pStyle w:val="TOC2"/>
        <w:tabs>
          <w:tab w:val="right" w:leader="dot" w:pos="9016"/>
        </w:tabs>
        <w:rPr>
          <w:rFonts w:eastAsiaTheme="minorEastAsia"/>
          <w:noProof/>
          <w:lang w:eastAsia="en-GB"/>
        </w:rPr>
      </w:pPr>
      <w:r>
        <w:rPr>
          <w:noProof/>
        </w:rPr>
        <w:t>Background</w:t>
      </w:r>
      <w:r>
        <w:rPr>
          <w:noProof/>
        </w:rPr>
        <w:tab/>
      </w:r>
      <w:r>
        <w:rPr>
          <w:noProof/>
        </w:rPr>
        <w:fldChar w:fldCharType="begin"/>
      </w:r>
      <w:r>
        <w:rPr>
          <w:noProof/>
        </w:rPr>
        <w:instrText xml:space="preserve"> PAGEREF _Toc165667398 \h </w:instrText>
      </w:r>
      <w:r>
        <w:rPr>
          <w:noProof/>
        </w:rPr>
      </w:r>
      <w:r>
        <w:rPr>
          <w:noProof/>
        </w:rPr>
        <w:fldChar w:fldCharType="separate"/>
      </w:r>
      <w:r>
        <w:rPr>
          <w:noProof/>
        </w:rPr>
        <w:t>6</w:t>
      </w:r>
      <w:r>
        <w:rPr>
          <w:noProof/>
        </w:rPr>
        <w:fldChar w:fldCharType="end"/>
      </w:r>
    </w:p>
    <w:p w14:paraId="41E792A3" w14:textId="3813C876" w:rsidR="00E7748F" w:rsidRDefault="00E7748F">
      <w:pPr>
        <w:pStyle w:val="TOC2"/>
        <w:tabs>
          <w:tab w:val="right" w:leader="dot" w:pos="9016"/>
        </w:tabs>
        <w:rPr>
          <w:rFonts w:eastAsiaTheme="minorEastAsia"/>
          <w:noProof/>
          <w:lang w:eastAsia="en-GB"/>
        </w:rPr>
      </w:pPr>
      <w:r>
        <w:rPr>
          <w:noProof/>
        </w:rPr>
        <w:t>Research Problem</w:t>
      </w:r>
      <w:r>
        <w:rPr>
          <w:noProof/>
        </w:rPr>
        <w:tab/>
      </w:r>
      <w:r>
        <w:rPr>
          <w:noProof/>
        </w:rPr>
        <w:fldChar w:fldCharType="begin"/>
      </w:r>
      <w:r>
        <w:rPr>
          <w:noProof/>
        </w:rPr>
        <w:instrText xml:space="preserve"> PAGEREF _Toc165667399 \h </w:instrText>
      </w:r>
      <w:r>
        <w:rPr>
          <w:noProof/>
        </w:rPr>
      </w:r>
      <w:r>
        <w:rPr>
          <w:noProof/>
        </w:rPr>
        <w:fldChar w:fldCharType="separate"/>
      </w:r>
      <w:r>
        <w:rPr>
          <w:noProof/>
        </w:rPr>
        <w:t>9</w:t>
      </w:r>
      <w:r>
        <w:rPr>
          <w:noProof/>
        </w:rPr>
        <w:fldChar w:fldCharType="end"/>
      </w:r>
    </w:p>
    <w:p w14:paraId="6BF14224" w14:textId="3DA45F2A" w:rsidR="00E7748F" w:rsidRDefault="00E7748F">
      <w:pPr>
        <w:pStyle w:val="TOC2"/>
        <w:tabs>
          <w:tab w:val="right" w:leader="dot" w:pos="9016"/>
        </w:tabs>
        <w:rPr>
          <w:rFonts w:eastAsiaTheme="minorEastAsia"/>
          <w:noProof/>
          <w:lang w:eastAsia="en-GB"/>
        </w:rPr>
      </w:pPr>
      <w:r>
        <w:rPr>
          <w:noProof/>
        </w:rPr>
        <w:t>Research Aim and Objectives</w:t>
      </w:r>
      <w:r>
        <w:rPr>
          <w:noProof/>
        </w:rPr>
        <w:tab/>
      </w:r>
      <w:r>
        <w:rPr>
          <w:noProof/>
        </w:rPr>
        <w:fldChar w:fldCharType="begin"/>
      </w:r>
      <w:r>
        <w:rPr>
          <w:noProof/>
        </w:rPr>
        <w:instrText xml:space="preserve"> PAGEREF _Toc165667400 \h </w:instrText>
      </w:r>
      <w:r>
        <w:rPr>
          <w:noProof/>
        </w:rPr>
      </w:r>
      <w:r>
        <w:rPr>
          <w:noProof/>
        </w:rPr>
        <w:fldChar w:fldCharType="separate"/>
      </w:r>
      <w:r>
        <w:rPr>
          <w:noProof/>
        </w:rPr>
        <w:t>10</w:t>
      </w:r>
      <w:r>
        <w:rPr>
          <w:noProof/>
        </w:rPr>
        <w:fldChar w:fldCharType="end"/>
      </w:r>
    </w:p>
    <w:p w14:paraId="2183517F" w14:textId="3905D84F" w:rsidR="00E7748F" w:rsidRDefault="00E7748F">
      <w:pPr>
        <w:pStyle w:val="TOC2"/>
        <w:tabs>
          <w:tab w:val="right" w:leader="dot" w:pos="9016"/>
        </w:tabs>
        <w:rPr>
          <w:rFonts w:eastAsiaTheme="minorEastAsia"/>
          <w:noProof/>
          <w:lang w:eastAsia="en-GB"/>
        </w:rPr>
      </w:pPr>
      <w:r>
        <w:rPr>
          <w:noProof/>
        </w:rPr>
        <w:t>Research Questions</w:t>
      </w:r>
      <w:r>
        <w:rPr>
          <w:noProof/>
        </w:rPr>
        <w:tab/>
      </w:r>
      <w:r>
        <w:rPr>
          <w:noProof/>
        </w:rPr>
        <w:fldChar w:fldCharType="begin"/>
      </w:r>
      <w:r>
        <w:rPr>
          <w:noProof/>
        </w:rPr>
        <w:instrText xml:space="preserve"> PAGEREF _Toc165667401 \h </w:instrText>
      </w:r>
      <w:r>
        <w:rPr>
          <w:noProof/>
        </w:rPr>
      </w:r>
      <w:r>
        <w:rPr>
          <w:noProof/>
        </w:rPr>
        <w:fldChar w:fldCharType="separate"/>
      </w:r>
      <w:r>
        <w:rPr>
          <w:noProof/>
        </w:rPr>
        <w:t>11</w:t>
      </w:r>
      <w:r>
        <w:rPr>
          <w:noProof/>
        </w:rPr>
        <w:fldChar w:fldCharType="end"/>
      </w:r>
    </w:p>
    <w:p w14:paraId="45DA36B3" w14:textId="55D9FC3E" w:rsidR="00E7748F" w:rsidRDefault="00E7748F">
      <w:pPr>
        <w:pStyle w:val="TOC2"/>
        <w:tabs>
          <w:tab w:val="right" w:leader="dot" w:pos="9016"/>
        </w:tabs>
        <w:rPr>
          <w:rFonts w:eastAsiaTheme="minorEastAsia"/>
          <w:noProof/>
          <w:lang w:eastAsia="en-GB"/>
        </w:rPr>
      </w:pPr>
      <w:r>
        <w:rPr>
          <w:noProof/>
        </w:rPr>
        <w:t>Significance of Study</w:t>
      </w:r>
      <w:r>
        <w:rPr>
          <w:noProof/>
        </w:rPr>
        <w:tab/>
      </w:r>
      <w:r>
        <w:rPr>
          <w:noProof/>
        </w:rPr>
        <w:fldChar w:fldCharType="begin"/>
      </w:r>
      <w:r>
        <w:rPr>
          <w:noProof/>
        </w:rPr>
        <w:instrText xml:space="preserve"> PAGEREF _Toc165667402 \h </w:instrText>
      </w:r>
      <w:r>
        <w:rPr>
          <w:noProof/>
        </w:rPr>
      </w:r>
      <w:r>
        <w:rPr>
          <w:noProof/>
        </w:rPr>
        <w:fldChar w:fldCharType="separate"/>
      </w:r>
      <w:r>
        <w:rPr>
          <w:noProof/>
        </w:rPr>
        <w:t>11</w:t>
      </w:r>
      <w:r>
        <w:rPr>
          <w:noProof/>
        </w:rPr>
        <w:fldChar w:fldCharType="end"/>
      </w:r>
    </w:p>
    <w:p w14:paraId="5F714864" w14:textId="31532EEC" w:rsidR="00E7748F" w:rsidRDefault="00E7748F">
      <w:pPr>
        <w:pStyle w:val="TOC2"/>
        <w:tabs>
          <w:tab w:val="right" w:leader="dot" w:pos="9016"/>
        </w:tabs>
        <w:rPr>
          <w:rFonts w:eastAsiaTheme="minorEastAsia"/>
          <w:noProof/>
          <w:lang w:eastAsia="en-GB"/>
        </w:rPr>
      </w:pPr>
      <w:r>
        <w:rPr>
          <w:noProof/>
        </w:rPr>
        <w:t>Structure of the Study</w:t>
      </w:r>
      <w:r>
        <w:rPr>
          <w:noProof/>
        </w:rPr>
        <w:tab/>
      </w:r>
      <w:r>
        <w:rPr>
          <w:noProof/>
        </w:rPr>
        <w:fldChar w:fldCharType="begin"/>
      </w:r>
      <w:r>
        <w:rPr>
          <w:noProof/>
        </w:rPr>
        <w:instrText xml:space="preserve"> PAGEREF _Toc165667403 \h </w:instrText>
      </w:r>
      <w:r>
        <w:rPr>
          <w:noProof/>
        </w:rPr>
      </w:r>
      <w:r>
        <w:rPr>
          <w:noProof/>
        </w:rPr>
        <w:fldChar w:fldCharType="separate"/>
      </w:r>
      <w:r>
        <w:rPr>
          <w:noProof/>
        </w:rPr>
        <w:t>12</w:t>
      </w:r>
      <w:r>
        <w:rPr>
          <w:noProof/>
        </w:rPr>
        <w:fldChar w:fldCharType="end"/>
      </w:r>
    </w:p>
    <w:p w14:paraId="17F31C97" w14:textId="56DEC765" w:rsidR="00E7748F" w:rsidRDefault="00E7748F">
      <w:pPr>
        <w:pStyle w:val="TOC1"/>
        <w:tabs>
          <w:tab w:val="right" w:leader="dot" w:pos="9016"/>
        </w:tabs>
        <w:rPr>
          <w:rFonts w:eastAsiaTheme="minorEastAsia"/>
          <w:noProof/>
          <w:lang w:eastAsia="en-GB"/>
        </w:rPr>
      </w:pPr>
      <w:r w:rsidRPr="006377AE">
        <w:rPr>
          <w:noProof/>
        </w:rPr>
        <w:t>Literature Review</w:t>
      </w:r>
      <w:r>
        <w:rPr>
          <w:noProof/>
        </w:rPr>
        <w:tab/>
      </w:r>
      <w:r>
        <w:rPr>
          <w:noProof/>
        </w:rPr>
        <w:fldChar w:fldCharType="begin"/>
      </w:r>
      <w:r>
        <w:rPr>
          <w:noProof/>
        </w:rPr>
        <w:instrText xml:space="preserve"> PAGEREF _Toc165667404 \h </w:instrText>
      </w:r>
      <w:r>
        <w:rPr>
          <w:noProof/>
        </w:rPr>
      </w:r>
      <w:r>
        <w:rPr>
          <w:noProof/>
        </w:rPr>
        <w:fldChar w:fldCharType="separate"/>
      </w:r>
      <w:r>
        <w:rPr>
          <w:noProof/>
        </w:rPr>
        <w:t>15</w:t>
      </w:r>
      <w:r>
        <w:rPr>
          <w:noProof/>
        </w:rPr>
        <w:fldChar w:fldCharType="end"/>
      </w:r>
    </w:p>
    <w:p w14:paraId="649C94C9" w14:textId="42206927" w:rsidR="00E7748F" w:rsidRDefault="00E7748F">
      <w:pPr>
        <w:pStyle w:val="TOC2"/>
        <w:tabs>
          <w:tab w:val="right" w:leader="dot" w:pos="9016"/>
        </w:tabs>
        <w:rPr>
          <w:rFonts w:eastAsiaTheme="minorEastAsia"/>
          <w:noProof/>
          <w:lang w:eastAsia="en-GB"/>
        </w:rPr>
      </w:pPr>
      <w:r>
        <w:rPr>
          <w:noProof/>
        </w:rPr>
        <w:t>Sourcing of Pertinent Literature</w:t>
      </w:r>
      <w:r>
        <w:rPr>
          <w:noProof/>
        </w:rPr>
        <w:tab/>
      </w:r>
      <w:r>
        <w:rPr>
          <w:noProof/>
        </w:rPr>
        <w:fldChar w:fldCharType="begin"/>
      </w:r>
      <w:r>
        <w:rPr>
          <w:noProof/>
        </w:rPr>
        <w:instrText xml:space="preserve"> PAGEREF _Toc165667405 \h </w:instrText>
      </w:r>
      <w:r>
        <w:rPr>
          <w:noProof/>
        </w:rPr>
      </w:r>
      <w:r>
        <w:rPr>
          <w:noProof/>
        </w:rPr>
        <w:fldChar w:fldCharType="separate"/>
      </w:r>
      <w:r>
        <w:rPr>
          <w:noProof/>
        </w:rPr>
        <w:t>15</w:t>
      </w:r>
      <w:r>
        <w:rPr>
          <w:noProof/>
        </w:rPr>
        <w:fldChar w:fldCharType="end"/>
      </w:r>
    </w:p>
    <w:p w14:paraId="6604CB3E" w14:textId="6A40F6F7" w:rsidR="00E7748F" w:rsidRDefault="00E7748F">
      <w:pPr>
        <w:pStyle w:val="TOC2"/>
        <w:tabs>
          <w:tab w:val="right" w:leader="dot" w:pos="9016"/>
        </w:tabs>
        <w:rPr>
          <w:rFonts w:eastAsiaTheme="minorEastAsia"/>
          <w:noProof/>
          <w:lang w:eastAsia="en-GB"/>
        </w:rPr>
      </w:pPr>
      <w:r>
        <w:rPr>
          <w:noProof/>
        </w:rPr>
        <w:t>Synthesis of Literature</w:t>
      </w:r>
      <w:r>
        <w:rPr>
          <w:noProof/>
        </w:rPr>
        <w:tab/>
      </w:r>
      <w:r>
        <w:rPr>
          <w:noProof/>
        </w:rPr>
        <w:fldChar w:fldCharType="begin"/>
      </w:r>
      <w:r>
        <w:rPr>
          <w:noProof/>
        </w:rPr>
        <w:instrText xml:space="preserve"> PAGEREF _Toc165667406 \h </w:instrText>
      </w:r>
      <w:r>
        <w:rPr>
          <w:noProof/>
        </w:rPr>
      </w:r>
      <w:r>
        <w:rPr>
          <w:noProof/>
        </w:rPr>
        <w:fldChar w:fldCharType="separate"/>
      </w:r>
      <w:r>
        <w:rPr>
          <w:noProof/>
        </w:rPr>
        <w:t>16</w:t>
      </w:r>
      <w:r>
        <w:rPr>
          <w:noProof/>
        </w:rPr>
        <w:fldChar w:fldCharType="end"/>
      </w:r>
    </w:p>
    <w:p w14:paraId="60F5FCC3" w14:textId="3964A491" w:rsidR="00E7748F" w:rsidRDefault="00E7748F">
      <w:pPr>
        <w:pStyle w:val="TOC3"/>
        <w:tabs>
          <w:tab w:val="right" w:leader="dot" w:pos="9016"/>
        </w:tabs>
        <w:rPr>
          <w:rFonts w:eastAsiaTheme="minorEastAsia"/>
          <w:noProof/>
          <w:lang w:eastAsia="en-GB"/>
        </w:rPr>
      </w:pPr>
      <w:r>
        <w:rPr>
          <w:noProof/>
        </w:rPr>
        <w:t>Introduction to the Development of the Digital Asset Industry</w:t>
      </w:r>
      <w:r>
        <w:rPr>
          <w:noProof/>
        </w:rPr>
        <w:tab/>
      </w:r>
      <w:r>
        <w:rPr>
          <w:noProof/>
        </w:rPr>
        <w:fldChar w:fldCharType="begin"/>
      </w:r>
      <w:r>
        <w:rPr>
          <w:noProof/>
        </w:rPr>
        <w:instrText xml:space="preserve"> PAGEREF _Toc165667407 \h </w:instrText>
      </w:r>
      <w:r>
        <w:rPr>
          <w:noProof/>
        </w:rPr>
      </w:r>
      <w:r>
        <w:rPr>
          <w:noProof/>
        </w:rPr>
        <w:fldChar w:fldCharType="separate"/>
      </w:r>
      <w:r>
        <w:rPr>
          <w:noProof/>
        </w:rPr>
        <w:t>16</w:t>
      </w:r>
      <w:r>
        <w:rPr>
          <w:noProof/>
        </w:rPr>
        <w:fldChar w:fldCharType="end"/>
      </w:r>
    </w:p>
    <w:p w14:paraId="57EEAC9D" w14:textId="6D4E03B4" w:rsidR="00E7748F" w:rsidRDefault="00E7748F">
      <w:pPr>
        <w:pStyle w:val="TOC3"/>
        <w:tabs>
          <w:tab w:val="right" w:leader="dot" w:pos="9016"/>
        </w:tabs>
        <w:rPr>
          <w:rFonts w:eastAsiaTheme="minorEastAsia"/>
          <w:noProof/>
          <w:lang w:eastAsia="en-GB"/>
        </w:rPr>
      </w:pPr>
      <w:r>
        <w:rPr>
          <w:noProof/>
        </w:rPr>
        <w:t>Research on the Interdependence of the Digital Asset Ecosystem</w:t>
      </w:r>
      <w:r>
        <w:rPr>
          <w:noProof/>
        </w:rPr>
        <w:tab/>
      </w:r>
      <w:r>
        <w:rPr>
          <w:noProof/>
        </w:rPr>
        <w:fldChar w:fldCharType="begin"/>
      </w:r>
      <w:r>
        <w:rPr>
          <w:noProof/>
        </w:rPr>
        <w:instrText xml:space="preserve"> PAGEREF _Toc165667408 \h </w:instrText>
      </w:r>
      <w:r>
        <w:rPr>
          <w:noProof/>
        </w:rPr>
      </w:r>
      <w:r>
        <w:rPr>
          <w:noProof/>
        </w:rPr>
        <w:fldChar w:fldCharType="separate"/>
      </w:r>
      <w:r>
        <w:rPr>
          <w:noProof/>
        </w:rPr>
        <w:t>17</w:t>
      </w:r>
      <w:r>
        <w:rPr>
          <w:noProof/>
        </w:rPr>
        <w:fldChar w:fldCharType="end"/>
      </w:r>
    </w:p>
    <w:p w14:paraId="7A60F2D3" w14:textId="5CCFE717" w:rsidR="00E7748F" w:rsidRDefault="00E7748F">
      <w:pPr>
        <w:pStyle w:val="TOC3"/>
        <w:tabs>
          <w:tab w:val="right" w:leader="dot" w:pos="9016"/>
        </w:tabs>
        <w:rPr>
          <w:rFonts w:eastAsiaTheme="minorEastAsia"/>
          <w:noProof/>
          <w:lang w:eastAsia="en-GB"/>
        </w:rPr>
      </w:pPr>
      <w:r>
        <w:rPr>
          <w:noProof/>
        </w:rPr>
        <w:t>Governance and Regulation Issues</w:t>
      </w:r>
      <w:r>
        <w:rPr>
          <w:noProof/>
        </w:rPr>
        <w:tab/>
      </w:r>
      <w:r>
        <w:rPr>
          <w:noProof/>
        </w:rPr>
        <w:fldChar w:fldCharType="begin"/>
      </w:r>
      <w:r>
        <w:rPr>
          <w:noProof/>
        </w:rPr>
        <w:instrText xml:space="preserve"> PAGEREF _Toc165667409 \h </w:instrText>
      </w:r>
      <w:r>
        <w:rPr>
          <w:noProof/>
        </w:rPr>
      </w:r>
      <w:r>
        <w:rPr>
          <w:noProof/>
        </w:rPr>
        <w:fldChar w:fldCharType="separate"/>
      </w:r>
      <w:r>
        <w:rPr>
          <w:noProof/>
        </w:rPr>
        <w:t>19</w:t>
      </w:r>
      <w:r>
        <w:rPr>
          <w:noProof/>
        </w:rPr>
        <w:fldChar w:fldCharType="end"/>
      </w:r>
    </w:p>
    <w:p w14:paraId="74508927" w14:textId="4D791E8B" w:rsidR="00E7748F" w:rsidRDefault="00E7748F">
      <w:pPr>
        <w:pStyle w:val="TOC3"/>
        <w:tabs>
          <w:tab w:val="right" w:leader="dot" w:pos="9016"/>
        </w:tabs>
        <w:rPr>
          <w:rFonts w:eastAsiaTheme="minorEastAsia"/>
          <w:noProof/>
          <w:lang w:eastAsia="en-GB"/>
        </w:rPr>
      </w:pPr>
      <w:r>
        <w:rPr>
          <w:noProof/>
        </w:rPr>
        <w:t>Conclusions for the Digital Asset Industry</w:t>
      </w:r>
      <w:r>
        <w:rPr>
          <w:noProof/>
        </w:rPr>
        <w:tab/>
      </w:r>
      <w:r>
        <w:rPr>
          <w:noProof/>
        </w:rPr>
        <w:fldChar w:fldCharType="begin"/>
      </w:r>
      <w:r>
        <w:rPr>
          <w:noProof/>
        </w:rPr>
        <w:instrText xml:space="preserve"> PAGEREF _Toc165667410 \h </w:instrText>
      </w:r>
      <w:r>
        <w:rPr>
          <w:noProof/>
        </w:rPr>
      </w:r>
      <w:r>
        <w:rPr>
          <w:noProof/>
        </w:rPr>
        <w:fldChar w:fldCharType="separate"/>
      </w:r>
      <w:r>
        <w:rPr>
          <w:noProof/>
        </w:rPr>
        <w:t>23</w:t>
      </w:r>
      <w:r>
        <w:rPr>
          <w:noProof/>
        </w:rPr>
        <w:fldChar w:fldCharType="end"/>
      </w:r>
    </w:p>
    <w:p w14:paraId="50AA8ACA" w14:textId="72493463" w:rsidR="00E7748F" w:rsidRDefault="00E7748F">
      <w:pPr>
        <w:pStyle w:val="TOC3"/>
        <w:tabs>
          <w:tab w:val="right" w:leader="dot" w:pos="9016"/>
        </w:tabs>
        <w:rPr>
          <w:rFonts w:eastAsiaTheme="minorEastAsia"/>
          <w:noProof/>
          <w:lang w:eastAsia="en-GB"/>
        </w:rPr>
      </w:pPr>
      <w:r>
        <w:rPr>
          <w:noProof/>
        </w:rPr>
        <w:t>Addressing Gaps in Research</w:t>
      </w:r>
      <w:r>
        <w:rPr>
          <w:noProof/>
        </w:rPr>
        <w:tab/>
      </w:r>
      <w:r>
        <w:rPr>
          <w:noProof/>
        </w:rPr>
        <w:fldChar w:fldCharType="begin"/>
      </w:r>
      <w:r>
        <w:rPr>
          <w:noProof/>
        </w:rPr>
        <w:instrText xml:space="preserve"> PAGEREF _Toc165667411 \h </w:instrText>
      </w:r>
      <w:r>
        <w:rPr>
          <w:noProof/>
        </w:rPr>
      </w:r>
      <w:r>
        <w:rPr>
          <w:noProof/>
        </w:rPr>
        <w:fldChar w:fldCharType="separate"/>
      </w:r>
      <w:r>
        <w:rPr>
          <w:noProof/>
        </w:rPr>
        <w:t>25</w:t>
      </w:r>
      <w:r>
        <w:rPr>
          <w:noProof/>
        </w:rPr>
        <w:fldChar w:fldCharType="end"/>
      </w:r>
    </w:p>
    <w:p w14:paraId="399B3755" w14:textId="5C562472" w:rsidR="00E7748F" w:rsidRDefault="00E7748F">
      <w:pPr>
        <w:pStyle w:val="TOC1"/>
        <w:tabs>
          <w:tab w:val="right" w:leader="dot" w:pos="9016"/>
        </w:tabs>
        <w:rPr>
          <w:rFonts w:eastAsiaTheme="minorEastAsia"/>
          <w:noProof/>
          <w:lang w:eastAsia="en-GB"/>
        </w:rPr>
      </w:pPr>
      <w:r w:rsidRPr="006377AE">
        <w:rPr>
          <w:noProof/>
        </w:rPr>
        <w:t>Research Methodology</w:t>
      </w:r>
      <w:r>
        <w:rPr>
          <w:noProof/>
        </w:rPr>
        <w:tab/>
      </w:r>
      <w:r>
        <w:rPr>
          <w:noProof/>
        </w:rPr>
        <w:fldChar w:fldCharType="begin"/>
      </w:r>
      <w:r>
        <w:rPr>
          <w:noProof/>
        </w:rPr>
        <w:instrText xml:space="preserve"> PAGEREF _Toc165667412 \h </w:instrText>
      </w:r>
      <w:r>
        <w:rPr>
          <w:noProof/>
        </w:rPr>
      </w:r>
      <w:r>
        <w:rPr>
          <w:noProof/>
        </w:rPr>
        <w:fldChar w:fldCharType="separate"/>
      </w:r>
      <w:r>
        <w:rPr>
          <w:noProof/>
        </w:rPr>
        <w:t>28</w:t>
      </w:r>
      <w:r>
        <w:rPr>
          <w:noProof/>
        </w:rPr>
        <w:fldChar w:fldCharType="end"/>
      </w:r>
    </w:p>
    <w:p w14:paraId="12A68A74" w14:textId="6B810B28" w:rsidR="00E7748F" w:rsidRDefault="00E7748F">
      <w:pPr>
        <w:pStyle w:val="TOC2"/>
        <w:tabs>
          <w:tab w:val="right" w:leader="dot" w:pos="9016"/>
        </w:tabs>
        <w:rPr>
          <w:rFonts w:eastAsiaTheme="minorEastAsia"/>
          <w:noProof/>
          <w:lang w:eastAsia="en-GB"/>
        </w:rPr>
      </w:pPr>
      <w:r>
        <w:rPr>
          <w:noProof/>
        </w:rPr>
        <w:t>Research Challenges</w:t>
      </w:r>
      <w:r>
        <w:rPr>
          <w:noProof/>
        </w:rPr>
        <w:tab/>
      </w:r>
      <w:r>
        <w:rPr>
          <w:noProof/>
        </w:rPr>
        <w:fldChar w:fldCharType="begin"/>
      </w:r>
      <w:r>
        <w:rPr>
          <w:noProof/>
        </w:rPr>
        <w:instrText xml:space="preserve"> PAGEREF _Toc165667413 \h </w:instrText>
      </w:r>
      <w:r>
        <w:rPr>
          <w:noProof/>
        </w:rPr>
      </w:r>
      <w:r>
        <w:rPr>
          <w:noProof/>
        </w:rPr>
        <w:fldChar w:fldCharType="separate"/>
      </w:r>
      <w:r>
        <w:rPr>
          <w:noProof/>
        </w:rPr>
        <w:t>28</w:t>
      </w:r>
      <w:r>
        <w:rPr>
          <w:noProof/>
        </w:rPr>
        <w:fldChar w:fldCharType="end"/>
      </w:r>
    </w:p>
    <w:p w14:paraId="1A1A3E10" w14:textId="4B75E41F" w:rsidR="00E7748F" w:rsidRDefault="00E7748F">
      <w:pPr>
        <w:pStyle w:val="TOC2"/>
        <w:tabs>
          <w:tab w:val="right" w:leader="dot" w:pos="9016"/>
        </w:tabs>
        <w:rPr>
          <w:rFonts w:eastAsiaTheme="minorEastAsia"/>
          <w:noProof/>
          <w:lang w:eastAsia="en-GB"/>
        </w:rPr>
      </w:pPr>
      <w:r>
        <w:rPr>
          <w:noProof/>
        </w:rPr>
        <w:t>Data Collection Analysis</w:t>
      </w:r>
      <w:r>
        <w:rPr>
          <w:noProof/>
        </w:rPr>
        <w:tab/>
      </w:r>
      <w:r>
        <w:rPr>
          <w:noProof/>
        </w:rPr>
        <w:fldChar w:fldCharType="begin"/>
      </w:r>
      <w:r>
        <w:rPr>
          <w:noProof/>
        </w:rPr>
        <w:instrText xml:space="preserve"> PAGEREF _Toc165667414 \h </w:instrText>
      </w:r>
      <w:r>
        <w:rPr>
          <w:noProof/>
        </w:rPr>
      </w:r>
      <w:r>
        <w:rPr>
          <w:noProof/>
        </w:rPr>
        <w:fldChar w:fldCharType="separate"/>
      </w:r>
      <w:r>
        <w:rPr>
          <w:noProof/>
        </w:rPr>
        <w:t>30</w:t>
      </w:r>
      <w:r>
        <w:rPr>
          <w:noProof/>
        </w:rPr>
        <w:fldChar w:fldCharType="end"/>
      </w:r>
    </w:p>
    <w:p w14:paraId="7BCBAEF2" w14:textId="78C74671" w:rsidR="00E7748F" w:rsidRDefault="00E7748F">
      <w:pPr>
        <w:pStyle w:val="TOC3"/>
        <w:tabs>
          <w:tab w:val="right" w:leader="dot" w:pos="9016"/>
        </w:tabs>
        <w:rPr>
          <w:rFonts w:eastAsiaTheme="minorEastAsia"/>
          <w:noProof/>
          <w:lang w:eastAsia="en-GB"/>
        </w:rPr>
      </w:pPr>
      <w:r>
        <w:rPr>
          <w:noProof/>
        </w:rPr>
        <w:t>Qualitative Case Study Approach</w:t>
      </w:r>
      <w:r>
        <w:rPr>
          <w:noProof/>
        </w:rPr>
        <w:tab/>
      </w:r>
      <w:r>
        <w:rPr>
          <w:noProof/>
        </w:rPr>
        <w:fldChar w:fldCharType="begin"/>
      </w:r>
      <w:r>
        <w:rPr>
          <w:noProof/>
        </w:rPr>
        <w:instrText xml:space="preserve"> PAGEREF _Toc165667415 \h </w:instrText>
      </w:r>
      <w:r>
        <w:rPr>
          <w:noProof/>
        </w:rPr>
      </w:r>
      <w:r>
        <w:rPr>
          <w:noProof/>
        </w:rPr>
        <w:fldChar w:fldCharType="separate"/>
      </w:r>
      <w:r>
        <w:rPr>
          <w:noProof/>
        </w:rPr>
        <w:t>30</w:t>
      </w:r>
      <w:r>
        <w:rPr>
          <w:noProof/>
        </w:rPr>
        <w:fldChar w:fldCharType="end"/>
      </w:r>
    </w:p>
    <w:p w14:paraId="50037086" w14:textId="0E705765" w:rsidR="00E7748F" w:rsidRDefault="00E7748F">
      <w:pPr>
        <w:pStyle w:val="TOC3"/>
        <w:tabs>
          <w:tab w:val="right" w:leader="dot" w:pos="9016"/>
        </w:tabs>
        <w:rPr>
          <w:rFonts w:eastAsiaTheme="minorEastAsia"/>
          <w:noProof/>
          <w:lang w:eastAsia="en-GB"/>
        </w:rPr>
      </w:pPr>
      <w:r>
        <w:rPr>
          <w:noProof/>
        </w:rPr>
        <w:t>Exploring Governance in FTX</w:t>
      </w:r>
      <w:r>
        <w:rPr>
          <w:noProof/>
        </w:rPr>
        <w:tab/>
      </w:r>
      <w:r>
        <w:rPr>
          <w:noProof/>
        </w:rPr>
        <w:fldChar w:fldCharType="begin"/>
      </w:r>
      <w:r>
        <w:rPr>
          <w:noProof/>
        </w:rPr>
        <w:instrText xml:space="preserve"> PAGEREF _Toc165667416 \h </w:instrText>
      </w:r>
      <w:r>
        <w:rPr>
          <w:noProof/>
        </w:rPr>
      </w:r>
      <w:r>
        <w:rPr>
          <w:noProof/>
        </w:rPr>
        <w:fldChar w:fldCharType="separate"/>
      </w:r>
      <w:r>
        <w:rPr>
          <w:noProof/>
        </w:rPr>
        <w:t>30</w:t>
      </w:r>
      <w:r>
        <w:rPr>
          <w:noProof/>
        </w:rPr>
        <w:fldChar w:fldCharType="end"/>
      </w:r>
    </w:p>
    <w:p w14:paraId="2F00B333" w14:textId="6280F5BB" w:rsidR="00E7748F" w:rsidRDefault="00E7748F">
      <w:pPr>
        <w:pStyle w:val="TOC3"/>
        <w:tabs>
          <w:tab w:val="right" w:leader="dot" w:pos="9016"/>
        </w:tabs>
        <w:rPr>
          <w:rFonts w:eastAsiaTheme="minorEastAsia"/>
          <w:noProof/>
          <w:lang w:eastAsia="en-GB"/>
        </w:rPr>
      </w:pPr>
      <w:r>
        <w:rPr>
          <w:noProof/>
        </w:rPr>
        <w:t>Analysing Governance in Alameda Research</w:t>
      </w:r>
      <w:r>
        <w:rPr>
          <w:noProof/>
        </w:rPr>
        <w:tab/>
      </w:r>
      <w:r>
        <w:rPr>
          <w:noProof/>
        </w:rPr>
        <w:fldChar w:fldCharType="begin"/>
      </w:r>
      <w:r>
        <w:rPr>
          <w:noProof/>
        </w:rPr>
        <w:instrText xml:space="preserve"> PAGEREF _Toc165667417 \h </w:instrText>
      </w:r>
      <w:r>
        <w:rPr>
          <w:noProof/>
        </w:rPr>
      </w:r>
      <w:r>
        <w:rPr>
          <w:noProof/>
        </w:rPr>
        <w:fldChar w:fldCharType="separate"/>
      </w:r>
      <w:r>
        <w:rPr>
          <w:noProof/>
        </w:rPr>
        <w:t>31</w:t>
      </w:r>
      <w:r>
        <w:rPr>
          <w:noProof/>
        </w:rPr>
        <w:fldChar w:fldCharType="end"/>
      </w:r>
    </w:p>
    <w:p w14:paraId="48E7824B" w14:textId="256E24C6" w:rsidR="00E7748F" w:rsidRDefault="00E7748F">
      <w:pPr>
        <w:pStyle w:val="TOC3"/>
        <w:tabs>
          <w:tab w:val="right" w:leader="dot" w:pos="9016"/>
        </w:tabs>
        <w:rPr>
          <w:rFonts w:eastAsiaTheme="minorEastAsia"/>
          <w:noProof/>
          <w:lang w:eastAsia="en-GB"/>
        </w:rPr>
      </w:pPr>
      <w:r>
        <w:rPr>
          <w:noProof/>
        </w:rPr>
        <w:t>The Broader Implications</w:t>
      </w:r>
      <w:r>
        <w:rPr>
          <w:noProof/>
        </w:rPr>
        <w:tab/>
      </w:r>
      <w:r>
        <w:rPr>
          <w:noProof/>
        </w:rPr>
        <w:fldChar w:fldCharType="begin"/>
      </w:r>
      <w:r>
        <w:rPr>
          <w:noProof/>
        </w:rPr>
        <w:instrText xml:space="preserve"> PAGEREF _Toc165667418 \h </w:instrText>
      </w:r>
      <w:r>
        <w:rPr>
          <w:noProof/>
        </w:rPr>
      </w:r>
      <w:r>
        <w:rPr>
          <w:noProof/>
        </w:rPr>
        <w:fldChar w:fldCharType="separate"/>
      </w:r>
      <w:r>
        <w:rPr>
          <w:noProof/>
        </w:rPr>
        <w:t>31</w:t>
      </w:r>
      <w:r>
        <w:rPr>
          <w:noProof/>
        </w:rPr>
        <w:fldChar w:fldCharType="end"/>
      </w:r>
    </w:p>
    <w:p w14:paraId="747E5E1F" w14:textId="1988249D" w:rsidR="00E7748F" w:rsidRDefault="00E7748F">
      <w:pPr>
        <w:pStyle w:val="TOC2"/>
        <w:tabs>
          <w:tab w:val="right" w:leader="dot" w:pos="9016"/>
        </w:tabs>
        <w:rPr>
          <w:rFonts w:eastAsiaTheme="minorEastAsia"/>
          <w:noProof/>
          <w:lang w:eastAsia="en-GB"/>
        </w:rPr>
      </w:pPr>
      <w:r>
        <w:rPr>
          <w:noProof/>
        </w:rPr>
        <w:t>Ethical Considerations</w:t>
      </w:r>
      <w:r>
        <w:rPr>
          <w:noProof/>
        </w:rPr>
        <w:tab/>
      </w:r>
      <w:r>
        <w:rPr>
          <w:noProof/>
        </w:rPr>
        <w:fldChar w:fldCharType="begin"/>
      </w:r>
      <w:r>
        <w:rPr>
          <w:noProof/>
        </w:rPr>
        <w:instrText xml:space="preserve"> PAGEREF _Toc165667419 \h </w:instrText>
      </w:r>
      <w:r>
        <w:rPr>
          <w:noProof/>
        </w:rPr>
      </w:r>
      <w:r>
        <w:rPr>
          <w:noProof/>
        </w:rPr>
        <w:fldChar w:fldCharType="separate"/>
      </w:r>
      <w:r>
        <w:rPr>
          <w:noProof/>
        </w:rPr>
        <w:t>32</w:t>
      </w:r>
      <w:r>
        <w:rPr>
          <w:noProof/>
        </w:rPr>
        <w:fldChar w:fldCharType="end"/>
      </w:r>
    </w:p>
    <w:p w14:paraId="2EEDB42A" w14:textId="1CAEAB01" w:rsidR="00E7748F" w:rsidRDefault="00E7748F">
      <w:pPr>
        <w:pStyle w:val="TOC2"/>
        <w:tabs>
          <w:tab w:val="right" w:leader="dot" w:pos="9016"/>
        </w:tabs>
        <w:rPr>
          <w:rFonts w:eastAsiaTheme="minorEastAsia"/>
          <w:noProof/>
          <w:lang w:eastAsia="en-GB"/>
        </w:rPr>
      </w:pPr>
      <w:r>
        <w:rPr>
          <w:noProof/>
        </w:rPr>
        <w:t>Reliability of Qualitative Case Study Approach Method</w:t>
      </w:r>
      <w:r>
        <w:rPr>
          <w:noProof/>
        </w:rPr>
        <w:tab/>
      </w:r>
      <w:r>
        <w:rPr>
          <w:noProof/>
        </w:rPr>
        <w:fldChar w:fldCharType="begin"/>
      </w:r>
      <w:r>
        <w:rPr>
          <w:noProof/>
        </w:rPr>
        <w:instrText xml:space="preserve"> PAGEREF _Toc165667420 \h </w:instrText>
      </w:r>
      <w:r>
        <w:rPr>
          <w:noProof/>
        </w:rPr>
      </w:r>
      <w:r>
        <w:rPr>
          <w:noProof/>
        </w:rPr>
        <w:fldChar w:fldCharType="separate"/>
      </w:r>
      <w:r>
        <w:rPr>
          <w:noProof/>
        </w:rPr>
        <w:t>33</w:t>
      </w:r>
      <w:r>
        <w:rPr>
          <w:noProof/>
        </w:rPr>
        <w:fldChar w:fldCharType="end"/>
      </w:r>
    </w:p>
    <w:p w14:paraId="70256E1F" w14:textId="4F228EFB" w:rsidR="00E7748F" w:rsidRDefault="00E7748F">
      <w:pPr>
        <w:pStyle w:val="TOC3"/>
        <w:tabs>
          <w:tab w:val="right" w:leader="dot" w:pos="9016"/>
        </w:tabs>
        <w:rPr>
          <w:rFonts w:eastAsiaTheme="minorEastAsia"/>
          <w:noProof/>
          <w:lang w:eastAsia="en-GB"/>
        </w:rPr>
      </w:pPr>
      <w:r>
        <w:rPr>
          <w:noProof/>
        </w:rPr>
        <w:t>Participant Engagement</w:t>
      </w:r>
      <w:r>
        <w:rPr>
          <w:noProof/>
        </w:rPr>
        <w:tab/>
      </w:r>
      <w:r>
        <w:rPr>
          <w:noProof/>
        </w:rPr>
        <w:fldChar w:fldCharType="begin"/>
      </w:r>
      <w:r>
        <w:rPr>
          <w:noProof/>
        </w:rPr>
        <w:instrText xml:space="preserve"> PAGEREF _Toc165667421 \h </w:instrText>
      </w:r>
      <w:r>
        <w:rPr>
          <w:noProof/>
        </w:rPr>
      </w:r>
      <w:r>
        <w:rPr>
          <w:noProof/>
        </w:rPr>
        <w:fldChar w:fldCharType="separate"/>
      </w:r>
      <w:r>
        <w:rPr>
          <w:noProof/>
        </w:rPr>
        <w:t>34</w:t>
      </w:r>
      <w:r>
        <w:rPr>
          <w:noProof/>
        </w:rPr>
        <w:fldChar w:fldCharType="end"/>
      </w:r>
    </w:p>
    <w:p w14:paraId="66FE844F" w14:textId="45557704" w:rsidR="00E7748F" w:rsidRDefault="00E7748F">
      <w:pPr>
        <w:pStyle w:val="TOC3"/>
        <w:tabs>
          <w:tab w:val="right" w:leader="dot" w:pos="9016"/>
        </w:tabs>
        <w:rPr>
          <w:rFonts w:eastAsiaTheme="minorEastAsia"/>
          <w:noProof/>
          <w:lang w:eastAsia="en-GB"/>
        </w:rPr>
      </w:pPr>
      <w:r>
        <w:rPr>
          <w:noProof/>
        </w:rPr>
        <w:t>Validity</w:t>
      </w:r>
      <w:r>
        <w:rPr>
          <w:noProof/>
        </w:rPr>
        <w:tab/>
      </w:r>
      <w:r>
        <w:rPr>
          <w:noProof/>
        </w:rPr>
        <w:fldChar w:fldCharType="begin"/>
      </w:r>
      <w:r>
        <w:rPr>
          <w:noProof/>
        </w:rPr>
        <w:instrText xml:space="preserve"> PAGEREF _Toc165667422 \h </w:instrText>
      </w:r>
      <w:r>
        <w:rPr>
          <w:noProof/>
        </w:rPr>
      </w:r>
      <w:r>
        <w:rPr>
          <w:noProof/>
        </w:rPr>
        <w:fldChar w:fldCharType="separate"/>
      </w:r>
      <w:r>
        <w:rPr>
          <w:noProof/>
        </w:rPr>
        <w:t>34</w:t>
      </w:r>
      <w:r>
        <w:rPr>
          <w:noProof/>
        </w:rPr>
        <w:fldChar w:fldCharType="end"/>
      </w:r>
    </w:p>
    <w:p w14:paraId="4D26BE03" w14:textId="28793369" w:rsidR="00E7748F" w:rsidRDefault="00E7748F">
      <w:pPr>
        <w:pStyle w:val="TOC3"/>
        <w:tabs>
          <w:tab w:val="right" w:leader="dot" w:pos="9016"/>
        </w:tabs>
        <w:rPr>
          <w:rFonts w:eastAsiaTheme="minorEastAsia"/>
          <w:noProof/>
          <w:lang w:eastAsia="en-GB"/>
        </w:rPr>
      </w:pPr>
      <w:r>
        <w:rPr>
          <w:noProof/>
        </w:rPr>
        <w:lastRenderedPageBreak/>
        <w:t>Primary Data Sources</w:t>
      </w:r>
      <w:r>
        <w:rPr>
          <w:noProof/>
        </w:rPr>
        <w:tab/>
      </w:r>
      <w:r>
        <w:rPr>
          <w:noProof/>
        </w:rPr>
        <w:fldChar w:fldCharType="begin"/>
      </w:r>
      <w:r>
        <w:rPr>
          <w:noProof/>
        </w:rPr>
        <w:instrText xml:space="preserve"> PAGEREF _Toc165667423 \h </w:instrText>
      </w:r>
      <w:r>
        <w:rPr>
          <w:noProof/>
        </w:rPr>
      </w:r>
      <w:r>
        <w:rPr>
          <w:noProof/>
        </w:rPr>
        <w:fldChar w:fldCharType="separate"/>
      </w:r>
      <w:r>
        <w:rPr>
          <w:noProof/>
        </w:rPr>
        <w:t>34</w:t>
      </w:r>
      <w:r>
        <w:rPr>
          <w:noProof/>
        </w:rPr>
        <w:fldChar w:fldCharType="end"/>
      </w:r>
    </w:p>
    <w:p w14:paraId="625467D5" w14:textId="37D9A667" w:rsidR="00E7748F" w:rsidRDefault="00E7748F">
      <w:pPr>
        <w:pStyle w:val="TOC3"/>
        <w:tabs>
          <w:tab w:val="right" w:leader="dot" w:pos="9016"/>
        </w:tabs>
        <w:rPr>
          <w:rFonts w:eastAsiaTheme="minorEastAsia"/>
          <w:noProof/>
          <w:lang w:eastAsia="en-GB"/>
        </w:rPr>
      </w:pPr>
      <w:r>
        <w:rPr>
          <w:noProof/>
        </w:rPr>
        <w:t>Secondary Data Sources</w:t>
      </w:r>
      <w:r>
        <w:rPr>
          <w:noProof/>
        </w:rPr>
        <w:tab/>
      </w:r>
      <w:r>
        <w:rPr>
          <w:noProof/>
        </w:rPr>
        <w:fldChar w:fldCharType="begin"/>
      </w:r>
      <w:r>
        <w:rPr>
          <w:noProof/>
        </w:rPr>
        <w:instrText xml:space="preserve"> PAGEREF _Toc165667424 \h </w:instrText>
      </w:r>
      <w:r>
        <w:rPr>
          <w:noProof/>
        </w:rPr>
      </w:r>
      <w:r>
        <w:rPr>
          <w:noProof/>
        </w:rPr>
        <w:fldChar w:fldCharType="separate"/>
      </w:r>
      <w:r>
        <w:rPr>
          <w:noProof/>
        </w:rPr>
        <w:t>35</w:t>
      </w:r>
      <w:r>
        <w:rPr>
          <w:noProof/>
        </w:rPr>
        <w:fldChar w:fldCharType="end"/>
      </w:r>
    </w:p>
    <w:p w14:paraId="5B20420D" w14:textId="76BF162A" w:rsidR="00E7748F" w:rsidRDefault="00E7748F">
      <w:pPr>
        <w:pStyle w:val="TOC2"/>
        <w:tabs>
          <w:tab w:val="right" w:leader="dot" w:pos="9016"/>
        </w:tabs>
        <w:rPr>
          <w:rFonts w:eastAsiaTheme="minorEastAsia"/>
          <w:noProof/>
          <w:lang w:eastAsia="en-GB"/>
        </w:rPr>
      </w:pPr>
      <w:r>
        <w:rPr>
          <w:noProof/>
        </w:rPr>
        <w:t>Key Findings, Implications and Recommendations</w:t>
      </w:r>
      <w:r>
        <w:rPr>
          <w:noProof/>
        </w:rPr>
        <w:tab/>
      </w:r>
      <w:r>
        <w:rPr>
          <w:noProof/>
        </w:rPr>
        <w:fldChar w:fldCharType="begin"/>
      </w:r>
      <w:r>
        <w:rPr>
          <w:noProof/>
        </w:rPr>
        <w:instrText xml:space="preserve"> PAGEREF _Toc165667425 \h </w:instrText>
      </w:r>
      <w:r>
        <w:rPr>
          <w:noProof/>
        </w:rPr>
      </w:r>
      <w:r>
        <w:rPr>
          <w:noProof/>
        </w:rPr>
        <w:fldChar w:fldCharType="separate"/>
      </w:r>
      <w:r>
        <w:rPr>
          <w:noProof/>
        </w:rPr>
        <w:t>37</w:t>
      </w:r>
      <w:r>
        <w:rPr>
          <w:noProof/>
        </w:rPr>
        <w:fldChar w:fldCharType="end"/>
      </w:r>
    </w:p>
    <w:p w14:paraId="7F92C73C" w14:textId="7FE8F106" w:rsidR="00E7748F" w:rsidRDefault="00E7748F">
      <w:pPr>
        <w:pStyle w:val="TOC2"/>
        <w:tabs>
          <w:tab w:val="right" w:leader="dot" w:pos="9016"/>
        </w:tabs>
        <w:rPr>
          <w:rFonts w:eastAsiaTheme="minorEastAsia"/>
          <w:noProof/>
          <w:lang w:eastAsia="en-GB"/>
        </w:rPr>
      </w:pPr>
      <w:r>
        <w:rPr>
          <w:noProof/>
        </w:rPr>
        <w:t>Conclusion</w:t>
      </w:r>
      <w:r>
        <w:rPr>
          <w:noProof/>
        </w:rPr>
        <w:tab/>
      </w:r>
      <w:r>
        <w:rPr>
          <w:noProof/>
        </w:rPr>
        <w:fldChar w:fldCharType="begin"/>
      </w:r>
      <w:r>
        <w:rPr>
          <w:noProof/>
        </w:rPr>
        <w:instrText xml:space="preserve"> PAGEREF _Toc165667426 \h </w:instrText>
      </w:r>
      <w:r>
        <w:rPr>
          <w:noProof/>
        </w:rPr>
      </w:r>
      <w:r>
        <w:rPr>
          <w:noProof/>
        </w:rPr>
        <w:fldChar w:fldCharType="separate"/>
      </w:r>
      <w:r>
        <w:rPr>
          <w:noProof/>
        </w:rPr>
        <w:t>38</w:t>
      </w:r>
      <w:r>
        <w:rPr>
          <w:noProof/>
        </w:rPr>
        <w:fldChar w:fldCharType="end"/>
      </w:r>
    </w:p>
    <w:p w14:paraId="3CF232D2" w14:textId="3AF09439" w:rsidR="00E7748F" w:rsidRDefault="00E7748F">
      <w:pPr>
        <w:pStyle w:val="TOC1"/>
        <w:tabs>
          <w:tab w:val="right" w:leader="dot" w:pos="9016"/>
        </w:tabs>
        <w:rPr>
          <w:rFonts w:eastAsiaTheme="minorEastAsia"/>
          <w:noProof/>
          <w:lang w:eastAsia="en-GB"/>
        </w:rPr>
      </w:pPr>
      <w:r w:rsidRPr="006377AE">
        <w:rPr>
          <w:noProof/>
        </w:rPr>
        <w:t>Analysis &amp; Results</w:t>
      </w:r>
      <w:r>
        <w:rPr>
          <w:noProof/>
        </w:rPr>
        <w:tab/>
      </w:r>
      <w:r>
        <w:rPr>
          <w:noProof/>
        </w:rPr>
        <w:fldChar w:fldCharType="begin"/>
      </w:r>
      <w:r>
        <w:rPr>
          <w:noProof/>
        </w:rPr>
        <w:instrText xml:space="preserve"> PAGEREF _Toc165667427 \h </w:instrText>
      </w:r>
      <w:r>
        <w:rPr>
          <w:noProof/>
        </w:rPr>
      </w:r>
      <w:r>
        <w:rPr>
          <w:noProof/>
        </w:rPr>
        <w:fldChar w:fldCharType="separate"/>
      </w:r>
      <w:r>
        <w:rPr>
          <w:noProof/>
        </w:rPr>
        <w:t>40</w:t>
      </w:r>
      <w:r>
        <w:rPr>
          <w:noProof/>
        </w:rPr>
        <w:fldChar w:fldCharType="end"/>
      </w:r>
    </w:p>
    <w:p w14:paraId="32947D07" w14:textId="1E9EED6A" w:rsidR="00E7748F" w:rsidRDefault="00E7748F">
      <w:pPr>
        <w:pStyle w:val="TOC2"/>
        <w:tabs>
          <w:tab w:val="right" w:leader="dot" w:pos="9016"/>
        </w:tabs>
        <w:rPr>
          <w:rFonts w:eastAsiaTheme="minorEastAsia"/>
          <w:noProof/>
          <w:lang w:eastAsia="en-GB"/>
        </w:rPr>
      </w:pPr>
      <w:r>
        <w:rPr>
          <w:noProof/>
        </w:rPr>
        <w:t>Theme 1: Company Issues</w:t>
      </w:r>
      <w:r>
        <w:rPr>
          <w:noProof/>
        </w:rPr>
        <w:tab/>
      </w:r>
      <w:r>
        <w:rPr>
          <w:noProof/>
        </w:rPr>
        <w:fldChar w:fldCharType="begin"/>
      </w:r>
      <w:r>
        <w:rPr>
          <w:noProof/>
        </w:rPr>
        <w:instrText xml:space="preserve"> PAGEREF _Toc165667428 \h </w:instrText>
      </w:r>
      <w:r>
        <w:rPr>
          <w:noProof/>
        </w:rPr>
      </w:r>
      <w:r>
        <w:rPr>
          <w:noProof/>
        </w:rPr>
        <w:fldChar w:fldCharType="separate"/>
      </w:r>
      <w:r>
        <w:rPr>
          <w:noProof/>
        </w:rPr>
        <w:t>41</w:t>
      </w:r>
      <w:r>
        <w:rPr>
          <w:noProof/>
        </w:rPr>
        <w:fldChar w:fldCharType="end"/>
      </w:r>
    </w:p>
    <w:p w14:paraId="058D4E1D" w14:textId="65548AB3" w:rsidR="00E7748F" w:rsidRDefault="00E7748F">
      <w:pPr>
        <w:pStyle w:val="TOC2"/>
        <w:tabs>
          <w:tab w:val="right" w:leader="dot" w:pos="9016"/>
        </w:tabs>
        <w:rPr>
          <w:rFonts w:eastAsiaTheme="minorEastAsia"/>
          <w:noProof/>
          <w:lang w:eastAsia="en-GB"/>
        </w:rPr>
      </w:pPr>
      <w:r>
        <w:rPr>
          <w:noProof/>
        </w:rPr>
        <w:t>Theme 2: Corporate Governance Practices</w:t>
      </w:r>
      <w:r>
        <w:rPr>
          <w:noProof/>
        </w:rPr>
        <w:tab/>
      </w:r>
      <w:r>
        <w:rPr>
          <w:noProof/>
        </w:rPr>
        <w:fldChar w:fldCharType="begin"/>
      </w:r>
      <w:r>
        <w:rPr>
          <w:noProof/>
        </w:rPr>
        <w:instrText xml:space="preserve"> PAGEREF _Toc165667429 \h </w:instrText>
      </w:r>
      <w:r>
        <w:rPr>
          <w:noProof/>
        </w:rPr>
      </w:r>
      <w:r>
        <w:rPr>
          <w:noProof/>
        </w:rPr>
        <w:fldChar w:fldCharType="separate"/>
      </w:r>
      <w:r>
        <w:rPr>
          <w:noProof/>
        </w:rPr>
        <w:t>43</w:t>
      </w:r>
      <w:r>
        <w:rPr>
          <w:noProof/>
        </w:rPr>
        <w:fldChar w:fldCharType="end"/>
      </w:r>
    </w:p>
    <w:p w14:paraId="18FA567A" w14:textId="0A245010" w:rsidR="00E7748F" w:rsidRDefault="00E7748F">
      <w:pPr>
        <w:pStyle w:val="TOC2"/>
        <w:tabs>
          <w:tab w:val="right" w:leader="dot" w:pos="9016"/>
        </w:tabs>
        <w:rPr>
          <w:rFonts w:eastAsiaTheme="minorEastAsia"/>
          <w:noProof/>
          <w:lang w:eastAsia="en-GB"/>
        </w:rPr>
      </w:pPr>
      <w:r>
        <w:rPr>
          <w:noProof/>
        </w:rPr>
        <w:t>Theme 3: Cryptocurrency Regulation</w:t>
      </w:r>
      <w:r>
        <w:rPr>
          <w:noProof/>
        </w:rPr>
        <w:tab/>
      </w:r>
      <w:r>
        <w:rPr>
          <w:noProof/>
        </w:rPr>
        <w:fldChar w:fldCharType="begin"/>
      </w:r>
      <w:r>
        <w:rPr>
          <w:noProof/>
        </w:rPr>
        <w:instrText xml:space="preserve"> PAGEREF _Toc165667430 \h </w:instrText>
      </w:r>
      <w:r>
        <w:rPr>
          <w:noProof/>
        </w:rPr>
      </w:r>
      <w:r>
        <w:rPr>
          <w:noProof/>
        </w:rPr>
        <w:fldChar w:fldCharType="separate"/>
      </w:r>
      <w:r>
        <w:rPr>
          <w:noProof/>
        </w:rPr>
        <w:t>44</w:t>
      </w:r>
      <w:r>
        <w:rPr>
          <w:noProof/>
        </w:rPr>
        <w:fldChar w:fldCharType="end"/>
      </w:r>
    </w:p>
    <w:p w14:paraId="56D432AD" w14:textId="4E4398C0" w:rsidR="00E7748F" w:rsidRDefault="00E7748F">
      <w:pPr>
        <w:pStyle w:val="TOC2"/>
        <w:tabs>
          <w:tab w:val="right" w:leader="dot" w:pos="9016"/>
        </w:tabs>
        <w:rPr>
          <w:rFonts w:eastAsiaTheme="minorEastAsia"/>
          <w:noProof/>
          <w:lang w:eastAsia="en-GB"/>
        </w:rPr>
      </w:pPr>
      <w:r>
        <w:rPr>
          <w:noProof/>
        </w:rPr>
        <w:t>Emerging Theme: Dynamic Interconnectedness of Cryptocurrency Exchange</w:t>
      </w:r>
      <w:r>
        <w:rPr>
          <w:noProof/>
        </w:rPr>
        <w:tab/>
      </w:r>
      <w:r>
        <w:rPr>
          <w:noProof/>
        </w:rPr>
        <w:fldChar w:fldCharType="begin"/>
      </w:r>
      <w:r>
        <w:rPr>
          <w:noProof/>
        </w:rPr>
        <w:instrText xml:space="preserve"> PAGEREF _Toc165667431 \h </w:instrText>
      </w:r>
      <w:r>
        <w:rPr>
          <w:noProof/>
        </w:rPr>
      </w:r>
      <w:r>
        <w:rPr>
          <w:noProof/>
        </w:rPr>
        <w:fldChar w:fldCharType="separate"/>
      </w:r>
      <w:r>
        <w:rPr>
          <w:noProof/>
        </w:rPr>
        <w:t>46</w:t>
      </w:r>
      <w:r>
        <w:rPr>
          <w:noProof/>
        </w:rPr>
        <w:fldChar w:fldCharType="end"/>
      </w:r>
    </w:p>
    <w:p w14:paraId="25A90512" w14:textId="75379A37" w:rsidR="00E7748F" w:rsidRDefault="00E7748F">
      <w:pPr>
        <w:pStyle w:val="TOC1"/>
        <w:tabs>
          <w:tab w:val="right" w:leader="dot" w:pos="9016"/>
        </w:tabs>
        <w:rPr>
          <w:rFonts w:eastAsiaTheme="minorEastAsia"/>
          <w:noProof/>
          <w:lang w:eastAsia="en-GB"/>
        </w:rPr>
      </w:pPr>
      <w:r w:rsidRPr="006377AE">
        <w:rPr>
          <w:noProof/>
        </w:rPr>
        <w:t>Discussion</w:t>
      </w:r>
      <w:r>
        <w:rPr>
          <w:noProof/>
        </w:rPr>
        <w:tab/>
      </w:r>
      <w:r>
        <w:rPr>
          <w:noProof/>
        </w:rPr>
        <w:fldChar w:fldCharType="begin"/>
      </w:r>
      <w:r>
        <w:rPr>
          <w:noProof/>
        </w:rPr>
        <w:instrText xml:space="preserve"> PAGEREF _Toc165667432 \h </w:instrText>
      </w:r>
      <w:r>
        <w:rPr>
          <w:noProof/>
        </w:rPr>
      </w:r>
      <w:r>
        <w:rPr>
          <w:noProof/>
        </w:rPr>
        <w:fldChar w:fldCharType="separate"/>
      </w:r>
      <w:r>
        <w:rPr>
          <w:noProof/>
        </w:rPr>
        <w:t>48</w:t>
      </w:r>
      <w:r>
        <w:rPr>
          <w:noProof/>
        </w:rPr>
        <w:fldChar w:fldCharType="end"/>
      </w:r>
    </w:p>
    <w:p w14:paraId="60343E6E" w14:textId="16366F71" w:rsidR="00E7748F" w:rsidRDefault="00E7748F">
      <w:pPr>
        <w:pStyle w:val="TOC1"/>
        <w:tabs>
          <w:tab w:val="right" w:leader="dot" w:pos="9016"/>
        </w:tabs>
        <w:rPr>
          <w:rFonts w:eastAsiaTheme="minorEastAsia"/>
          <w:noProof/>
          <w:lang w:eastAsia="en-GB"/>
        </w:rPr>
      </w:pPr>
      <w:r w:rsidRPr="006377AE">
        <w:rPr>
          <w:noProof/>
        </w:rPr>
        <w:t>Recommendations and Conclusion</w:t>
      </w:r>
      <w:r>
        <w:rPr>
          <w:noProof/>
        </w:rPr>
        <w:tab/>
      </w:r>
      <w:r>
        <w:rPr>
          <w:noProof/>
        </w:rPr>
        <w:fldChar w:fldCharType="begin"/>
      </w:r>
      <w:r>
        <w:rPr>
          <w:noProof/>
        </w:rPr>
        <w:instrText xml:space="preserve"> PAGEREF _Toc165667433 \h </w:instrText>
      </w:r>
      <w:r>
        <w:rPr>
          <w:noProof/>
        </w:rPr>
      </w:r>
      <w:r>
        <w:rPr>
          <w:noProof/>
        </w:rPr>
        <w:fldChar w:fldCharType="separate"/>
      </w:r>
      <w:r>
        <w:rPr>
          <w:noProof/>
        </w:rPr>
        <w:t>56</w:t>
      </w:r>
      <w:r>
        <w:rPr>
          <w:noProof/>
        </w:rPr>
        <w:fldChar w:fldCharType="end"/>
      </w:r>
    </w:p>
    <w:p w14:paraId="4F4BF952" w14:textId="2020FFFD" w:rsidR="00E7748F" w:rsidRDefault="00E7748F">
      <w:pPr>
        <w:pStyle w:val="TOC2"/>
        <w:tabs>
          <w:tab w:val="right" w:leader="dot" w:pos="9016"/>
        </w:tabs>
        <w:rPr>
          <w:rFonts w:eastAsiaTheme="minorEastAsia"/>
          <w:noProof/>
          <w:lang w:eastAsia="en-GB"/>
        </w:rPr>
      </w:pPr>
      <w:r>
        <w:rPr>
          <w:noProof/>
        </w:rPr>
        <w:t>Contribution to Theory</w:t>
      </w:r>
      <w:r>
        <w:rPr>
          <w:noProof/>
        </w:rPr>
        <w:tab/>
      </w:r>
      <w:r>
        <w:rPr>
          <w:noProof/>
        </w:rPr>
        <w:fldChar w:fldCharType="begin"/>
      </w:r>
      <w:r>
        <w:rPr>
          <w:noProof/>
        </w:rPr>
        <w:instrText xml:space="preserve"> PAGEREF _Toc165667434 \h </w:instrText>
      </w:r>
      <w:r>
        <w:rPr>
          <w:noProof/>
        </w:rPr>
      </w:r>
      <w:r>
        <w:rPr>
          <w:noProof/>
        </w:rPr>
        <w:fldChar w:fldCharType="separate"/>
      </w:r>
      <w:r>
        <w:rPr>
          <w:noProof/>
        </w:rPr>
        <w:t>57</w:t>
      </w:r>
      <w:r>
        <w:rPr>
          <w:noProof/>
        </w:rPr>
        <w:fldChar w:fldCharType="end"/>
      </w:r>
    </w:p>
    <w:p w14:paraId="30A8A631" w14:textId="0EB5521E" w:rsidR="00E7748F" w:rsidRDefault="00E7748F">
      <w:pPr>
        <w:pStyle w:val="TOC2"/>
        <w:tabs>
          <w:tab w:val="right" w:leader="dot" w:pos="9016"/>
        </w:tabs>
        <w:rPr>
          <w:rFonts w:eastAsiaTheme="minorEastAsia"/>
          <w:noProof/>
          <w:lang w:eastAsia="en-GB"/>
        </w:rPr>
      </w:pPr>
      <w:r>
        <w:rPr>
          <w:noProof/>
        </w:rPr>
        <w:t>Limitation of the Study</w:t>
      </w:r>
      <w:r>
        <w:rPr>
          <w:noProof/>
        </w:rPr>
        <w:tab/>
      </w:r>
      <w:r>
        <w:rPr>
          <w:noProof/>
        </w:rPr>
        <w:fldChar w:fldCharType="begin"/>
      </w:r>
      <w:r>
        <w:rPr>
          <w:noProof/>
        </w:rPr>
        <w:instrText xml:space="preserve"> PAGEREF _Toc165667435 \h </w:instrText>
      </w:r>
      <w:r>
        <w:rPr>
          <w:noProof/>
        </w:rPr>
      </w:r>
      <w:r>
        <w:rPr>
          <w:noProof/>
        </w:rPr>
        <w:fldChar w:fldCharType="separate"/>
      </w:r>
      <w:r>
        <w:rPr>
          <w:noProof/>
        </w:rPr>
        <w:t>58</w:t>
      </w:r>
      <w:r>
        <w:rPr>
          <w:noProof/>
        </w:rPr>
        <w:fldChar w:fldCharType="end"/>
      </w:r>
    </w:p>
    <w:p w14:paraId="50FC72C0" w14:textId="338A89B7" w:rsidR="00E7748F" w:rsidRDefault="00E7748F">
      <w:pPr>
        <w:pStyle w:val="TOC2"/>
        <w:tabs>
          <w:tab w:val="right" w:leader="dot" w:pos="9016"/>
        </w:tabs>
        <w:rPr>
          <w:rFonts w:eastAsiaTheme="minorEastAsia"/>
          <w:noProof/>
          <w:lang w:eastAsia="en-GB"/>
        </w:rPr>
      </w:pPr>
      <w:r>
        <w:rPr>
          <w:noProof/>
        </w:rPr>
        <w:t>Conclusion</w:t>
      </w:r>
      <w:r>
        <w:rPr>
          <w:noProof/>
        </w:rPr>
        <w:tab/>
      </w:r>
      <w:r>
        <w:rPr>
          <w:noProof/>
        </w:rPr>
        <w:fldChar w:fldCharType="begin"/>
      </w:r>
      <w:r>
        <w:rPr>
          <w:noProof/>
        </w:rPr>
        <w:instrText xml:space="preserve"> PAGEREF _Toc165667436 \h </w:instrText>
      </w:r>
      <w:r>
        <w:rPr>
          <w:noProof/>
        </w:rPr>
      </w:r>
      <w:r>
        <w:rPr>
          <w:noProof/>
        </w:rPr>
        <w:fldChar w:fldCharType="separate"/>
      </w:r>
      <w:r>
        <w:rPr>
          <w:noProof/>
        </w:rPr>
        <w:t>59</w:t>
      </w:r>
      <w:r>
        <w:rPr>
          <w:noProof/>
        </w:rPr>
        <w:fldChar w:fldCharType="end"/>
      </w:r>
    </w:p>
    <w:p w14:paraId="7FCB1E7E" w14:textId="571D5076" w:rsidR="00E7748F" w:rsidRDefault="00E7748F">
      <w:pPr>
        <w:pStyle w:val="TOC1"/>
        <w:tabs>
          <w:tab w:val="right" w:leader="dot" w:pos="9016"/>
        </w:tabs>
        <w:rPr>
          <w:rFonts w:eastAsiaTheme="minorEastAsia"/>
          <w:noProof/>
          <w:lang w:eastAsia="en-GB"/>
        </w:rPr>
      </w:pPr>
      <w:r w:rsidRPr="006377AE">
        <w:rPr>
          <w:noProof/>
        </w:rPr>
        <w:t>References</w:t>
      </w:r>
      <w:r>
        <w:rPr>
          <w:noProof/>
        </w:rPr>
        <w:tab/>
      </w:r>
      <w:r>
        <w:rPr>
          <w:noProof/>
        </w:rPr>
        <w:fldChar w:fldCharType="begin"/>
      </w:r>
      <w:r>
        <w:rPr>
          <w:noProof/>
        </w:rPr>
        <w:instrText xml:space="preserve"> PAGEREF _Toc165667437 \h </w:instrText>
      </w:r>
      <w:r>
        <w:rPr>
          <w:noProof/>
        </w:rPr>
      </w:r>
      <w:r>
        <w:rPr>
          <w:noProof/>
        </w:rPr>
        <w:fldChar w:fldCharType="separate"/>
      </w:r>
      <w:r>
        <w:rPr>
          <w:noProof/>
        </w:rPr>
        <w:t>61</w:t>
      </w:r>
      <w:r>
        <w:rPr>
          <w:noProof/>
        </w:rPr>
        <w:fldChar w:fldCharType="end"/>
      </w:r>
    </w:p>
    <w:p w14:paraId="2E5DB372" w14:textId="4DABC608" w:rsidR="00E7748F" w:rsidRDefault="00E7748F">
      <w:pPr>
        <w:pStyle w:val="TOC1"/>
        <w:tabs>
          <w:tab w:val="right" w:leader="dot" w:pos="9016"/>
        </w:tabs>
        <w:rPr>
          <w:rFonts w:eastAsiaTheme="minorEastAsia"/>
          <w:noProof/>
          <w:lang w:eastAsia="en-GB"/>
        </w:rPr>
      </w:pPr>
      <w:r w:rsidRPr="006377AE">
        <w:rPr>
          <w:noProof/>
        </w:rPr>
        <w:t>Appendix</w:t>
      </w:r>
      <w:r>
        <w:rPr>
          <w:noProof/>
        </w:rPr>
        <w:tab/>
      </w:r>
      <w:r>
        <w:rPr>
          <w:noProof/>
        </w:rPr>
        <w:fldChar w:fldCharType="begin"/>
      </w:r>
      <w:r>
        <w:rPr>
          <w:noProof/>
        </w:rPr>
        <w:instrText xml:space="preserve"> PAGEREF _Toc165667438 \h </w:instrText>
      </w:r>
      <w:r>
        <w:rPr>
          <w:noProof/>
        </w:rPr>
      </w:r>
      <w:r>
        <w:rPr>
          <w:noProof/>
        </w:rPr>
        <w:fldChar w:fldCharType="separate"/>
      </w:r>
      <w:r>
        <w:rPr>
          <w:noProof/>
        </w:rPr>
        <w:t>66</w:t>
      </w:r>
      <w:r>
        <w:rPr>
          <w:noProof/>
        </w:rPr>
        <w:fldChar w:fldCharType="end"/>
      </w:r>
    </w:p>
    <w:p w14:paraId="4CDA36B0" w14:textId="5BB9F700" w:rsidR="00923840" w:rsidRPr="00923840" w:rsidRDefault="00923840" w:rsidP="00923840">
      <w:pPr>
        <w:jc w:val="center"/>
        <w:rPr>
          <w:rFonts w:ascii="Times New Roman" w:hAnsi="Times New Roman" w:cs="Times New Roman"/>
          <w:b/>
          <w:sz w:val="24"/>
          <w:szCs w:val="24"/>
        </w:rPr>
      </w:pPr>
      <w:r>
        <w:rPr>
          <w:rFonts w:ascii="Times New Roman" w:hAnsi="Times New Roman" w:cs="Times New Roman"/>
          <w:b/>
          <w:sz w:val="24"/>
          <w:szCs w:val="24"/>
        </w:rPr>
        <w:fldChar w:fldCharType="end"/>
      </w:r>
    </w:p>
    <w:p w14:paraId="070AD18C" w14:textId="77777777" w:rsidR="00923840" w:rsidRDefault="00923840"/>
    <w:p w14:paraId="45158DB3" w14:textId="77777777" w:rsidR="00923840" w:rsidRDefault="00923840"/>
    <w:p w14:paraId="66E9DB73" w14:textId="77777777" w:rsidR="00923840" w:rsidRDefault="00923840">
      <w:pPr>
        <w:rPr>
          <w:rFonts w:ascii="Times New Roman" w:eastAsia="Calibri" w:hAnsi="Times New Roman" w:cs="Times New Roman"/>
          <w:b/>
          <w:kern w:val="0"/>
          <w:sz w:val="24"/>
          <w:szCs w:val="24"/>
          <w:lang w:val="en-US"/>
          <w14:ligatures w14:val="none"/>
        </w:rPr>
      </w:pPr>
    </w:p>
    <w:p w14:paraId="6259F25A" w14:textId="7C55DEA0" w:rsidR="002770D2" w:rsidRDefault="00923840">
      <w:r>
        <w:br w:type="page"/>
      </w:r>
    </w:p>
    <w:p w14:paraId="559FAD9A" w14:textId="411135E0" w:rsidR="00BE2E0A" w:rsidRPr="00B06243" w:rsidRDefault="002770D2" w:rsidP="00B06243">
      <w:pPr>
        <w:pStyle w:val="Heading1"/>
      </w:pPr>
      <w:bookmarkStart w:id="0" w:name="_Toc165667394"/>
      <w:r>
        <w:lastRenderedPageBreak/>
        <w:t>Abstract</w:t>
      </w:r>
      <w:bookmarkEnd w:id="0"/>
    </w:p>
    <w:p w14:paraId="52AF7A7F" w14:textId="67EBB479" w:rsidR="009A3078" w:rsidRPr="00FA464E" w:rsidRDefault="009A3078" w:rsidP="00682532">
      <w:pPr>
        <w:spacing w:after="0" w:line="480" w:lineRule="auto"/>
        <w:ind w:firstLine="720"/>
        <w:rPr>
          <w:rFonts w:ascii="Times New Roman" w:hAnsi="Times New Roman" w:cs="Times New Roman"/>
          <w:kern w:val="0"/>
          <w:sz w:val="24"/>
          <w:szCs w:val="24"/>
          <w14:ligatures w14:val="none"/>
        </w:rPr>
      </w:pPr>
      <w:r w:rsidRPr="00FA464E">
        <w:rPr>
          <w:rFonts w:ascii="Times New Roman" w:hAnsi="Times New Roman" w:cs="Times New Roman"/>
          <w:kern w:val="0"/>
          <w:sz w:val="24"/>
          <w:szCs w:val="24"/>
          <w14:ligatures w14:val="none"/>
        </w:rPr>
        <w:t xml:space="preserve">The </w:t>
      </w:r>
      <w:r w:rsidR="00682532" w:rsidRPr="00FA464E">
        <w:rPr>
          <w:rFonts w:ascii="Times New Roman" w:hAnsi="Times New Roman" w:cs="Times New Roman"/>
          <w:kern w:val="0"/>
          <w:sz w:val="24"/>
          <w:szCs w:val="24"/>
          <w14:ligatures w14:val="none"/>
        </w:rPr>
        <w:t>collapse</w:t>
      </w:r>
      <w:r w:rsidRPr="00FA464E">
        <w:rPr>
          <w:rFonts w:ascii="Times New Roman" w:hAnsi="Times New Roman" w:cs="Times New Roman"/>
          <w:kern w:val="0"/>
          <w:sz w:val="24"/>
          <w:szCs w:val="24"/>
          <w14:ligatures w14:val="none"/>
        </w:rPr>
        <w:t xml:space="preserve"> of the digital asset exchange FTX and </w:t>
      </w:r>
      <w:r w:rsidR="00E42D88" w:rsidRPr="00FA464E">
        <w:rPr>
          <w:rFonts w:ascii="Times New Roman" w:hAnsi="Times New Roman" w:cs="Times New Roman"/>
          <w:kern w:val="0"/>
          <w:sz w:val="24"/>
          <w:szCs w:val="24"/>
          <w14:ligatures w14:val="none"/>
        </w:rPr>
        <w:t>its sister trading firm Alameda Research revealed significant shortcomings</w:t>
      </w:r>
      <w:r w:rsidR="00682532" w:rsidRPr="00FA464E">
        <w:rPr>
          <w:rFonts w:ascii="Times New Roman" w:hAnsi="Times New Roman" w:cs="Times New Roman"/>
          <w:kern w:val="0"/>
          <w:sz w:val="24"/>
          <w:szCs w:val="24"/>
          <w14:ligatures w14:val="none"/>
        </w:rPr>
        <w:t xml:space="preserve"> in their operation</w:t>
      </w:r>
      <w:r w:rsidR="00E26192">
        <w:rPr>
          <w:rFonts w:ascii="Times New Roman" w:hAnsi="Times New Roman" w:cs="Times New Roman"/>
          <w:kern w:val="0"/>
          <w:sz w:val="24"/>
          <w:szCs w:val="24"/>
          <w14:ligatures w14:val="none"/>
        </w:rPr>
        <w:t>s</w:t>
      </w:r>
      <w:r w:rsidR="00E42D88" w:rsidRPr="00FA464E">
        <w:rPr>
          <w:rFonts w:ascii="Times New Roman" w:hAnsi="Times New Roman" w:cs="Times New Roman"/>
          <w:kern w:val="0"/>
          <w:sz w:val="24"/>
          <w:szCs w:val="24"/>
          <w14:ligatures w14:val="none"/>
        </w:rPr>
        <w:t xml:space="preserve">. One fundamental flaw appears to be the absence of </w:t>
      </w:r>
      <w:r w:rsidR="00682532" w:rsidRPr="00FA464E">
        <w:rPr>
          <w:rFonts w:ascii="Times New Roman" w:hAnsi="Times New Roman" w:cs="Times New Roman"/>
          <w:kern w:val="0"/>
          <w:sz w:val="24"/>
          <w:szCs w:val="24"/>
          <w14:ligatures w14:val="none"/>
        </w:rPr>
        <w:t xml:space="preserve">any </w:t>
      </w:r>
      <w:r w:rsidR="00E26192">
        <w:rPr>
          <w:rFonts w:ascii="Times New Roman" w:hAnsi="Times New Roman" w:cs="Times New Roman"/>
          <w:kern w:val="0"/>
          <w:sz w:val="24"/>
          <w:szCs w:val="24"/>
          <w14:ligatures w14:val="none"/>
        </w:rPr>
        <w:t xml:space="preserve">meaningful </w:t>
      </w:r>
      <w:r w:rsidR="00E42D88" w:rsidRPr="00FA464E">
        <w:rPr>
          <w:rFonts w:ascii="Times New Roman" w:hAnsi="Times New Roman" w:cs="Times New Roman"/>
          <w:kern w:val="0"/>
          <w:sz w:val="24"/>
          <w:szCs w:val="24"/>
          <w14:ligatures w14:val="none"/>
        </w:rPr>
        <w:t xml:space="preserve">corporate governance. The following study gives a </w:t>
      </w:r>
      <w:r w:rsidR="00682532" w:rsidRPr="00FA464E">
        <w:rPr>
          <w:rFonts w:ascii="Times New Roman" w:hAnsi="Times New Roman" w:cs="Times New Roman"/>
          <w:kern w:val="0"/>
          <w:sz w:val="24"/>
          <w:szCs w:val="24"/>
          <w14:ligatures w14:val="none"/>
        </w:rPr>
        <w:t>high-level</w:t>
      </w:r>
      <w:r w:rsidR="00E42D88" w:rsidRPr="00FA464E">
        <w:rPr>
          <w:rFonts w:ascii="Times New Roman" w:hAnsi="Times New Roman" w:cs="Times New Roman"/>
          <w:kern w:val="0"/>
          <w:sz w:val="24"/>
          <w:szCs w:val="24"/>
          <w14:ligatures w14:val="none"/>
        </w:rPr>
        <w:t xml:space="preserve"> summary of the history and background of these entities </w:t>
      </w:r>
      <w:r w:rsidR="00682532" w:rsidRPr="00FA464E">
        <w:rPr>
          <w:rFonts w:ascii="Times New Roman" w:hAnsi="Times New Roman" w:cs="Times New Roman"/>
          <w:kern w:val="0"/>
          <w:sz w:val="24"/>
          <w:szCs w:val="24"/>
          <w14:ligatures w14:val="none"/>
        </w:rPr>
        <w:t xml:space="preserve">and the events which </w:t>
      </w:r>
      <w:r w:rsidR="00E26192">
        <w:rPr>
          <w:rFonts w:ascii="Times New Roman" w:hAnsi="Times New Roman" w:cs="Times New Roman"/>
          <w:kern w:val="0"/>
          <w:sz w:val="24"/>
          <w:szCs w:val="24"/>
          <w14:ligatures w14:val="none"/>
        </w:rPr>
        <w:t>culminated</w:t>
      </w:r>
      <w:r w:rsidR="00682532" w:rsidRPr="00FA464E">
        <w:rPr>
          <w:rFonts w:ascii="Times New Roman" w:hAnsi="Times New Roman" w:cs="Times New Roman"/>
          <w:kern w:val="0"/>
          <w:sz w:val="24"/>
          <w:szCs w:val="24"/>
          <w14:ligatures w14:val="none"/>
        </w:rPr>
        <w:t xml:space="preserve"> </w:t>
      </w:r>
      <w:r w:rsidR="00E26192">
        <w:rPr>
          <w:rFonts w:ascii="Times New Roman" w:hAnsi="Times New Roman" w:cs="Times New Roman"/>
          <w:kern w:val="0"/>
          <w:sz w:val="24"/>
          <w:szCs w:val="24"/>
          <w14:ligatures w14:val="none"/>
        </w:rPr>
        <w:t>in</w:t>
      </w:r>
      <w:r w:rsidR="00682532" w:rsidRPr="00FA464E">
        <w:rPr>
          <w:rFonts w:ascii="Times New Roman" w:hAnsi="Times New Roman" w:cs="Times New Roman"/>
          <w:kern w:val="0"/>
          <w:sz w:val="24"/>
          <w:szCs w:val="24"/>
          <w14:ligatures w14:val="none"/>
        </w:rPr>
        <w:t xml:space="preserve"> their bankruptcy. Subsequently it examines how the absence of corporate governance</w:t>
      </w:r>
      <w:r w:rsidR="00E26192">
        <w:rPr>
          <w:rFonts w:ascii="Times New Roman" w:hAnsi="Times New Roman" w:cs="Times New Roman"/>
          <w:kern w:val="0"/>
          <w:sz w:val="24"/>
          <w:szCs w:val="24"/>
          <w14:ligatures w14:val="none"/>
        </w:rPr>
        <w:t xml:space="preserve"> within these firms</w:t>
      </w:r>
      <w:r w:rsidR="00682532" w:rsidRPr="00FA464E">
        <w:rPr>
          <w:rFonts w:ascii="Times New Roman" w:hAnsi="Times New Roman" w:cs="Times New Roman"/>
          <w:kern w:val="0"/>
          <w:sz w:val="24"/>
          <w:szCs w:val="24"/>
          <w14:ligatures w14:val="none"/>
        </w:rPr>
        <w:t xml:space="preserve"> resulted in significant risk management failures, resulting in </w:t>
      </w:r>
      <w:r w:rsidR="00FA464E" w:rsidRPr="00FA464E">
        <w:rPr>
          <w:rFonts w:ascii="Times New Roman" w:hAnsi="Times New Roman" w:cs="Times New Roman"/>
          <w:kern w:val="0"/>
          <w:sz w:val="24"/>
          <w:szCs w:val="24"/>
          <w14:ligatures w14:val="none"/>
        </w:rPr>
        <w:t xml:space="preserve">insolvency. The study concludes by suggesting the implementation of </w:t>
      </w:r>
      <w:r w:rsidR="007556E3">
        <w:rPr>
          <w:rFonts w:ascii="Times New Roman" w:hAnsi="Times New Roman" w:cs="Times New Roman"/>
          <w:kern w:val="0"/>
          <w:sz w:val="24"/>
          <w:szCs w:val="24"/>
          <w14:ligatures w14:val="none"/>
        </w:rPr>
        <w:t xml:space="preserve">several </w:t>
      </w:r>
      <w:r w:rsidR="00FA464E" w:rsidRPr="00FA464E">
        <w:rPr>
          <w:rFonts w:ascii="Times New Roman" w:hAnsi="Times New Roman" w:cs="Times New Roman"/>
          <w:kern w:val="0"/>
          <w:sz w:val="24"/>
          <w:szCs w:val="24"/>
          <w14:ligatures w14:val="none"/>
        </w:rPr>
        <w:t>corporate governance policies to assist in avoiding these</w:t>
      </w:r>
      <w:r w:rsidR="00E26192">
        <w:rPr>
          <w:rFonts w:ascii="Times New Roman" w:hAnsi="Times New Roman" w:cs="Times New Roman"/>
          <w:kern w:val="0"/>
          <w:sz w:val="24"/>
          <w:szCs w:val="24"/>
          <w14:ligatures w14:val="none"/>
        </w:rPr>
        <w:t xml:space="preserve"> </w:t>
      </w:r>
      <w:r w:rsidR="007556E3">
        <w:rPr>
          <w:rFonts w:ascii="Times New Roman" w:hAnsi="Times New Roman" w:cs="Times New Roman"/>
          <w:kern w:val="0"/>
          <w:sz w:val="24"/>
          <w:szCs w:val="24"/>
          <w14:ligatures w14:val="none"/>
        </w:rPr>
        <w:t xml:space="preserve">types of </w:t>
      </w:r>
      <w:r w:rsidR="00FA464E" w:rsidRPr="00FA464E">
        <w:rPr>
          <w:rFonts w:ascii="Times New Roman" w:hAnsi="Times New Roman" w:cs="Times New Roman"/>
          <w:kern w:val="0"/>
          <w:sz w:val="24"/>
          <w:szCs w:val="24"/>
          <w14:ligatures w14:val="none"/>
        </w:rPr>
        <w:t xml:space="preserve">failures, with particular emphasis on digital asset reserving, </w:t>
      </w:r>
      <w:r w:rsidR="00E26192">
        <w:rPr>
          <w:rFonts w:ascii="Times New Roman" w:hAnsi="Times New Roman" w:cs="Times New Roman"/>
          <w:kern w:val="0"/>
          <w:sz w:val="24"/>
          <w:szCs w:val="24"/>
          <w14:ligatures w14:val="none"/>
        </w:rPr>
        <w:t xml:space="preserve">company </w:t>
      </w:r>
      <w:r w:rsidR="00FA464E" w:rsidRPr="00FA464E">
        <w:rPr>
          <w:rFonts w:ascii="Times New Roman" w:hAnsi="Times New Roman" w:cs="Times New Roman"/>
          <w:kern w:val="0"/>
          <w:sz w:val="24"/>
          <w:szCs w:val="24"/>
          <w14:ligatures w14:val="none"/>
        </w:rPr>
        <w:t>stewardship and the usage and collateralisation of privately issued digital assets</w:t>
      </w:r>
      <w:r w:rsidR="006C34C8">
        <w:rPr>
          <w:rFonts w:ascii="Times New Roman" w:hAnsi="Times New Roman" w:cs="Times New Roman"/>
          <w:kern w:val="0"/>
          <w:sz w:val="24"/>
          <w:szCs w:val="24"/>
          <w14:ligatures w14:val="none"/>
        </w:rPr>
        <w:t xml:space="preserve"> and customer assets</w:t>
      </w:r>
      <w:r w:rsidR="00FA464E" w:rsidRPr="00FA464E">
        <w:rPr>
          <w:rFonts w:ascii="Times New Roman" w:hAnsi="Times New Roman" w:cs="Times New Roman"/>
          <w:kern w:val="0"/>
          <w:sz w:val="24"/>
          <w:szCs w:val="24"/>
          <w14:ligatures w14:val="none"/>
        </w:rPr>
        <w:t>.</w:t>
      </w:r>
    </w:p>
    <w:p w14:paraId="26BA8E9E" w14:textId="77777777" w:rsidR="00682532" w:rsidRDefault="00682532" w:rsidP="00682532">
      <w:pPr>
        <w:spacing w:after="0" w:line="480" w:lineRule="auto"/>
        <w:ind w:firstLine="720"/>
        <w:rPr>
          <w:rFonts w:ascii="Times New Roman" w:hAnsi="Times New Roman" w:cs="Times New Roman"/>
          <w:kern w:val="0"/>
          <w:sz w:val="24"/>
          <w:szCs w:val="24"/>
          <w:highlight w:val="yellow"/>
          <w14:ligatures w14:val="none"/>
        </w:rPr>
      </w:pPr>
    </w:p>
    <w:p w14:paraId="142ECDFF" w14:textId="228049FF" w:rsidR="00682532" w:rsidRDefault="00682532" w:rsidP="00682532">
      <w:pPr>
        <w:spacing w:after="0" w:line="480" w:lineRule="auto"/>
        <w:rPr>
          <w:rFonts w:ascii="Times New Roman" w:hAnsi="Times New Roman" w:cs="Times New Roman"/>
          <w:kern w:val="0"/>
          <w:sz w:val="24"/>
          <w:szCs w:val="24"/>
          <w:highlight w:val="yellow"/>
          <w14:ligatures w14:val="none"/>
        </w:rPr>
      </w:pPr>
    </w:p>
    <w:p w14:paraId="174F525F" w14:textId="77777777" w:rsidR="002770D2" w:rsidRDefault="002770D2">
      <w:pPr>
        <w:rPr>
          <w:rFonts w:ascii="Times New Roman" w:hAnsi="Times New Roman" w:cs="Times New Roman"/>
          <w:kern w:val="0"/>
          <w:sz w:val="24"/>
          <w:szCs w:val="24"/>
          <w14:ligatures w14:val="none"/>
        </w:rPr>
      </w:pPr>
    </w:p>
    <w:p w14:paraId="09EA356F" w14:textId="77777777" w:rsidR="00FA464E" w:rsidRDefault="00FA464E">
      <w:pPr>
        <w:rPr>
          <w:rFonts w:ascii="Times New Roman" w:hAnsi="Times New Roman" w:cs="Times New Roman"/>
          <w:kern w:val="0"/>
          <w:sz w:val="24"/>
          <w:szCs w:val="24"/>
          <w14:ligatures w14:val="none"/>
        </w:rPr>
      </w:pPr>
    </w:p>
    <w:p w14:paraId="0B7353CA" w14:textId="77777777" w:rsidR="00FA464E" w:rsidRDefault="00FA464E">
      <w:pPr>
        <w:rPr>
          <w:rFonts w:ascii="Times New Roman" w:hAnsi="Times New Roman" w:cs="Times New Roman"/>
          <w:kern w:val="0"/>
          <w:sz w:val="24"/>
          <w:szCs w:val="24"/>
          <w14:ligatures w14:val="none"/>
        </w:rPr>
      </w:pPr>
    </w:p>
    <w:p w14:paraId="6773235A" w14:textId="77777777" w:rsidR="00FA464E" w:rsidRDefault="00FA464E">
      <w:pPr>
        <w:rPr>
          <w:rFonts w:ascii="Times New Roman" w:hAnsi="Times New Roman" w:cs="Times New Roman"/>
          <w:kern w:val="0"/>
          <w:sz w:val="24"/>
          <w:szCs w:val="24"/>
          <w14:ligatures w14:val="none"/>
        </w:rPr>
      </w:pPr>
    </w:p>
    <w:p w14:paraId="38D89736" w14:textId="77777777" w:rsidR="00FA464E" w:rsidRDefault="00FA464E">
      <w:pPr>
        <w:rPr>
          <w:rFonts w:ascii="Times New Roman" w:hAnsi="Times New Roman" w:cs="Times New Roman"/>
          <w:kern w:val="0"/>
          <w:sz w:val="24"/>
          <w:szCs w:val="24"/>
          <w14:ligatures w14:val="none"/>
        </w:rPr>
      </w:pPr>
    </w:p>
    <w:p w14:paraId="3ED30425" w14:textId="77777777" w:rsidR="00FA464E" w:rsidRPr="007271B6" w:rsidRDefault="00FA464E"/>
    <w:p w14:paraId="63BC2103" w14:textId="77777777" w:rsidR="002770D2" w:rsidRPr="007271B6" w:rsidRDefault="002770D2"/>
    <w:p w14:paraId="3A6B809E" w14:textId="77777777" w:rsidR="002770D2" w:rsidRPr="007271B6" w:rsidRDefault="002770D2"/>
    <w:p w14:paraId="6737A141" w14:textId="77777777" w:rsidR="002770D2" w:rsidRPr="007271B6" w:rsidRDefault="002770D2"/>
    <w:p w14:paraId="5AF917E8" w14:textId="77777777" w:rsidR="002770D2" w:rsidRPr="007271B6" w:rsidRDefault="002770D2"/>
    <w:p w14:paraId="22F566D5" w14:textId="77777777" w:rsidR="002770D2" w:rsidRDefault="002770D2"/>
    <w:p w14:paraId="34CDC7C6" w14:textId="77777777" w:rsidR="00B06243" w:rsidRDefault="00B06243"/>
    <w:p w14:paraId="227DF6C2" w14:textId="77777777" w:rsidR="00B06243" w:rsidRPr="007271B6" w:rsidRDefault="00B06243"/>
    <w:p w14:paraId="4D800520" w14:textId="77777777" w:rsidR="002770D2" w:rsidRPr="007271B6" w:rsidRDefault="002770D2"/>
    <w:p w14:paraId="4CB86450" w14:textId="77777777" w:rsidR="002770D2" w:rsidRPr="007271B6" w:rsidRDefault="002770D2"/>
    <w:p w14:paraId="2E08D5B3" w14:textId="31589856" w:rsidR="005C74BB" w:rsidRPr="007271B6" w:rsidRDefault="005C74BB" w:rsidP="004909ED">
      <w:pPr>
        <w:pStyle w:val="Heading1"/>
        <w:rPr>
          <w:lang w:val="en-GB"/>
        </w:rPr>
      </w:pPr>
      <w:bookmarkStart w:id="1" w:name="_Toc165667395"/>
      <w:r w:rsidRPr="007271B6">
        <w:rPr>
          <w:lang w:val="en-GB"/>
        </w:rPr>
        <w:lastRenderedPageBreak/>
        <w:t>Introduction</w:t>
      </w:r>
      <w:bookmarkEnd w:id="1"/>
    </w:p>
    <w:p w14:paraId="701E1E07" w14:textId="3DF82805" w:rsidR="00D175E7" w:rsidRPr="007271B6" w:rsidRDefault="00D175E7" w:rsidP="00D175E7">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Good corporate governance provides the basis for positive outcomes within organisations, allowing them to focus on achieving their goals </w:t>
      </w:r>
      <w:r w:rsidR="008F6541">
        <w:rPr>
          <w:rFonts w:ascii="Times New Roman" w:eastAsia="Calibri" w:hAnsi="Times New Roman" w:cs="Times New Roman"/>
          <w:kern w:val="0"/>
          <w:sz w:val="24"/>
          <w:szCs w:val="24"/>
          <w14:ligatures w14:val="none"/>
        </w:rPr>
        <w:t>whilst</w:t>
      </w:r>
      <w:r w:rsidRPr="007271B6">
        <w:rPr>
          <w:rFonts w:ascii="Times New Roman" w:eastAsia="Calibri" w:hAnsi="Times New Roman" w:cs="Times New Roman"/>
          <w:kern w:val="0"/>
          <w:sz w:val="24"/>
          <w:szCs w:val="24"/>
          <w14:ligatures w14:val="none"/>
        </w:rPr>
        <w:t xml:space="preserve"> remaining competitive. Through corporate governance, organisations formulate and apply relevant best practices, regulations and procedures that determine the way leadership and management interact with stakeholders, including employees, </w:t>
      </w:r>
      <w:proofErr w:type="gramStart"/>
      <w:r w:rsidRPr="007271B6">
        <w:rPr>
          <w:rFonts w:ascii="Times New Roman" w:eastAsia="Calibri" w:hAnsi="Times New Roman" w:cs="Times New Roman"/>
          <w:kern w:val="0"/>
          <w:sz w:val="24"/>
          <w:szCs w:val="24"/>
          <w14:ligatures w14:val="none"/>
        </w:rPr>
        <w:t>customers</w:t>
      </w:r>
      <w:proofErr w:type="gramEnd"/>
      <w:r w:rsidRPr="007271B6">
        <w:rPr>
          <w:rFonts w:ascii="Times New Roman" w:eastAsia="Calibri" w:hAnsi="Times New Roman" w:cs="Times New Roman"/>
          <w:kern w:val="0"/>
          <w:sz w:val="24"/>
          <w:szCs w:val="24"/>
          <w14:ligatures w14:val="none"/>
        </w:rPr>
        <w:t xml:space="preserve"> and shareholders (Ramasubramanian, 2023). In this way, a company can use corporate governance to create an equitable environment that engages all relevant parties and enables growth while considering the non-financial ramifications of its actions. The fiduciary and ethical requirements bind an organisation's directors such that they forego personal self-interest to pursue those of the entire corporation (Ramasubramanian, 2023). However, amidst the discussion on the need for organisations to develop corporate governance towards positive corporate performance, instances of failure have not been uncommon.</w:t>
      </w:r>
    </w:p>
    <w:p w14:paraId="1434FBF0" w14:textId="2DAD6201" w:rsidR="005C74BB" w:rsidRDefault="00D175E7" w:rsidP="00D175E7">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The trend of many companies collapsing reflects the failure of leadership and management to create an appropriate governance culture and structure. Every time a company fails due to poor governance, it results in significant setbacks and affects the organisation's reputation, which is detrimental in several ways. One of the negative consequences of these failures is the loss of customers, including loyal ones, which can ultimately ruin a company's financial performance. For example, cases of governance failures in organisations have increased in recent years, as shown in the</w:t>
      </w:r>
      <w:r w:rsidR="00306861">
        <w:rPr>
          <w:rFonts w:ascii="Times New Roman" w:eastAsia="Calibri" w:hAnsi="Times New Roman" w:cs="Times New Roman"/>
          <w:kern w:val="0"/>
          <w:sz w:val="24"/>
          <w:szCs w:val="24"/>
          <w14:ligatures w14:val="none"/>
        </w:rPr>
        <w:t xml:space="preserve"> Harvard</w:t>
      </w:r>
      <w:r w:rsidR="00D56C6A">
        <w:rPr>
          <w:rFonts w:ascii="Times New Roman" w:eastAsia="Calibri" w:hAnsi="Times New Roman" w:cs="Times New Roman"/>
          <w:kern w:val="0"/>
          <w:sz w:val="24"/>
          <w:szCs w:val="24"/>
          <w14:ligatures w14:val="none"/>
        </w:rPr>
        <w:t xml:space="preserve"> Law</w:t>
      </w:r>
      <w:r w:rsidR="00306861">
        <w:rPr>
          <w:rFonts w:ascii="Times New Roman" w:eastAsia="Calibri" w:hAnsi="Times New Roman" w:cs="Times New Roman"/>
          <w:kern w:val="0"/>
          <w:sz w:val="24"/>
          <w:szCs w:val="24"/>
          <w14:ligatures w14:val="none"/>
        </w:rPr>
        <w:t xml:space="preserve"> </w:t>
      </w:r>
      <w:r w:rsidRPr="007271B6">
        <w:rPr>
          <w:rFonts w:ascii="Times New Roman" w:eastAsia="Calibri" w:hAnsi="Times New Roman" w:cs="Times New Roman"/>
          <w:kern w:val="0"/>
          <w:sz w:val="24"/>
          <w:szCs w:val="24"/>
          <w14:ligatures w14:val="none"/>
        </w:rPr>
        <w:t xml:space="preserve">global </w:t>
      </w:r>
      <w:r w:rsidR="00306861">
        <w:rPr>
          <w:rFonts w:ascii="Times New Roman" w:eastAsia="Calibri" w:hAnsi="Times New Roman" w:cs="Times New Roman"/>
          <w:kern w:val="0"/>
          <w:sz w:val="24"/>
          <w:szCs w:val="24"/>
          <w14:ligatures w14:val="none"/>
        </w:rPr>
        <w:t xml:space="preserve">corporate governance </w:t>
      </w:r>
      <w:r w:rsidRPr="007271B6">
        <w:rPr>
          <w:rFonts w:ascii="Times New Roman" w:eastAsia="Calibri" w:hAnsi="Times New Roman" w:cs="Times New Roman"/>
          <w:kern w:val="0"/>
          <w:sz w:val="24"/>
          <w:szCs w:val="24"/>
          <w14:ligatures w14:val="none"/>
        </w:rPr>
        <w:t xml:space="preserve">report published in 2022. The report has necessitated the continued urge for companies to apply proactive measures that would assist in mitigating potential risks (Ramasubramanian, 2023). The reports </w:t>
      </w:r>
      <w:r w:rsidR="002770D2" w:rsidRPr="007271B6">
        <w:rPr>
          <w:rFonts w:ascii="Times New Roman" w:eastAsia="Calibri" w:hAnsi="Times New Roman" w:cs="Times New Roman"/>
          <w:kern w:val="0"/>
          <w:sz w:val="24"/>
          <w:szCs w:val="24"/>
          <w14:ligatures w14:val="none"/>
        </w:rPr>
        <w:t>identify</w:t>
      </w:r>
      <w:r w:rsidRPr="007271B6">
        <w:rPr>
          <w:rFonts w:ascii="Times New Roman" w:eastAsia="Calibri" w:hAnsi="Times New Roman" w:cs="Times New Roman"/>
          <w:kern w:val="0"/>
          <w:sz w:val="24"/>
          <w:szCs w:val="24"/>
          <w14:ligatures w14:val="none"/>
        </w:rPr>
        <w:t xml:space="preserve"> FTX and Alameda Research as leading companies that have struggled with corporate governance failures in recent years. Focusing </w:t>
      </w:r>
      <w:r w:rsidRPr="007271B6">
        <w:rPr>
          <w:rFonts w:ascii="Times New Roman" w:eastAsia="Calibri" w:hAnsi="Times New Roman" w:cs="Times New Roman"/>
          <w:kern w:val="0"/>
          <w:sz w:val="24"/>
          <w:szCs w:val="24"/>
          <w14:ligatures w14:val="none"/>
        </w:rPr>
        <w:lastRenderedPageBreak/>
        <w:t>on these two companies helps shed more light on corporate governance failures, including the aspects that contribute to them.</w:t>
      </w:r>
    </w:p>
    <w:p w14:paraId="3C87E065" w14:textId="706619C4" w:rsidR="00E615ED" w:rsidRPr="00E615ED" w:rsidRDefault="00E615ED" w:rsidP="00E615ED">
      <w:pPr>
        <w:pStyle w:val="Heading2"/>
      </w:pPr>
      <w:bookmarkStart w:id="2" w:name="_Toc165667396"/>
      <w:r w:rsidRPr="00E615ED">
        <w:t>History of FTX</w:t>
      </w:r>
      <w:bookmarkEnd w:id="2"/>
    </w:p>
    <w:p w14:paraId="52A748D6" w14:textId="6E97392F" w:rsidR="00E615ED" w:rsidRDefault="006646B9" w:rsidP="009A78BB">
      <w:pPr>
        <w:spacing w:after="0" w:line="480" w:lineRule="auto"/>
        <w:ind w:firstLine="720"/>
        <w:contextualSpacing/>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In 2021 </w:t>
      </w:r>
      <w:r w:rsidR="00E615ED">
        <w:rPr>
          <w:rFonts w:ascii="Times New Roman" w:eastAsia="Calibri" w:hAnsi="Times New Roman" w:cs="Times New Roman"/>
          <w:kern w:val="0"/>
          <w:sz w:val="24"/>
          <w:szCs w:val="24"/>
          <w14:ligatures w14:val="none"/>
        </w:rPr>
        <w:t>FTX co-founder and CEO Sam Bankmen-Fried (SBF) described FTX</w:t>
      </w:r>
      <w:r w:rsidR="008A701E">
        <w:rPr>
          <w:rFonts w:ascii="Times New Roman" w:eastAsia="Calibri" w:hAnsi="Times New Roman" w:cs="Times New Roman"/>
          <w:kern w:val="0"/>
          <w:sz w:val="24"/>
          <w:szCs w:val="24"/>
          <w14:ligatures w14:val="none"/>
        </w:rPr>
        <w:t xml:space="preserve"> </w:t>
      </w:r>
      <w:r w:rsidR="009A78BB">
        <w:rPr>
          <w:rFonts w:ascii="Times New Roman" w:eastAsia="Calibri" w:hAnsi="Times New Roman" w:cs="Times New Roman"/>
          <w:kern w:val="0"/>
          <w:sz w:val="24"/>
          <w:szCs w:val="24"/>
          <w14:ligatures w14:val="none"/>
        </w:rPr>
        <w:t xml:space="preserve">as a digital asset trading platform and exchange, which was established in 2019. </w:t>
      </w:r>
      <w:r>
        <w:rPr>
          <w:rFonts w:ascii="Times New Roman" w:eastAsia="Calibri" w:hAnsi="Times New Roman" w:cs="Times New Roman"/>
          <w:kern w:val="0"/>
          <w:sz w:val="24"/>
          <w:szCs w:val="24"/>
          <w14:ligatures w14:val="none"/>
        </w:rPr>
        <w:t xml:space="preserve">During this time SBF revealed that </w:t>
      </w:r>
      <w:r w:rsidR="009A78BB">
        <w:rPr>
          <w:rFonts w:ascii="Times New Roman" w:eastAsia="Calibri" w:hAnsi="Times New Roman" w:cs="Times New Roman"/>
          <w:kern w:val="0"/>
          <w:sz w:val="24"/>
          <w:szCs w:val="24"/>
          <w14:ligatures w14:val="none"/>
        </w:rPr>
        <w:t xml:space="preserve">in 2021 </w:t>
      </w:r>
      <w:r>
        <w:rPr>
          <w:rFonts w:ascii="Times New Roman" w:eastAsia="Calibri" w:hAnsi="Times New Roman" w:cs="Times New Roman"/>
          <w:kern w:val="0"/>
          <w:sz w:val="24"/>
          <w:szCs w:val="24"/>
          <w14:ligatures w14:val="none"/>
        </w:rPr>
        <w:t xml:space="preserve">circa $15 billion USD was traded daily on the platform, representing approximately 10% of daily global digital asset trading flows. FTX was initially </w:t>
      </w:r>
      <w:r w:rsidR="009A78BB">
        <w:rPr>
          <w:rFonts w:ascii="Times New Roman" w:eastAsia="Calibri" w:hAnsi="Times New Roman" w:cs="Times New Roman"/>
          <w:kern w:val="0"/>
          <w:sz w:val="24"/>
          <w:szCs w:val="24"/>
          <w14:ligatures w14:val="none"/>
        </w:rPr>
        <w:t>headquartered in Hong Kong</w:t>
      </w:r>
      <w:r>
        <w:rPr>
          <w:rFonts w:ascii="Times New Roman" w:eastAsia="Calibri" w:hAnsi="Times New Roman" w:cs="Times New Roman"/>
          <w:kern w:val="0"/>
          <w:sz w:val="24"/>
          <w:szCs w:val="24"/>
          <w14:ligatures w14:val="none"/>
        </w:rPr>
        <w:t xml:space="preserve"> before </w:t>
      </w:r>
      <w:r w:rsidR="009A78BB">
        <w:rPr>
          <w:rFonts w:ascii="Times New Roman" w:eastAsia="Calibri" w:hAnsi="Times New Roman" w:cs="Times New Roman"/>
          <w:kern w:val="0"/>
          <w:sz w:val="24"/>
          <w:szCs w:val="24"/>
          <w14:ligatures w14:val="none"/>
        </w:rPr>
        <w:t>re</w:t>
      </w:r>
      <w:r>
        <w:rPr>
          <w:rFonts w:ascii="Times New Roman" w:eastAsia="Calibri" w:hAnsi="Times New Roman" w:cs="Times New Roman"/>
          <w:kern w:val="0"/>
          <w:sz w:val="24"/>
          <w:szCs w:val="24"/>
          <w14:ligatures w14:val="none"/>
        </w:rPr>
        <w:t xml:space="preserve">locating </w:t>
      </w:r>
      <w:r w:rsidR="009A78BB">
        <w:rPr>
          <w:rFonts w:ascii="Times New Roman" w:eastAsia="Calibri" w:hAnsi="Times New Roman" w:cs="Times New Roman"/>
          <w:kern w:val="0"/>
          <w:sz w:val="24"/>
          <w:szCs w:val="24"/>
          <w14:ligatures w14:val="none"/>
        </w:rPr>
        <w:t>to</w:t>
      </w:r>
      <w:r>
        <w:rPr>
          <w:rFonts w:ascii="Times New Roman" w:eastAsia="Calibri" w:hAnsi="Times New Roman" w:cs="Times New Roman"/>
          <w:kern w:val="0"/>
          <w:sz w:val="24"/>
          <w:szCs w:val="24"/>
          <w14:ligatures w14:val="none"/>
        </w:rPr>
        <w:t xml:space="preserve"> the Bahamas.</w:t>
      </w:r>
      <w:r w:rsidR="009A78BB">
        <w:rPr>
          <w:rFonts w:ascii="Times New Roman" w:eastAsia="Calibri" w:hAnsi="Times New Roman" w:cs="Times New Roman"/>
          <w:kern w:val="0"/>
          <w:sz w:val="24"/>
          <w:szCs w:val="24"/>
          <w14:ligatures w14:val="none"/>
        </w:rPr>
        <w:t xml:space="preserve"> In November 2022 FTX collapses and files for bankruptcy </w:t>
      </w:r>
      <w:r w:rsidR="00AE2333">
        <w:rPr>
          <w:rFonts w:ascii="Times New Roman" w:eastAsia="Calibri" w:hAnsi="Times New Roman" w:cs="Times New Roman"/>
          <w:kern w:val="0"/>
          <w:sz w:val="24"/>
          <w:szCs w:val="24"/>
          <w14:ligatures w14:val="none"/>
        </w:rPr>
        <w:t>due to</w:t>
      </w:r>
      <w:r w:rsidR="009A78BB">
        <w:rPr>
          <w:rFonts w:ascii="Times New Roman" w:eastAsia="Calibri" w:hAnsi="Times New Roman" w:cs="Times New Roman"/>
          <w:kern w:val="0"/>
          <w:sz w:val="24"/>
          <w:szCs w:val="24"/>
          <w14:ligatures w14:val="none"/>
        </w:rPr>
        <w:t xml:space="preserve"> large customer withdrawals sparked by reports of improper asset reserves. </w:t>
      </w:r>
    </w:p>
    <w:p w14:paraId="1372DA65" w14:textId="249BCFB5" w:rsidR="00023E9E" w:rsidRPr="001807C2" w:rsidRDefault="001807C2" w:rsidP="001807C2">
      <w:pPr>
        <w:pStyle w:val="Heading2"/>
      </w:pPr>
      <w:bookmarkStart w:id="3" w:name="_Toc165667397"/>
      <w:r w:rsidRPr="00023E9E">
        <w:t>History of Alameda Research</w:t>
      </w:r>
      <w:bookmarkEnd w:id="3"/>
    </w:p>
    <w:p w14:paraId="141DF712" w14:textId="4168D548" w:rsidR="00E615ED" w:rsidRPr="00023E9E" w:rsidRDefault="00023E9E" w:rsidP="00F72EE1">
      <w:pPr>
        <w:spacing w:after="0" w:line="480" w:lineRule="auto"/>
        <w:ind w:firstLine="720"/>
        <w:contextualSpacing/>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In 2018 SBF co-founded digital asset trading firm Alameda Research in Berkeley USA, which subsequently relocated to Hong Kong. Alameda Research </w:t>
      </w:r>
      <w:r w:rsidR="00E2020B">
        <w:rPr>
          <w:rFonts w:ascii="Times New Roman" w:eastAsia="Calibri" w:hAnsi="Times New Roman" w:cs="Times New Roman"/>
          <w:kern w:val="0"/>
          <w:sz w:val="24"/>
          <w:szCs w:val="24"/>
          <w14:ligatures w14:val="none"/>
        </w:rPr>
        <w:t xml:space="preserve">initially </w:t>
      </w:r>
      <w:r>
        <w:rPr>
          <w:rFonts w:ascii="Times New Roman" w:eastAsia="Calibri" w:hAnsi="Times New Roman" w:cs="Times New Roman"/>
          <w:kern w:val="0"/>
          <w:sz w:val="24"/>
          <w:szCs w:val="24"/>
          <w14:ligatures w14:val="none"/>
        </w:rPr>
        <w:t xml:space="preserve">exploited inefficiencies and </w:t>
      </w:r>
      <w:r w:rsidR="001807C2">
        <w:rPr>
          <w:rFonts w:ascii="Times New Roman" w:eastAsia="Calibri" w:hAnsi="Times New Roman" w:cs="Times New Roman"/>
          <w:kern w:val="0"/>
          <w:sz w:val="24"/>
          <w:szCs w:val="24"/>
          <w14:ligatures w14:val="none"/>
        </w:rPr>
        <w:t xml:space="preserve">arbitrage opportunities within the Bitcoin market to make significant profits. After the inception of FTX, SBF’s focus </w:t>
      </w:r>
      <w:r w:rsidR="00F72EE1">
        <w:rPr>
          <w:rFonts w:ascii="Times New Roman" w:eastAsia="Calibri" w:hAnsi="Times New Roman" w:cs="Times New Roman"/>
          <w:kern w:val="0"/>
          <w:sz w:val="24"/>
          <w:szCs w:val="24"/>
          <w14:ligatures w14:val="none"/>
        </w:rPr>
        <w:t xml:space="preserve">gradually </w:t>
      </w:r>
      <w:r w:rsidR="001807C2">
        <w:rPr>
          <w:rFonts w:ascii="Times New Roman" w:eastAsia="Calibri" w:hAnsi="Times New Roman" w:cs="Times New Roman"/>
          <w:kern w:val="0"/>
          <w:sz w:val="24"/>
          <w:szCs w:val="24"/>
          <w14:ligatures w14:val="none"/>
        </w:rPr>
        <w:t xml:space="preserve">shifted away from Alameda Research and Caroline Ellison was appointed </w:t>
      </w:r>
      <w:r w:rsidR="00F72EE1">
        <w:rPr>
          <w:rFonts w:ascii="Times New Roman" w:eastAsia="Calibri" w:hAnsi="Times New Roman" w:cs="Times New Roman"/>
          <w:kern w:val="0"/>
          <w:sz w:val="24"/>
          <w:szCs w:val="24"/>
          <w14:ligatures w14:val="none"/>
        </w:rPr>
        <w:t>co-</w:t>
      </w:r>
      <w:r w:rsidR="001807C2">
        <w:rPr>
          <w:rFonts w:ascii="Times New Roman" w:eastAsia="Calibri" w:hAnsi="Times New Roman" w:cs="Times New Roman"/>
          <w:kern w:val="0"/>
          <w:sz w:val="24"/>
          <w:szCs w:val="24"/>
          <w14:ligatures w14:val="none"/>
        </w:rPr>
        <w:t>CEO in 202</w:t>
      </w:r>
      <w:r w:rsidR="00F72EE1">
        <w:rPr>
          <w:rFonts w:ascii="Times New Roman" w:eastAsia="Calibri" w:hAnsi="Times New Roman" w:cs="Times New Roman"/>
          <w:kern w:val="0"/>
          <w:sz w:val="24"/>
          <w:szCs w:val="24"/>
          <w14:ligatures w14:val="none"/>
        </w:rPr>
        <w:t>1</w:t>
      </w:r>
      <w:r w:rsidR="00AE2333">
        <w:rPr>
          <w:rFonts w:ascii="Times New Roman" w:eastAsia="Calibri" w:hAnsi="Times New Roman" w:cs="Times New Roman"/>
          <w:kern w:val="0"/>
          <w:sz w:val="24"/>
          <w:szCs w:val="24"/>
          <w14:ligatures w14:val="none"/>
        </w:rPr>
        <w:t>,</w:t>
      </w:r>
      <w:r w:rsidR="00F72EE1">
        <w:rPr>
          <w:rFonts w:ascii="Times New Roman" w:eastAsia="Calibri" w:hAnsi="Times New Roman" w:cs="Times New Roman"/>
          <w:kern w:val="0"/>
          <w:sz w:val="24"/>
          <w:szCs w:val="24"/>
          <w14:ligatures w14:val="none"/>
        </w:rPr>
        <w:t xml:space="preserve"> before becoming sole CEO in 2022</w:t>
      </w:r>
      <w:r w:rsidR="001807C2">
        <w:rPr>
          <w:rFonts w:ascii="Times New Roman" w:eastAsia="Calibri" w:hAnsi="Times New Roman" w:cs="Times New Roman"/>
          <w:kern w:val="0"/>
          <w:sz w:val="24"/>
          <w:szCs w:val="24"/>
          <w14:ligatures w14:val="none"/>
        </w:rPr>
        <w:t>.</w:t>
      </w:r>
      <w:r w:rsidR="00E2020B">
        <w:rPr>
          <w:rFonts w:ascii="Times New Roman" w:eastAsia="Calibri" w:hAnsi="Times New Roman" w:cs="Times New Roman"/>
          <w:kern w:val="0"/>
          <w:sz w:val="24"/>
          <w:szCs w:val="24"/>
          <w14:ligatures w14:val="none"/>
        </w:rPr>
        <w:t xml:space="preserve"> In 2020</w:t>
      </w:r>
      <w:r w:rsidR="00F72EE1">
        <w:rPr>
          <w:rFonts w:ascii="Times New Roman" w:eastAsia="Calibri" w:hAnsi="Times New Roman" w:cs="Times New Roman"/>
          <w:kern w:val="0"/>
          <w:sz w:val="24"/>
          <w:szCs w:val="24"/>
          <w14:ligatures w14:val="none"/>
        </w:rPr>
        <w:t>,</w:t>
      </w:r>
      <w:r w:rsidR="00E2020B">
        <w:rPr>
          <w:rFonts w:ascii="Times New Roman" w:eastAsia="Calibri" w:hAnsi="Times New Roman" w:cs="Times New Roman"/>
          <w:kern w:val="0"/>
          <w:sz w:val="24"/>
          <w:szCs w:val="24"/>
          <w14:ligatures w14:val="none"/>
        </w:rPr>
        <w:t xml:space="preserve"> Alameda Research </w:t>
      </w:r>
      <w:r w:rsidR="00AE2333">
        <w:rPr>
          <w:rFonts w:ascii="Times New Roman" w:eastAsia="Calibri" w:hAnsi="Times New Roman" w:cs="Times New Roman"/>
          <w:kern w:val="0"/>
          <w:sz w:val="24"/>
          <w:szCs w:val="24"/>
          <w14:ligatures w14:val="none"/>
        </w:rPr>
        <w:t>pivoted</w:t>
      </w:r>
      <w:r w:rsidR="00E2020B">
        <w:rPr>
          <w:rFonts w:ascii="Times New Roman" w:eastAsia="Calibri" w:hAnsi="Times New Roman" w:cs="Times New Roman"/>
          <w:kern w:val="0"/>
          <w:sz w:val="24"/>
          <w:szCs w:val="24"/>
          <w14:ligatures w14:val="none"/>
        </w:rPr>
        <w:t xml:space="preserve"> from a high speed, market-neutral trading strategy to leveraged long market bets, resulting in substantial losses. These losses and the close</w:t>
      </w:r>
      <w:r w:rsidR="001807C2">
        <w:rPr>
          <w:rFonts w:ascii="Times New Roman" w:eastAsia="Calibri" w:hAnsi="Times New Roman" w:cs="Times New Roman"/>
          <w:kern w:val="0"/>
          <w:sz w:val="24"/>
          <w:szCs w:val="24"/>
          <w14:ligatures w14:val="none"/>
        </w:rPr>
        <w:t xml:space="preserve"> relation to FTX, particularly regarding its holdings of FTX’s native token FTT</w:t>
      </w:r>
      <w:r w:rsidR="00F72EE1">
        <w:rPr>
          <w:rFonts w:ascii="Times New Roman" w:eastAsia="Calibri" w:hAnsi="Times New Roman" w:cs="Times New Roman"/>
          <w:kern w:val="0"/>
          <w:sz w:val="24"/>
          <w:szCs w:val="24"/>
          <w14:ligatures w14:val="none"/>
        </w:rPr>
        <w:t xml:space="preserve"> to pledge illiquid collateral borrowing, meant Alameda Research was reliant on FTX to survive.</w:t>
      </w:r>
      <w:r w:rsidR="00C20D33">
        <w:rPr>
          <w:rFonts w:ascii="Times New Roman" w:eastAsia="Calibri" w:hAnsi="Times New Roman" w:cs="Times New Roman"/>
          <w:kern w:val="0"/>
          <w:sz w:val="24"/>
          <w:szCs w:val="24"/>
          <w14:ligatures w14:val="none"/>
        </w:rPr>
        <w:t xml:space="preserve"> Alameda Research collapsed at the same point as FTX.</w:t>
      </w:r>
    </w:p>
    <w:p w14:paraId="4FB1E068" w14:textId="77777777" w:rsidR="005C74BB" w:rsidRPr="00023E9E" w:rsidRDefault="005C74BB" w:rsidP="00E615ED">
      <w:pPr>
        <w:pStyle w:val="Heading2"/>
      </w:pPr>
      <w:bookmarkStart w:id="4" w:name="_Toc165667398"/>
      <w:r w:rsidRPr="00023E9E">
        <w:t>Background</w:t>
      </w:r>
      <w:bookmarkEnd w:id="4"/>
    </w:p>
    <w:p w14:paraId="7A8BD42C" w14:textId="26631BC7" w:rsidR="00A67639" w:rsidRPr="007271B6" w:rsidRDefault="00A67639" w:rsidP="00A67639">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Historically</w:t>
      </w:r>
      <w:r w:rsidR="008F6541">
        <w:rPr>
          <w:rFonts w:ascii="Times New Roman" w:eastAsia="Calibri" w:hAnsi="Times New Roman" w:cs="Times New Roman"/>
          <w:kern w:val="0"/>
          <w:sz w:val="24"/>
          <w:szCs w:val="24"/>
          <w14:ligatures w14:val="none"/>
        </w:rPr>
        <w:t>,</w:t>
      </w:r>
      <w:r w:rsidRPr="007271B6">
        <w:rPr>
          <w:rFonts w:ascii="Times New Roman" w:eastAsia="Calibri" w:hAnsi="Times New Roman" w:cs="Times New Roman"/>
          <w:kern w:val="0"/>
          <w:sz w:val="24"/>
          <w:szCs w:val="24"/>
          <w14:ligatures w14:val="none"/>
        </w:rPr>
        <w:t xml:space="preserve"> many companies were confronted with considerable problems resulting from failures in corporate governance. The discussion on this topic has gained momentum in recent years, especially following several high-profile companies having collapsed due to poor management. Hacker (2019) argued that there are significant governance issues in the </w:t>
      </w:r>
      <w:r w:rsidRPr="007271B6">
        <w:rPr>
          <w:rFonts w:ascii="Times New Roman" w:eastAsia="Calibri" w:hAnsi="Times New Roman" w:cs="Times New Roman"/>
          <w:kern w:val="0"/>
          <w:sz w:val="24"/>
          <w:szCs w:val="24"/>
          <w14:ligatures w14:val="none"/>
        </w:rPr>
        <w:lastRenderedPageBreak/>
        <w:t xml:space="preserve">digital asset industry, evidenced by the numerous corporate failures </w:t>
      </w:r>
      <w:r w:rsidR="00DC4CD1" w:rsidRPr="007271B6">
        <w:rPr>
          <w:rFonts w:ascii="Times New Roman" w:eastAsia="Calibri" w:hAnsi="Times New Roman" w:cs="Times New Roman"/>
          <w:kern w:val="0"/>
          <w:sz w:val="24"/>
          <w:szCs w:val="24"/>
          <w14:ligatures w14:val="none"/>
        </w:rPr>
        <w:t>indicating</w:t>
      </w:r>
      <w:r w:rsidRPr="007271B6">
        <w:rPr>
          <w:rFonts w:ascii="Times New Roman" w:eastAsia="Calibri" w:hAnsi="Times New Roman" w:cs="Times New Roman"/>
          <w:kern w:val="0"/>
          <w:sz w:val="24"/>
          <w:szCs w:val="24"/>
          <w14:ligatures w14:val="none"/>
        </w:rPr>
        <w:t xml:space="preserve"> that th</w:t>
      </w:r>
      <w:r w:rsidR="00DC4CD1" w:rsidRPr="007271B6">
        <w:rPr>
          <w:rFonts w:ascii="Times New Roman" w:eastAsia="Calibri" w:hAnsi="Times New Roman" w:cs="Times New Roman"/>
          <w:kern w:val="0"/>
          <w:sz w:val="24"/>
          <w:szCs w:val="24"/>
          <w14:ligatures w14:val="none"/>
        </w:rPr>
        <w:t>ose who operate within the</w:t>
      </w:r>
      <w:r w:rsidRPr="007271B6">
        <w:rPr>
          <w:rFonts w:ascii="Times New Roman" w:eastAsia="Calibri" w:hAnsi="Times New Roman" w:cs="Times New Roman"/>
          <w:kern w:val="0"/>
          <w:sz w:val="24"/>
          <w:szCs w:val="24"/>
          <w14:ligatures w14:val="none"/>
        </w:rPr>
        <w:t xml:space="preserve"> industry</w:t>
      </w:r>
      <w:r w:rsidR="00DC4CD1" w:rsidRPr="007271B6">
        <w:rPr>
          <w:rFonts w:ascii="Times New Roman" w:eastAsia="Calibri" w:hAnsi="Times New Roman" w:cs="Times New Roman"/>
          <w:kern w:val="0"/>
          <w:sz w:val="24"/>
          <w:szCs w:val="24"/>
          <w14:ligatures w14:val="none"/>
        </w:rPr>
        <w:t xml:space="preserve"> generally</w:t>
      </w:r>
      <w:r w:rsidRPr="007271B6">
        <w:rPr>
          <w:rFonts w:ascii="Times New Roman" w:eastAsia="Calibri" w:hAnsi="Times New Roman" w:cs="Times New Roman"/>
          <w:kern w:val="0"/>
          <w:sz w:val="24"/>
          <w:szCs w:val="24"/>
          <w14:ligatures w14:val="none"/>
        </w:rPr>
        <w:t xml:space="preserve"> lack robust governance framework</w:t>
      </w:r>
      <w:r w:rsidR="00DC4CD1" w:rsidRPr="007271B6">
        <w:rPr>
          <w:rFonts w:ascii="Times New Roman" w:eastAsia="Calibri" w:hAnsi="Times New Roman" w:cs="Times New Roman"/>
          <w:kern w:val="0"/>
          <w:sz w:val="24"/>
          <w:szCs w:val="24"/>
          <w14:ligatures w14:val="none"/>
        </w:rPr>
        <w:t>s</w:t>
      </w:r>
      <w:r w:rsidRPr="007271B6">
        <w:rPr>
          <w:rFonts w:ascii="Times New Roman" w:eastAsia="Calibri" w:hAnsi="Times New Roman" w:cs="Times New Roman"/>
          <w:kern w:val="0"/>
          <w:sz w:val="24"/>
          <w:szCs w:val="24"/>
          <w14:ligatures w14:val="none"/>
        </w:rPr>
        <w:t xml:space="preserve">. Hacker noted that the digital asset industry is dominated by a few influential individuals who can operate with limited accountability and scrutiny. Llamas (2023) demonstrated that in 2022, investor assets in a significant number of digital asset companies were withheld after these companies filed for bankruptcy. In addition to this asset freeze, there was a $2 trillion decline after the digital asset market lost significant value (Llamas, 2023). FTX and Alameda Research were among the few companies operating and serving clients globally. This highlighted the importance of good corporate governance to ensure regulatory compliance </w:t>
      </w:r>
      <w:r w:rsidR="00DC4CD1" w:rsidRPr="007271B6">
        <w:rPr>
          <w:rFonts w:ascii="Times New Roman" w:eastAsia="Calibri" w:hAnsi="Times New Roman" w:cs="Times New Roman"/>
          <w:kern w:val="0"/>
          <w:sz w:val="24"/>
          <w:szCs w:val="24"/>
          <w14:ligatures w14:val="none"/>
        </w:rPr>
        <w:t>across multiple jurisdictions</w:t>
      </w:r>
      <w:r w:rsidRPr="007271B6">
        <w:rPr>
          <w:rFonts w:ascii="Times New Roman" w:eastAsia="Calibri" w:hAnsi="Times New Roman" w:cs="Times New Roman"/>
          <w:kern w:val="0"/>
          <w:sz w:val="24"/>
          <w:szCs w:val="24"/>
          <w14:ligatures w14:val="none"/>
        </w:rPr>
        <w:t>. The collapse and subsequent bankruptcy of these two companies affected many stakeholders globally and attracted a great deal of attention.</w:t>
      </w:r>
    </w:p>
    <w:p w14:paraId="32C22F83" w14:textId="162322D1" w:rsidR="005C74BB" w:rsidRPr="007271B6" w:rsidRDefault="00A67639" w:rsidP="00A67639">
      <w:pPr>
        <w:spacing w:after="0" w:line="480" w:lineRule="auto"/>
        <w:ind w:firstLine="720"/>
        <w:contextualSpacing/>
        <w:rPr>
          <w:rFonts w:ascii="Times New Roman" w:eastAsia="Calibri" w:hAnsi="Times New Roman" w:cs="Times New Roman"/>
          <w:kern w:val="0"/>
          <w:sz w:val="24"/>
          <w:szCs w:val="24"/>
          <w:shd w:val="clear" w:color="auto" w:fill="FFFFFF"/>
          <w14:ligatures w14:val="none"/>
        </w:rPr>
      </w:pPr>
      <w:r w:rsidRPr="007271B6">
        <w:rPr>
          <w:rFonts w:ascii="Times New Roman" w:eastAsia="Calibri" w:hAnsi="Times New Roman" w:cs="Times New Roman"/>
          <w:kern w:val="0"/>
          <w:sz w:val="24"/>
          <w:szCs w:val="24"/>
          <w14:ligatures w14:val="none"/>
        </w:rPr>
        <w:t>Focusing on these companies in this study therefore provided in-depth information on what happened and the</w:t>
      </w:r>
      <w:r w:rsidR="00DC4CD1" w:rsidRPr="007271B6">
        <w:rPr>
          <w:rFonts w:ascii="Times New Roman" w:eastAsia="Calibri" w:hAnsi="Times New Roman" w:cs="Times New Roman"/>
          <w:kern w:val="0"/>
          <w:sz w:val="24"/>
          <w:szCs w:val="24"/>
          <w14:ligatures w14:val="none"/>
        </w:rPr>
        <w:t xml:space="preserve"> contributing</w:t>
      </w:r>
      <w:r w:rsidRPr="007271B6">
        <w:rPr>
          <w:rFonts w:ascii="Times New Roman" w:eastAsia="Calibri" w:hAnsi="Times New Roman" w:cs="Times New Roman"/>
          <w:kern w:val="0"/>
          <w:sz w:val="24"/>
          <w:szCs w:val="24"/>
          <w14:ligatures w14:val="none"/>
        </w:rPr>
        <w:t xml:space="preserve"> factors. </w:t>
      </w:r>
      <w:r w:rsidR="008F6541">
        <w:rPr>
          <w:rFonts w:ascii="Times New Roman" w:eastAsia="Calibri" w:hAnsi="Times New Roman" w:cs="Times New Roman"/>
          <w:kern w:val="0"/>
          <w:sz w:val="24"/>
          <w:szCs w:val="24"/>
          <w14:ligatures w14:val="none"/>
        </w:rPr>
        <w:t>From</w:t>
      </w:r>
      <w:r w:rsidRPr="007271B6">
        <w:rPr>
          <w:rFonts w:ascii="Times New Roman" w:eastAsia="Calibri" w:hAnsi="Times New Roman" w:cs="Times New Roman"/>
          <w:kern w:val="0"/>
          <w:sz w:val="24"/>
          <w:szCs w:val="24"/>
          <w14:ligatures w14:val="none"/>
        </w:rPr>
        <w:t xml:space="preserve"> its foundation, FTX provided digital currency services to the global foreign exchange market and provided access to multiple currencies (</w:t>
      </w:r>
      <w:proofErr w:type="spellStart"/>
      <w:r w:rsidRPr="007271B6">
        <w:rPr>
          <w:rFonts w:ascii="Times New Roman" w:eastAsia="Calibri" w:hAnsi="Times New Roman" w:cs="Times New Roman"/>
          <w:kern w:val="0"/>
          <w:sz w:val="24"/>
          <w:szCs w:val="24"/>
          <w14:ligatures w14:val="none"/>
        </w:rPr>
        <w:t>Akyildirim</w:t>
      </w:r>
      <w:proofErr w:type="spellEnd"/>
      <w:r w:rsidRPr="007271B6">
        <w:rPr>
          <w:rFonts w:ascii="Times New Roman" w:eastAsia="Calibri" w:hAnsi="Times New Roman" w:cs="Times New Roman"/>
          <w:kern w:val="0"/>
          <w:sz w:val="24"/>
          <w:szCs w:val="24"/>
          <w14:ligatures w14:val="none"/>
        </w:rPr>
        <w:t xml:space="preserve"> et al., 2023). Some of the innovative products featured by FTX included leveraged tokens and derivatives. As a centralised </w:t>
      </w:r>
      <w:r w:rsidR="00DC4CD1" w:rsidRPr="007271B6">
        <w:rPr>
          <w:rFonts w:ascii="Times New Roman" w:eastAsia="Calibri" w:hAnsi="Times New Roman" w:cs="Times New Roman"/>
          <w:kern w:val="0"/>
          <w:sz w:val="24"/>
          <w:szCs w:val="24"/>
          <w14:ligatures w14:val="none"/>
        </w:rPr>
        <w:t>digital asset</w:t>
      </w:r>
      <w:r w:rsidRPr="007271B6">
        <w:rPr>
          <w:rFonts w:ascii="Times New Roman" w:eastAsia="Calibri" w:hAnsi="Times New Roman" w:cs="Times New Roman"/>
          <w:kern w:val="0"/>
          <w:sz w:val="24"/>
          <w:szCs w:val="24"/>
          <w14:ligatures w14:val="none"/>
        </w:rPr>
        <w:t xml:space="preserve"> exchange, FTX was backed by some of the largest companies in the trading industry, such as Almeda Research, Coinbase Ventures and Temasek BlackRock (Dai et al., 2023). FTX ha</w:t>
      </w:r>
      <w:r w:rsidR="00DC4CD1" w:rsidRPr="007271B6">
        <w:rPr>
          <w:rFonts w:ascii="Times New Roman" w:eastAsia="Calibri" w:hAnsi="Times New Roman" w:cs="Times New Roman"/>
          <w:kern w:val="0"/>
          <w:sz w:val="24"/>
          <w:szCs w:val="24"/>
          <w14:ligatures w14:val="none"/>
        </w:rPr>
        <w:t>d</w:t>
      </w:r>
      <w:r w:rsidRPr="007271B6">
        <w:rPr>
          <w:rFonts w:ascii="Times New Roman" w:eastAsia="Calibri" w:hAnsi="Times New Roman" w:cs="Times New Roman"/>
          <w:kern w:val="0"/>
          <w:sz w:val="24"/>
          <w:szCs w:val="24"/>
          <w14:ligatures w14:val="none"/>
        </w:rPr>
        <w:t xml:space="preserve"> established itself in the digital currency industry within a few years and was even valued at $32 billion at its peak</w:t>
      </w:r>
      <w:r w:rsidR="00DC4CD1" w:rsidRPr="007271B6">
        <w:rPr>
          <w:rFonts w:ascii="Times New Roman" w:eastAsia="Calibri" w:hAnsi="Times New Roman" w:cs="Times New Roman"/>
          <w:kern w:val="0"/>
          <w:sz w:val="24"/>
          <w:szCs w:val="24"/>
          <w14:ligatures w14:val="none"/>
        </w:rPr>
        <w:t xml:space="preserve"> </w:t>
      </w:r>
      <w:r w:rsidRPr="007271B6">
        <w:rPr>
          <w:rFonts w:ascii="Times New Roman" w:eastAsia="Calibri" w:hAnsi="Times New Roman" w:cs="Times New Roman"/>
          <w:kern w:val="0"/>
          <w:sz w:val="24"/>
          <w:szCs w:val="24"/>
          <w14:ligatures w14:val="none"/>
        </w:rPr>
        <w:t>with over 9 million customer accounts (KPMG, 2022). It is therefore clear that the company had made a significant entrance into the digital currency market</w:t>
      </w:r>
      <w:r w:rsidR="00DC4CD1" w:rsidRPr="007271B6">
        <w:rPr>
          <w:rFonts w:ascii="Times New Roman" w:eastAsia="Calibri" w:hAnsi="Times New Roman" w:cs="Times New Roman"/>
          <w:kern w:val="0"/>
          <w:sz w:val="24"/>
          <w:szCs w:val="24"/>
          <w14:ligatures w14:val="none"/>
        </w:rPr>
        <w:t>,</w:t>
      </w:r>
      <w:r w:rsidRPr="007271B6">
        <w:rPr>
          <w:rFonts w:ascii="Times New Roman" w:eastAsia="Calibri" w:hAnsi="Times New Roman" w:cs="Times New Roman"/>
          <w:kern w:val="0"/>
          <w:sz w:val="24"/>
          <w:szCs w:val="24"/>
          <w14:ligatures w14:val="none"/>
        </w:rPr>
        <w:t xml:space="preserve"> </w:t>
      </w:r>
      <w:r w:rsidR="00DC4CD1" w:rsidRPr="007271B6">
        <w:rPr>
          <w:rFonts w:ascii="Times New Roman" w:eastAsia="Calibri" w:hAnsi="Times New Roman" w:cs="Times New Roman"/>
          <w:kern w:val="0"/>
          <w:sz w:val="24"/>
          <w:szCs w:val="24"/>
          <w14:ligatures w14:val="none"/>
        </w:rPr>
        <w:t>influencing</w:t>
      </w:r>
      <w:r w:rsidRPr="007271B6">
        <w:rPr>
          <w:rFonts w:ascii="Times New Roman" w:eastAsia="Calibri" w:hAnsi="Times New Roman" w:cs="Times New Roman"/>
          <w:kern w:val="0"/>
          <w:sz w:val="24"/>
          <w:szCs w:val="24"/>
          <w14:ligatures w14:val="none"/>
        </w:rPr>
        <w:t xml:space="preserve"> the </w:t>
      </w:r>
      <w:proofErr w:type="gramStart"/>
      <w:r w:rsidRPr="007271B6">
        <w:rPr>
          <w:rFonts w:ascii="Times New Roman" w:eastAsia="Calibri" w:hAnsi="Times New Roman" w:cs="Times New Roman"/>
          <w:kern w:val="0"/>
          <w:sz w:val="24"/>
          <w:szCs w:val="24"/>
          <w14:ligatures w14:val="none"/>
        </w:rPr>
        <w:t>industry</w:t>
      </w:r>
      <w:proofErr w:type="gramEnd"/>
      <w:r w:rsidRPr="007271B6">
        <w:rPr>
          <w:rFonts w:ascii="Times New Roman" w:eastAsia="Calibri" w:hAnsi="Times New Roman" w:cs="Times New Roman"/>
          <w:kern w:val="0"/>
          <w:sz w:val="24"/>
          <w:szCs w:val="24"/>
          <w14:ligatures w14:val="none"/>
        </w:rPr>
        <w:t xml:space="preserve"> and </w:t>
      </w:r>
      <w:r w:rsidR="00DC4CD1" w:rsidRPr="007271B6">
        <w:rPr>
          <w:rFonts w:ascii="Times New Roman" w:eastAsia="Calibri" w:hAnsi="Times New Roman" w:cs="Times New Roman"/>
          <w:kern w:val="0"/>
          <w:sz w:val="24"/>
          <w:szCs w:val="24"/>
          <w14:ligatures w14:val="none"/>
        </w:rPr>
        <w:t>capturing significant market share</w:t>
      </w:r>
      <w:r w:rsidRPr="007271B6">
        <w:rPr>
          <w:rFonts w:ascii="Times New Roman" w:eastAsia="Calibri" w:hAnsi="Times New Roman" w:cs="Times New Roman"/>
          <w:kern w:val="0"/>
          <w:sz w:val="24"/>
          <w:szCs w:val="24"/>
          <w14:ligatures w14:val="none"/>
        </w:rPr>
        <w:t>.</w:t>
      </w:r>
    </w:p>
    <w:p w14:paraId="0E466071" w14:textId="623A0677" w:rsidR="004A627F" w:rsidRPr="007271B6" w:rsidRDefault="004A627F" w:rsidP="004A627F">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Despite this success, FTX struggled with serious internal problems that led to the collapse of the company just three and a half years after it was founded. The failure of internal </w:t>
      </w:r>
      <w:r w:rsidR="007271B6" w:rsidRPr="007271B6">
        <w:rPr>
          <w:rFonts w:ascii="Times New Roman" w:eastAsia="Calibri" w:hAnsi="Times New Roman" w:cs="Times New Roman"/>
          <w:kern w:val="0"/>
          <w:sz w:val="24"/>
          <w:szCs w:val="24"/>
          <w14:ligatures w14:val="none"/>
        </w:rPr>
        <w:t xml:space="preserve">governance and </w:t>
      </w:r>
      <w:r w:rsidRPr="007271B6">
        <w:rPr>
          <w:rFonts w:ascii="Times New Roman" w:eastAsia="Calibri" w:hAnsi="Times New Roman" w:cs="Times New Roman"/>
          <w:kern w:val="0"/>
          <w:sz w:val="24"/>
          <w:szCs w:val="24"/>
          <w14:ligatures w14:val="none"/>
        </w:rPr>
        <w:t xml:space="preserve">control systems, among other </w:t>
      </w:r>
      <w:r w:rsidR="008F6541">
        <w:rPr>
          <w:rFonts w:ascii="Times New Roman" w:eastAsia="Calibri" w:hAnsi="Times New Roman" w:cs="Times New Roman"/>
          <w:kern w:val="0"/>
          <w:sz w:val="24"/>
          <w:szCs w:val="24"/>
          <w14:ligatures w14:val="none"/>
        </w:rPr>
        <w:t>shortcomings</w:t>
      </w:r>
      <w:r w:rsidRPr="007271B6">
        <w:rPr>
          <w:rFonts w:ascii="Times New Roman" w:eastAsia="Calibri" w:hAnsi="Times New Roman" w:cs="Times New Roman"/>
          <w:kern w:val="0"/>
          <w:sz w:val="24"/>
          <w:szCs w:val="24"/>
          <w14:ligatures w14:val="none"/>
        </w:rPr>
        <w:t>, w</w:t>
      </w:r>
      <w:r w:rsidR="007271B6" w:rsidRPr="007271B6">
        <w:rPr>
          <w:rFonts w:ascii="Times New Roman" w:eastAsia="Calibri" w:hAnsi="Times New Roman" w:cs="Times New Roman"/>
          <w:kern w:val="0"/>
          <w:sz w:val="24"/>
          <w:szCs w:val="24"/>
          <w14:ligatures w14:val="none"/>
        </w:rPr>
        <w:t>as</w:t>
      </w:r>
      <w:r w:rsidRPr="007271B6">
        <w:rPr>
          <w:rFonts w:ascii="Times New Roman" w:eastAsia="Calibri" w:hAnsi="Times New Roman" w:cs="Times New Roman"/>
          <w:kern w:val="0"/>
          <w:sz w:val="24"/>
          <w:szCs w:val="24"/>
          <w14:ligatures w14:val="none"/>
        </w:rPr>
        <w:t xml:space="preserve"> seen as </w:t>
      </w:r>
      <w:r w:rsidR="007271B6" w:rsidRPr="007271B6">
        <w:rPr>
          <w:rFonts w:ascii="Times New Roman" w:eastAsia="Calibri" w:hAnsi="Times New Roman" w:cs="Times New Roman"/>
          <w:kern w:val="0"/>
          <w:sz w:val="24"/>
          <w:szCs w:val="24"/>
          <w14:ligatures w14:val="none"/>
        </w:rPr>
        <w:t xml:space="preserve">a </w:t>
      </w:r>
      <w:r w:rsidRPr="007271B6">
        <w:rPr>
          <w:rFonts w:ascii="Times New Roman" w:eastAsia="Calibri" w:hAnsi="Times New Roman" w:cs="Times New Roman"/>
          <w:kern w:val="0"/>
          <w:sz w:val="24"/>
          <w:szCs w:val="24"/>
          <w14:ligatures w14:val="none"/>
        </w:rPr>
        <w:t xml:space="preserve">major </w:t>
      </w:r>
      <w:r w:rsidRPr="007271B6">
        <w:rPr>
          <w:rFonts w:ascii="Times New Roman" w:eastAsia="Calibri" w:hAnsi="Times New Roman" w:cs="Times New Roman"/>
          <w:kern w:val="0"/>
          <w:sz w:val="24"/>
          <w:szCs w:val="24"/>
          <w14:ligatures w14:val="none"/>
        </w:rPr>
        <w:lastRenderedPageBreak/>
        <w:t xml:space="preserve">factor that led </w:t>
      </w:r>
      <w:r w:rsidR="007271B6" w:rsidRPr="007271B6">
        <w:rPr>
          <w:rFonts w:ascii="Times New Roman" w:eastAsia="Calibri" w:hAnsi="Times New Roman" w:cs="Times New Roman"/>
          <w:kern w:val="0"/>
          <w:sz w:val="24"/>
          <w:szCs w:val="24"/>
          <w14:ligatures w14:val="none"/>
        </w:rPr>
        <w:t xml:space="preserve">to </w:t>
      </w:r>
      <w:r w:rsidRPr="007271B6">
        <w:rPr>
          <w:rFonts w:ascii="Times New Roman" w:eastAsia="Calibri" w:hAnsi="Times New Roman" w:cs="Times New Roman"/>
          <w:kern w:val="0"/>
          <w:sz w:val="24"/>
          <w:szCs w:val="24"/>
          <w14:ligatures w14:val="none"/>
        </w:rPr>
        <w:t xml:space="preserve">FTX </w:t>
      </w:r>
      <w:r w:rsidR="007271B6" w:rsidRPr="007271B6">
        <w:rPr>
          <w:rFonts w:ascii="Times New Roman" w:eastAsia="Calibri" w:hAnsi="Times New Roman" w:cs="Times New Roman"/>
          <w:kern w:val="0"/>
          <w:sz w:val="24"/>
          <w:szCs w:val="24"/>
          <w14:ligatures w14:val="none"/>
        </w:rPr>
        <w:t>filing to meet its financial obligations and resulting in</w:t>
      </w:r>
      <w:r w:rsidRPr="007271B6">
        <w:rPr>
          <w:rFonts w:ascii="Times New Roman" w:eastAsia="Calibri" w:hAnsi="Times New Roman" w:cs="Times New Roman"/>
          <w:kern w:val="0"/>
          <w:sz w:val="24"/>
          <w:szCs w:val="24"/>
          <w14:ligatures w14:val="none"/>
        </w:rPr>
        <w:t xml:space="preserve"> bankruptcy (</w:t>
      </w:r>
      <w:proofErr w:type="spellStart"/>
      <w:r w:rsidRPr="007271B6">
        <w:rPr>
          <w:rFonts w:ascii="Times New Roman" w:eastAsia="Calibri" w:hAnsi="Times New Roman" w:cs="Times New Roman"/>
          <w:kern w:val="0"/>
          <w:sz w:val="24"/>
          <w:szCs w:val="24"/>
          <w14:ligatures w14:val="none"/>
        </w:rPr>
        <w:t>Akyildirim</w:t>
      </w:r>
      <w:proofErr w:type="spellEnd"/>
      <w:r w:rsidRPr="007271B6">
        <w:rPr>
          <w:rFonts w:ascii="Times New Roman" w:eastAsia="Calibri" w:hAnsi="Times New Roman" w:cs="Times New Roman"/>
          <w:kern w:val="0"/>
          <w:sz w:val="24"/>
          <w:szCs w:val="24"/>
          <w14:ligatures w14:val="none"/>
        </w:rPr>
        <w:t xml:space="preserve"> et al., 2023). Emerging reports revealed that FTX was </w:t>
      </w:r>
      <w:r w:rsidR="009F1355">
        <w:rPr>
          <w:rFonts w:ascii="Times New Roman" w:eastAsia="Calibri" w:hAnsi="Times New Roman" w:cs="Times New Roman"/>
          <w:kern w:val="0"/>
          <w:sz w:val="24"/>
          <w:szCs w:val="24"/>
          <w14:ligatures w14:val="none"/>
        </w:rPr>
        <w:t>directing</w:t>
      </w:r>
      <w:r w:rsidRPr="007271B6">
        <w:rPr>
          <w:rFonts w:ascii="Times New Roman" w:eastAsia="Calibri" w:hAnsi="Times New Roman" w:cs="Times New Roman"/>
          <w:kern w:val="0"/>
          <w:sz w:val="24"/>
          <w:szCs w:val="24"/>
          <w14:ligatures w14:val="none"/>
        </w:rPr>
        <w:t xml:space="preserve"> client deposits into Alameda Research without disclos</w:t>
      </w:r>
      <w:r w:rsidR="00DC4CD1" w:rsidRPr="007271B6">
        <w:rPr>
          <w:rFonts w:ascii="Times New Roman" w:eastAsia="Calibri" w:hAnsi="Times New Roman" w:cs="Times New Roman"/>
          <w:kern w:val="0"/>
          <w:sz w:val="24"/>
          <w:szCs w:val="24"/>
          <w14:ligatures w14:val="none"/>
        </w:rPr>
        <w:t>ure</w:t>
      </w:r>
      <w:r w:rsidRPr="007271B6">
        <w:rPr>
          <w:rFonts w:ascii="Times New Roman" w:eastAsia="Calibri" w:hAnsi="Times New Roman" w:cs="Times New Roman"/>
          <w:kern w:val="0"/>
          <w:sz w:val="24"/>
          <w:szCs w:val="24"/>
          <w14:ligatures w14:val="none"/>
        </w:rPr>
        <w:t xml:space="preserve"> to customers</w:t>
      </w:r>
      <w:r w:rsidR="00DC4CD1" w:rsidRPr="007271B6">
        <w:rPr>
          <w:rFonts w:ascii="Times New Roman" w:eastAsia="Calibri" w:hAnsi="Times New Roman" w:cs="Times New Roman"/>
          <w:kern w:val="0"/>
          <w:sz w:val="24"/>
          <w:szCs w:val="24"/>
          <w14:ligatures w14:val="none"/>
        </w:rPr>
        <w:t xml:space="preserve"> or regulators</w:t>
      </w:r>
      <w:r w:rsidRPr="007271B6">
        <w:rPr>
          <w:rFonts w:ascii="Times New Roman" w:eastAsia="Calibri" w:hAnsi="Times New Roman" w:cs="Times New Roman"/>
          <w:kern w:val="0"/>
          <w:sz w:val="24"/>
          <w:szCs w:val="24"/>
          <w14:ligatures w14:val="none"/>
        </w:rPr>
        <w:t xml:space="preserve"> (Reynolds, 2023). Alameda Research was a sister hedge fund founded and owned by </w:t>
      </w:r>
      <w:r w:rsidR="003F546F" w:rsidRPr="007271B6">
        <w:rPr>
          <w:rFonts w:ascii="Times New Roman" w:eastAsia="Calibri" w:hAnsi="Times New Roman" w:cs="Times New Roman"/>
          <w:kern w:val="0"/>
          <w:sz w:val="24"/>
          <w:szCs w:val="24"/>
          <w14:ligatures w14:val="none"/>
        </w:rPr>
        <w:t>SBF</w:t>
      </w:r>
      <w:r w:rsidRPr="007271B6">
        <w:rPr>
          <w:rFonts w:ascii="Times New Roman" w:eastAsia="Calibri" w:hAnsi="Times New Roman" w:cs="Times New Roman"/>
          <w:kern w:val="0"/>
          <w:sz w:val="24"/>
          <w:szCs w:val="24"/>
          <w14:ligatures w14:val="none"/>
        </w:rPr>
        <w:t xml:space="preserve">, the </w:t>
      </w:r>
      <w:r w:rsidR="00DC4CD1" w:rsidRPr="007271B6">
        <w:rPr>
          <w:rFonts w:ascii="Times New Roman" w:eastAsia="Calibri" w:hAnsi="Times New Roman" w:cs="Times New Roman"/>
          <w:kern w:val="0"/>
          <w:sz w:val="24"/>
          <w:szCs w:val="24"/>
          <w14:ligatures w14:val="none"/>
        </w:rPr>
        <w:t>CEO</w:t>
      </w:r>
      <w:r w:rsidRPr="007271B6">
        <w:rPr>
          <w:rFonts w:ascii="Times New Roman" w:eastAsia="Calibri" w:hAnsi="Times New Roman" w:cs="Times New Roman"/>
          <w:kern w:val="0"/>
          <w:sz w:val="24"/>
          <w:szCs w:val="24"/>
          <w14:ligatures w14:val="none"/>
        </w:rPr>
        <w:t xml:space="preserve"> of FTX. Alameda Research also collapsed after it failed to comply with client demands to withdraw </w:t>
      </w:r>
      <w:r w:rsidR="00DC4CD1" w:rsidRPr="007271B6">
        <w:rPr>
          <w:rFonts w:ascii="Times New Roman" w:eastAsia="Calibri" w:hAnsi="Times New Roman" w:cs="Times New Roman"/>
          <w:kern w:val="0"/>
          <w:sz w:val="24"/>
          <w:szCs w:val="24"/>
          <w14:ligatures w14:val="none"/>
        </w:rPr>
        <w:t>capital</w:t>
      </w:r>
      <w:r w:rsidRPr="007271B6">
        <w:rPr>
          <w:rFonts w:ascii="Times New Roman" w:eastAsia="Calibri" w:hAnsi="Times New Roman" w:cs="Times New Roman"/>
          <w:kern w:val="0"/>
          <w:sz w:val="24"/>
          <w:szCs w:val="24"/>
          <w14:ligatures w14:val="none"/>
        </w:rPr>
        <w:t xml:space="preserve"> from the </w:t>
      </w:r>
      <w:r w:rsidR="00DC4CD1" w:rsidRPr="007271B6">
        <w:rPr>
          <w:rFonts w:ascii="Times New Roman" w:eastAsia="Calibri" w:hAnsi="Times New Roman" w:cs="Times New Roman"/>
          <w:kern w:val="0"/>
          <w:sz w:val="24"/>
          <w:szCs w:val="24"/>
          <w14:ligatures w14:val="none"/>
        </w:rPr>
        <w:t>fund</w:t>
      </w:r>
      <w:r w:rsidRPr="007271B6">
        <w:rPr>
          <w:rFonts w:ascii="Times New Roman" w:eastAsia="Calibri" w:hAnsi="Times New Roman" w:cs="Times New Roman"/>
          <w:kern w:val="0"/>
          <w:sz w:val="24"/>
          <w:szCs w:val="24"/>
          <w14:ligatures w14:val="none"/>
        </w:rPr>
        <w:t xml:space="preserve"> (Reynolds, 2023). </w:t>
      </w:r>
    </w:p>
    <w:p w14:paraId="0DE8FF92" w14:textId="54903DE5" w:rsidR="005C74BB" w:rsidRPr="007271B6" w:rsidRDefault="004A627F" w:rsidP="004A627F">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w:t>
      </w:r>
      <w:r w:rsidR="007271B6" w:rsidRPr="007271B6">
        <w:rPr>
          <w:rFonts w:ascii="Times New Roman" w:eastAsia="Calibri" w:hAnsi="Times New Roman" w:cs="Times New Roman"/>
          <w:kern w:val="0"/>
          <w:sz w:val="24"/>
          <w:szCs w:val="24"/>
          <w14:ligatures w14:val="none"/>
        </w:rPr>
        <w:t>bankruptcy</w:t>
      </w:r>
      <w:r w:rsidRPr="007271B6">
        <w:rPr>
          <w:rFonts w:ascii="Times New Roman" w:eastAsia="Calibri" w:hAnsi="Times New Roman" w:cs="Times New Roman"/>
          <w:kern w:val="0"/>
          <w:sz w:val="24"/>
          <w:szCs w:val="24"/>
          <w14:ligatures w14:val="none"/>
        </w:rPr>
        <w:t xml:space="preserve"> of FTX and Alameda</w:t>
      </w:r>
      <w:r w:rsidR="00DC4CD1" w:rsidRPr="007271B6">
        <w:rPr>
          <w:rFonts w:ascii="Times New Roman" w:eastAsia="Calibri" w:hAnsi="Times New Roman" w:cs="Times New Roman"/>
          <w:kern w:val="0"/>
          <w:sz w:val="24"/>
          <w:szCs w:val="24"/>
          <w14:ligatures w14:val="none"/>
        </w:rPr>
        <w:t xml:space="preserve"> Research</w:t>
      </w:r>
      <w:r w:rsidRPr="007271B6">
        <w:rPr>
          <w:rFonts w:ascii="Times New Roman" w:eastAsia="Calibri" w:hAnsi="Times New Roman" w:cs="Times New Roman"/>
          <w:kern w:val="0"/>
          <w:sz w:val="24"/>
          <w:szCs w:val="24"/>
          <w14:ligatures w14:val="none"/>
        </w:rPr>
        <w:t xml:space="preserve"> was </w:t>
      </w:r>
      <w:r w:rsidR="007271B6" w:rsidRPr="007271B6">
        <w:rPr>
          <w:rFonts w:ascii="Times New Roman" w:eastAsia="Calibri" w:hAnsi="Times New Roman" w:cs="Times New Roman"/>
          <w:kern w:val="0"/>
          <w:sz w:val="24"/>
          <w:szCs w:val="24"/>
          <w14:ligatures w14:val="none"/>
        </w:rPr>
        <w:t xml:space="preserve">significantly </w:t>
      </w:r>
      <w:r w:rsidRPr="007271B6">
        <w:rPr>
          <w:rFonts w:ascii="Times New Roman" w:eastAsia="Calibri" w:hAnsi="Times New Roman" w:cs="Times New Roman"/>
          <w:kern w:val="0"/>
          <w:sz w:val="24"/>
          <w:szCs w:val="24"/>
          <w14:ligatures w14:val="none"/>
        </w:rPr>
        <w:t xml:space="preserve">due to </w:t>
      </w:r>
      <w:r w:rsidR="00DC4CD1" w:rsidRPr="007271B6">
        <w:rPr>
          <w:rFonts w:ascii="Times New Roman" w:eastAsia="Calibri" w:hAnsi="Times New Roman" w:cs="Times New Roman"/>
          <w:kern w:val="0"/>
          <w:sz w:val="24"/>
          <w:szCs w:val="24"/>
          <w14:ligatures w14:val="none"/>
        </w:rPr>
        <w:t xml:space="preserve">issues associated with </w:t>
      </w:r>
      <w:r w:rsidRPr="007271B6">
        <w:rPr>
          <w:rFonts w:ascii="Times New Roman" w:eastAsia="Calibri" w:hAnsi="Times New Roman" w:cs="Times New Roman"/>
          <w:kern w:val="0"/>
          <w:sz w:val="24"/>
          <w:szCs w:val="24"/>
          <w14:ligatures w14:val="none"/>
        </w:rPr>
        <w:t xml:space="preserve">poor corporate governance exhibited by the leadership of the two firms. </w:t>
      </w:r>
      <w:r w:rsidR="003F546F" w:rsidRPr="007271B6">
        <w:rPr>
          <w:rFonts w:ascii="Times New Roman" w:eastAsia="Calibri" w:hAnsi="Times New Roman" w:cs="Times New Roman"/>
          <w:kern w:val="0"/>
          <w:sz w:val="24"/>
          <w:szCs w:val="24"/>
          <w14:ligatures w14:val="none"/>
        </w:rPr>
        <w:t>SBF</w:t>
      </w:r>
      <w:r w:rsidRPr="007271B6">
        <w:rPr>
          <w:rFonts w:ascii="Times New Roman" w:eastAsia="Calibri" w:hAnsi="Times New Roman" w:cs="Times New Roman"/>
          <w:kern w:val="0"/>
          <w:sz w:val="24"/>
          <w:szCs w:val="24"/>
          <w14:ligatures w14:val="none"/>
        </w:rPr>
        <w:t xml:space="preserve"> adopted the corporate culture of growth at all costs as the management style that characterised FTX and ultimately led to its demise (KPMG, 2022). The leadership approach was to relentlessly pursue growth while disregarding some basic principles of corporate governance and ethical decision making. Management normalised taking ethical shortcuts and risky financial manoeuvres, which became a culture. The company lacked standard corporate governance structures, including independent boards of directors running various related </w:t>
      </w:r>
      <w:r w:rsidR="008C3460">
        <w:rPr>
          <w:rFonts w:ascii="Times New Roman" w:eastAsia="Calibri" w:hAnsi="Times New Roman" w:cs="Times New Roman"/>
          <w:kern w:val="0"/>
          <w:sz w:val="24"/>
          <w:szCs w:val="24"/>
          <w14:ligatures w14:val="none"/>
        </w:rPr>
        <w:t>entities and appropriate segregation of duties</w:t>
      </w:r>
      <w:r w:rsidRPr="007271B6">
        <w:rPr>
          <w:rFonts w:ascii="Times New Roman" w:eastAsia="Calibri" w:hAnsi="Times New Roman" w:cs="Times New Roman"/>
          <w:kern w:val="0"/>
          <w:sz w:val="24"/>
          <w:szCs w:val="24"/>
          <w14:ligatures w14:val="none"/>
        </w:rPr>
        <w:t xml:space="preserve"> (KPMG, 2022). This allowed </w:t>
      </w:r>
      <w:r w:rsidR="003F546F" w:rsidRPr="007271B6">
        <w:rPr>
          <w:rFonts w:ascii="Times New Roman" w:eastAsia="Calibri" w:hAnsi="Times New Roman" w:cs="Times New Roman"/>
          <w:kern w:val="0"/>
          <w:sz w:val="24"/>
          <w:szCs w:val="24"/>
          <w14:ligatures w14:val="none"/>
        </w:rPr>
        <w:t>SBF</w:t>
      </w:r>
      <w:r w:rsidRPr="007271B6">
        <w:rPr>
          <w:rFonts w:ascii="Times New Roman" w:eastAsia="Calibri" w:hAnsi="Times New Roman" w:cs="Times New Roman"/>
          <w:kern w:val="0"/>
          <w:sz w:val="24"/>
          <w:szCs w:val="24"/>
          <w14:ligatures w14:val="none"/>
        </w:rPr>
        <w:t xml:space="preserve"> to make decisions </w:t>
      </w:r>
      <w:r w:rsidR="008C3460">
        <w:rPr>
          <w:rFonts w:ascii="Times New Roman" w:eastAsia="Calibri" w:hAnsi="Times New Roman" w:cs="Times New Roman"/>
          <w:kern w:val="0"/>
          <w:sz w:val="24"/>
          <w:szCs w:val="24"/>
          <w14:ligatures w14:val="none"/>
        </w:rPr>
        <w:t>un</w:t>
      </w:r>
      <w:r w:rsidR="008C3460" w:rsidRPr="007271B6">
        <w:rPr>
          <w:rFonts w:ascii="Times New Roman" w:eastAsia="Calibri" w:hAnsi="Times New Roman" w:cs="Times New Roman"/>
          <w:kern w:val="0"/>
          <w:sz w:val="24"/>
          <w:szCs w:val="24"/>
          <w14:ligatures w14:val="none"/>
        </w:rPr>
        <w:t>challenged</w:t>
      </w:r>
      <w:r w:rsidRPr="007271B6">
        <w:rPr>
          <w:rFonts w:ascii="Times New Roman" w:eastAsia="Calibri" w:hAnsi="Times New Roman" w:cs="Times New Roman"/>
          <w:kern w:val="0"/>
          <w:sz w:val="24"/>
          <w:szCs w:val="24"/>
          <w14:ligatures w14:val="none"/>
        </w:rPr>
        <w:t xml:space="preserve"> and to foster a culture of reciprocity between what should have been two segregated entities. The company thus took a centralised approach to decision-making and lacked transparency, creating a loophole for </w:t>
      </w:r>
      <w:r w:rsidR="008C3460">
        <w:rPr>
          <w:rFonts w:ascii="Times New Roman" w:eastAsia="Calibri" w:hAnsi="Times New Roman" w:cs="Times New Roman"/>
          <w:kern w:val="0"/>
          <w:sz w:val="24"/>
          <w:szCs w:val="24"/>
          <w14:ligatures w14:val="none"/>
        </w:rPr>
        <w:t>financial exploit</w:t>
      </w:r>
      <w:r w:rsidRPr="007271B6">
        <w:rPr>
          <w:rFonts w:ascii="Times New Roman" w:eastAsia="Calibri" w:hAnsi="Times New Roman" w:cs="Times New Roman"/>
          <w:kern w:val="0"/>
          <w:sz w:val="24"/>
          <w:szCs w:val="24"/>
          <w14:ligatures w14:val="none"/>
        </w:rPr>
        <w:t xml:space="preserve">. </w:t>
      </w:r>
      <w:r w:rsidR="008C3460">
        <w:rPr>
          <w:rFonts w:ascii="Times New Roman" w:eastAsia="Calibri" w:hAnsi="Times New Roman" w:cs="Times New Roman"/>
          <w:kern w:val="0"/>
          <w:sz w:val="24"/>
          <w:szCs w:val="24"/>
          <w14:ligatures w14:val="none"/>
        </w:rPr>
        <w:t>As</w:t>
      </w:r>
      <w:r w:rsidRPr="007271B6">
        <w:rPr>
          <w:rFonts w:ascii="Times New Roman" w:eastAsia="Calibri" w:hAnsi="Times New Roman" w:cs="Times New Roman"/>
          <w:kern w:val="0"/>
          <w:sz w:val="24"/>
          <w:szCs w:val="24"/>
          <w14:ligatures w14:val="none"/>
        </w:rPr>
        <w:t xml:space="preserve"> conflicts of interest could not be addressed, </w:t>
      </w:r>
      <w:r w:rsidR="008C3460">
        <w:rPr>
          <w:rFonts w:ascii="Times New Roman" w:eastAsia="Calibri" w:hAnsi="Times New Roman" w:cs="Times New Roman"/>
          <w:kern w:val="0"/>
          <w:sz w:val="24"/>
          <w:szCs w:val="24"/>
          <w14:ligatures w14:val="none"/>
        </w:rPr>
        <w:t>irreparable</w:t>
      </w:r>
      <w:r w:rsidRPr="007271B6">
        <w:rPr>
          <w:rFonts w:ascii="Times New Roman" w:eastAsia="Calibri" w:hAnsi="Times New Roman" w:cs="Times New Roman"/>
          <w:kern w:val="0"/>
          <w:sz w:val="24"/>
          <w:szCs w:val="24"/>
          <w14:ligatures w14:val="none"/>
        </w:rPr>
        <w:t xml:space="preserve"> financial fraud led to the </w:t>
      </w:r>
      <w:r w:rsidR="008C3460">
        <w:rPr>
          <w:rFonts w:ascii="Times New Roman" w:eastAsia="Calibri" w:hAnsi="Times New Roman" w:cs="Times New Roman"/>
          <w:kern w:val="0"/>
          <w:sz w:val="24"/>
          <w:szCs w:val="24"/>
          <w14:ligatures w14:val="none"/>
        </w:rPr>
        <w:t>bankruptcy</w:t>
      </w:r>
      <w:r w:rsidRPr="007271B6">
        <w:rPr>
          <w:rFonts w:ascii="Times New Roman" w:eastAsia="Calibri" w:hAnsi="Times New Roman" w:cs="Times New Roman"/>
          <w:kern w:val="0"/>
          <w:sz w:val="24"/>
          <w:szCs w:val="24"/>
          <w14:ligatures w14:val="none"/>
        </w:rPr>
        <w:t xml:space="preserve"> of</w:t>
      </w:r>
      <w:r w:rsidR="008C3460">
        <w:rPr>
          <w:rFonts w:ascii="Times New Roman" w:eastAsia="Calibri" w:hAnsi="Times New Roman" w:cs="Times New Roman"/>
          <w:kern w:val="0"/>
          <w:sz w:val="24"/>
          <w:szCs w:val="24"/>
          <w14:ligatures w14:val="none"/>
        </w:rPr>
        <w:t xml:space="preserve"> both</w:t>
      </w:r>
      <w:r w:rsidRPr="007271B6">
        <w:rPr>
          <w:rFonts w:ascii="Times New Roman" w:eastAsia="Calibri" w:hAnsi="Times New Roman" w:cs="Times New Roman"/>
          <w:kern w:val="0"/>
          <w:sz w:val="24"/>
          <w:szCs w:val="24"/>
          <w14:ligatures w14:val="none"/>
        </w:rPr>
        <w:t xml:space="preserve"> FTX and Alameda Research.</w:t>
      </w:r>
    </w:p>
    <w:p w14:paraId="5EBAA769" w14:textId="3AFF0DFE" w:rsidR="00F85FD4" w:rsidRDefault="004A627F" w:rsidP="005C74BB">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poor culture adopted by the company in its corporate governance was coupled with a lack of controls. The company lacked trustworthy financial information and </w:t>
      </w:r>
      <w:r w:rsidR="008F6541">
        <w:rPr>
          <w:rFonts w:ascii="Times New Roman" w:eastAsia="Calibri" w:hAnsi="Times New Roman" w:cs="Times New Roman"/>
          <w:kern w:val="0"/>
          <w:sz w:val="24"/>
          <w:szCs w:val="24"/>
          <w14:ligatures w14:val="none"/>
        </w:rPr>
        <w:t xml:space="preserve">had </w:t>
      </w:r>
      <w:r w:rsidRPr="007271B6">
        <w:rPr>
          <w:rFonts w:ascii="Times New Roman" w:eastAsia="Calibri" w:hAnsi="Times New Roman" w:cs="Times New Roman"/>
          <w:kern w:val="0"/>
          <w:sz w:val="24"/>
          <w:szCs w:val="24"/>
          <w14:ligatures w14:val="none"/>
        </w:rPr>
        <w:t>compromised integrity systems (</w:t>
      </w:r>
      <w:proofErr w:type="spellStart"/>
      <w:r w:rsidRPr="007271B6">
        <w:rPr>
          <w:rFonts w:ascii="Times New Roman" w:eastAsia="Calibri" w:hAnsi="Times New Roman" w:cs="Times New Roman"/>
          <w:kern w:val="0"/>
          <w:sz w:val="24"/>
          <w:szCs w:val="24"/>
          <w14:ligatures w14:val="none"/>
        </w:rPr>
        <w:t>Akyildirim</w:t>
      </w:r>
      <w:proofErr w:type="spellEnd"/>
      <w:r w:rsidRPr="007271B6">
        <w:rPr>
          <w:rFonts w:ascii="Times New Roman" w:eastAsia="Calibri" w:hAnsi="Times New Roman" w:cs="Times New Roman"/>
          <w:kern w:val="0"/>
          <w:sz w:val="24"/>
          <w:szCs w:val="24"/>
          <w14:ligatures w14:val="none"/>
        </w:rPr>
        <w:t xml:space="preserve"> et al., 2023). </w:t>
      </w:r>
      <w:r w:rsidR="00F85FD4">
        <w:rPr>
          <w:rFonts w:ascii="Times New Roman" w:eastAsia="Calibri" w:hAnsi="Times New Roman" w:cs="Times New Roman"/>
          <w:kern w:val="0"/>
          <w:sz w:val="24"/>
          <w:szCs w:val="24"/>
          <w14:ligatures w14:val="none"/>
        </w:rPr>
        <w:t>Noting that significant deficiencies existed within</w:t>
      </w:r>
      <w:r w:rsidRPr="007271B6">
        <w:rPr>
          <w:rFonts w:ascii="Times New Roman" w:eastAsia="Calibri" w:hAnsi="Times New Roman" w:cs="Times New Roman"/>
          <w:kern w:val="0"/>
          <w:sz w:val="24"/>
          <w:szCs w:val="24"/>
          <w14:ligatures w14:val="none"/>
        </w:rPr>
        <w:t xml:space="preserve"> risk management</w:t>
      </w:r>
      <w:r w:rsidR="00F85FD4">
        <w:rPr>
          <w:rFonts w:ascii="Times New Roman" w:eastAsia="Calibri" w:hAnsi="Times New Roman" w:cs="Times New Roman"/>
          <w:kern w:val="0"/>
          <w:sz w:val="24"/>
          <w:szCs w:val="24"/>
          <w14:ligatures w14:val="none"/>
        </w:rPr>
        <w:t xml:space="preserve">, </w:t>
      </w:r>
      <w:r w:rsidRPr="007271B6">
        <w:rPr>
          <w:rFonts w:ascii="Times New Roman" w:eastAsia="Calibri" w:hAnsi="Times New Roman" w:cs="Times New Roman"/>
          <w:kern w:val="0"/>
          <w:sz w:val="24"/>
          <w:szCs w:val="24"/>
          <w14:ligatures w14:val="none"/>
        </w:rPr>
        <w:t xml:space="preserve">oversight practices in the areas of data protection, cash management, human resources, </w:t>
      </w:r>
      <w:proofErr w:type="gramStart"/>
      <w:r w:rsidRPr="007271B6">
        <w:rPr>
          <w:rFonts w:ascii="Times New Roman" w:eastAsia="Calibri" w:hAnsi="Times New Roman" w:cs="Times New Roman"/>
          <w:kern w:val="0"/>
          <w:sz w:val="24"/>
          <w:szCs w:val="24"/>
          <w14:ligatures w14:val="none"/>
        </w:rPr>
        <w:t>accounting</w:t>
      </w:r>
      <w:proofErr w:type="gramEnd"/>
      <w:r w:rsidRPr="007271B6">
        <w:rPr>
          <w:rFonts w:ascii="Times New Roman" w:eastAsia="Calibri" w:hAnsi="Times New Roman" w:cs="Times New Roman"/>
          <w:kern w:val="0"/>
          <w:sz w:val="24"/>
          <w:szCs w:val="24"/>
          <w14:ligatures w14:val="none"/>
        </w:rPr>
        <w:t xml:space="preserve"> and auditing. In general, the company exhibited a </w:t>
      </w:r>
      <w:r w:rsidRPr="007271B6">
        <w:rPr>
          <w:rFonts w:ascii="Times New Roman" w:eastAsia="Calibri" w:hAnsi="Times New Roman" w:cs="Times New Roman"/>
          <w:kern w:val="0"/>
          <w:sz w:val="24"/>
          <w:szCs w:val="24"/>
          <w14:ligatures w14:val="none"/>
        </w:rPr>
        <w:lastRenderedPageBreak/>
        <w:t xml:space="preserve">significant lack of governance caused by unfavourable human behaviour and corporate culture. The Board of Directors was unable to fulfil its duties and failed to meet its obligations as a fiduciary to the shareholders (KPMG, 2022). The company's management also failed to provide the board with </w:t>
      </w:r>
      <w:r w:rsidR="00AD1828">
        <w:rPr>
          <w:rFonts w:ascii="Times New Roman" w:eastAsia="Calibri" w:hAnsi="Times New Roman" w:cs="Times New Roman"/>
          <w:kern w:val="0"/>
          <w:sz w:val="24"/>
          <w:szCs w:val="24"/>
          <w14:ligatures w14:val="none"/>
        </w:rPr>
        <w:t>accurate financial</w:t>
      </w:r>
      <w:r w:rsidRPr="007271B6">
        <w:rPr>
          <w:rFonts w:ascii="Times New Roman" w:eastAsia="Calibri" w:hAnsi="Times New Roman" w:cs="Times New Roman"/>
          <w:kern w:val="0"/>
          <w:sz w:val="24"/>
          <w:szCs w:val="24"/>
          <w14:ligatures w14:val="none"/>
        </w:rPr>
        <w:t xml:space="preserve"> information</w:t>
      </w:r>
      <w:r w:rsidR="00F85FD4">
        <w:rPr>
          <w:rFonts w:ascii="Times New Roman" w:eastAsia="Calibri" w:hAnsi="Times New Roman" w:cs="Times New Roman"/>
          <w:kern w:val="0"/>
          <w:sz w:val="24"/>
          <w:szCs w:val="24"/>
          <w14:ligatures w14:val="none"/>
        </w:rPr>
        <w:t xml:space="preserve">, </w:t>
      </w:r>
      <w:r w:rsidR="00AD1828">
        <w:rPr>
          <w:rFonts w:ascii="Times New Roman" w:eastAsia="Calibri" w:hAnsi="Times New Roman" w:cs="Times New Roman"/>
          <w:kern w:val="0"/>
          <w:sz w:val="24"/>
          <w:szCs w:val="24"/>
          <w14:ligatures w14:val="none"/>
        </w:rPr>
        <w:t>causing asymmetry and impeding</w:t>
      </w:r>
      <w:r w:rsidR="00F85FD4">
        <w:rPr>
          <w:rFonts w:ascii="Times New Roman" w:eastAsia="Calibri" w:hAnsi="Times New Roman" w:cs="Times New Roman"/>
          <w:kern w:val="0"/>
          <w:sz w:val="24"/>
          <w:szCs w:val="24"/>
          <w14:ligatures w14:val="none"/>
        </w:rPr>
        <w:t xml:space="preserve"> effective decision making</w:t>
      </w:r>
      <w:r w:rsidR="00AD1828">
        <w:rPr>
          <w:rFonts w:ascii="Times New Roman" w:eastAsia="Calibri" w:hAnsi="Times New Roman" w:cs="Times New Roman"/>
          <w:kern w:val="0"/>
          <w:sz w:val="24"/>
          <w:szCs w:val="24"/>
          <w14:ligatures w14:val="none"/>
        </w:rPr>
        <w:t>.</w:t>
      </w:r>
    </w:p>
    <w:p w14:paraId="4AF547F3" w14:textId="77777777" w:rsidR="005C74BB" w:rsidRPr="007271B6" w:rsidRDefault="005C74BB" w:rsidP="00923840">
      <w:pPr>
        <w:pStyle w:val="Heading2"/>
      </w:pPr>
      <w:bookmarkStart w:id="5" w:name="_Toc165667399"/>
      <w:r w:rsidRPr="007271B6">
        <w:t>Research Problem</w:t>
      </w:r>
      <w:bookmarkEnd w:id="5"/>
    </w:p>
    <w:p w14:paraId="3ED620CD" w14:textId="2B2AFB67" w:rsidR="005C74BB" w:rsidRPr="007271B6" w:rsidRDefault="00E270F2" w:rsidP="005C74BB">
      <w:pPr>
        <w:spacing w:after="0" w:line="480" w:lineRule="auto"/>
        <w:ind w:firstLine="720"/>
        <w:contextualSpacing/>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G</w:t>
      </w:r>
      <w:r w:rsidR="004A627F" w:rsidRPr="007271B6">
        <w:rPr>
          <w:rFonts w:ascii="Times New Roman" w:eastAsia="Calibri" w:hAnsi="Times New Roman" w:cs="Times New Roman"/>
          <w:kern w:val="0"/>
          <w:sz w:val="24"/>
          <w:szCs w:val="24"/>
          <w14:ligatures w14:val="none"/>
        </w:rPr>
        <w:t>overnment</w:t>
      </w:r>
      <w:r>
        <w:rPr>
          <w:rFonts w:ascii="Times New Roman" w:eastAsia="Calibri" w:hAnsi="Times New Roman" w:cs="Times New Roman"/>
          <w:kern w:val="0"/>
          <w:sz w:val="24"/>
          <w:szCs w:val="24"/>
          <w14:ligatures w14:val="none"/>
        </w:rPr>
        <w:t>s</w:t>
      </w:r>
      <w:r w:rsidR="004A627F" w:rsidRPr="007271B6">
        <w:rPr>
          <w:rFonts w:ascii="Times New Roman" w:eastAsia="Calibri" w:hAnsi="Times New Roman" w:cs="Times New Roman"/>
          <w:kern w:val="0"/>
          <w:sz w:val="24"/>
          <w:szCs w:val="24"/>
          <w14:ligatures w14:val="none"/>
        </w:rPr>
        <w:t xml:space="preserve"> and other stakeholders have made various efforts to encourage key organisations to adopt appropriate corporate governance. Sound corporate governance is essential, especially given the rapidly changing </w:t>
      </w:r>
      <w:r w:rsidR="008F6541">
        <w:rPr>
          <w:rFonts w:ascii="Times New Roman" w:eastAsia="Calibri" w:hAnsi="Times New Roman" w:cs="Times New Roman"/>
          <w:kern w:val="0"/>
          <w:sz w:val="24"/>
          <w:szCs w:val="24"/>
          <w14:ligatures w14:val="none"/>
        </w:rPr>
        <w:t xml:space="preserve">nature of the </w:t>
      </w:r>
      <w:r w:rsidR="004A627F" w:rsidRPr="007271B6">
        <w:rPr>
          <w:rFonts w:ascii="Times New Roman" w:eastAsia="Calibri" w:hAnsi="Times New Roman" w:cs="Times New Roman"/>
          <w:kern w:val="0"/>
          <w:sz w:val="24"/>
          <w:szCs w:val="24"/>
          <w14:ligatures w14:val="none"/>
        </w:rPr>
        <w:t>digital asset industry and general business environment (</w:t>
      </w:r>
      <w:proofErr w:type="spellStart"/>
      <w:r w:rsidR="004A627F" w:rsidRPr="007271B6">
        <w:rPr>
          <w:rFonts w:ascii="Times New Roman" w:eastAsia="Calibri" w:hAnsi="Times New Roman" w:cs="Times New Roman"/>
          <w:kern w:val="0"/>
          <w:sz w:val="24"/>
          <w:szCs w:val="24"/>
          <w14:ligatures w14:val="none"/>
        </w:rPr>
        <w:t>Akyildirim</w:t>
      </w:r>
      <w:proofErr w:type="spellEnd"/>
      <w:r w:rsidR="004A627F" w:rsidRPr="007271B6">
        <w:rPr>
          <w:rFonts w:ascii="Times New Roman" w:eastAsia="Calibri" w:hAnsi="Times New Roman" w:cs="Times New Roman"/>
          <w:kern w:val="0"/>
          <w:sz w:val="24"/>
          <w:szCs w:val="24"/>
          <w14:ligatures w14:val="none"/>
        </w:rPr>
        <w:t xml:space="preserve"> et al., 2023). </w:t>
      </w:r>
      <w:r w:rsidR="00F30629">
        <w:rPr>
          <w:rFonts w:ascii="Times New Roman" w:eastAsia="Calibri" w:hAnsi="Times New Roman" w:cs="Times New Roman"/>
          <w:kern w:val="0"/>
          <w:sz w:val="24"/>
          <w:szCs w:val="24"/>
          <w14:ligatures w14:val="none"/>
        </w:rPr>
        <w:t>Effective</w:t>
      </w:r>
      <w:r w:rsidR="004A627F" w:rsidRPr="007271B6">
        <w:rPr>
          <w:rFonts w:ascii="Times New Roman" w:eastAsia="Calibri" w:hAnsi="Times New Roman" w:cs="Times New Roman"/>
          <w:kern w:val="0"/>
          <w:sz w:val="24"/>
          <w:szCs w:val="24"/>
          <w14:ligatures w14:val="none"/>
        </w:rPr>
        <w:t xml:space="preserve"> corporate governance ensures the proper management of customer funds, promotes a long-term perspective for digital asset enterprises, and builds trust with counterparties (Saltz and Dewar, 2019). However, despite significant steps, a considerable number of companies continue to collapse. Relatively large and mature digital asset companies that appear to be financially stable continue to be affected by corporate crises (Ramasubramanian, 2023). Despite the prevalence of corporate collapses, few studies have focused on examining corporate governance and substance failures that continue to be reported. Surprisingly, more studies have failed to examine the relationship between corporate governance and failure, including the related contributing factors (Ramasubramanian, 2023). Consequently, the role of corporate governance in business failure has been largely neglected. </w:t>
      </w:r>
      <w:r w:rsidR="008F6541">
        <w:rPr>
          <w:rFonts w:ascii="Times New Roman" w:eastAsia="Calibri" w:hAnsi="Times New Roman" w:cs="Times New Roman"/>
          <w:kern w:val="0"/>
          <w:sz w:val="24"/>
          <w:szCs w:val="24"/>
          <w14:ligatures w14:val="none"/>
        </w:rPr>
        <w:t>P</w:t>
      </w:r>
      <w:r w:rsidR="004A627F" w:rsidRPr="007271B6">
        <w:rPr>
          <w:rFonts w:ascii="Times New Roman" w:eastAsia="Calibri" w:hAnsi="Times New Roman" w:cs="Times New Roman"/>
          <w:kern w:val="0"/>
          <w:sz w:val="24"/>
          <w:szCs w:val="24"/>
          <w14:ligatures w14:val="none"/>
        </w:rPr>
        <w:t xml:space="preserve">revious studies on corporate failure have </w:t>
      </w:r>
      <w:r w:rsidR="008F6541">
        <w:rPr>
          <w:rFonts w:ascii="Times New Roman" w:eastAsia="Calibri" w:hAnsi="Times New Roman" w:cs="Times New Roman"/>
          <w:kern w:val="0"/>
          <w:sz w:val="24"/>
          <w:szCs w:val="24"/>
          <w14:ligatures w14:val="none"/>
        </w:rPr>
        <w:t xml:space="preserve">largely </w:t>
      </w:r>
      <w:r w:rsidR="004A627F" w:rsidRPr="007271B6">
        <w:rPr>
          <w:rFonts w:ascii="Times New Roman" w:eastAsia="Calibri" w:hAnsi="Times New Roman" w:cs="Times New Roman"/>
          <w:kern w:val="0"/>
          <w:sz w:val="24"/>
          <w:szCs w:val="24"/>
          <w14:ligatures w14:val="none"/>
        </w:rPr>
        <w:t xml:space="preserve">focused more on financial models that considered the contribution of financial ratios such as profitability, leverage, and liquidity rather than examining the underlying human aspects that cause these failures (Ramasubramanian, 2023). Even in the few studies that have examined this area of corporate governance and linked it to corporate failure, researchers have failed to reach a consensus on the nature of management and leadership activities that contribute to </w:t>
      </w:r>
      <w:r w:rsidR="004A627F" w:rsidRPr="007271B6">
        <w:rPr>
          <w:rFonts w:ascii="Times New Roman" w:eastAsia="Calibri" w:hAnsi="Times New Roman" w:cs="Times New Roman"/>
          <w:kern w:val="0"/>
          <w:sz w:val="24"/>
          <w:szCs w:val="24"/>
          <w14:ligatures w14:val="none"/>
        </w:rPr>
        <w:lastRenderedPageBreak/>
        <w:t xml:space="preserve">governance failure (Ramasubramanian, 2023). This study refers to FTX and Alameda Research, whose recent collapse is attributed to the failure of leadership and management to implement an appropriate governance structure. The study investigates whether the poor corporate governance of the two companies contributed to their </w:t>
      </w:r>
      <w:r w:rsidR="00F30629">
        <w:rPr>
          <w:rFonts w:ascii="Times New Roman" w:eastAsia="Calibri" w:hAnsi="Times New Roman" w:cs="Times New Roman"/>
          <w:kern w:val="0"/>
          <w:sz w:val="24"/>
          <w:szCs w:val="24"/>
          <w14:ligatures w14:val="none"/>
        </w:rPr>
        <w:t>demise</w:t>
      </w:r>
      <w:r w:rsidR="004A627F" w:rsidRPr="007271B6">
        <w:rPr>
          <w:rFonts w:ascii="Times New Roman" w:eastAsia="Calibri" w:hAnsi="Times New Roman" w:cs="Times New Roman"/>
          <w:kern w:val="0"/>
          <w:sz w:val="24"/>
          <w:szCs w:val="24"/>
          <w14:ligatures w14:val="none"/>
        </w:rPr>
        <w:t>.</w:t>
      </w:r>
    </w:p>
    <w:p w14:paraId="37B5250D" w14:textId="77777777" w:rsidR="005C74BB" w:rsidRPr="007271B6" w:rsidRDefault="005C74BB" w:rsidP="00923840">
      <w:pPr>
        <w:pStyle w:val="Heading2"/>
      </w:pPr>
      <w:bookmarkStart w:id="6" w:name="_Toc165667400"/>
      <w:r w:rsidRPr="007271B6">
        <w:t>Research Aim and Objectives</w:t>
      </w:r>
      <w:bookmarkEnd w:id="6"/>
    </w:p>
    <w:p w14:paraId="3B5B2FA0" w14:textId="77777777" w:rsidR="005C74BB" w:rsidRPr="007271B6" w:rsidRDefault="005C74BB" w:rsidP="005C74BB">
      <w:pPr>
        <w:spacing w:after="0" w:line="480" w:lineRule="auto"/>
        <w:contextualSpacing/>
        <w:rPr>
          <w:rFonts w:ascii="Times New Roman" w:eastAsia="Calibri" w:hAnsi="Times New Roman" w:cs="Times New Roman"/>
          <w:i/>
          <w:kern w:val="0"/>
          <w:sz w:val="24"/>
          <w:szCs w:val="24"/>
          <w:u w:val="single"/>
          <w14:ligatures w14:val="none"/>
        </w:rPr>
      </w:pPr>
      <w:r w:rsidRPr="007271B6">
        <w:rPr>
          <w:rFonts w:ascii="Times New Roman" w:eastAsia="Calibri" w:hAnsi="Times New Roman" w:cs="Times New Roman"/>
          <w:i/>
          <w:kern w:val="0"/>
          <w:sz w:val="24"/>
          <w:szCs w:val="24"/>
          <w:u w:val="single"/>
          <w14:ligatures w14:val="none"/>
        </w:rPr>
        <w:t>Research Aim</w:t>
      </w:r>
    </w:p>
    <w:p w14:paraId="343EE70A" w14:textId="12B85F55" w:rsidR="005C74BB" w:rsidRPr="007271B6" w:rsidRDefault="005C74BB" w:rsidP="005C74BB">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background information reveals that FTX and Alameda Research collapsed less than four years after their establishment. The failure of these companies is attributable to multiple activities undertaken by leadership that failed to consider proper corporate governance. Thus, the aim of the current study is to extensively review the policies </w:t>
      </w:r>
      <w:r w:rsidR="00F30629">
        <w:rPr>
          <w:rFonts w:ascii="Times New Roman" w:eastAsia="Calibri" w:hAnsi="Times New Roman" w:cs="Times New Roman"/>
          <w:kern w:val="0"/>
          <w:sz w:val="24"/>
          <w:szCs w:val="24"/>
          <w14:ligatures w14:val="none"/>
        </w:rPr>
        <w:t>of</w:t>
      </w:r>
      <w:r w:rsidRPr="007271B6">
        <w:rPr>
          <w:rFonts w:ascii="Times New Roman" w:eastAsia="Calibri" w:hAnsi="Times New Roman" w:cs="Times New Roman"/>
          <w:kern w:val="0"/>
          <w:sz w:val="24"/>
          <w:szCs w:val="24"/>
          <w14:ligatures w14:val="none"/>
        </w:rPr>
        <w:t xml:space="preserve"> FTX and Alameda Research toward guiding their operations and how the implementation of these policies contributed to poor corporate governance structures that saw the two companies collapse. Policies aimed at guiding the governance of organisations ensure the standardisation of operations through proper structures. However, if not properly implemented</w:t>
      </w:r>
      <w:r w:rsidR="00F30629">
        <w:rPr>
          <w:rFonts w:ascii="Times New Roman" w:eastAsia="Calibri" w:hAnsi="Times New Roman" w:cs="Times New Roman"/>
          <w:kern w:val="0"/>
          <w:sz w:val="24"/>
          <w:szCs w:val="24"/>
          <w14:ligatures w14:val="none"/>
        </w:rPr>
        <w:t xml:space="preserve">, </w:t>
      </w:r>
      <w:proofErr w:type="gramStart"/>
      <w:r w:rsidR="00F30629">
        <w:rPr>
          <w:rFonts w:ascii="Times New Roman" w:eastAsia="Calibri" w:hAnsi="Times New Roman" w:cs="Times New Roman"/>
          <w:kern w:val="0"/>
          <w:sz w:val="24"/>
          <w:szCs w:val="24"/>
          <w14:ligatures w14:val="none"/>
        </w:rPr>
        <w:t>maintained</w:t>
      </w:r>
      <w:proofErr w:type="gramEnd"/>
      <w:r w:rsidR="00F30629">
        <w:rPr>
          <w:rFonts w:ascii="Times New Roman" w:eastAsia="Calibri" w:hAnsi="Times New Roman" w:cs="Times New Roman"/>
          <w:kern w:val="0"/>
          <w:sz w:val="24"/>
          <w:szCs w:val="24"/>
          <w14:ligatures w14:val="none"/>
        </w:rPr>
        <w:t xml:space="preserve"> and enhanced</w:t>
      </w:r>
      <w:r w:rsidRPr="007271B6">
        <w:rPr>
          <w:rFonts w:ascii="Times New Roman" w:eastAsia="Calibri" w:hAnsi="Times New Roman" w:cs="Times New Roman"/>
          <w:kern w:val="0"/>
          <w:sz w:val="24"/>
          <w:szCs w:val="24"/>
          <w14:ligatures w14:val="none"/>
        </w:rPr>
        <w:t xml:space="preserve">, such policies may cause failure in the governance process, hence the potential collapse of companies. The study </w:t>
      </w:r>
      <w:r w:rsidR="00F30629">
        <w:rPr>
          <w:rFonts w:ascii="Times New Roman" w:eastAsia="Calibri" w:hAnsi="Times New Roman" w:cs="Times New Roman"/>
          <w:kern w:val="0"/>
          <w:sz w:val="24"/>
          <w:szCs w:val="24"/>
          <w14:ligatures w14:val="none"/>
        </w:rPr>
        <w:t>aims</w:t>
      </w:r>
      <w:r w:rsidRPr="007271B6">
        <w:rPr>
          <w:rFonts w:ascii="Times New Roman" w:eastAsia="Calibri" w:hAnsi="Times New Roman" w:cs="Times New Roman"/>
          <w:kern w:val="0"/>
          <w:sz w:val="24"/>
          <w:szCs w:val="24"/>
          <w14:ligatures w14:val="none"/>
        </w:rPr>
        <w:t xml:space="preserve"> to investigate this to understand how it happened in the two</w:t>
      </w:r>
      <w:r w:rsidR="008F6541">
        <w:rPr>
          <w:rFonts w:ascii="Times New Roman" w:eastAsia="Calibri" w:hAnsi="Times New Roman" w:cs="Times New Roman"/>
          <w:kern w:val="0"/>
          <w:sz w:val="24"/>
          <w:szCs w:val="24"/>
          <w14:ligatures w14:val="none"/>
        </w:rPr>
        <w:t xml:space="preserve"> subject</w:t>
      </w:r>
      <w:r w:rsidRPr="007271B6">
        <w:rPr>
          <w:rFonts w:ascii="Times New Roman" w:eastAsia="Calibri" w:hAnsi="Times New Roman" w:cs="Times New Roman"/>
          <w:kern w:val="0"/>
          <w:sz w:val="24"/>
          <w:szCs w:val="24"/>
          <w14:ligatures w14:val="none"/>
        </w:rPr>
        <w:t xml:space="preserve"> firms</w:t>
      </w:r>
      <w:r w:rsidR="007C2E48">
        <w:rPr>
          <w:rFonts w:ascii="Times New Roman" w:eastAsia="Calibri" w:hAnsi="Times New Roman" w:cs="Times New Roman"/>
          <w:kern w:val="0"/>
          <w:sz w:val="24"/>
          <w:szCs w:val="24"/>
          <w14:ligatures w14:val="none"/>
        </w:rPr>
        <w:t xml:space="preserve"> and</w:t>
      </w:r>
      <w:r w:rsidRPr="007271B6">
        <w:rPr>
          <w:rFonts w:ascii="Times New Roman" w:eastAsia="Calibri" w:hAnsi="Times New Roman" w:cs="Times New Roman"/>
          <w:kern w:val="0"/>
          <w:sz w:val="24"/>
          <w:szCs w:val="24"/>
          <w14:ligatures w14:val="none"/>
        </w:rPr>
        <w:t xml:space="preserve"> to analyse the various </w:t>
      </w:r>
      <w:r w:rsidR="007C2E48">
        <w:rPr>
          <w:rFonts w:ascii="Times New Roman" w:eastAsia="Calibri" w:hAnsi="Times New Roman" w:cs="Times New Roman"/>
          <w:kern w:val="0"/>
          <w:sz w:val="24"/>
          <w:szCs w:val="24"/>
          <w14:ligatures w14:val="none"/>
        </w:rPr>
        <w:t xml:space="preserve">corporate governance </w:t>
      </w:r>
      <w:r w:rsidRPr="007271B6">
        <w:rPr>
          <w:rFonts w:ascii="Times New Roman" w:eastAsia="Calibri" w:hAnsi="Times New Roman" w:cs="Times New Roman"/>
          <w:kern w:val="0"/>
          <w:sz w:val="24"/>
          <w:szCs w:val="24"/>
          <w14:ligatures w14:val="none"/>
        </w:rPr>
        <w:t xml:space="preserve">factors that contributed to their collapse. Focusing on the contributing factors forms the critical basis of this study to bring into perspective the role that the management and leadership of the organisations played, leading to failed governance. Any organisation's leadership style and management approach </w:t>
      </w:r>
      <w:r w:rsidR="008F6541">
        <w:rPr>
          <w:rFonts w:ascii="Times New Roman" w:eastAsia="Calibri" w:hAnsi="Times New Roman" w:cs="Times New Roman"/>
          <w:kern w:val="0"/>
          <w:sz w:val="24"/>
          <w:szCs w:val="24"/>
          <w14:ligatures w14:val="none"/>
        </w:rPr>
        <w:t xml:space="preserve">are key </w:t>
      </w:r>
      <w:r w:rsidRPr="007271B6">
        <w:rPr>
          <w:rFonts w:ascii="Times New Roman" w:eastAsia="Calibri" w:hAnsi="Times New Roman" w:cs="Times New Roman"/>
          <w:kern w:val="0"/>
          <w:sz w:val="24"/>
          <w:szCs w:val="24"/>
          <w14:ligatures w14:val="none"/>
        </w:rPr>
        <w:t>determin</w:t>
      </w:r>
      <w:r w:rsidR="008F6541">
        <w:rPr>
          <w:rFonts w:ascii="Times New Roman" w:eastAsia="Calibri" w:hAnsi="Times New Roman" w:cs="Times New Roman"/>
          <w:kern w:val="0"/>
          <w:sz w:val="24"/>
          <w:szCs w:val="24"/>
          <w14:ligatures w14:val="none"/>
        </w:rPr>
        <w:t>ates of</w:t>
      </w:r>
      <w:r w:rsidRPr="007271B6">
        <w:rPr>
          <w:rFonts w:ascii="Times New Roman" w:eastAsia="Calibri" w:hAnsi="Times New Roman" w:cs="Times New Roman"/>
          <w:kern w:val="0"/>
          <w:sz w:val="24"/>
          <w:szCs w:val="24"/>
          <w14:ligatures w14:val="none"/>
        </w:rPr>
        <w:t xml:space="preserve"> its performance success. Even in the presence of standard corporate governance structures, leadership is critical in ensuring adherence to these structures, and the failure on the part of management of FTX and Alameda Research may have contributed significantly to their collapse; hence, there is a need to investigate. Thus, based on the focus of the study, the outcomes will assist in determining the best practices and </w:t>
      </w:r>
      <w:r w:rsidRPr="007271B6">
        <w:rPr>
          <w:rFonts w:ascii="Times New Roman" w:eastAsia="Calibri" w:hAnsi="Times New Roman" w:cs="Times New Roman"/>
          <w:kern w:val="0"/>
          <w:sz w:val="24"/>
          <w:szCs w:val="24"/>
          <w14:ligatures w14:val="none"/>
        </w:rPr>
        <w:lastRenderedPageBreak/>
        <w:t xml:space="preserve">policies associated with corporate governance and how leadership and management </w:t>
      </w:r>
      <w:r w:rsidR="00D42C75">
        <w:rPr>
          <w:rFonts w:ascii="Times New Roman" w:eastAsia="Calibri" w:hAnsi="Times New Roman" w:cs="Times New Roman"/>
          <w:kern w:val="0"/>
          <w:sz w:val="24"/>
          <w:szCs w:val="24"/>
          <w14:ligatures w14:val="none"/>
        </w:rPr>
        <w:t>should</w:t>
      </w:r>
      <w:r w:rsidRPr="007271B6">
        <w:rPr>
          <w:rFonts w:ascii="Times New Roman" w:eastAsia="Calibri" w:hAnsi="Times New Roman" w:cs="Times New Roman"/>
          <w:kern w:val="0"/>
          <w:sz w:val="24"/>
          <w:szCs w:val="24"/>
          <w14:ligatures w14:val="none"/>
        </w:rPr>
        <w:t xml:space="preserve"> take them into account to ensure successful governance and achieve desired corporate performance. </w:t>
      </w:r>
    </w:p>
    <w:p w14:paraId="6C324345" w14:textId="77777777" w:rsidR="005C74BB" w:rsidRPr="007271B6" w:rsidRDefault="005C74BB" w:rsidP="005C74BB">
      <w:pPr>
        <w:spacing w:after="0" w:line="480" w:lineRule="auto"/>
        <w:contextualSpacing/>
        <w:rPr>
          <w:rFonts w:ascii="Times New Roman" w:eastAsia="Calibri" w:hAnsi="Times New Roman" w:cs="Times New Roman"/>
          <w:bCs/>
          <w:i/>
          <w:kern w:val="0"/>
          <w:sz w:val="24"/>
          <w:szCs w:val="24"/>
          <w:u w:val="single"/>
          <w14:ligatures w14:val="none"/>
        </w:rPr>
      </w:pPr>
      <w:r w:rsidRPr="007271B6">
        <w:rPr>
          <w:rFonts w:ascii="Times New Roman" w:eastAsia="Calibri" w:hAnsi="Times New Roman" w:cs="Times New Roman"/>
          <w:bCs/>
          <w:i/>
          <w:iCs/>
          <w:kern w:val="0"/>
          <w:sz w:val="24"/>
          <w:szCs w:val="24"/>
          <w:u w:val="single"/>
          <w14:ligatures w14:val="none"/>
        </w:rPr>
        <w:t>Objectives</w:t>
      </w:r>
    </w:p>
    <w:p w14:paraId="5F4BA9B2" w14:textId="0A93DDE9" w:rsidR="005C74BB" w:rsidRPr="007271B6" w:rsidRDefault="005C74BB" w:rsidP="005C74BB">
      <w:pPr>
        <w:numPr>
          <w:ilvl w:val="0"/>
          <w:numId w:val="3"/>
        </w:numPr>
        <w:spacing w:after="0" w:line="480" w:lineRule="auto"/>
        <w:contextualSpacing/>
        <w:rPr>
          <w:rFonts w:ascii="Times New Roman" w:eastAsia="Times New Roman" w:hAnsi="Times New Roman" w:cs="Times New Roman"/>
          <w:kern w:val="0"/>
          <w:sz w:val="24"/>
          <w:szCs w:val="24"/>
          <w:lang w:eastAsia="en-GB"/>
          <w14:ligatures w14:val="none"/>
        </w:rPr>
      </w:pPr>
      <w:r w:rsidRPr="007271B6">
        <w:rPr>
          <w:rFonts w:ascii="Times New Roman" w:eastAsia="Calibri" w:hAnsi="Times New Roman" w:cs="Times New Roman"/>
          <w:kern w:val="0"/>
          <w:sz w:val="24"/>
          <w:szCs w:val="24"/>
          <w:lang w:eastAsia="en-GB"/>
          <w14:ligatures w14:val="none"/>
        </w:rPr>
        <w:t xml:space="preserve">To review and analyse the corporate governance practices within FTX and Alameda Research, which </w:t>
      </w:r>
      <w:r w:rsidR="00D42C75">
        <w:rPr>
          <w:rFonts w:ascii="Times New Roman" w:eastAsia="Calibri" w:hAnsi="Times New Roman" w:cs="Times New Roman"/>
          <w:kern w:val="0"/>
          <w:sz w:val="24"/>
          <w:szCs w:val="24"/>
          <w:lang w:eastAsia="en-GB"/>
          <w14:ligatures w14:val="none"/>
        </w:rPr>
        <w:t>contributed</w:t>
      </w:r>
      <w:r w:rsidRPr="007271B6">
        <w:rPr>
          <w:rFonts w:ascii="Times New Roman" w:eastAsia="Calibri" w:hAnsi="Times New Roman" w:cs="Times New Roman"/>
          <w:kern w:val="0"/>
          <w:sz w:val="24"/>
          <w:szCs w:val="24"/>
          <w:lang w:eastAsia="en-GB"/>
          <w14:ligatures w14:val="none"/>
        </w:rPr>
        <w:t xml:space="preserve"> to their bankruptcies,</w:t>
      </w:r>
    </w:p>
    <w:p w14:paraId="74BA06C6" w14:textId="77777777" w:rsidR="005C74BB" w:rsidRPr="007271B6" w:rsidRDefault="005C74BB" w:rsidP="005C74BB">
      <w:pPr>
        <w:numPr>
          <w:ilvl w:val="0"/>
          <w:numId w:val="3"/>
        </w:numPr>
        <w:spacing w:after="0" w:line="480" w:lineRule="auto"/>
        <w:contextualSpacing/>
        <w:rPr>
          <w:rFonts w:ascii="Times New Roman" w:eastAsia="Times New Roman" w:hAnsi="Times New Roman" w:cs="Times New Roman"/>
          <w:kern w:val="0"/>
          <w:sz w:val="24"/>
          <w:szCs w:val="24"/>
          <w:lang w:eastAsia="en-GB"/>
          <w14:ligatures w14:val="none"/>
        </w:rPr>
      </w:pPr>
      <w:r w:rsidRPr="007271B6">
        <w:rPr>
          <w:rFonts w:ascii="Times New Roman" w:eastAsia="Calibri" w:hAnsi="Times New Roman" w:cs="Times New Roman"/>
          <w:kern w:val="0"/>
          <w:sz w:val="24"/>
          <w:szCs w:val="24"/>
          <w:lang w:eastAsia="en-GB"/>
          <w14:ligatures w14:val="none"/>
        </w:rPr>
        <w:t>To investigate and evaluate any underlying issues within the companies from a governance perspective,</w:t>
      </w:r>
    </w:p>
    <w:p w14:paraId="35A666AB" w14:textId="38D33392" w:rsidR="005C74BB" w:rsidRPr="007271B6" w:rsidRDefault="005C74BB" w:rsidP="005C74BB">
      <w:pPr>
        <w:numPr>
          <w:ilvl w:val="0"/>
          <w:numId w:val="3"/>
        </w:numPr>
        <w:spacing w:after="0" w:line="480" w:lineRule="auto"/>
        <w:contextualSpacing/>
        <w:rPr>
          <w:rFonts w:ascii="Times New Roman" w:eastAsia="Times New Roman" w:hAnsi="Times New Roman" w:cs="Times New Roman"/>
          <w:kern w:val="0"/>
          <w:sz w:val="24"/>
          <w:szCs w:val="24"/>
          <w:lang w:eastAsia="en-GB"/>
          <w14:ligatures w14:val="none"/>
        </w:rPr>
      </w:pPr>
      <w:r w:rsidRPr="007271B6">
        <w:rPr>
          <w:rFonts w:ascii="Times New Roman" w:eastAsia="Calibri" w:hAnsi="Times New Roman" w:cs="Times New Roman"/>
          <w:kern w:val="0"/>
          <w:sz w:val="24"/>
          <w:szCs w:val="24"/>
          <w:lang w:eastAsia="en-GB"/>
          <w14:ligatures w14:val="none"/>
        </w:rPr>
        <w:t>To draw modest conclusions and propose recommendations of corporate governance as learned from the failure of FTX and Alameda Research.</w:t>
      </w:r>
    </w:p>
    <w:p w14:paraId="4BBD881C" w14:textId="77777777" w:rsidR="005C74BB" w:rsidRPr="007271B6" w:rsidRDefault="005C74BB" w:rsidP="00923840">
      <w:pPr>
        <w:pStyle w:val="Heading2"/>
      </w:pPr>
      <w:bookmarkStart w:id="7" w:name="_Toc165667401"/>
      <w:r w:rsidRPr="007271B6">
        <w:t>Research Questions</w:t>
      </w:r>
      <w:bookmarkEnd w:id="7"/>
    </w:p>
    <w:p w14:paraId="411B79C8" w14:textId="77777777" w:rsidR="005C74BB" w:rsidRPr="007271B6" w:rsidRDefault="005C74BB" w:rsidP="002770D2">
      <w:pPr>
        <w:numPr>
          <w:ilvl w:val="0"/>
          <w:numId w:val="4"/>
        </w:numPr>
        <w:spacing w:after="0" w:line="480" w:lineRule="auto"/>
        <w:contextualSpacing/>
        <w:rPr>
          <w:rFonts w:ascii="Times New Roman" w:eastAsia="Calibri" w:hAnsi="Times New Roman" w:cs="Times New Roman"/>
          <w:kern w:val="0"/>
          <w:sz w:val="24"/>
          <w:szCs w:val="24"/>
          <w:lang w:eastAsia="en-GB"/>
          <w14:ligatures w14:val="none"/>
        </w:rPr>
      </w:pPr>
      <w:r w:rsidRPr="007271B6">
        <w:rPr>
          <w:rFonts w:ascii="Times New Roman" w:eastAsia="Calibri" w:hAnsi="Times New Roman" w:cs="Times New Roman"/>
          <w:kern w:val="0"/>
          <w:sz w:val="24"/>
          <w:szCs w:val="24"/>
          <w:lang w:eastAsia="en-GB"/>
          <w14:ligatures w14:val="none"/>
        </w:rPr>
        <w:t>How did the corporate governance practices within FTX and Alameda Research lead to their bankruptcies?</w:t>
      </w:r>
    </w:p>
    <w:p w14:paraId="561BBECD" w14:textId="77777777" w:rsidR="005C74BB" w:rsidRPr="007271B6" w:rsidRDefault="005C74BB" w:rsidP="002770D2">
      <w:pPr>
        <w:numPr>
          <w:ilvl w:val="0"/>
          <w:numId w:val="4"/>
        </w:numPr>
        <w:spacing w:after="0" w:line="480" w:lineRule="auto"/>
        <w:contextualSpacing/>
        <w:rPr>
          <w:rFonts w:ascii="Times New Roman" w:eastAsia="Calibri" w:hAnsi="Times New Roman" w:cs="Times New Roman"/>
          <w:kern w:val="0"/>
          <w:sz w:val="24"/>
          <w:szCs w:val="24"/>
          <w:lang w:eastAsia="en-GB"/>
          <w14:ligatures w14:val="none"/>
        </w:rPr>
      </w:pPr>
      <w:r w:rsidRPr="007271B6">
        <w:rPr>
          <w:rFonts w:ascii="Times New Roman" w:eastAsia="Calibri" w:hAnsi="Times New Roman" w:cs="Times New Roman"/>
          <w:kern w:val="0"/>
          <w:sz w:val="24"/>
          <w:szCs w:val="24"/>
          <w:lang w:eastAsia="en-GB"/>
          <w14:ligatures w14:val="none"/>
        </w:rPr>
        <w:t>What were the most prevalent underlying issues within the companies from a governance perspective?</w:t>
      </w:r>
    </w:p>
    <w:p w14:paraId="24E3F0BA" w14:textId="5DA009A8" w:rsidR="0094394C" w:rsidRPr="007C2E48" w:rsidRDefault="005C74BB" w:rsidP="007C2E48">
      <w:pPr>
        <w:numPr>
          <w:ilvl w:val="0"/>
          <w:numId w:val="4"/>
        </w:numPr>
        <w:spacing w:after="0" w:line="480" w:lineRule="auto"/>
        <w:contextualSpacing/>
        <w:rPr>
          <w:rFonts w:ascii="Times New Roman" w:eastAsia="Calibri" w:hAnsi="Times New Roman" w:cs="Times New Roman"/>
          <w:kern w:val="0"/>
          <w:sz w:val="24"/>
          <w:szCs w:val="24"/>
          <w:lang w:eastAsia="en-GB"/>
          <w14:ligatures w14:val="none"/>
        </w:rPr>
      </w:pPr>
      <w:r w:rsidRPr="007271B6">
        <w:rPr>
          <w:rFonts w:ascii="Times New Roman" w:eastAsia="Calibri" w:hAnsi="Times New Roman" w:cs="Times New Roman"/>
          <w:kern w:val="0"/>
          <w:sz w:val="24"/>
          <w:szCs w:val="24"/>
          <w:lang w:eastAsia="en-GB"/>
          <w14:ligatures w14:val="none"/>
        </w:rPr>
        <w:t>What are the modest conclusions and recommendations regarding corporate governance as learned from the failure of FTX and Alameda Research?</w:t>
      </w:r>
    </w:p>
    <w:p w14:paraId="4EC5F745" w14:textId="77777777" w:rsidR="005C74BB" w:rsidRPr="007271B6" w:rsidRDefault="005C74BB" w:rsidP="00D42C75">
      <w:pPr>
        <w:pStyle w:val="Heading2"/>
      </w:pPr>
      <w:bookmarkStart w:id="8" w:name="_Toc165667402"/>
      <w:r w:rsidRPr="007271B6">
        <w:t>Significance of Study</w:t>
      </w:r>
      <w:bookmarkEnd w:id="8"/>
    </w:p>
    <w:p w14:paraId="1BAC0190" w14:textId="513E8A08" w:rsidR="005C74BB" w:rsidRPr="007271B6" w:rsidRDefault="00747CA7" w:rsidP="005C74BB">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results of this study will contribute to the running, controlling, and operating of various organisations across all sectors, particularly in the digital space and in the development of regulations. By examining the governance practices displayed by FTX and Alameda Research, the study will provide insights into how governance within the organisation relates to business failure. This is because the research </w:t>
      </w:r>
      <w:r w:rsidR="00DC43E0">
        <w:rPr>
          <w:rFonts w:ascii="Times New Roman" w:eastAsia="Calibri" w:hAnsi="Times New Roman" w:cs="Times New Roman"/>
          <w:kern w:val="0"/>
          <w:sz w:val="24"/>
          <w:szCs w:val="24"/>
          <w14:ligatures w14:val="none"/>
        </w:rPr>
        <w:t>high</w:t>
      </w:r>
      <w:r w:rsidRPr="007271B6">
        <w:rPr>
          <w:rFonts w:ascii="Times New Roman" w:eastAsia="Calibri" w:hAnsi="Times New Roman" w:cs="Times New Roman"/>
          <w:kern w:val="0"/>
          <w:sz w:val="24"/>
          <w:szCs w:val="24"/>
          <w14:ligatures w14:val="none"/>
        </w:rPr>
        <w:t>light</w:t>
      </w:r>
      <w:r w:rsidR="00DC43E0">
        <w:rPr>
          <w:rFonts w:ascii="Times New Roman" w:eastAsia="Calibri" w:hAnsi="Times New Roman" w:cs="Times New Roman"/>
          <w:kern w:val="0"/>
          <w:sz w:val="24"/>
          <w:szCs w:val="24"/>
          <w14:ligatures w14:val="none"/>
        </w:rPr>
        <w:t>s</w:t>
      </w:r>
      <w:r w:rsidRPr="007271B6">
        <w:rPr>
          <w:rFonts w:ascii="Times New Roman" w:eastAsia="Calibri" w:hAnsi="Times New Roman" w:cs="Times New Roman"/>
          <w:kern w:val="0"/>
          <w:sz w:val="24"/>
          <w:szCs w:val="24"/>
          <w14:ligatures w14:val="none"/>
        </w:rPr>
        <w:t xml:space="preserve"> what happened in these two companies before they were declared bankrupt and how governance was seen as a critical factor. A key aspect of this analysis is identifying the critical factors that saw the </w:t>
      </w:r>
      <w:r w:rsidRPr="007271B6">
        <w:rPr>
          <w:rFonts w:ascii="Times New Roman" w:eastAsia="Calibri" w:hAnsi="Times New Roman" w:cs="Times New Roman"/>
          <w:kern w:val="0"/>
          <w:sz w:val="24"/>
          <w:szCs w:val="24"/>
          <w14:ligatures w14:val="none"/>
        </w:rPr>
        <w:lastRenderedPageBreak/>
        <w:t xml:space="preserve">companies resort to poor governance, hence the failure, and documenting these factors in the literature for future reference and comparison. By explicitly examining the two companies in the digital asset industry, the study contributes to understanding the most relevant practices in this industry that have the potential to negatively impact business operations. It also provides the basis for understanding the failures that occur in corporate governance and how this contributes to the performance of the companies. This knowledge is essential in helping stakeholders within the digital asset industry develop measures to mitigate risks. The step towards mitigation is critical in </w:t>
      </w:r>
      <w:r w:rsidR="00DC43E0">
        <w:rPr>
          <w:rFonts w:ascii="Times New Roman" w:eastAsia="Calibri" w:hAnsi="Times New Roman" w:cs="Times New Roman"/>
          <w:kern w:val="0"/>
          <w:sz w:val="24"/>
          <w:szCs w:val="24"/>
          <w14:ligatures w14:val="none"/>
        </w:rPr>
        <w:t>improving</w:t>
      </w:r>
      <w:r w:rsidRPr="007271B6">
        <w:rPr>
          <w:rFonts w:ascii="Times New Roman" w:eastAsia="Calibri" w:hAnsi="Times New Roman" w:cs="Times New Roman"/>
          <w:kern w:val="0"/>
          <w:sz w:val="24"/>
          <w:szCs w:val="24"/>
          <w14:ligatures w14:val="none"/>
        </w:rPr>
        <w:t xml:space="preserve"> </w:t>
      </w:r>
      <w:r w:rsidR="00DC43E0">
        <w:rPr>
          <w:rFonts w:ascii="Times New Roman" w:eastAsia="Calibri" w:hAnsi="Times New Roman" w:cs="Times New Roman"/>
          <w:kern w:val="0"/>
          <w:sz w:val="24"/>
          <w:szCs w:val="24"/>
          <w14:ligatures w14:val="none"/>
        </w:rPr>
        <w:t xml:space="preserve">the performance and </w:t>
      </w:r>
      <w:r w:rsidR="00DC43E0" w:rsidRPr="007271B6">
        <w:rPr>
          <w:rFonts w:ascii="Times New Roman" w:eastAsia="Calibri" w:hAnsi="Times New Roman" w:cs="Times New Roman"/>
          <w:kern w:val="0"/>
          <w:sz w:val="24"/>
          <w:szCs w:val="24"/>
          <w14:ligatures w14:val="none"/>
        </w:rPr>
        <w:t>behaviours</w:t>
      </w:r>
      <w:r w:rsidR="00DC43E0">
        <w:rPr>
          <w:rFonts w:ascii="Times New Roman" w:eastAsia="Calibri" w:hAnsi="Times New Roman" w:cs="Times New Roman"/>
          <w:kern w:val="0"/>
          <w:sz w:val="24"/>
          <w:szCs w:val="24"/>
          <w14:ligatures w14:val="none"/>
        </w:rPr>
        <w:t xml:space="preserve"> of management</w:t>
      </w:r>
      <w:r w:rsidRPr="007271B6">
        <w:rPr>
          <w:rFonts w:ascii="Times New Roman" w:eastAsia="Calibri" w:hAnsi="Times New Roman" w:cs="Times New Roman"/>
          <w:kern w:val="0"/>
          <w:sz w:val="24"/>
          <w:szCs w:val="24"/>
          <w14:ligatures w14:val="none"/>
        </w:rPr>
        <w:t xml:space="preserve">, hence contributing to </w:t>
      </w:r>
      <w:r w:rsidR="00DC43E0">
        <w:rPr>
          <w:rFonts w:ascii="Times New Roman" w:eastAsia="Calibri" w:hAnsi="Times New Roman" w:cs="Times New Roman"/>
          <w:kern w:val="0"/>
          <w:sz w:val="24"/>
          <w:szCs w:val="24"/>
          <w14:ligatures w14:val="none"/>
        </w:rPr>
        <w:t>organisational performance</w:t>
      </w:r>
      <w:r w:rsidRPr="007271B6">
        <w:rPr>
          <w:rFonts w:ascii="Times New Roman" w:eastAsia="Calibri" w:hAnsi="Times New Roman" w:cs="Times New Roman"/>
          <w:kern w:val="0"/>
          <w:sz w:val="24"/>
          <w:szCs w:val="24"/>
          <w14:ligatures w14:val="none"/>
        </w:rPr>
        <w:t xml:space="preserve">. In addition, the study offers lessons and recommendations that can be implemented by various organisations, particularly in digital currency trading, to reduce the likelihood of collapse due to a failure of governance approaches. By taking a more general approach towards corporate governance failure, rather than focusing specifically on the digital asset sector, the study broadens its scope to provide more relevant information that applies to the whole market on how organisations can limit governance failure and ensure the </w:t>
      </w:r>
      <w:r w:rsidR="00DC43E0">
        <w:rPr>
          <w:rFonts w:ascii="Times New Roman" w:eastAsia="Calibri" w:hAnsi="Times New Roman" w:cs="Times New Roman"/>
          <w:kern w:val="0"/>
          <w:sz w:val="24"/>
          <w:szCs w:val="24"/>
          <w14:ligatures w14:val="none"/>
        </w:rPr>
        <w:t xml:space="preserve">successful </w:t>
      </w:r>
      <w:r w:rsidRPr="007271B6">
        <w:rPr>
          <w:rFonts w:ascii="Times New Roman" w:eastAsia="Calibri" w:hAnsi="Times New Roman" w:cs="Times New Roman"/>
          <w:kern w:val="0"/>
          <w:sz w:val="24"/>
          <w:szCs w:val="24"/>
          <w14:ligatures w14:val="none"/>
        </w:rPr>
        <w:t>continuity of business.</w:t>
      </w:r>
    </w:p>
    <w:p w14:paraId="30C4BB0B" w14:textId="77777777" w:rsidR="005C74BB" w:rsidRPr="007271B6" w:rsidRDefault="005C74BB" w:rsidP="00923840">
      <w:pPr>
        <w:pStyle w:val="Heading2"/>
      </w:pPr>
      <w:bookmarkStart w:id="9" w:name="_Toc165667403"/>
      <w:r w:rsidRPr="007271B6">
        <w:t>Structure of the Study</w:t>
      </w:r>
      <w:bookmarkEnd w:id="9"/>
    </w:p>
    <w:p w14:paraId="22CAFD97" w14:textId="77777777" w:rsidR="00D42C75" w:rsidRDefault="00747CA7" w:rsidP="00747CA7">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structure of this study follows the standard sections of a dissertation, which consists of five chapters. The first chapter is an introduction, followed by a literature review as the second chapter; the research methodology is the third chapter; the fourth is the results and analysis of the data; and the final fifth chapter comprises the discussion, </w:t>
      </w:r>
      <w:proofErr w:type="gramStart"/>
      <w:r w:rsidRPr="007271B6">
        <w:rPr>
          <w:rFonts w:ascii="Times New Roman" w:eastAsia="Calibri" w:hAnsi="Times New Roman" w:cs="Times New Roman"/>
          <w:kern w:val="0"/>
          <w:sz w:val="24"/>
          <w:szCs w:val="24"/>
          <w14:ligatures w14:val="none"/>
        </w:rPr>
        <w:t>conclusion</w:t>
      </w:r>
      <w:proofErr w:type="gramEnd"/>
      <w:r w:rsidRPr="007271B6">
        <w:rPr>
          <w:rFonts w:ascii="Times New Roman" w:eastAsia="Calibri" w:hAnsi="Times New Roman" w:cs="Times New Roman"/>
          <w:kern w:val="0"/>
          <w:sz w:val="24"/>
          <w:szCs w:val="24"/>
          <w14:ligatures w14:val="none"/>
        </w:rPr>
        <w:t xml:space="preserve"> and recommendations. </w:t>
      </w:r>
    </w:p>
    <w:p w14:paraId="2A482CBF" w14:textId="77777777" w:rsidR="00D42C75" w:rsidRDefault="00747CA7" w:rsidP="00747CA7">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first part is the introduction, which marks the beginning of the study and provides an overview of the research that focuses on various elements, including corporate governance failure in different organisations, the </w:t>
      </w:r>
      <w:proofErr w:type="gramStart"/>
      <w:r w:rsidRPr="007271B6">
        <w:rPr>
          <w:rFonts w:ascii="Times New Roman" w:eastAsia="Calibri" w:hAnsi="Times New Roman" w:cs="Times New Roman"/>
          <w:kern w:val="0"/>
          <w:sz w:val="24"/>
          <w:szCs w:val="24"/>
          <w14:ligatures w14:val="none"/>
        </w:rPr>
        <w:t>prevalence</w:t>
      </w:r>
      <w:proofErr w:type="gramEnd"/>
      <w:r w:rsidRPr="007271B6">
        <w:rPr>
          <w:rFonts w:ascii="Times New Roman" w:eastAsia="Calibri" w:hAnsi="Times New Roman" w:cs="Times New Roman"/>
          <w:kern w:val="0"/>
          <w:sz w:val="24"/>
          <w:szCs w:val="24"/>
          <w14:ligatures w14:val="none"/>
        </w:rPr>
        <w:t xml:space="preserve"> and contributing factors. The background of the study is provided through an insight into the two companies, FTX and Alameda Research, </w:t>
      </w:r>
      <w:r w:rsidRPr="007271B6">
        <w:rPr>
          <w:rFonts w:ascii="Times New Roman" w:eastAsia="Calibri" w:hAnsi="Times New Roman" w:cs="Times New Roman"/>
          <w:kern w:val="0"/>
          <w:sz w:val="24"/>
          <w:szCs w:val="24"/>
          <w14:ligatures w14:val="none"/>
        </w:rPr>
        <w:lastRenderedPageBreak/>
        <w:t>which form the basis for this research. The introduction also identifies the problem</w:t>
      </w:r>
      <w:r w:rsidR="005F6A60">
        <w:rPr>
          <w:rFonts w:ascii="Times New Roman" w:eastAsia="Calibri" w:hAnsi="Times New Roman" w:cs="Times New Roman"/>
          <w:kern w:val="0"/>
          <w:sz w:val="24"/>
          <w:szCs w:val="24"/>
          <w14:ligatures w14:val="none"/>
        </w:rPr>
        <w:t>s</w:t>
      </w:r>
      <w:r w:rsidRPr="007271B6">
        <w:rPr>
          <w:rFonts w:ascii="Times New Roman" w:eastAsia="Calibri" w:hAnsi="Times New Roman" w:cs="Times New Roman"/>
          <w:kern w:val="0"/>
          <w:sz w:val="24"/>
          <w:szCs w:val="24"/>
          <w14:ligatures w14:val="none"/>
        </w:rPr>
        <w:t xml:space="preserve"> that led to this research and the objectives and research question</w:t>
      </w:r>
      <w:r w:rsidR="005F6A60">
        <w:rPr>
          <w:rFonts w:ascii="Times New Roman" w:eastAsia="Calibri" w:hAnsi="Times New Roman" w:cs="Times New Roman"/>
          <w:kern w:val="0"/>
          <w:sz w:val="24"/>
          <w:szCs w:val="24"/>
          <w14:ligatures w14:val="none"/>
        </w:rPr>
        <w:t>s</w:t>
      </w:r>
      <w:r w:rsidRPr="007271B6">
        <w:rPr>
          <w:rFonts w:ascii="Times New Roman" w:eastAsia="Calibri" w:hAnsi="Times New Roman" w:cs="Times New Roman"/>
          <w:kern w:val="0"/>
          <w:sz w:val="24"/>
          <w:szCs w:val="24"/>
          <w14:ligatures w14:val="none"/>
        </w:rPr>
        <w:t xml:space="preserve"> that set the direction of the study of corporate governance failure, particularly with respect to FTX and Alameda Research. </w:t>
      </w:r>
    </w:p>
    <w:p w14:paraId="6EEE2474" w14:textId="606F5621" w:rsidR="00747CA7" w:rsidRPr="007271B6" w:rsidRDefault="00747CA7" w:rsidP="00747CA7">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The second chapter presents the literature review on the research topic, focusing on the previous information found in various articles on corporate governance failure. The information presented in this chapter comes from credible peer-reviewed literature, including Science Direct, Google Scholar, JSTOR, and Business Source Complete. The previous reports on FTX and Alameda Research also provided important data for this literature review. The chapter is structured into various subtitles that include digital asset development and its interdependence, issues around governance and regulations, and identifying the gaps in the literature about the topic that need to be investigated.</w:t>
      </w:r>
    </w:p>
    <w:p w14:paraId="6CFE8960" w14:textId="77777777" w:rsidR="00D42C75" w:rsidRDefault="00747CA7" w:rsidP="004909ED">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third chapter looks at the research methodology and the approach used in the study to collect and analyse data. This chapter recognises that qualitative case studies were used to explore the governance issues in FTX and Alameda research and how they contributed to failure. Chapter three looks at the collection of primary data through interviews and observations, the collection of secondary data from archival records and external publications and reports, and the validity and reliability of the methods used in data collection. </w:t>
      </w:r>
    </w:p>
    <w:p w14:paraId="3660AAE1" w14:textId="77777777" w:rsidR="00D42C75" w:rsidRDefault="00747CA7" w:rsidP="004909ED">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The findings and analysis form the fourth chapter of the study, in which the research utilised the data collected to extract codes and construct themes around corporate governance failures to answer the research questions adopted in the first chapter. The themes developed in chapter four include corporate governance issues that affected the two companies and led to failure, governance practices among corporations, the regulation of cryptocurrencies and the dynamic interconnectedness that occurs </w:t>
      </w:r>
      <w:r w:rsidR="005F6A60">
        <w:rPr>
          <w:rFonts w:ascii="Times New Roman" w:eastAsia="Calibri" w:hAnsi="Times New Roman" w:cs="Times New Roman"/>
          <w:kern w:val="0"/>
          <w:sz w:val="24"/>
          <w:szCs w:val="24"/>
          <w14:ligatures w14:val="none"/>
        </w:rPr>
        <w:t xml:space="preserve">between </w:t>
      </w:r>
      <w:r w:rsidRPr="007271B6">
        <w:rPr>
          <w:rFonts w:ascii="Times New Roman" w:eastAsia="Calibri" w:hAnsi="Times New Roman" w:cs="Times New Roman"/>
          <w:kern w:val="0"/>
          <w:sz w:val="24"/>
          <w:szCs w:val="24"/>
          <w14:ligatures w14:val="none"/>
        </w:rPr>
        <w:t>cryptocurrency exchanges</w:t>
      </w:r>
      <w:r w:rsidR="005F6A60">
        <w:rPr>
          <w:rFonts w:ascii="Times New Roman" w:eastAsia="Calibri" w:hAnsi="Times New Roman" w:cs="Times New Roman"/>
          <w:kern w:val="0"/>
          <w:sz w:val="24"/>
          <w:szCs w:val="24"/>
          <w14:ligatures w14:val="none"/>
        </w:rPr>
        <w:t xml:space="preserve"> and related parties</w:t>
      </w:r>
      <w:r w:rsidRPr="007271B6">
        <w:rPr>
          <w:rFonts w:ascii="Times New Roman" w:eastAsia="Calibri" w:hAnsi="Times New Roman" w:cs="Times New Roman"/>
          <w:kern w:val="0"/>
          <w:sz w:val="24"/>
          <w:szCs w:val="24"/>
          <w14:ligatures w14:val="none"/>
        </w:rPr>
        <w:t xml:space="preserve">. </w:t>
      </w:r>
    </w:p>
    <w:p w14:paraId="25CD20FF" w14:textId="7BE90B3A" w:rsidR="005C74BB" w:rsidRPr="007271B6" w:rsidRDefault="00747CA7" w:rsidP="004909ED">
      <w:pPr>
        <w:spacing w:after="0" w:line="480" w:lineRule="auto"/>
        <w:ind w:firstLine="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lastRenderedPageBreak/>
        <w:t xml:space="preserve">In the concluding fifth chapter, </w:t>
      </w:r>
      <w:r w:rsidR="005F6A60">
        <w:rPr>
          <w:rFonts w:ascii="Times New Roman" w:eastAsia="Calibri" w:hAnsi="Times New Roman" w:cs="Times New Roman"/>
          <w:kern w:val="0"/>
          <w:sz w:val="24"/>
          <w:szCs w:val="24"/>
          <w14:ligatures w14:val="none"/>
        </w:rPr>
        <w:t>it</w:t>
      </w:r>
      <w:r w:rsidRPr="007271B6">
        <w:rPr>
          <w:rFonts w:ascii="Times New Roman" w:eastAsia="Calibri" w:hAnsi="Times New Roman" w:cs="Times New Roman"/>
          <w:kern w:val="0"/>
          <w:sz w:val="24"/>
          <w:szCs w:val="24"/>
          <w14:ligatures w14:val="none"/>
        </w:rPr>
        <w:t xml:space="preserve"> discusses the link between the literature review and the findings from the previous chapter </w:t>
      </w:r>
      <w:r w:rsidR="005F6A60" w:rsidRPr="007271B6">
        <w:rPr>
          <w:rFonts w:ascii="Times New Roman" w:eastAsia="Calibri" w:hAnsi="Times New Roman" w:cs="Times New Roman"/>
          <w:kern w:val="0"/>
          <w:sz w:val="24"/>
          <w:szCs w:val="24"/>
          <w14:ligatures w14:val="none"/>
        </w:rPr>
        <w:t>to</w:t>
      </w:r>
      <w:r w:rsidRPr="007271B6">
        <w:rPr>
          <w:rFonts w:ascii="Times New Roman" w:eastAsia="Calibri" w:hAnsi="Times New Roman" w:cs="Times New Roman"/>
          <w:kern w:val="0"/>
          <w:sz w:val="24"/>
          <w:szCs w:val="24"/>
          <w14:ligatures w14:val="none"/>
        </w:rPr>
        <w:t xml:space="preserve"> answer the research question. In this chapter, the hypotheses developed are confirmed or refuted to support the conclusion of the study. This chapter includes answering the research questions about the governance practices at FTX and Alameda research that led to the bankruptcy, the underlying issues that caused the governance failure, and formulating some recommendations based on what happened at the two companies and the need for improvement. The recommendations include future steps and actions that should be taken to improve the management and control of companies to reduce the risk of governance failure and subsequent collapse.</w:t>
      </w:r>
      <w:r w:rsidR="005C74BB" w:rsidRPr="007271B6">
        <w:rPr>
          <w:rFonts w:ascii="Times New Roman" w:eastAsia="Calibri" w:hAnsi="Times New Roman" w:cs="Times New Roman"/>
          <w:kern w:val="0"/>
          <w:sz w:val="24"/>
          <w:szCs w:val="24"/>
          <w14:ligatures w14:val="none"/>
        </w:rPr>
        <w:t xml:space="preserve"> </w:t>
      </w:r>
    </w:p>
    <w:p w14:paraId="3A7A088B" w14:textId="77777777" w:rsidR="008B2FC1" w:rsidRPr="007271B6" w:rsidRDefault="008B2FC1">
      <w:pPr>
        <w:rPr>
          <w:rFonts w:ascii="Times New Roman" w:hAnsi="Times New Roman" w:cs="Times New Roman"/>
          <w:b/>
          <w:kern w:val="0"/>
          <w:sz w:val="24"/>
          <w:szCs w:val="24"/>
          <w14:ligatures w14:val="none"/>
        </w:rPr>
      </w:pPr>
      <w:r w:rsidRPr="007271B6">
        <w:rPr>
          <w:rFonts w:ascii="Times New Roman" w:hAnsi="Times New Roman" w:cs="Times New Roman"/>
          <w:b/>
          <w:kern w:val="0"/>
          <w:sz w:val="24"/>
          <w:szCs w:val="24"/>
          <w14:ligatures w14:val="none"/>
        </w:rPr>
        <w:br w:type="page"/>
      </w:r>
    </w:p>
    <w:p w14:paraId="44E5DDB0" w14:textId="2AA942F2" w:rsidR="00F808B3" w:rsidRPr="007271B6" w:rsidRDefault="00F808B3" w:rsidP="008B2FC1">
      <w:pPr>
        <w:pStyle w:val="Heading1"/>
        <w:rPr>
          <w:lang w:val="en-GB"/>
        </w:rPr>
      </w:pPr>
      <w:bookmarkStart w:id="10" w:name="_Toc165667404"/>
      <w:r w:rsidRPr="007271B6">
        <w:rPr>
          <w:lang w:val="en-GB"/>
        </w:rPr>
        <w:lastRenderedPageBreak/>
        <w:t>Literature Review</w:t>
      </w:r>
      <w:bookmarkEnd w:id="10"/>
    </w:p>
    <w:p w14:paraId="5440DD19" w14:textId="166A7823" w:rsidR="002770D2" w:rsidRPr="007271B6" w:rsidRDefault="006045BD" w:rsidP="008D7E61">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SBF</w:t>
      </w:r>
      <w:r w:rsidR="003F546F" w:rsidRPr="007271B6">
        <w:rPr>
          <w:rFonts w:ascii="Times New Roman" w:hAnsi="Times New Roman" w:cs="Times New Roman"/>
          <w:kern w:val="0"/>
          <w:sz w:val="24"/>
          <w:szCs w:val="24"/>
          <w14:ligatures w14:val="none"/>
        </w:rPr>
        <w:t xml:space="preserve"> </w:t>
      </w:r>
      <w:r w:rsidRPr="007271B6">
        <w:rPr>
          <w:rFonts w:ascii="Times New Roman" w:hAnsi="Times New Roman" w:cs="Times New Roman"/>
          <w:kern w:val="0"/>
          <w:sz w:val="24"/>
          <w:szCs w:val="24"/>
          <w14:ligatures w14:val="none"/>
        </w:rPr>
        <w:t>was a co-founder of Alameda Research and co-founder and CEO of FTX until its collapse in November 2022. SBF was significantly involved in the two entities on a day-to-day operational basis along with other key individuals such as Caroline Ellison (Co-CEO of Alameda Research), Gary Wang (CTO of FTX), Nishad Singh (FTX Engineering Director) and Sam Trabucco (Co-CEO of Alameda Research)</w:t>
      </w:r>
      <w:r w:rsidR="005F6A60">
        <w:rPr>
          <w:rFonts w:ascii="Times New Roman" w:hAnsi="Times New Roman" w:cs="Times New Roman"/>
          <w:kern w:val="0"/>
          <w:sz w:val="24"/>
          <w:szCs w:val="24"/>
          <w14:ligatures w14:val="none"/>
        </w:rPr>
        <w:t>. All these individuals</w:t>
      </w:r>
      <w:r w:rsidRPr="007271B6">
        <w:rPr>
          <w:rFonts w:ascii="Times New Roman" w:hAnsi="Times New Roman" w:cs="Times New Roman"/>
          <w:kern w:val="0"/>
          <w:sz w:val="24"/>
          <w:szCs w:val="24"/>
          <w14:ligatures w14:val="none"/>
        </w:rPr>
        <w:t xml:space="preserve"> were instrumental in the day-to-day operations of the two companies. The backgrounds of the executives of these two companies indicate that many of them did not have the necessary experience, </w:t>
      </w:r>
      <w:proofErr w:type="gramStart"/>
      <w:r w:rsidRPr="007271B6">
        <w:rPr>
          <w:rFonts w:ascii="Times New Roman" w:hAnsi="Times New Roman" w:cs="Times New Roman"/>
          <w:kern w:val="0"/>
          <w:sz w:val="24"/>
          <w:szCs w:val="24"/>
          <w14:ligatures w14:val="none"/>
        </w:rPr>
        <w:t>qualifications</w:t>
      </w:r>
      <w:proofErr w:type="gramEnd"/>
      <w:r w:rsidRPr="007271B6">
        <w:rPr>
          <w:rFonts w:ascii="Times New Roman" w:hAnsi="Times New Roman" w:cs="Times New Roman"/>
          <w:kern w:val="0"/>
          <w:sz w:val="24"/>
          <w:szCs w:val="24"/>
          <w14:ligatures w14:val="none"/>
        </w:rPr>
        <w:t xml:space="preserve"> or professional fortitude for their respective positions to effectively represent the interests of stakeholders. Trautman (2022) cites a statement by the current </w:t>
      </w:r>
      <w:r w:rsidR="005F6A60">
        <w:rPr>
          <w:rFonts w:ascii="Times New Roman" w:hAnsi="Times New Roman" w:cs="Times New Roman"/>
          <w:kern w:val="0"/>
          <w:sz w:val="24"/>
          <w:szCs w:val="24"/>
          <w14:ligatures w14:val="none"/>
        </w:rPr>
        <w:t xml:space="preserve">interim </w:t>
      </w:r>
      <w:r w:rsidRPr="007271B6">
        <w:rPr>
          <w:rFonts w:ascii="Times New Roman" w:hAnsi="Times New Roman" w:cs="Times New Roman"/>
          <w:kern w:val="0"/>
          <w:sz w:val="24"/>
          <w:szCs w:val="24"/>
          <w14:ligatures w14:val="none"/>
        </w:rPr>
        <w:t xml:space="preserve">CEO of FTX, John J. Ray, in which he links the collapse of the company to the "absolute concentration of control in the hands of a very small group of grossly inexperienced and unsophisticated individuals who failed to implement virtually any of the necessary systems or controls". Numerous researchers have concluded that these failings ultimately led to the closure and bankruptcy of these two institutions. Accordingly, many studies have examined the deficiencies in the governance processes, structures, policies, </w:t>
      </w:r>
      <w:proofErr w:type="gramStart"/>
      <w:r w:rsidRPr="007271B6">
        <w:rPr>
          <w:rFonts w:ascii="Times New Roman" w:hAnsi="Times New Roman" w:cs="Times New Roman"/>
          <w:kern w:val="0"/>
          <w:sz w:val="24"/>
          <w:szCs w:val="24"/>
          <w14:ligatures w14:val="none"/>
        </w:rPr>
        <w:t>practices</w:t>
      </w:r>
      <w:proofErr w:type="gramEnd"/>
      <w:r w:rsidRPr="007271B6">
        <w:rPr>
          <w:rFonts w:ascii="Times New Roman" w:hAnsi="Times New Roman" w:cs="Times New Roman"/>
          <w:kern w:val="0"/>
          <w:sz w:val="24"/>
          <w:szCs w:val="24"/>
          <w14:ligatures w14:val="none"/>
        </w:rPr>
        <w:t xml:space="preserve"> and procedures of Alameda Research and FTX, and the resulting conclusions have significant implications for how firms should conduct business in traditional and emerging markets. This helps policy makers and operators by providing a valuable example of the importance of proper corporate governance and compliance with regulations and legislation. This in turn ensures the long-term sustainability of organisations and protects stakeholders from the threat of incompetent or malicious directorship.</w:t>
      </w:r>
    </w:p>
    <w:p w14:paraId="19F096B8" w14:textId="576EF0FB" w:rsidR="00F808B3" w:rsidRPr="007271B6" w:rsidRDefault="00F808B3" w:rsidP="002770D2">
      <w:pPr>
        <w:pStyle w:val="Heading2"/>
      </w:pPr>
      <w:bookmarkStart w:id="11" w:name="_Toc165667405"/>
      <w:r w:rsidRPr="007271B6">
        <w:t>Sourcing of Pertinent Literature</w:t>
      </w:r>
      <w:bookmarkEnd w:id="11"/>
    </w:p>
    <w:p w14:paraId="5A212B31" w14:textId="1C973F57" w:rsidR="00F808B3" w:rsidRPr="007271B6" w:rsidRDefault="006045BD" w:rsidP="008B2FC1">
      <w:pPr>
        <w:tabs>
          <w:tab w:val="left" w:pos="6310"/>
        </w:tabs>
        <w:spacing w:after="0" w:line="480" w:lineRule="auto"/>
        <w:ind w:firstLine="720"/>
        <w:jc w:val="both"/>
        <w:rPr>
          <w:rFonts w:ascii="Times New Roman" w:hAnsi="Times New Roman" w:cs="Times New Roman"/>
          <w:kern w:val="0"/>
          <w:sz w:val="24"/>
          <w:szCs w:val="24"/>
          <w14:ligatures w14:val="none"/>
        </w:rPr>
      </w:pPr>
      <w:bookmarkStart w:id="12" w:name="_Toc146379758"/>
      <w:r w:rsidRPr="007271B6">
        <w:rPr>
          <w:rFonts w:ascii="Times New Roman" w:hAnsi="Times New Roman" w:cs="Times New Roman"/>
          <w:kern w:val="0"/>
          <w:sz w:val="24"/>
          <w:szCs w:val="24"/>
          <w14:ligatures w14:val="none"/>
        </w:rPr>
        <w:t xml:space="preserve">In line with the focus of the review, credible peer-reviewed literature was sourced from databases such as JSTOR, Research Gate, Google Scholar, ABI/INFORM, Business Source Complete, Science Direct and the Social Science Research Network (SSRN), as well as </w:t>
      </w:r>
      <w:r w:rsidRPr="007271B6">
        <w:rPr>
          <w:rFonts w:ascii="Times New Roman" w:hAnsi="Times New Roman" w:cs="Times New Roman"/>
          <w:kern w:val="0"/>
          <w:sz w:val="24"/>
          <w:szCs w:val="24"/>
          <w14:ligatures w14:val="none"/>
        </w:rPr>
        <w:lastRenderedPageBreak/>
        <w:t>bankruptcy court documents. For this review, recent research papers were selected that address the question of how the behaviour of FTX and Alameda Research led to their collapse and bankruptcy. Accordingly, only recent peer-reviewed journals examining this aspect of corporate governance were selected. Conversely, articles that generally addressed the topic outside the context of the digital asset industry were excluded from the review. Keywords used in the search for relevant literature included: Alameda Research, FTX, S</w:t>
      </w:r>
      <w:r w:rsidR="003F546F" w:rsidRPr="007271B6">
        <w:rPr>
          <w:rFonts w:ascii="Times New Roman" w:hAnsi="Times New Roman" w:cs="Times New Roman"/>
          <w:kern w:val="0"/>
          <w:sz w:val="24"/>
          <w:szCs w:val="24"/>
          <w14:ligatures w14:val="none"/>
        </w:rPr>
        <w:t>BF</w:t>
      </w:r>
      <w:r w:rsidRPr="007271B6">
        <w:rPr>
          <w:rFonts w:ascii="Times New Roman" w:hAnsi="Times New Roman" w:cs="Times New Roman"/>
          <w:kern w:val="0"/>
          <w:sz w:val="24"/>
          <w:szCs w:val="24"/>
          <w14:ligatures w14:val="none"/>
        </w:rPr>
        <w:t xml:space="preserve">, Binance, Coin Desk, Fraud, </w:t>
      </w:r>
      <w:proofErr w:type="gramStart"/>
      <w:r w:rsidRPr="007271B6">
        <w:rPr>
          <w:rFonts w:ascii="Times New Roman" w:hAnsi="Times New Roman" w:cs="Times New Roman"/>
          <w:kern w:val="0"/>
          <w:sz w:val="24"/>
          <w:szCs w:val="24"/>
          <w14:ligatures w14:val="none"/>
        </w:rPr>
        <w:t>Bankruptcy</w:t>
      </w:r>
      <w:proofErr w:type="gramEnd"/>
      <w:r w:rsidRPr="007271B6">
        <w:rPr>
          <w:rFonts w:ascii="Times New Roman" w:hAnsi="Times New Roman" w:cs="Times New Roman"/>
          <w:kern w:val="0"/>
          <w:sz w:val="24"/>
          <w:szCs w:val="24"/>
          <w14:ligatures w14:val="none"/>
        </w:rPr>
        <w:t xml:space="preserve"> and corporate governance. The search helped identify the mistakes made by </w:t>
      </w:r>
      <w:r w:rsidR="00722F58">
        <w:rPr>
          <w:rFonts w:ascii="Times New Roman" w:hAnsi="Times New Roman" w:cs="Times New Roman"/>
          <w:kern w:val="0"/>
          <w:sz w:val="24"/>
          <w:szCs w:val="24"/>
          <w14:ligatures w14:val="none"/>
        </w:rPr>
        <w:t xml:space="preserve">the </w:t>
      </w:r>
      <w:r w:rsidRPr="007271B6">
        <w:rPr>
          <w:rFonts w:ascii="Times New Roman" w:hAnsi="Times New Roman" w:cs="Times New Roman"/>
          <w:kern w:val="0"/>
          <w:sz w:val="24"/>
          <w:szCs w:val="24"/>
          <w14:ligatures w14:val="none"/>
        </w:rPr>
        <w:t>sister companies, offering a valuable insight into the steps that can be taken to mitigate future risks.</w:t>
      </w:r>
    </w:p>
    <w:p w14:paraId="491777E5" w14:textId="6F63B89A" w:rsidR="00F808B3" w:rsidRPr="007271B6" w:rsidRDefault="00F808B3" w:rsidP="008B2FC1">
      <w:pPr>
        <w:pStyle w:val="Heading2"/>
      </w:pPr>
      <w:bookmarkStart w:id="13" w:name="_Toc165667406"/>
      <w:r w:rsidRPr="007271B6">
        <w:t>Synthesis of Literature</w:t>
      </w:r>
      <w:bookmarkEnd w:id="13"/>
    </w:p>
    <w:p w14:paraId="245F56D2" w14:textId="77777777" w:rsidR="00F808B3" w:rsidRPr="007271B6" w:rsidRDefault="00F808B3" w:rsidP="008B2FC1">
      <w:pPr>
        <w:pStyle w:val="Heading3"/>
      </w:pPr>
      <w:bookmarkStart w:id="14" w:name="_Toc165667407"/>
      <w:r w:rsidRPr="007271B6">
        <w:t>Introduction to the Development of the Digital Asset Industry</w:t>
      </w:r>
      <w:bookmarkEnd w:id="14"/>
    </w:p>
    <w:bookmarkEnd w:id="12"/>
    <w:p w14:paraId="0448CA6A" w14:textId="4AC1F321" w:rsidR="00AE0709" w:rsidRPr="007271B6" w:rsidRDefault="00AE0709" w:rsidP="00AE0709">
      <w:pPr>
        <w:spacing w:after="0"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The development of digital assets threatens conventional financial systems and paradigms. Alekseenko (2023), Kokorin (2023), Pilkington (2021) and </w:t>
      </w:r>
      <w:proofErr w:type="spellStart"/>
      <w:r w:rsidRPr="007271B6">
        <w:rPr>
          <w:rFonts w:ascii="Times New Roman" w:hAnsi="Times New Roman" w:cs="Times New Roman"/>
          <w:kern w:val="0"/>
          <w:sz w:val="24"/>
          <w:szCs w:val="24"/>
          <w14:ligatures w14:val="none"/>
        </w:rPr>
        <w:t>Zetzsche</w:t>
      </w:r>
      <w:proofErr w:type="spellEnd"/>
      <w:r w:rsidRPr="007271B6">
        <w:rPr>
          <w:rFonts w:ascii="Times New Roman" w:hAnsi="Times New Roman" w:cs="Times New Roman"/>
          <w:kern w:val="0"/>
          <w:sz w:val="24"/>
          <w:szCs w:val="24"/>
          <w14:ligatures w14:val="none"/>
        </w:rPr>
        <w:t xml:space="preserve"> et al. (2023) concluded that the dynamic ecosystem of digital currencies, exchanges, decentralised financial </w:t>
      </w:r>
      <w:proofErr w:type="gramStart"/>
      <w:r w:rsidRPr="007271B6">
        <w:rPr>
          <w:rFonts w:ascii="Times New Roman" w:hAnsi="Times New Roman" w:cs="Times New Roman"/>
          <w:kern w:val="0"/>
          <w:sz w:val="24"/>
          <w:szCs w:val="24"/>
          <w14:ligatures w14:val="none"/>
        </w:rPr>
        <w:t>applications</w:t>
      </w:r>
      <w:proofErr w:type="gramEnd"/>
      <w:r w:rsidRPr="007271B6">
        <w:rPr>
          <w:rFonts w:ascii="Times New Roman" w:hAnsi="Times New Roman" w:cs="Times New Roman"/>
          <w:kern w:val="0"/>
          <w:sz w:val="24"/>
          <w:szCs w:val="24"/>
          <w14:ligatures w14:val="none"/>
        </w:rPr>
        <w:t xml:space="preserve"> and financial institutions created by technological progress has created significant opportunities for investment, innovation and the exchange of value. Widespread internet usage and </w:t>
      </w:r>
      <w:r w:rsidR="008B107C">
        <w:rPr>
          <w:rFonts w:ascii="Times New Roman" w:hAnsi="Times New Roman" w:cs="Times New Roman"/>
          <w:kern w:val="0"/>
          <w:sz w:val="24"/>
          <w:szCs w:val="24"/>
          <w14:ligatures w14:val="none"/>
        </w:rPr>
        <w:t xml:space="preserve">the creation of </w:t>
      </w:r>
      <w:r w:rsidRPr="007271B6">
        <w:rPr>
          <w:rFonts w:ascii="Times New Roman" w:hAnsi="Times New Roman" w:cs="Times New Roman"/>
          <w:kern w:val="0"/>
          <w:sz w:val="24"/>
          <w:szCs w:val="24"/>
          <w14:ligatures w14:val="none"/>
        </w:rPr>
        <w:t>Distributed Ledger Technology (DLT) ha</w:t>
      </w:r>
      <w:r w:rsidR="008B107C">
        <w:rPr>
          <w:rFonts w:ascii="Times New Roman" w:hAnsi="Times New Roman" w:cs="Times New Roman"/>
          <w:kern w:val="0"/>
          <w:sz w:val="24"/>
          <w:szCs w:val="24"/>
          <w14:ligatures w14:val="none"/>
        </w:rPr>
        <w:t>s</w:t>
      </w:r>
      <w:r w:rsidRPr="007271B6">
        <w:rPr>
          <w:rFonts w:ascii="Times New Roman" w:hAnsi="Times New Roman" w:cs="Times New Roman"/>
          <w:kern w:val="0"/>
          <w:sz w:val="24"/>
          <w:szCs w:val="24"/>
          <w14:ligatures w14:val="none"/>
        </w:rPr>
        <w:t xml:space="preserve"> led to increased adoption of digital assets, resulting in greater financial inclusion, decentralisation, lower remittance costs and innovation. In addition, digital assets offer a cheaper and more accessible way for startups to raise capital from investors. However, they have also led to various difficulties, particularly in corporate governance (Alekseenko (2023; </w:t>
      </w:r>
      <w:proofErr w:type="spellStart"/>
      <w:r w:rsidRPr="007271B6">
        <w:rPr>
          <w:rFonts w:ascii="Times New Roman" w:hAnsi="Times New Roman" w:cs="Times New Roman"/>
          <w:kern w:val="0"/>
          <w:sz w:val="24"/>
          <w:szCs w:val="24"/>
          <w14:ligatures w14:val="none"/>
        </w:rPr>
        <w:t>Zetzsche</w:t>
      </w:r>
      <w:proofErr w:type="spellEnd"/>
      <w:r w:rsidRPr="007271B6">
        <w:rPr>
          <w:rFonts w:ascii="Times New Roman" w:hAnsi="Times New Roman" w:cs="Times New Roman"/>
          <w:kern w:val="0"/>
          <w:sz w:val="24"/>
          <w:szCs w:val="24"/>
          <w14:ligatures w14:val="none"/>
        </w:rPr>
        <w:t xml:space="preserve"> et al. (2023). For example, investors are exposed to high volatility, fraudulent practices, regulatory challenges, speculation and tax challenges. Macey (2023) adds that fraud is likely to occur due to it being primarily an internet-based industry. Vidal-Tomas et al. (2023) share</w:t>
      </w:r>
      <w:r w:rsidR="008B107C">
        <w:rPr>
          <w:rFonts w:ascii="Times New Roman" w:hAnsi="Times New Roman" w:cs="Times New Roman"/>
          <w:kern w:val="0"/>
          <w:sz w:val="24"/>
          <w:szCs w:val="24"/>
          <w14:ligatures w14:val="none"/>
        </w:rPr>
        <w:t>s</w:t>
      </w:r>
      <w:r w:rsidRPr="007271B6">
        <w:rPr>
          <w:rFonts w:ascii="Times New Roman" w:hAnsi="Times New Roman" w:cs="Times New Roman"/>
          <w:kern w:val="0"/>
          <w:sz w:val="24"/>
          <w:szCs w:val="24"/>
          <w14:ligatures w14:val="none"/>
        </w:rPr>
        <w:t xml:space="preserve"> similar views in their study and emphasise the fragility of the digital asset market. In their assessment, consumer interest is primarily driven by the desire to speculate or experiment </w:t>
      </w:r>
      <w:r w:rsidRPr="007271B6">
        <w:rPr>
          <w:rFonts w:ascii="Times New Roman" w:hAnsi="Times New Roman" w:cs="Times New Roman"/>
          <w:kern w:val="0"/>
          <w:sz w:val="24"/>
          <w:szCs w:val="24"/>
          <w14:ligatures w14:val="none"/>
        </w:rPr>
        <w:lastRenderedPageBreak/>
        <w:t xml:space="preserve">with new decentralised financial models. However, the opaque economics of the market and poor governance contradict the transparency, </w:t>
      </w:r>
      <w:proofErr w:type="gramStart"/>
      <w:r w:rsidRPr="007271B6">
        <w:rPr>
          <w:rFonts w:ascii="Times New Roman" w:hAnsi="Times New Roman" w:cs="Times New Roman"/>
          <w:kern w:val="0"/>
          <w:sz w:val="24"/>
          <w:szCs w:val="24"/>
          <w14:ligatures w14:val="none"/>
        </w:rPr>
        <w:t>independence</w:t>
      </w:r>
      <w:proofErr w:type="gramEnd"/>
      <w:r w:rsidRPr="007271B6">
        <w:rPr>
          <w:rFonts w:ascii="Times New Roman" w:hAnsi="Times New Roman" w:cs="Times New Roman"/>
          <w:kern w:val="0"/>
          <w:sz w:val="24"/>
          <w:szCs w:val="24"/>
          <w14:ligatures w14:val="none"/>
        </w:rPr>
        <w:t xml:space="preserve"> and accountability that many thought characterised the market. Conlon et al. (2023) note that while digital currencies have proven their value as an asset class, they are still an industry fraught with significant risks. </w:t>
      </w:r>
      <w:proofErr w:type="spellStart"/>
      <w:r w:rsidRPr="007271B6">
        <w:rPr>
          <w:rFonts w:ascii="Times New Roman" w:hAnsi="Times New Roman" w:cs="Times New Roman"/>
          <w:kern w:val="0"/>
          <w:sz w:val="24"/>
          <w:szCs w:val="24"/>
          <w14:ligatures w14:val="none"/>
        </w:rPr>
        <w:t>Sensoy</w:t>
      </w:r>
      <w:proofErr w:type="spellEnd"/>
      <w:r w:rsidRPr="007271B6">
        <w:rPr>
          <w:rFonts w:ascii="Times New Roman" w:hAnsi="Times New Roman" w:cs="Times New Roman"/>
          <w:kern w:val="0"/>
          <w:sz w:val="24"/>
          <w:szCs w:val="24"/>
          <w14:ligatures w14:val="none"/>
        </w:rPr>
        <w:t xml:space="preserve"> et al. (2021) added that the cryptocurrency market is plagued by volatility and offers investors opportunities but also exposes them to malicious financial risks.</w:t>
      </w:r>
    </w:p>
    <w:p w14:paraId="190C4F32" w14:textId="0D8F94C2" w:rsidR="002770D2" w:rsidRPr="007271B6" w:rsidRDefault="00AE0709" w:rsidP="008D7E61">
      <w:pPr>
        <w:spacing w:after="0"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 Furthermore, in her September 2022 letter to the Secretary of the Treasury, Senator Elizabeth Warren warns against the uncontrolled growth of digital assets and points out their vulnerability to fraudulent practices such as market manipulation (Trautman 2022). It proposes far-reaching measures to protect investors and the economy </w:t>
      </w:r>
      <w:r w:rsidR="008B107C" w:rsidRPr="007271B6">
        <w:rPr>
          <w:rFonts w:ascii="Times New Roman" w:hAnsi="Times New Roman" w:cs="Times New Roman"/>
          <w:kern w:val="0"/>
          <w:sz w:val="24"/>
          <w:szCs w:val="24"/>
          <w14:ligatures w14:val="none"/>
        </w:rPr>
        <w:t>from</w:t>
      </w:r>
      <w:r w:rsidRPr="007271B6">
        <w:rPr>
          <w:rFonts w:ascii="Times New Roman" w:hAnsi="Times New Roman" w:cs="Times New Roman"/>
          <w:kern w:val="0"/>
          <w:sz w:val="24"/>
          <w:szCs w:val="24"/>
          <w14:ligatures w14:val="none"/>
        </w:rPr>
        <w:t xml:space="preserve"> significant financial disruption. For example, the cryptocurrency Tether has often been used to support prices and manipulate cryptocurrency prices. When the coin received a large volume of transactions, the prices of other cryptocurrencies such as Bitcoin also rose (</w:t>
      </w:r>
      <w:proofErr w:type="spellStart"/>
      <w:r w:rsidRPr="007271B6">
        <w:rPr>
          <w:rFonts w:ascii="Times New Roman" w:hAnsi="Times New Roman" w:cs="Times New Roman"/>
          <w:kern w:val="0"/>
          <w:sz w:val="24"/>
          <w:szCs w:val="24"/>
          <w14:ligatures w14:val="none"/>
        </w:rPr>
        <w:t>Sensoy</w:t>
      </w:r>
      <w:proofErr w:type="spellEnd"/>
      <w:r w:rsidRPr="007271B6">
        <w:rPr>
          <w:rFonts w:ascii="Times New Roman" w:hAnsi="Times New Roman" w:cs="Times New Roman"/>
          <w:kern w:val="0"/>
          <w:sz w:val="24"/>
          <w:szCs w:val="24"/>
          <w14:ligatures w14:val="none"/>
        </w:rPr>
        <w:t xml:space="preserve"> et al. 2021). This could be an explanation for the bankruptcy of other digital asset exchange platforms before FTX. Thus, one could argue that even crypto lending platforms with slightly better governance went bankrupt during this period. </w:t>
      </w:r>
      <w:proofErr w:type="spellStart"/>
      <w:r w:rsidRPr="007271B6">
        <w:rPr>
          <w:rFonts w:ascii="Times New Roman" w:hAnsi="Times New Roman" w:cs="Times New Roman"/>
          <w:kern w:val="0"/>
          <w:sz w:val="24"/>
          <w:szCs w:val="24"/>
          <w14:ligatures w14:val="none"/>
        </w:rPr>
        <w:t>Marchesan</w:t>
      </w:r>
      <w:proofErr w:type="spellEnd"/>
      <w:r w:rsidRPr="007271B6">
        <w:rPr>
          <w:rFonts w:ascii="Times New Roman" w:hAnsi="Times New Roman" w:cs="Times New Roman"/>
          <w:kern w:val="0"/>
          <w:sz w:val="24"/>
          <w:szCs w:val="24"/>
          <w14:ligatures w14:val="none"/>
        </w:rPr>
        <w:t xml:space="preserve"> (2023) holds similar views in his thesis. He points out that fierce competition and deliberate sabotage by other cryptocurrency exchanges such as Binance and Coinbase may have led to the collapse of FTX. This has led many economists to question how interconnected the digital asset market has become.</w:t>
      </w:r>
    </w:p>
    <w:p w14:paraId="6ED4E0BE" w14:textId="77777777" w:rsidR="00F808B3" w:rsidRPr="007271B6" w:rsidRDefault="00F808B3" w:rsidP="008B2FC1">
      <w:pPr>
        <w:pStyle w:val="Heading3"/>
      </w:pPr>
      <w:bookmarkStart w:id="15" w:name="_Toc165667408"/>
      <w:r w:rsidRPr="007271B6">
        <w:t>Research on the Interdependence of the Digital Asset Ecosystem</w:t>
      </w:r>
      <w:bookmarkEnd w:id="15"/>
    </w:p>
    <w:p w14:paraId="097A6D16" w14:textId="28B05672" w:rsidR="00D97307" w:rsidRPr="007271B6" w:rsidRDefault="00D97307" w:rsidP="00D97307">
      <w:pPr>
        <w:spacing w:after="0" w:line="480" w:lineRule="auto"/>
        <w:ind w:firstLine="720"/>
        <w:rPr>
          <w:rFonts w:ascii="Times New Roman" w:hAnsi="Times New Roman" w:cs="Times New Roman"/>
          <w:kern w:val="0"/>
          <w:sz w:val="24"/>
          <w:szCs w:val="24"/>
          <w14:ligatures w14:val="none"/>
        </w:rPr>
      </w:pPr>
      <w:proofErr w:type="spellStart"/>
      <w:r w:rsidRPr="007271B6">
        <w:rPr>
          <w:rFonts w:ascii="Times New Roman" w:hAnsi="Times New Roman" w:cs="Times New Roman"/>
          <w:kern w:val="0"/>
          <w:sz w:val="24"/>
          <w:szCs w:val="24"/>
          <w14:ligatures w14:val="none"/>
        </w:rPr>
        <w:t>Akyildirim</w:t>
      </w:r>
      <w:proofErr w:type="spellEnd"/>
      <w:r w:rsidRPr="007271B6">
        <w:rPr>
          <w:rFonts w:ascii="Times New Roman" w:hAnsi="Times New Roman" w:cs="Times New Roman"/>
          <w:kern w:val="0"/>
          <w:sz w:val="24"/>
          <w:szCs w:val="24"/>
          <w14:ligatures w14:val="none"/>
        </w:rPr>
        <w:t xml:space="preserve"> et al. (2023) provide important insights into the interconnectedness of financial markets and the systemic dangers posed by failures in the digital asset industry. </w:t>
      </w:r>
      <w:r w:rsidR="006B6162">
        <w:rPr>
          <w:rFonts w:ascii="Times New Roman" w:hAnsi="Times New Roman" w:cs="Times New Roman"/>
          <w:kern w:val="0"/>
          <w:sz w:val="24"/>
          <w:szCs w:val="24"/>
          <w14:ligatures w14:val="none"/>
        </w:rPr>
        <w:t xml:space="preserve">This was </w:t>
      </w:r>
      <w:proofErr w:type="gramStart"/>
      <w:r w:rsidR="006B6162">
        <w:rPr>
          <w:rFonts w:ascii="Times New Roman" w:hAnsi="Times New Roman" w:cs="Times New Roman"/>
          <w:kern w:val="0"/>
          <w:sz w:val="24"/>
          <w:szCs w:val="24"/>
          <w14:ligatures w14:val="none"/>
        </w:rPr>
        <w:t>similar to</w:t>
      </w:r>
      <w:proofErr w:type="gramEnd"/>
      <w:r w:rsidRPr="007271B6">
        <w:rPr>
          <w:rFonts w:ascii="Times New Roman" w:hAnsi="Times New Roman" w:cs="Times New Roman"/>
          <w:kern w:val="0"/>
          <w:sz w:val="24"/>
          <w:szCs w:val="24"/>
          <w14:ligatures w14:val="none"/>
        </w:rPr>
        <w:t xml:space="preserve"> </w:t>
      </w:r>
      <w:proofErr w:type="spellStart"/>
      <w:r w:rsidRPr="007271B6">
        <w:rPr>
          <w:rFonts w:ascii="Times New Roman" w:hAnsi="Times New Roman" w:cs="Times New Roman"/>
          <w:kern w:val="0"/>
          <w:sz w:val="24"/>
          <w:szCs w:val="24"/>
          <w14:ligatures w14:val="none"/>
        </w:rPr>
        <w:t>Sensoy</w:t>
      </w:r>
      <w:proofErr w:type="spellEnd"/>
      <w:r w:rsidRPr="007271B6">
        <w:rPr>
          <w:rFonts w:ascii="Times New Roman" w:hAnsi="Times New Roman" w:cs="Times New Roman"/>
          <w:kern w:val="0"/>
          <w:sz w:val="24"/>
          <w:szCs w:val="24"/>
          <w14:ligatures w14:val="none"/>
        </w:rPr>
        <w:t xml:space="preserve"> et al. (2021), who recognise that the cryptocurrency ecosystem is a complex web of interconnected exchanges, markets and assets. When a major market </w:t>
      </w:r>
      <w:r w:rsidRPr="007271B6">
        <w:rPr>
          <w:rFonts w:ascii="Times New Roman" w:hAnsi="Times New Roman" w:cs="Times New Roman"/>
          <w:kern w:val="0"/>
          <w:sz w:val="24"/>
          <w:szCs w:val="24"/>
          <w14:ligatures w14:val="none"/>
        </w:rPr>
        <w:lastRenderedPageBreak/>
        <w:t xml:space="preserve">participant such as FTX collapses, it often leads to broader financial market problems. The study reveals a significant cascading effect, showing how the collapse of FTX had far-reaching effects on other market participants and assets. For example, Kokorin (2023) points out that prior to the collapse of FTX, Voyager Digital Holdings Inc. also filed for Chapter 11 bankruptcy on the 5th of July 2022, followed by Celsius Network LLC on the 13th of that same month. </w:t>
      </w:r>
      <w:proofErr w:type="spellStart"/>
      <w:r w:rsidRPr="007271B6">
        <w:rPr>
          <w:rFonts w:ascii="Times New Roman" w:hAnsi="Times New Roman" w:cs="Times New Roman"/>
          <w:kern w:val="0"/>
          <w:sz w:val="24"/>
          <w:szCs w:val="24"/>
          <w14:ligatures w14:val="none"/>
        </w:rPr>
        <w:t>Akyildirim</w:t>
      </w:r>
      <w:proofErr w:type="spellEnd"/>
      <w:r w:rsidRPr="007271B6">
        <w:rPr>
          <w:rFonts w:ascii="Times New Roman" w:hAnsi="Times New Roman" w:cs="Times New Roman"/>
          <w:kern w:val="0"/>
          <w:sz w:val="24"/>
          <w:szCs w:val="24"/>
          <w14:ligatures w14:val="none"/>
        </w:rPr>
        <w:t xml:space="preserve"> et al. (2023) observed the transmission of risk and contagion across multiple cryptocurrency markets and concluded that "interaction effects became significantly pronounced on critical dates during the failure of FTX". </w:t>
      </w:r>
      <w:proofErr w:type="spellStart"/>
      <w:r w:rsidRPr="007271B6">
        <w:rPr>
          <w:rFonts w:ascii="Times New Roman" w:hAnsi="Times New Roman" w:cs="Times New Roman"/>
          <w:kern w:val="0"/>
          <w:sz w:val="24"/>
          <w:szCs w:val="24"/>
          <w14:ligatures w14:val="none"/>
        </w:rPr>
        <w:t>Sensoy</w:t>
      </w:r>
      <w:proofErr w:type="spellEnd"/>
      <w:r w:rsidRPr="007271B6">
        <w:rPr>
          <w:rFonts w:ascii="Times New Roman" w:hAnsi="Times New Roman" w:cs="Times New Roman"/>
          <w:kern w:val="0"/>
          <w:sz w:val="24"/>
          <w:szCs w:val="24"/>
          <w14:ligatures w14:val="none"/>
        </w:rPr>
        <w:t xml:space="preserve"> et al. (2021) analyse 12 cryptocurrencies responsible for 80% of the total cryptocurrency market capitalisation and find that volatility spills over between them, making it easy for companies with large amounts of capital to manipulate them.</w:t>
      </w:r>
    </w:p>
    <w:p w14:paraId="0B5C7FE6" w14:textId="5F5F7BCC" w:rsidR="00F808B3" w:rsidRPr="007271B6" w:rsidRDefault="00D97307" w:rsidP="008B2FC1">
      <w:pPr>
        <w:spacing w:after="0"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The Resource Dependency Model, developed by Pfeffer and </w:t>
      </w:r>
      <w:proofErr w:type="spellStart"/>
      <w:r w:rsidRPr="007271B6">
        <w:rPr>
          <w:rFonts w:ascii="Times New Roman" w:hAnsi="Times New Roman" w:cs="Times New Roman"/>
          <w:kern w:val="0"/>
          <w:sz w:val="24"/>
          <w:szCs w:val="24"/>
          <w14:ligatures w14:val="none"/>
        </w:rPr>
        <w:t>Salancik</w:t>
      </w:r>
      <w:proofErr w:type="spellEnd"/>
      <w:r w:rsidRPr="007271B6">
        <w:rPr>
          <w:rFonts w:ascii="Times New Roman" w:hAnsi="Times New Roman" w:cs="Times New Roman"/>
          <w:kern w:val="0"/>
          <w:sz w:val="24"/>
          <w:szCs w:val="24"/>
          <w14:ligatures w14:val="none"/>
        </w:rPr>
        <w:t xml:space="preserve"> in 1978, provides a theoretical framework for understanding the interconnectedness between digital asset exchanges. It states that companies must build and maintain a set of external dependencies </w:t>
      </w:r>
      <w:r w:rsidR="00E527E5" w:rsidRPr="007271B6">
        <w:rPr>
          <w:rFonts w:ascii="Times New Roman" w:hAnsi="Times New Roman" w:cs="Times New Roman"/>
          <w:kern w:val="0"/>
          <w:sz w:val="24"/>
          <w:szCs w:val="24"/>
          <w14:ligatures w14:val="none"/>
        </w:rPr>
        <w:t>to</w:t>
      </w:r>
      <w:r w:rsidRPr="007271B6">
        <w:rPr>
          <w:rFonts w:ascii="Times New Roman" w:hAnsi="Times New Roman" w:cs="Times New Roman"/>
          <w:kern w:val="0"/>
          <w:sz w:val="24"/>
          <w:szCs w:val="24"/>
          <w14:ligatures w14:val="none"/>
        </w:rPr>
        <w:t xml:space="preserve"> thrive and survive in their operational environment (Roundy and Bayer 2019). This theoretical framework allows various stakeholders to evaluate how corporations manage partnerships and dependencies, especially those acquired externally. This theory is relevant for digital asset exchanges as their activities depend on external variables such as differing regulatory regimes in contrasting countries, alliances with other market participants and the availability of liquidity and </w:t>
      </w:r>
      <w:r w:rsidR="00E527E5">
        <w:rPr>
          <w:rFonts w:ascii="Times New Roman" w:hAnsi="Times New Roman" w:cs="Times New Roman"/>
          <w:kern w:val="0"/>
          <w:sz w:val="24"/>
          <w:szCs w:val="24"/>
          <w14:ligatures w14:val="none"/>
        </w:rPr>
        <w:t>capital</w:t>
      </w:r>
      <w:r w:rsidRPr="007271B6">
        <w:rPr>
          <w:rFonts w:ascii="Times New Roman" w:hAnsi="Times New Roman" w:cs="Times New Roman"/>
          <w:kern w:val="0"/>
          <w:sz w:val="24"/>
          <w:szCs w:val="24"/>
          <w14:ligatures w14:val="none"/>
        </w:rPr>
        <w:t xml:space="preserve">. Jensen and Meckling have further developed this theory to offer a structured methodology for understanding the complex dynamics of the principal-agent relationship in companies (Tekin and Polat, 2020). Examining these cryptocurrency firms through Agency Theory reveals how governance-related issues such as decision-making procedures, risk management techniques and transparency measures may have affected the alignment and trust between these different stakeholder groups. According </w:t>
      </w:r>
      <w:r w:rsidRPr="007271B6">
        <w:rPr>
          <w:rFonts w:ascii="Times New Roman" w:hAnsi="Times New Roman" w:cs="Times New Roman"/>
          <w:kern w:val="0"/>
          <w:sz w:val="24"/>
          <w:szCs w:val="24"/>
          <w14:ligatures w14:val="none"/>
        </w:rPr>
        <w:lastRenderedPageBreak/>
        <w:t>to Pierce (2022), the basic idea of agency theory is that conflicts can arise when the interests of principals (shareholders) and the agents (management) diverge, as was the case with FTX, Binance and Coinbase, potentially resulting in sub-optimal outcomes due to misaligned objectives. The Agency Theory paradigm is particularly relevant for FTX and Alameda Research as both companies ha</w:t>
      </w:r>
      <w:r w:rsidR="006B6162">
        <w:rPr>
          <w:rFonts w:ascii="Times New Roman" w:hAnsi="Times New Roman" w:cs="Times New Roman"/>
          <w:kern w:val="0"/>
          <w:sz w:val="24"/>
          <w:szCs w:val="24"/>
          <w14:ligatures w14:val="none"/>
        </w:rPr>
        <w:t>d</w:t>
      </w:r>
      <w:r w:rsidRPr="007271B6">
        <w:rPr>
          <w:rFonts w:ascii="Times New Roman" w:hAnsi="Times New Roman" w:cs="Times New Roman"/>
          <w:kern w:val="0"/>
          <w:sz w:val="24"/>
          <w:szCs w:val="24"/>
          <w14:ligatures w14:val="none"/>
        </w:rPr>
        <w:t xml:space="preserve"> been operating in a very volatile and </w:t>
      </w:r>
      <w:r w:rsidR="00E527E5" w:rsidRPr="007271B6">
        <w:rPr>
          <w:rFonts w:ascii="Times New Roman" w:hAnsi="Times New Roman" w:cs="Times New Roman"/>
          <w:kern w:val="0"/>
          <w:sz w:val="24"/>
          <w:szCs w:val="24"/>
          <w14:ligatures w14:val="none"/>
        </w:rPr>
        <w:t>fast-growing</w:t>
      </w:r>
      <w:r w:rsidRPr="007271B6">
        <w:rPr>
          <w:rFonts w:ascii="Times New Roman" w:hAnsi="Times New Roman" w:cs="Times New Roman"/>
          <w:kern w:val="0"/>
          <w:sz w:val="24"/>
          <w:szCs w:val="24"/>
          <w14:ligatures w14:val="none"/>
        </w:rPr>
        <w:t xml:space="preserve"> market. As a result, we understand the importance of appropriate corporate governance to ensure effective oversight of the company and mitigate significant financial and operational risks.</w:t>
      </w:r>
    </w:p>
    <w:p w14:paraId="76A34722" w14:textId="77777777" w:rsidR="00F808B3" w:rsidRPr="007271B6" w:rsidRDefault="00F808B3" w:rsidP="008B2FC1">
      <w:pPr>
        <w:pStyle w:val="Heading3"/>
      </w:pPr>
      <w:bookmarkStart w:id="16" w:name="_Toc165667409"/>
      <w:r w:rsidRPr="007271B6">
        <w:t>Governance and Regulation Issues</w:t>
      </w:r>
      <w:bookmarkEnd w:id="16"/>
    </w:p>
    <w:p w14:paraId="4CDA33B4" w14:textId="77777777" w:rsidR="000D2E30" w:rsidRPr="007271B6" w:rsidRDefault="000D2E30" w:rsidP="000D2E30">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Conlon et al. (2022), like </w:t>
      </w:r>
      <w:proofErr w:type="spellStart"/>
      <w:r w:rsidRPr="007271B6">
        <w:rPr>
          <w:rFonts w:ascii="Times New Roman" w:hAnsi="Times New Roman" w:cs="Times New Roman"/>
          <w:kern w:val="0"/>
          <w:sz w:val="24"/>
          <w:szCs w:val="24"/>
          <w14:ligatures w14:val="none"/>
        </w:rPr>
        <w:t>Akyildirim</w:t>
      </w:r>
      <w:proofErr w:type="spellEnd"/>
      <w:r w:rsidRPr="007271B6">
        <w:rPr>
          <w:rFonts w:ascii="Times New Roman" w:hAnsi="Times New Roman" w:cs="Times New Roman"/>
          <w:kern w:val="0"/>
          <w:sz w:val="24"/>
          <w:szCs w:val="24"/>
          <w14:ligatures w14:val="none"/>
        </w:rPr>
        <w:t xml:space="preserve"> et al. (2023), provide a perceptive analysis of the demise of FTX, in which they describe in detail the governance framework, financial procedures and external elements that triggered the crisis. Accordingly, they conclude that the collapse of the exchange was directly related to "the risk and liquidity position of FTX, especially in relation to the privately issued cryptocurrencies, its own token FTT and Serum" (Conlon, 2022). They established that reassessing the maturity of the sector and the need for more significant measures to oversee appropriate governance of such institutions. The collapse of FTX and Alameda Research should be a cautionary example for all those involved in the industry. They note that the event ended a period characterised by uncontrolled development, as governments were forced to intervene to protect clients from fraudulent practices. Similarly, Pilkinton (2022) cites failures in corporate governance as a decisive factor in FTX's bankruptcy, pointing to problems in organisational decision-making, risk management and transparency.</w:t>
      </w:r>
    </w:p>
    <w:p w14:paraId="69FE70B5" w14:textId="77777777" w:rsidR="000D2E30" w:rsidRPr="007271B6" w:rsidRDefault="000D2E30" w:rsidP="000D2E30">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Kokorin (2023), in contrast to Conlon (2022), insists that Governance and regulatory shortcomings are more to blame than fundamental problems within the digital asset industry. In other words, they argue that the collapse of FTX and Alameda Research was caused by a breakdown in the institutions and mechanisms set up to oversee and regulate the industry, rather </w:t>
      </w:r>
      <w:r w:rsidRPr="007271B6">
        <w:rPr>
          <w:rFonts w:ascii="Times New Roman" w:hAnsi="Times New Roman" w:cs="Times New Roman"/>
          <w:kern w:val="0"/>
          <w:sz w:val="24"/>
          <w:szCs w:val="24"/>
          <w14:ligatures w14:val="none"/>
        </w:rPr>
        <w:lastRenderedPageBreak/>
        <w:t xml:space="preserve">than fundamental problems with cryptocurrencies or blockchain technology. Alekseenko (2023) shares similar sentiments, adding that "As transactions with cryptocurrencies have a transnational nature, regulators can adjust these activities only if they would cooperate and harmonise basic rules concerning the exchange of digital assets, including data security". He points out that excellent corporate governance practices and robust regulatory frameworks ensure the stability and integrity of the digital asset market. The rapidly growing cryptocurrency market brings with it a complex combination of opportunities and problems for corporate governance. For example, at the centre of finance, </w:t>
      </w:r>
      <w:proofErr w:type="gramStart"/>
      <w:r w:rsidRPr="007271B6">
        <w:rPr>
          <w:rFonts w:ascii="Times New Roman" w:hAnsi="Times New Roman" w:cs="Times New Roman"/>
          <w:kern w:val="0"/>
          <w:sz w:val="24"/>
          <w:szCs w:val="24"/>
          <w14:ligatures w14:val="none"/>
        </w:rPr>
        <w:t>technology</w:t>
      </w:r>
      <w:proofErr w:type="gramEnd"/>
      <w:r w:rsidRPr="007271B6">
        <w:rPr>
          <w:rFonts w:ascii="Times New Roman" w:hAnsi="Times New Roman" w:cs="Times New Roman"/>
          <w:kern w:val="0"/>
          <w:sz w:val="24"/>
          <w:szCs w:val="24"/>
          <w14:ligatures w14:val="none"/>
        </w:rPr>
        <w:t xml:space="preserve"> and legislation, it creates new avenues where traditional governance frameworks would frequently fall short.</w:t>
      </w:r>
    </w:p>
    <w:p w14:paraId="6136B44E" w14:textId="762B5EE4" w:rsidR="000D2E30" w:rsidRPr="007271B6" w:rsidRDefault="000D2E30" w:rsidP="000D2E30">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Fu et al (2022) emphasise the importance of conducting comprehensive research and evaluating potential investment opportunities, particularly in the cryptocurrency sector. The systematic review shows that the crypto market is often characterised by high profits and rapid growth, masking underlying issues that can pose significant risks to investors. Although the article portrays FTX as a Ponzi scheme </w:t>
      </w:r>
      <w:r w:rsidR="00692079">
        <w:rPr>
          <w:rFonts w:ascii="Times New Roman" w:hAnsi="Times New Roman" w:cs="Times New Roman"/>
          <w:kern w:val="0"/>
          <w:sz w:val="24"/>
          <w:szCs w:val="24"/>
          <w14:ligatures w14:val="none"/>
        </w:rPr>
        <w:t>as well as</w:t>
      </w:r>
      <w:r w:rsidRPr="007271B6">
        <w:rPr>
          <w:rFonts w:ascii="Times New Roman" w:hAnsi="Times New Roman" w:cs="Times New Roman"/>
          <w:kern w:val="0"/>
          <w:sz w:val="24"/>
          <w:szCs w:val="24"/>
          <w14:ligatures w14:val="none"/>
        </w:rPr>
        <w:t xml:space="preserve"> SBF and affiliates as fraudsters, it refrains from explicitly alleging fraudulent activity, unlike Arner et al. (2023), Fu et al. (2022), Alekseenko (2023) and Pilkinton (2022). However, it emphasises the importance of introducing strict regulation, transparency and adherence to governance and best practices in the digital asset industry. In their estimation, this will mitigate the potential occurrence of situations reminiscent of Ponzi schemes. In their study, Fu et al (2022) present a unique perspective on the collapse of FTX by conducting a comparative analysis with the characteristics commonly associated with a Ponzi scheme. Their assessment contributes to the ongoing discourse on governance and risk management in cryptocurrencies. They emphasise the importance of transparency, </w:t>
      </w:r>
      <w:proofErr w:type="gramStart"/>
      <w:r w:rsidRPr="007271B6">
        <w:rPr>
          <w:rFonts w:ascii="Times New Roman" w:hAnsi="Times New Roman" w:cs="Times New Roman"/>
          <w:kern w:val="0"/>
          <w:sz w:val="24"/>
          <w:szCs w:val="24"/>
          <w14:ligatures w14:val="none"/>
        </w:rPr>
        <w:t>thoroughness</w:t>
      </w:r>
      <w:proofErr w:type="gramEnd"/>
      <w:r w:rsidRPr="007271B6">
        <w:rPr>
          <w:rFonts w:ascii="Times New Roman" w:hAnsi="Times New Roman" w:cs="Times New Roman"/>
          <w:kern w:val="0"/>
          <w:sz w:val="24"/>
          <w:szCs w:val="24"/>
          <w14:ligatures w14:val="none"/>
        </w:rPr>
        <w:t xml:space="preserve"> and basic governance procedures, stating that "introducing regulation into </w:t>
      </w:r>
      <w:r w:rsidR="00F01DFE">
        <w:rPr>
          <w:rFonts w:ascii="Times New Roman" w:hAnsi="Times New Roman" w:cs="Times New Roman"/>
          <w:kern w:val="0"/>
          <w:sz w:val="24"/>
          <w:szCs w:val="24"/>
          <w14:ligatures w14:val="none"/>
        </w:rPr>
        <w:t>centralised exchanges (</w:t>
      </w:r>
      <w:r w:rsidRPr="007271B6">
        <w:rPr>
          <w:rFonts w:ascii="Times New Roman" w:hAnsi="Times New Roman" w:cs="Times New Roman"/>
          <w:kern w:val="0"/>
          <w:sz w:val="24"/>
          <w:szCs w:val="24"/>
          <w14:ligatures w14:val="none"/>
        </w:rPr>
        <w:t>CEX</w:t>
      </w:r>
      <w:r w:rsidR="00F01DFE">
        <w:rPr>
          <w:rFonts w:ascii="Times New Roman" w:hAnsi="Times New Roman" w:cs="Times New Roman"/>
          <w:kern w:val="0"/>
          <w:sz w:val="24"/>
          <w:szCs w:val="24"/>
          <w14:ligatures w14:val="none"/>
        </w:rPr>
        <w:t>)</w:t>
      </w:r>
      <w:r w:rsidRPr="007271B6">
        <w:rPr>
          <w:rFonts w:ascii="Times New Roman" w:hAnsi="Times New Roman" w:cs="Times New Roman"/>
          <w:kern w:val="0"/>
          <w:sz w:val="24"/>
          <w:szCs w:val="24"/>
          <w14:ligatures w14:val="none"/>
        </w:rPr>
        <w:t xml:space="preserve"> and even </w:t>
      </w:r>
      <w:r w:rsidR="00F01DFE">
        <w:rPr>
          <w:rFonts w:ascii="Times New Roman" w:hAnsi="Times New Roman" w:cs="Times New Roman"/>
          <w:kern w:val="0"/>
          <w:sz w:val="24"/>
          <w:szCs w:val="24"/>
          <w14:ligatures w14:val="none"/>
        </w:rPr>
        <w:t>decentralised finance (</w:t>
      </w:r>
      <w:r w:rsidRPr="007271B6">
        <w:rPr>
          <w:rFonts w:ascii="Times New Roman" w:hAnsi="Times New Roman" w:cs="Times New Roman"/>
          <w:kern w:val="0"/>
          <w:sz w:val="24"/>
          <w:szCs w:val="24"/>
          <w14:ligatures w14:val="none"/>
        </w:rPr>
        <w:t>DeFi</w:t>
      </w:r>
      <w:r w:rsidR="00F01DFE">
        <w:rPr>
          <w:rFonts w:ascii="Times New Roman" w:hAnsi="Times New Roman" w:cs="Times New Roman"/>
          <w:kern w:val="0"/>
          <w:sz w:val="24"/>
          <w:szCs w:val="24"/>
          <w14:ligatures w14:val="none"/>
        </w:rPr>
        <w:t>)</w:t>
      </w:r>
      <w:r w:rsidRPr="007271B6">
        <w:rPr>
          <w:rFonts w:ascii="Times New Roman" w:hAnsi="Times New Roman" w:cs="Times New Roman"/>
          <w:kern w:val="0"/>
          <w:sz w:val="24"/>
          <w:szCs w:val="24"/>
          <w14:ligatures w14:val="none"/>
        </w:rPr>
        <w:t xml:space="preserve"> seems necessary" (Fu et al. 2022). According to their study, this will protect investors' </w:t>
      </w:r>
      <w:r w:rsidRPr="007271B6">
        <w:rPr>
          <w:rFonts w:ascii="Times New Roman" w:hAnsi="Times New Roman" w:cs="Times New Roman"/>
          <w:kern w:val="0"/>
          <w:sz w:val="24"/>
          <w:szCs w:val="24"/>
          <w14:ligatures w14:val="none"/>
        </w:rPr>
        <w:lastRenderedPageBreak/>
        <w:t>interests and maintain the integrity of the market. A similar study by Kokorin et al. (2023) on Celsius Network LLC and Voyager Digital Holdings Inc. suggests their collapse indicates the fragility of their business model and emphasises the need to regulate cryptocurrency lending and borrowing.</w:t>
      </w:r>
    </w:p>
    <w:p w14:paraId="2FCE88EF" w14:textId="0AB00B67" w:rsidR="00F808B3" w:rsidRPr="007271B6" w:rsidRDefault="000D2E30" w:rsidP="000D2E30">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Macey (2023) also examines the intricate web of financial fraud. This is important to understand the broader context in which such cases occur, although it may not specifically address the collapse of FTX or be applicable to other digital asset companies. Another study by Arner et al (2023) shares similar views and emphasises the need for regulation to ensure consumer safety. It highlights how systemic issues arising from the failure of a significant player such as FTX provide valuable insight into strategies that can be implemented to ensure more vigilance and regulatory safeguards. They insist that market shocks can propagate through affiliations, elevating the overall risk within the cryptocurrency ecosystem.</w:t>
      </w:r>
      <w:r w:rsidR="00F808B3" w:rsidRPr="007271B6">
        <w:rPr>
          <w:rFonts w:ascii="Times New Roman" w:hAnsi="Times New Roman" w:cs="Times New Roman"/>
          <w:kern w:val="0"/>
          <w:sz w:val="24"/>
          <w:szCs w:val="24"/>
          <w14:ligatures w14:val="none"/>
        </w:rPr>
        <w:t xml:space="preserve"> </w:t>
      </w:r>
    </w:p>
    <w:p w14:paraId="308E9C30" w14:textId="30187B6C" w:rsidR="00844385" w:rsidRPr="007271B6" w:rsidRDefault="00844385" w:rsidP="00844385">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The stakeholder theory proposed by Edward Freeman in early 1980 marks a significant paradigm shift in the discipline of corporate management (Rogge 2021; Stakeholder Theory, 2018). This theoretical framework rejects the traditional emphasis on shareholder interests in favour of a broader view that </w:t>
      </w:r>
      <w:r w:rsidR="00692079" w:rsidRPr="007271B6">
        <w:rPr>
          <w:rFonts w:ascii="Times New Roman" w:hAnsi="Times New Roman" w:cs="Times New Roman"/>
          <w:kern w:val="0"/>
          <w:sz w:val="24"/>
          <w:szCs w:val="24"/>
          <w14:ligatures w14:val="none"/>
        </w:rPr>
        <w:t>considers</w:t>
      </w:r>
      <w:r w:rsidRPr="007271B6">
        <w:rPr>
          <w:rFonts w:ascii="Times New Roman" w:hAnsi="Times New Roman" w:cs="Times New Roman"/>
          <w:kern w:val="0"/>
          <w:sz w:val="24"/>
          <w:szCs w:val="24"/>
          <w14:ligatures w14:val="none"/>
        </w:rPr>
        <w:t xml:space="preserve"> the interests of all parties involved in an organisation's activities. Accordingly, organisations are encouraged to consider the needs of their employees, suppliers, customers, </w:t>
      </w:r>
      <w:proofErr w:type="gramStart"/>
      <w:r w:rsidRPr="007271B6">
        <w:rPr>
          <w:rFonts w:ascii="Times New Roman" w:hAnsi="Times New Roman" w:cs="Times New Roman"/>
          <w:kern w:val="0"/>
          <w:sz w:val="24"/>
          <w:szCs w:val="24"/>
          <w14:ligatures w14:val="none"/>
        </w:rPr>
        <w:t>investors</w:t>
      </w:r>
      <w:proofErr w:type="gramEnd"/>
      <w:r w:rsidRPr="007271B6">
        <w:rPr>
          <w:rFonts w:ascii="Times New Roman" w:hAnsi="Times New Roman" w:cs="Times New Roman"/>
          <w:kern w:val="0"/>
          <w:sz w:val="24"/>
          <w:szCs w:val="24"/>
          <w14:ligatures w14:val="none"/>
        </w:rPr>
        <w:t xml:space="preserve"> and the community when making business decisions (Stakeholder Theory, 2018). Applied to corporate governance in the context of FTX and Alameda Research, it compels a careful analysis of management's engagement with a variety of stakeholders, including staff members, clients, regulatory bodies, and the larger cryptocurrency community. </w:t>
      </w:r>
      <w:proofErr w:type="spellStart"/>
      <w:r w:rsidRPr="007271B6">
        <w:rPr>
          <w:rFonts w:ascii="Times New Roman" w:hAnsi="Times New Roman" w:cs="Times New Roman"/>
          <w:kern w:val="0"/>
          <w:sz w:val="24"/>
          <w:szCs w:val="24"/>
          <w14:ligatures w14:val="none"/>
        </w:rPr>
        <w:t>Akyıldırım</w:t>
      </w:r>
      <w:proofErr w:type="spellEnd"/>
      <w:r w:rsidRPr="007271B6">
        <w:rPr>
          <w:rFonts w:ascii="Times New Roman" w:hAnsi="Times New Roman" w:cs="Times New Roman"/>
          <w:kern w:val="0"/>
          <w:sz w:val="24"/>
          <w:szCs w:val="24"/>
          <w14:ligatures w14:val="none"/>
        </w:rPr>
        <w:t xml:space="preserve"> et al. (2023) found that S</w:t>
      </w:r>
      <w:r w:rsidR="003F546F" w:rsidRPr="007271B6">
        <w:rPr>
          <w:rFonts w:ascii="Times New Roman" w:hAnsi="Times New Roman" w:cs="Times New Roman"/>
          <w:kern w:val="0"/>
          <w:sz w:val="24"/>
          <w:szCs w:val="24"/>
          <w14:ligatures w14:val="none"/>
        </w:rPr>
        <w:t>BF</w:t>
      </w:r>
      <w:r w:rsidRPr="007271B6">
        <w:rPr>
          <w:rFonts w:ascii="Times New Roman" w:hAnsi="Times New Roman" w:cs="Times New Roman"/>
          <w:kern w:val="0"/>
          <w:sz w:val="24"/>
          <w:szCs w:val="24"/>
          <w14:ligatures w14:val="none"/>
        </w:rPr>
        <w:t xml:space="preserve"> and co.'s fraudulent practices caused massive customer and shareholder losses. In their endeavour to profit personally instead of ensuring effective management, they squandered their clients' assets, resulting in huge losses. As major participants in the digital asset industry, FTX and Alameda </w:t>
      </w:r>
      <w:r w:rsidRPr="007271B6">
        <w:rPr>
          <w:rFonts w:ascii="Times New Roman" w:hAnsi="Times New Roman" w:cs="Times New Roman"/>
          <w:kern w:val="0"/>
          <w:sz w:val="24"/>
          <w:szCs w:val="24"/>
          <w14:ligatures w14:val="none"/>
        </w:rPr>
        <w:lastRenderedPageBreak/>
        <w:t>Research operated in a dynamic ecosystem in which the interests of numerous stakeholders often collided and occasionally clashed (</w:t>
      </w:r>
      <w:proofErr w:type="spellStart"/>
      <w:r w:rsidRPr="007271B6">
        <w:rPr>
          <w:rFonts w:ascii="Times New Roman" w:hAnsi="Times New Roman" w:cs="Times New Roman"/>
          <w:kern w:val="0"/>
          <w:sz w:val="24"/>
          <w:szCs w:val="24"/>
          <w14:ligatures w14:val="none"/>
        </w:rPr>
        <w:t>Marchesan</w:t>
      </w:r>
      <w:proofErr w:type="spellEnd"/>
      <w:r w:rsidRPr="007271B6">
        <w:rPr>
          <w:rFonts w:ascii="Times New Roman" w:hAnsi="Times New Roman" w:cs="Times New Roman"/>
          <w:kern w:val="0"/>
          <w:sz w:val="24"/>
          <w:szCs w:val="24"/>
          <w14:ligatures w14:val="none"/>
        </w:rPr>
        <w:t>, 2023). Nonetheless, they disregarded the interests of the majority. Stakeholder theory can be used to analyse whether governance-related deficiencies in stakeholder management may have contributed to the demise of these companies.</w:t>
      </w:r>
    </w:p>
    <w:p w14:paraId="306D17C2" w14:textId="6A0AAE82" w:rsidR="00F808B3" w:rsidRPr="007271B6" w:rsidRDefault="00844385" w:rsidP="00844385">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Distinguished academics and researchers have made significant contributions to corporate governance by providing fundamental theories and important publications that influence the understanding of management issues. Some prominent figures within the academic community are renowned scholars such as Ronald Coase, Michael </w:t>
      </w:r>
      <w:proofErr w:type="gramStart"/>
      <w:r w:rsidRPr="007271B6">
        <w:rPr>
          <w:rFonts w:ascii="Times New Roman" w:hAnsi="Times New Roman" w:cs="Times New Roman"/>
          <w:kern w:val="0"/>
          <w:sz w:val="24"/>
          <w:szCs w:val="24"/>
          <w14:ligatures w14:val="none"/>
        </w:rPr>
        <w:t>Jensen</w:t>
      </w:r>
      <w:proofErr w:type="gramEnd"/>
      <w:r w:rsidRPr="007271B6">
        <w:rPr>
          <w:rFonts w:ascii="Times New Roman" w:hAnsi="Times New Roman" w:cs="Times New Roman"/>
          <w:kern w:val="0"/>
          <w:sz w:val="24"/>
          <w:szCs w:val="24"/>
          <w14:ligatures w14:val="none"/>
        </w:rPr>
        <w:t xml:space="preserve"> and R. Edward Freeman. The famous economist Ronald Coase made significant and groundbreaking contributions to the field of economics with his research on transaction costs and business theory (Sent and Kroese, 2022). The insights gained from Coase have significantly influenced the understanding of the evolutionary processes of governance systems in organisations. Michael Jensen and William Meckling played a crucial role in the establishment of Agency Theory. Jensen's academic research has played a crucial role in the study of principal-agent dynamics in organisations, clarifying issues related to conflicts of interest and governance concerns. R. Edward Freeman, a prominent figure recognised for his contributions to Stakeholder Theory, has significantly influenced the corporate Governance domain.</w:t>
      </w:r>
    </w:p>
    <w:p w14:paraId="6A8AC545" w14:textId="2CAB522D" w:rsidR="00F808B3" w:rsidRPr="007271B6" w:rsidRDefault="00F808B3" w:rsidP="008B2FC1">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In his publication, </w:t>
      </w:r>
      <w:r w:rsidRPr="007271B6">
        <w:rPr>
          <w:rFonts w:ascii="Times New Roman" w:hAnsi="Times New Roman" w:cs="Times New Roman"/>
          <w:i/>
          <w:kern w:val="0"/>
          <w:sz w:val="24"/>
          <w:szCs w:val="24"/>
          <w14:ligatures w14:val="none"/>
        </w:rPr>
        <w:t>"Strategic Management: A Stakeholder Approach"</w:t>
      </w:r>
      <w:r w:rsidRPr="007271B6">
        <w:rPr>
          <w:rFonts w:ascii="Times New Roman" w:hAnsi="Times New Roman" w:cs="Times New Roman"/>
          <w:kern w:val="0"/>
          <w:sz w:val="24"/>
          <w:szCs w:val="24"/>
          <w14:ligatures w14:val="none"/>
        </w:rPr>
        <w:t xml:space="preserve"> (1984), Jensen presented a compelling critique of the conventional shareholder-centric perspective, proposing instead a more comprehensive approach that considers the interests of various stakeholders in the realm of Governance (Adegbite et al. 2020). </w:t>
      </w:r>
      <w:r w:rsidR="00844385" w:rsidRPr="007271B6">
        <w:rPr>
          <w:rFonts w:ascii="Times New Roman" w:hAnsi="Times New Roman" w:cs="Times New Roman"/>
          <w:kern w:val="0"/>
          <w:sz w:val="24"/>
          <w:szCs w:val="24"/>
          <w14:ligatures w14:val="none"/>
        </w:rPr>
        <w:t xml:space="preserve">As mentioned earlier, researchers have had a lasting impact on the field of corporate governance by advancing the theoretical framework and providing a solid foundation for the study of governance-related problems. The contributions of these individuals have significantly influenced the landscape of studies and </w:t>
      </w:r>
      <w:r w:rsidR="00844385" w:rsidRPr="007271B6">
        <w:rPr>
          <w:rFonts w:ascii="Times New Roman" w:hAnsi="Times New Roman" w:cs="Times New Roman"/>
          <w:kern w:val="0"/>
          <w:sz w:val="24"/>
          <w:szCs w:val="24"/>
          <w14:ligatures w14:val="none"/>
        </w:rPr>
        <w:lastRenderedPageBreak/>
        <w:t>provided a deeper understanding of governance dynamics and stakeholder involvement in decision-making processes. Accordingly, many lessons can be drawn from their assessment of corporate governance within financial institutions.</w:t>
      </w:r>
    </w:p>
    <w:p w14:paraId="68BECCD8" w14:textId="77777777" w:rsidR="00F808B3" w:rsidRPr="007271B6" w:rsidRDefault="00F808B3" w:rsidP="008B2FC1">
      <w:pPr>
        <w:pStyle w:val="Heading3"/>
      </w:pPr>
      <w:bookmarkStart w:id="17" w:name="_Toc165667410"/>
      <w:r w:rsidRPr="007271B6">
        <w:t>Conclusions for the Digital Asset Industry</w:t>
      </w:r>
      <w:bookmarkEnd w:id="17"/>
    </w:p>
    <w:p w14:paraId="1A21E6BF" w14:textId="77777777" w:rsidR="0002761D" w:rsidRPr="007271B6" w:rsidRDefault="0002761D" w:rsidP="0002761D">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Vidal-Tomás, Briola and Aste (2023) analysed the notable ramifications of these occurrences within the broader framework of Centralised Digital Finance. This study highlights the significance of the collapse of the Terra-Luna ecosystem as a crucial occurrence that contributed to the liquidity problem experienced by FTX. By examining the on-chain data, it becomes clear that FTX was highly dependent on the use and misappropriation of its native token, FTT, which exacerbated its financial vulnerability. Furthermore, another similar study by </w:t>
      </w:r>
      <w:proofErr w:type="spellStart"/>
      <w:r w:rsidRPr="007271B6">
        <w:rPr>
          <w:rFonts w:ascii="Times New Roman" w:hAnsi="Times New Roman" w:cs="Times New Roman"/>
          <w:kern w:val="0"/>
          <w:sz w:val="24"/>
          <w:szCs w:val="24"/>
          <w14:ligatures w14:val="none"/>
        </w:rPr>
        <w:t>Zetzsche</w:t>
      </w:r>
      <w:proofErr w:type="spellEnd"/>
      <w:r w:rsidRPr="007271B6">
        <w:rPr>
          <w:rFonts w:ascii="Times New Roman" w:hAnsi="Times New Roman" w:cs="Times New Roman"/>
          <w:kern w:val="0"/>
          <w:sz w:val="24"/>
          <w:szCs w:val="24"/>
          <w14:ligatures w14:val="none"/>
        </w:rPr>
        <w:t xml:space="preserve"> et al. (2023) examines the systemic impact that </w:t>
      </w:r>
      <w:proofErr w:type="spellStart"/>
      <w:r w:rsidRPr="007271B6">
        <w:rPr>
          <w:rFonts w:ascii="Times New Roman" w:hAnsi="Times New Roman" w:cs="Times New Roman"/>
          <w:kern w:val="0"/>
          <w:sz w:val="24"/>
          <w:szCs w:val="24"/>
          <w14:ligatures w14:val="none"/>
        </w:rPr>
        <w:t>Binance's</w:t>
      </w:r>
      <w:proofErr w:type="spellEnd"/>
      <w:r w:rsidRPr="007271B6">
        <w:rPr>
          <w:rFonts w:ascii="Times New Roman" w:hAnsi="Times New Roman" w:cs="Times New Roman"/>
          <w:kern w:val="0"/>
          <w:sz w:val="24"/>
          <w:szCs w:val="24"/>
          <w14:ligatures w14:val="none"/>
        </w:rPr>
        <w:t xml:space="preserve"> tweets had on the cryptocurrency market in relation to these events. Accordingly, some conclusions and valuable recommendations for improving corporate governance standards and best practice can be derived from the failures of FTX and Alameda Research. These lessons can significantly protect and benefit other companies in the digital asset industry and others facing dynamic and complex events. In addition, the bankruptcy of FTX and Alameda Research highlights the dangers of prioritising short-term gains over long-term stability. Therefore, companies should implement a long-term strategic vision focused on sustainable growth and risk management, even when operating in uncertain industries and markets.</w:t>
      </w:r>
    </w:p>
    <w:p w14:paraId="219DF518" w14:textId="441F85BA" w:rsidR="0002761D" w:rsidRPr="007271B6" w:rsidRDefault="0002761D" w:rsidP="0002761D">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Analysing the corporate governance practises of FTX and Alameda Research reveals serious deficiencies that were critical to the eventual bankruptcy of both companies. Corporate governance encompasses a variety of procedures and policies, all of which impact the sustainability and financial health of an organisation (Manita et al., 2020). The processes used in these cryptocurrency organisations' decision-making were a critical topic of concern. FTX and Alameda Research worked in a highly volatile and dynamic sector where business </w:t>
      </w:r>
      <w:r w:rsidRPr="007271B6">
        <w:rPr>
          <w:rFonts w:ascii="Times New Roman" w:hAnsi="Times New Roman" w:cs="Times New Roman"/>
          <w:kern w:val="0"/>
          <w:sz w:val="24"/>
          <w:szCs w:val="24"/>
          <w14:ligatures w14:val="none"/>
        </w:rPr>
        <w:lastRenderedPageBreak/>
        <w:t>decisions often have far-reaching implications (</w:t>
      </w:r>
      <w:proofErr w:type="spellStart"/>
      <w:r w:rsidRPr="007271B6">
        <w:rPr>
          <w:rFonts w:ascii="Times New Roman" w:hAnsi="Times New Roman" w:cs="Times New Roman"/>
          <w:kern w:val="0"/>
          <w:sz w:val="24"/>
          <w:szCs w:val="24"/>
          <w14:ligatures w14:val="none"/>
        </w:rPr>
        <w:t>Sensoy</w:t>
      </w:r>
      <w:proofErr w:type="spellEnd"/>
      <w:r w:rsidRPr="007271B6">
        <w:rPr>
          <w:rFonts w:ascii="Times New Roman" w:hAnsi="Times New Roman" w:cs="Times New Roman"/>
          <w:kern w:val="0"/>
          <w:sz w:val="24"/>
          <w:szCs w:val="24"/>
          <w14:ligatures w14:val="none"/>
        </w:rPr>
        <w:t xml:space="preserve"> et al., 2021). However, there was evidence that the decision-making processes used for governance were inadequate. For example, it became clear that short-term profits were being prioritised over long-term stability and dangerous investment decisions were being made within Alameda Research without a thorough risk assessment. Effective risk management is another essential component of good corporate governance, which is especially important given the market volatility in the digital asset industry (</w:t>
      </w:r>
      <w:proofErr w:type="spellStart"/>
      <w:r w:rsidRPr="007271B6">
        <w:rPr>
          <w:rFonts w:ascii="Times New Roman" w:hAnsi="Times New Roman" w:cs="Times New Roman"/>
          <w:kern w:val="0"/>
          <w:sz w:val="24"/>
          <w:szCs w:val="24"/>
          <w14:ligatures w14:val="none"/>
        </w:rPr>
        <w:t>Sensoy</w:t>
      </w:r>
      <w:proofErr w:type="spellEnd"/>
      <w:r w:rsidRPr="007271B6">
        <w:rPr>
          <w:rFonts w:ascii="Times New Roman" w:hAnsi="Times New Roman" w:cs="Times New Roman"/>
          <w:kern w:val="0"/>
          <w:sz w:val="24"/>
          <w:szCs w:val="24"/>
          <w14:ligatures w14:val="none"/>
        </w:rPr>
        <w:t xml:space="preserve"> et al. 2021). However, it soon became clear that the risk management plans of both companies needed to be revised, as this contributed significantly to the insolvency of FTX and Alameda Research, as they were exposed to major market shocks and financial difficulties. Despite all this, the management of FTX and Alameda Research downplayed the risks. For example, when </w:t>
      </w:r>
      <w:proofErr w:type="spellStart"/>
      <w:r w:rsidRPr="007271B6">
        <w:rPr>
          <w:rFonts w:ascii="Times New Roman" w:hAnsi="Times New Roman" w:cs="Times New Roman"/>
          <w:kern w:val="0"/>
          <w:sz w:val="24"/>
          <w:szCs w:val="24"/>
          <w14:ligatures w14:val="none"/>
        </w:rPr>
        <w:t>Coindesk</w:t>
      </w:r>
      <w:proofErr w:type="spellEnd"/>
      <w:r w:rsidRPr="007271B6">
        <w:rPr>
          <w:rFonts w:ascii="Times New Roman" w:hAnsi="Times New Roman" w:cs="Times New Roman"/>
          <w:kern w:val="0"/>
          <w:sz w:val="24"/>
          <w:szCs w:val="24"/>
          <w14:ligatures w14:val="none"/>
        </w:rPr>
        <w:t xml:space="preserve"> reported that Alameda Research owned 6 billion dollars of FTTs, </w:t>
      </w:r>
      <w:r w:rsidR="003F546F" w:rsidRPr="007271B6">
        <w:rPr>
          <w:rFonts w:ascii="Times New Roman" w:hAnsi="Times New Roman" w:cs="Times New Roman"/>
          <w:kern w:val="0"/>
          <w:sz w:val="24"/>
          <w:szCs w:val="24"/>
          <w14:ligatures w14:val="none"/>
        </w:rPr>
        <w:t>SBF</w:t>
      </w:r>
      <w:r w:rsidRPr="007271B6">
        <w:rPr>
          <w:rFonts w:ascii="Times New Roman" w:hAnsi="Times New Roman" w:cs="Times New Roman"/>
          <w:kern w:val="0"/>
          <w:sz w:val="24"/>
          <w:szCs w:val="24"/>
          <w14:ligatures w14:val="none"/>
        </w:rPr>
        <w:t xml:space="preserve"> tweeted, "A competitor is trying to go after us with false rumours. FTX is fine. Assets are fine" (Vidal-Tomás, Briola, and Aste, 2023). The behaviour of board members and governance structures are core components of corporate governance. However, it soon became apparent that the governance structures of these companies lacked the necessary independence and control measures. As a result, management made decisions that prioritised short-term success over long-term stability, which led to the bankruptcy of FTX and Alameda Research. The analysis and assessment of FTX and Alameda Research's corporate governance practices therefore revealed serious deficiencies in decision-making, risk management, </w:t>
      </w:r>
      <w:proofErr w:type="gramStart"/>
      <w:r w:rsidRPr="007271B6">
        <w:rPr>
          <w:rFonts w:ascii="Times New Roman" w:hAnsi="Times New Roman" w:cs="Times New Roman"/>
          <w:kern w:val="0"/>
          <w:sz w:val="24"/>
          <w:szCs w:val="24"/>
          <w14:ligatures w14:val="none"/>
        </w:rPr>
        <w:t>transparency</w:t>
      </w:r>
      <w:proofErr w:type="gramEnd"/>
      <w:r w:rsidRPr="007271B6">
        <w:rPr>
          <w:rFonts w:ascii="Times New Roman" w:hAnsi="Times New Roman" w:cs="Times New Roman"/>
          <w:kern w:val="0"/>
          <w:sz w:val="24"/>
          <w:szCs w:val="24"/>
          <w14:ligatures w14:val="none"/>
        </w:rPr>
        <w:t xml:space="preserve"> and corporate governance. Taken together, these deficiencies were decisive for the bankruptcy of both companies.</w:t>
      </w:r>
    </w:p>
    <w:p w14:paraId="43D06D0A" w14:textId="158F2359" w:rsidR="0002761D" w:rsidRPr="007271B6" w:rsidRDefault="0002761D" w:rsidP="0002761D">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Corporate governance problems can take many different forms and play an important role in determining the course of a company. For example, conflicts of interest between shareholders and management are an important issue in agency theory. The relevant literature shows that this was also evident in the FTX and Alameda Research cases. According to </w:t>
      </w:r>
      <w:proofErr w:type="spellStart"/>
      <w:r w:rsidRPr="007271B6">
        <w:rPr>
          <w:rFonts w:ascii="Times New Roman" w:hAnsi="Times New Roman" w:cs="Times New Roman"/>
          <w:kern w:val="0"/>
          <w:sz w:val="24"/>
          <w:szCs w:val="24"/>
          <w14:ligatures w14:val="none"/>
        </w:rPr>
        <w:lastRenderedPageBreak/>
        <w:t>Marchesan's</w:t>
      </w:r>
      <w:proofErr w:type="spellEnd"/>
      <w:r w:rsidRPr="007271B6">
        <w:rPr>
          <w:rFonts w:ascii="Times New Roman" w:hAnsi="Times New Roman" w:cs="Times New Roman"/>
          <w:kern w:val="0"/>
          <w:sz w:val="24"/>
          <w:szCs w:val="24"/>
          <w14:ligatures w14:val="none"/>
        </w:rPr>
        <w:t xml:space="preserve"> thesis, the relationship between the two sister companies </w:t>
      </w:r>
      <w:r w:rsidR="006B6162">
        <w:rPr>
          <w:rFonts w:ascii="Times New Roman" w:hAnsi="Times New Roman" w:cs="Times New Roman"/>
          <w:kern w:val="0"/>
          <w:sz w:val="24"/>
          <w:szCs w:val="24"/>
          <w14:ligatures w14:val="none"/>
        </w:rPr>
        <w:t>created</w:t>
      </w:r>
      <w:r w:rsidRPr="007271B6">
        <w:rPr>
          <w:rFonts w:ascii="Times New Roman" w:hAnsi="Times New Roman" w:cs="Times New Roman"/>
          <w:kern w:val="0"/>
          <w:sz w:val="24"/>
          <w:szCs w:val="24"/>
          <w14:ligatures w14:val="none"/>
        </w:rPr>
        <w:t xml:space="preserve"> "an enormous conflict of interest, aggravated by the fact that Alameda Research's CEO was Caroline Ellison, </w:t>
      </w:r>
      <w:r w:rsidR="003F546F" w:rsidRPr="007271B6">
        <w:rPr>
          <w:rFonts w:ascii="Times New Roman" w:hAnsi="Times New Roman" w:cs="Times New Roman"/>
          <w:kern w:val="0"/>
          <w:sz w:val="24"/>
          <w:szCs w:val="24"/>
          <w14:ligatures w14:val="none"/>
        </w:rPr>
        <w:t>SBF’s</w:t>
      </w:r>
      <w:r w:rsidRPr="007271B6">
        <w:rPr>
          <w:rFonts w:ascii="Times New Roman" w:hAnsi="Times New Roman" w:cs="Times New Roman"/>
          <w:kern w:val="0"/>
          <w:sz w:val="24"/>
          <w:szCs w:val="24"/>
          <w14:ligatures w14:val="none"/>
        </w:rPr>
        <w:t xml:space="preserve"> fiancé". The investigation shows that the interests of management and shareholders were apparently not aligned. As a result, decisions were made that prioritised short-term profits and speculative investments over the long-term viability and stability of the company. Such conflicts of interest significantly increase the likelihood of stakeholder losses.</w:t>
      </w:r>
    </w:p>
    <w:p w14:paraId="0B07D628" w14:textId="2A1F8628" w:rsidR="006B6162" w:rsidRPr="007271B6" w:rsidRDefault="0002761D" w:rsidP="008D7E61">
      <w:pPr>
        <w:tabs>
          <w:tab w:val="left" w:pos="6310"/>
        </w:tabs>
        <w:spacing w:after="0" w:line="480" w:lineRule="auto"/>
        <w:ind w:firstLine="720"/>
        <w:jc w:val="both"/>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An original perspective is taken by </w:t>
      </w:r>
      <w:proofErr w:type="spellStart"/>
      <w:r w:rsidRPr="007271B6">
        <w:rPr>
          <w:rFonts w:ascii="Times New Roman" w:hAnsi="Times New Roman" w:cs="Times New Roman"/>
          <w:kern w:val="0"/>
          <w:sz w:val="24"/>
          <w:szCs w:val="24"/>
          <w14:ligatures w14:val="none"/>
        </w:rPr>
        <w:t>Akyildirim</w:t>
      </w:r>
      <w:proofErr w:type="spellEnd"/>
      <w:r w:rsidRPr="007271B6">
        <w:rPr>
          <w:rFonts w:ascii="Times New Roman" w:hAnsi="Times New Roman" w:cs="Times New Roman"/>
          <w:kern w:val="0"/>
          <w:sz w:val="24"/>
          <w:szCs w:val="24"/>
          <w14:ligatures w14:val="none"/>
        </w:rPr>
        <w:t xml:space="preserve"> et al. (2023), who use a dynamic connectivity approach to assess the interconnectedness of financial markets and the systemic risks posed by cryptocurrency exchange failures. This approach could be used to reinterpret previous studies on the impact of exchange failures on cryptocurrency markets and shed new light on the cascading effects and interdependencies within the ecosystem. Fu et al.'s (2022) view that the collapse of FTX resembles a Ponzi scheme offers a new perspective on the event. This innovative view may prompt researchers to re-evaluate their previous studies on the collapse of Bitcoin exchanges and look more closely at the indicators of dishonest or unethical behaviour. It also emphasises the importance of industry openness and good governance. Stakeholder theory was at the forefront of this research, even though corporate governance is often centred around the interests of shareholders alone.</w:t>
      </w:r>
    </w:p>
    <w:p w14:paraId="38650ABD" w14:textId="77777777" w:rsidR="00F808B3" w:rsidRPr="007271B6" w:rsidRDefault="00F808B3" w:rsidP="008B2FC1">
      <w:pPr>
        <w:pStyle w:val="Heading3"/>
      </w:pPr>
      <w:bookmarkStart w:id="18" w:name="_Toc146379757"/>
      <w:bookmarkStart w:id="19" w:name="_Toc165667411"/>
      <w:r w:rsidRPr="007271B6">
        <w:t>Addressing Gaps in Research</w:t>
      </w:r>
      <w:bookmarkEnd w:id="19"/>
    </w:p>
    <w:bookmarkEnd w:id="18"/>
    <w:p w14:paraId="1ECB5789" w14:textId="2D6BE0A3" w:rsidR="004F3A5E" w:rsidRPr="007271B6" w:rsidRDefault="004F3A5E" w:rsidP="004F3A5E">
      <w:pPr>
        <w:spacing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This view emphasises the need to re-evaluate previous research on </w:t>
      </w:r>
      <w:r w:rsidR="00322FC3">
        <w:rPr>
          <w:rFonts w:ascii="Times New Roman" w:hAnsi="Times New Roman" w:cs="Times New Roman"/>
          <w:kern w:val="0"/>
          <w:sz w:val="24"/>
          <w:szCs w:val="24"/>
          <w14:ligatures w14:val="none"/>
        </w:rPr>
        <w:t>c</w:t>
      </w:r>
      <w:r w:rsidRPr="007271B6">
        <w:rPr>
          <w:rFonts w:ascii="Times New Roman" w:hAnsi="Times New Roman" w:cs="Times New Roman"/>
          <w:kern w:val="0"/>
          <w:sz w:val="24"/>
          <w:szCs w:val="24"/>
          <w14:ligatures w14:val="none"/>
        </w:rPr>
        <w:t xml:space="preserve">orporate </w:t>
      </w:r>
      <w:r w:rsidR="00322FC3">
        <w:rPr>
          <w:rFonts w:ascii="Times New Roman" w:hAnsi="Times New Roman" w:cs="Times New Roman"/>
          <w:kern w:val="0"/>
          <w:sz w:val="24"/>
          <w:szCs w:val="24"/>
          <w14:ligatures w14:val="none"/>
        </w:rPr>
        <w:t>g</w:t>
      </w:r>
      <w:r w:rsidRPr="007271B6">
        <w:rPr>
          <w:rFonts w:ascii="Times New Roman" w:hAnsi="Times New Roman" w:cs="Times New Roman"/>
          <w:kern w:val="0"/>
          <w:sz w:val="24"/>
          <w:szCs w:val="24"/>
          <w14:ligatures w14:val="none"/>
        </w:rPr>
        <w:t>overnance in the digital asset industry. Accordingly, there is a need to investigate how consideration of a broader range of stakeholder interests can lead to more comprehensive governance models to achieve better outcomes.</w:t>
      </w:r>
      <w:bookmarkStart w:id="20" w:name="_Hlk165467747"/>
    </w:p>
    <w:bookmarkEnd w:id="20"/>
    <w:p w14:paraId="79E9EDB2" w14:textId="64C6039F" w:rsidR="004F3A5E" w:rsidRPr="007271B6" w:rsidRDefault="004F3A5E" w:rsidP="004F3A5E">
      <w:pPr>
        <w:spacing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The present analysis joins the literature by filling a crucial gap in corporate governance in the context of the digital asset industry. Although previous studies have examined various aspects of cryptocurrency markets and exchanges, more comprehensive </w:t>
      </w:r>
      <w:r w:rsidRPr="007271B6">
        <w:rPr>
          <w:rFonts w:ascii="Times New Roman" w:hAnsi="Times New Roman" w:cs="Times New Roman"/>
          <w:kern w:val="0"/>
          <w:sz w:val="24"/>
          <w:szCs w:val="24"/>
          <w14:ligatures w14:val="none"/>
        </w:rPr>
        <w:lastRenderedPageBreak/>
        <w:t xml:space="preserve">research is needed on the governance-related challenges that often contribute to the failure of cryptocurrency firms. Given the history of the digital asset space, it is highly likely that other large operators will run into similar situations and require policy tools to respond. Various issues related to the cryptocurrency industry, including market dynamics, technological </w:t>
      </w:r>
      <w:r w:rsidR="00322FC3" w:rsidRPr="007271B6">
        <w:rPr>
          <w:rFonts w:ascii="Times New Roman" w:hAnsi="Times New Roman" w:cs="Times New Roman"/>
          <w:kern w:val="0"/>
          <w:sz w:val="24"/>
          <w:szCs w:val="24"/>
          <w14:ligatures w14:val="none"/>
        </w:rPr>
        <w:t>advancement</w:t>
      </w:r>
      <w:r w:rsidR="00322FC3">
        <w:rPr>
          <w:rFonts w:ascii="Times New Roman" w:hAnsi="Times New Roman" w:cs="Times New Roman"/>
          <w:kern w:val="0"/>
          <w:sz w:val="24"/>
          <w:szCs w:val="24"/>
          <w14:ligatures w14:val="none"/>
        </w:rPr>
        <w:t xml:space="preserve"> </w:t>
      </w:r>
      <w:r w:rsidRPr="007271B6">
        <w:rPr>
          <w:rFonts w:ascii="Times New Roman" w:hAnsi="Times New Roman" w:cs="Times New Roman"/>
          <w:kern w:val="0"/>
          <w:sz w:val="24"/>
          <w:szCs w:val="24"/>
          <w14:ligatures w14:val="none"/>
        </w:rPr>
        <w:t xml:space="preserve">and regulatory complexity have been extensively explored in the literature. Nevertheless, there is a need for a more comprehensive examination of the exact governance failures that lead to corporate failures. Therefore, this study aims to fill this gap by comprehensively analysing the impact of governance practices, such as decision-making procedures, risk management, </w:t>
      </w:r>
      <w:proofErr w:type="gramStart"/>
      <w:r w:rsidRPr="007271B6">
        <w:rPr>
          <w:rFonts w:ascii="Times New Roman" w:hAnsi="Times New Roman" w:cs="Times New Roman"/>
          <w:kern w:val="0"/>
          <w:sz w:val="24"/>
          <w:szCs w:val="24"/>
          <w14:ligatures w14:val="none"/>
        </w:rPr>
        <w:t>transparency</w:t>
      </w:r>
      <w:proofErr w:type="gramEnd"/>
      <w:r w:rsidRPr="007271B6">
        <w:rPr>
          <w:rFonts w:ascii="Times New Roman" w:hAnsi="Times New Roman" w:cs="Times New Roman"/>
          <w:kern w:val="0"/>
          <w:sz w:val="24"/>
          <w:szCs w:val="24"/>
          <w14:ligatures w14:val="none"/>
        </w:rPr>
        <w:t xml:space="preserve"> and stakeholder involvement on the downfall of FTX and Alameda Research.</w:t>
      </w:r>
    </w:p>
    <w:p w14:paraId="1E50B815" w14:textId="77777777" w:rsidR="004F3A5E" w:rsidRPr="007271B6" w:rsidRDefault="004F3A5E" w:rsidP="004F3A5E">
      <w:pPr>
        <w:spacing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By examining this gap, this research also contributes to a deeper understanding of the digital asset sector. This assessment emphasises the significance of sound corporate governance in an industry characterised by rapid expansion and innovative advances. It also provides valuable practical perspectives and lessons that can be effectively implemented both in this industry and in the broader context of corporate governance. The main contribution of this study to the current literature is the examination of governance failures in the digital asset industry and their implications for understanding the role of effective governance in protecting organisations operating in a dynamic and volatile environment.</w:t>
      </w:r>
    </w:p>
    <w:p w14:paraId="140FF612" w14:textId="62D903DC" w:rsidR="00603030" w:rsidRDefault="004F3A5E" w:rsidP="00603030">
      <w:pPr>
        <w:spacing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 xml:space="preserve">The relevant literature examines the corporate governance practices and issues that caused the collapse of FTX and Alameda Research and provides helpful information outside the digital asset industry. The study emphasises ethical leadership, risk management and stakeholder engagement. It includes suggestions for regulators, </w:t>
      </w:r>
      <w:proofErr w:type="gramStart"/>
      <w:r w:rsidRPr="007271B6">
        <w:rPr>
          <w:rFonts w:ascii="Times New Roman" w:hAnsi="Times New Roman" w:cs="Times New Roman"/>
          <w:kern w:val="0"/>
          <w:sz w:val="24"/>
          <w:szCs w:val="24"/>
          <w14:ligatures w14:val="none"/>
        </w:rPr>
        <w:t>legislators</w:t>
      </w:r>
      <w:proofErr w:type="gramEnd"/>
      <w:r w:rsidRPr="007271B6">
        <w:rPr>
          <w:rFonts w:ascii="Times New Roman" w:hAnsi="Times New Roman" w:cs="Times New Roman"/>
          <w:kern w:val="0"/>
          <w:sz w:val="24"/>
          <w:szCs w:val="24"/>
          <w14:ligatures w14:val="none"/>
        </w:rPr>
        <w:t xml:space="preserve"> and stakeholders to improve the fundamentals of the evolving digital asset business. In addition to shedding light on many facets of corporate governance, systemic threats and financial misconduct in the industry, the sources provide in-depth analysis of the investigations into the demise of FTX </w:t>
      </w:r>
      <w:r w:rsidRPr="007271B6">
        <w:rPr>
          <w:rFonts w:ascii="Times New Roman" w:hAnsi="Times New Roman" w:cs="Times New Roman"/>
          <w:kern w:val="0"/>
          <w:sz w:val="24"/>
          <w:szCs w:val="24"/>
          <w14:ligatures w14:val="none"/>
        </w:rPr>
        <w:lastRenderedPageBreak/>
        <w:t xml:space="preserve">and Alameda Research. The dynamic connectivity methodology emphasises how interconnected the cryptocurrency markets are and how exchange failures can trigger a domino effect leading to widespread losses. Furthermore, the report emphasises the importance of regulation and efficient risk management. It uses a qualitative case study approach to examine governance issues, especially in large, complex organisations such as FTX and Alameda Research. The proposed research objectives and theoretical framework are aligned with the thematic analysis, which highlights the influence of governance patterns and policies on organisational failure. The investigation is led by Resource Dependency, </w:t>
      </w:r>
      <w:proofErr w:type="gramStart"/>
      <w:r w:rsidR="006A7490">
        <w:rPr>
          <w:rFonts w:ascii="Times New Roman" w:hAnsi="Times New Roman" w:cs="Times New Roman"/>
          <w:kern w:val="0"/>
          <w:sz w:val="24"/>
          <w:szCs w:val="24"/>
          <w14:ligatures w14:val="none"/>
        </w:rPr>
        <w:t>Agency</w:t>
      </w:r>
      <w:proofErr w:type="gramEnd"/>
      <w:r w:rsidR="006A7490">
        <w:rPr>
          <w:rFonts w:ascii="Times New Roman" w:hAnsi="Times New Roman" w:cs="Times New Roman"/>
          <w:kern w:val="0"/>
          <w:sz w:val="24"/>
          <w:szCs w:val="24"/>
          <w14:ligatures w14:val="none"/>
        </w:rPr>
        <w:t xml:space="preserve"> and </w:t>
      </w:r>
      <w:r w:rsidRPr="007271B6">
        <w:rPr>
          <w:rFonts w:ascii="Times New Roman" w:hAnsi="Times New Roman" w:cs="Times New Roman"/>
          <w:kern w:val="0"/>
          <w:sz w:val="24"/>
          <w:szCs w:val="24"/>
          <w14:ligatures w14:val="none"/>
        </w:rPr>
        <w:t>Stakeholder</w:t>
      </w:r>
      <w:r w:rsidR="006A7490">
        <w:rPr>
          <w:rFonts w:ascii="Times New Roman" w:hAnsi="Times New Roman" w:cs="Times New Roman"/>
          <w:kern w:val="0"/>
          <w:sz w:val="24"/>
          <w:szCs w:val="24"/>
          <w14:ligatures w14:val="none"/>
        </w:rPr>
        <w:t xml:space="preserve"> theories</w:t>
      </w:r>
      <w:r w:rsidRPr="007271B6">
        <w:rPr>
          <w:rFonts w:ascii="Times New Roman" w:hAnsi="Times New Roman" w:cs="Times New Roman"/>
          <w:kern w:val="0"/>
          <w:sz w:val="24"/>
          <w:szCs w:val="24"/>
          <w14:ligatures w14:val="none"/>
        </w:rPr>
        <w:t xml:space="preserve">. Significant weaknesses in decision-making, risk management transparency, and board governance are shown by an examination of the corporate governance practices at FTX and Alameda Research. These deficiencies all contributed to the ultimate bankruptcy of the companies. The shortcomings highlight the importance of sound corporate governance, particularly in the volatile digital asset sector. However, further studies need to examine the impact of regulations on investments and exchange participants, create governance frameworks tailored to industries, and conduct comparative assessments of failed exchanges. Accordingly, the methodology section attempts to provide a detailed description of the methods, techniques, </w:t>
      </w:r>
      <w:proofErr w:type="gramStart"/>
      <w:r w:rsidRPr="007271B6">
        <w:rPr>
          <w:rFonts w:ascii="Times New Roman" w:hAnsi="Times New Roman" w:cs="Times New Roman"/>
          <w:kern w:val="0"/>
          <w:sz w:val="24"/>
          <w:szCs w:val="24"/>
          <w14:ligatures w14:val="none"/>
        </w:rPr>
        <w:t>procedures</w:t>
      </w:r>
      <w:proofErr w:type="gramEnd"/>
      <w:r w:rsidRPr="007271B6">
        <w:rPr>
          <w:rFonts w:ascii="Times New Roman" w:hAnsi="Times New Roman" w:cs="Times New Roman"/>
          <w:kern w:val="0"/>
          <w:sz w:val="24"/>
          <w:szCs w:val="24"/>
          <w14:ligatures w14:val="none"/>
        </w:rPr>
        <w:t xml:space="preserve"> and approaches employed in the study.</w:t>
      </w:r>
    </w:p>
    <w:p w14:paraId="68CFE184" w14:textId="77777777" w:rsidR="00C87C4D" w:rsidRDefault="00C87C4D" w:rsidP="00603030">
      <w:pPr>
        <w:spacing w:line="480" w:lineRule="auto"/>
        <w:ind w:firstLine="720"/>
        <w:rPr>
          <w:rFonts w:ascii="Times New Roman" w:hAnsi="Times New Roman" w:cs="Times New Roman"/>
          <w:kern w:val="0"/>
          <w:sz w:val="24"/>
          <w:szCs w:val="24"/>
          <w14:ligatures w14:val="none"/>
        </w:rPr>
      </w:pPr>
    </w:p>
    <w:p w14:paraId="75FD6CD7" w14:textId="77777777" w:rsidR="00C87C4D" w:rsidRDefault="00C87C4D" w:rsidP="00603030">
      <w:pPr>
        <w:spacing w:line="480" w:lineRule="auto"/>
        <w:ind w:firstLine="720"/>
        <w:rPr>
          <w:rFonts w:ascii="Times New Roman" w:hAnsi="Times New Roman" w:cs="Times New Roman"/>
          <w:kern w:val="0"/>
          <w:sz w:val="24"/>
          <w:szCs w:val="24"/>
          <w14:ligatures w14:val="none"/>
        </w:rPr>
      </w:pPr>
    </w:p>
    <w:p w14:paraId="4EF20B32" w14:textId="77777777" w:rsidR="00C87C4D" w:rsidRDefault="00C87C4D" w:rsidP="00603030">
      <w:pPr>
        <w:spacing w:line="480" w:lineRule="auto"/>
        <w:ind w:firstLine="720"/>
        <w:rPr>
          <w:rFonts w:ascii="Times New Roman" w:hAnsi="Times New Roman" w:cs="Times New Roman"/>
          <w:kern w:val="0"/>
          <w:sz w:val="24"/>
          <w:szCs w:val="24"/>
          <w14:ligatures w14:val="none"/>
        </w:rPr>
      </w:pPr>
    </w:p>
    <w:p w14:paraId="0425D9B0" w14:textId="77777777" w:rsidR="00C87C4D" w:rsidRDefault="00C87C4D" w:rsidP="00603030">
      <w:pPr>
        <w:spacing w:line="480" w:lineRule="auto"/>
        <w:ind w:firstLine="720"/>
        <w:rPr>
          <w:rFonts w:ascii="Times New Roman" w:hAnsi="Times New Roman" w:cs="Times New Roman"/>
          <w:kern w:val="0"/>
          <w:sz w:val="24"/>
          <w:szCs w:val="24"/>
          <w14:ligatures w14:val="none"/>
        </w:rPr>
      </w:pPr>
    </w:p>
    <w:p w14:paraId="58B67EE2" w14:textId="77777777" w:rsidR="00C87C4D" w:rsidRDefault="00C87C4D" w:rsidP="00603030">
      <w:pPr>
        <w:spacing w:line="480" w:lineRule="auto"/>
        <w:ind w:firstLine="720"/>
        <w:rPr>
          <w:rFonts w:ascii="Times New Roman" w:hAnsi="Times New Roman" w:cs="Times New Roman"/>
          <w:kern w:val="0"/>
          <w:sz w:val="24"/>
          <w:szCs w:val="24"/>
          <w14:ligatures w14:val="none"/>
        </w:rPr>
      </w:pPr>
    </w:p>
    <w:p w14:paraId="1E37D1BA" w14:textId="77777777" w:rsidR="00C87C4D" w:rsidRPr="007271B6" w:rsidRDefault="00C87C4D" w:rsidP="008D7E61">
      <w:pPr>
        <w:spacing w:line="480" w:lineRule="auto"/>
        <w:rPr>
          <w:rFonts w:ascii="Times New Roman" w:hAnsi="Times New Roman" w:cs="Times New Roman"/>
          <w:kern w:val="0"/>
          <w:sz w:val="24"/>
          <w:szCs w:val="24"/>
          <w14:ligatures w14:val="none"/>
        </w:rPr>
      </w:pPr>
    </w:p>
    <w:p w14:paraId="17BFE715" w14:textId="7736573A" w:rsidR="00F808B3" w:rsidRPr="007271B6" w:rsidRDefault="00F808B3" w:rsidP="002770D2">
      <w:pPr>
        <w:pStyle w:val="Heading1"/>
        <w:rPr>
          <w:lang w:val="en-GB"/>
        </w:rPr>
      </w:pPr>
      <w:bookmarkStart w:id="21" w:name="_Toc165667412"/>
      <w:r w:rsidRPr="007271B6">
        <w:rPr>
          <w:lang w:val="en-GB"/>
        </w:rPr>
        <w:lastRenderedPageBreak/>
        <w:t>Research Methodology</w:t>
      </w:r>
      <w:bookmarkEnd w:id="21"/>
    </w:p>
    <w:p w14:paraId="75522D1B" w14:textId="7E2124F9" w:rsidR="00F808B3" w:rsidRPr="00B74058" w:rsidRDefault="004F3A5E" w:rsidP="008B78CD">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The case study design is applicable as numerous corporate governance issues and subsequent policies have been implemented as a direct result of applying case study analysis to review governance decisions in companies. Applying this methodology to the case of FTX and Alameda Research can make a positive contribution to the field of corporate governance. The importance of sound corporate governance is crucial in the rapidly changing environment of the digital asset industry, as it helps to ensure the proper management of client funds, build trust with </w:t>
      </w:r>
      <w:proofErr w:type="gramStart"/>
      <w:r w:rsidRPr="007271B6">
        <w:rPr>
          <w:rFonts w:ascii="Times New Roman" w:eastAsia="Calibri" w:hAnsi="Times New Roman" w:cs="Times New Roman"/>
          <w:color w:val="222222"/>
          <w:kern w:val="0"/>
          <w:sz w:val="24"/>
          <w:szCs w:val="24"/>
          <w14:ligatures w14:val="none"/>
        </w:rPr>
        <w:t>counterparties</w:t>
      </w:r>
      <w:proofErr w:type="gramEnd"/>
      <w:r w:rsidRPr="007271B6">
        <w:rPr>
          <w:rFonts w:ascii="Times New Roman" w:eastAsia="Calibri" w:hAnsi="Times New Roman" w:cs="Times New Roman"/>
          <w:color w:val="222222"/>
          <w:kern w:val="0"/>
          <w:sz w:val="24"/>
          <w:szCs w:val="24"/>
          <w14:ligatures w14:val="none"/>
        </w:rPr>
        <w:t xml:space="preserve"> and promote a long-term perspective for digital asset enterprises (Saltz and Dewar, 2019). Therefore, this paper adopts a qualitative case study approach to examine FTX and Alameda Research, focusing on a comprehensive discussion of the issues that affected corporate governance within the two companies.</w:t>
      </w:r>
      <w:r w:rsidR="008B78CD" w:rsidRPr="007271B6">
        <w:rPr>
          <w:rFonts w:ascii="Times New Roman" w:eastAsia="Calibri" w:hAnsi="Times New Roman" w:cs="Times New Roman"/>
          <w:color w:val="222222"/>
          <w:kern w:val="0"/>
          <w:sz w:val="24"/>
          <w:szCs w:val="24"/>
          <w14:ligatures w14:val="none"/>
        </w:rPr>
        <w:t xml:space="preserve"> </w:t>
      </w:r>
      <w:r w:rsidR="00F808B3" w:rsidRPr="007271B6">
        <w:rPr>
          <w:rFonts w:ascii="Times New Roman" w:eastAsia="Calibri" w:hAnsi="Times New Roman" w:cs="Times New Roman"/>
          <w:color w:val="222222"/>
          <w:kern w:val="0"/>
          <w:sz w:val="24"/>
          <w:szCs w:val="24"/>
          <w14:ligatures w14:val="none"/>
        </w:rPr>
        <w:t xml:space="preserve">The systematic review will </w:t>
      </w:r>
      <w:r w:rsidR="00F808B3" w:rsidRPr="00B74058">
        <w:rPr>
          <w:rFonts w:ascii="Times New Roman" w:eastAsia="Calibri" w:hAnsi="Times New Roman" w:cs="Times New Roman"/>
          <w:color w:val="222222"/>
          <w:kern w:val="0"/>
          <w:sz w:val="24"/>
          <w:szCs w:val="24"/>
          <w14:ligatures w14:val="none"/>
        </w:rPr>
        <w:t>apply the use of interpretivism paradigm to facilitate the use of qualitative analysis method.</w:t>
      </w:r>
    </w:p>
    <w:p w14:paraId="6C9952E0" w14:textId="77777777" w:rsidR="00F808B3" w:rsidRPr="007271B6" w:rsidRDefault="00F808B3" w:rsidP="008B2FC1">
      <w:pPr>
        <w:pStyle w:val="Heading2"/>
      </w:pPr>
      <w:bookmarkStart w:id="22" w:name="_Toc165667413"/>
      <w:r w:rsidRPr="00B74058">
        <w:t>Research Challenges</w:t>
      </w:r>
      <w:bookmarkEnd w:id="22"/>
    </w:p>
    <w:p w14:paraId="35D97377" w14:textId="7DB771E9" w:rsidR="00802E71" w:rsidRPr="007271B6" w:rsidRDefault="00802E71" w:rsidP="00802E71">
      <w:pPr>
        <w:spacing w:after="0" w:line="480" w:lineRule="auto"/>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Although a qualitative case study approach is very useful in analysing and interpreting issues such as corporate governance failures, it has several drawbacks, particularly in terms of data collection. Other significant issues concerning this type of research include access difficulties and security concerns. This is compounded given the lack of regulation, the international scope and secretive nature that these two companies operated within. Accessing important stakeholders in FTX and Alameda Research was one of the biggest difficulties (Hacker 2017). Digital </w:t>
      </w:r>
      <w:r w:rsidR="00B74058">
        <w:rPr>
          <w:rFonts w:ascii="Times New Roman" w:eastAsia="Calibri" w:hAnsi="Times New Roman" w:cs="Times New Roman"/>
          <w:color w:val="222222"/>
          <w:kern w:val="0"/>
          <w:sz w:val="24"/>
          <w:szCs w:val="24"/>
          <w14:ligatures w14:val="none"/>
        </w:rPr>
        <w:t>a</w:t>
      </w:r>
      <w:r w:rsidRPr="007271B6">
        <w:rPr>
          <w:rFonts w:ascii="Times New Roman" w:eastAsia="Calibri" w:hAnsi="Times New Roman" w:cs="Times New Roman"/>
          <w:color w:val="222222"/>
          <w:kern w:val="0"/>
          <w:sz w:val="24"/>
          <w:szCs w:val="24"/>
          <w14:ligatures w14:val="none"/>
        </w:rPr>
        <w:t>sset firms tend to be in a highly competitive, opaque environment, making it difficult to engage with company leaders and employees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Unfortunately, this barrier limited the collection of information directly from those closely associated with corporate governance. Confidentiality concerns made access restrictions even worse. Corporate governance can be awkward, and people operating in these organisations may prefer withholding information due to fear of reprisals or sanctions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w:t>
      </w:r>
      <w:r w:rsidRPr="007271B6">
        <w:rPr>
          <w:rFonts w:ascii="Times New Roman" w:eastAsia="Calibri" w:hAnsi="Times New Roman" w:cs="Times New Roman"/>
          <w:color w:val="222222"/>
          <w:kern w:val="0"/>
          <w:sz w:val="24"/>
          <w:szCs w:val="24"/>
          <w14:ligatures w14:val="none"/>
        </w:rPr>
        <w:lastRenderedPageBreak/>
        <w:t>2023). The confidentiality and anonymity of the interviewees was very important in this step, which further complicated the collection of material.</w:t>
      </w:r>
    </w:p>
    <w:p w14:paraId="722F771E" w14:textId="6498CD80" w:rsidR="00802E71" w:rsidRPr="007271B6" w:rsidRDefault="00802E71" w:rsidP="00802E71">
      <w:pPr>
        <w:spacing w:after="0" w:line="480" w:lineRule="auto"/>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More comprehensive and up-to-date data on corporate governance practices should be available. Obtaining the information required to answer some of the questions took time, as digital asset management companies volunteer little information to the public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Therefore, the systematic review relied on various sources, including public records, official reports and data disclosed by the companies themselves. These are transnational entities within and outside national borders with different regulatory systems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There are differences in the way data </w:t>
      </w:r>
      <w:r w:rsidR="006B6162">
        <w:rPr>
          <w:rFonts w:ascii="Times New Roman" w:eastAsia="Calibri" w:hAnsi="Times New Roman" w:cs="Times New Roman"/>
          <w:color w:val="222222"/>
          <w:kern w:val="0"/>
          <w:sz w:val="24"/>
          <w:szCs w:val="24"/>
          <w14:ligatures w14:val="none"/>
        </w:rPr>
        <w:t>is</w:t>
      </w:r>
      <w:r w:rsidRPr="007271B6">
        <w:rPr>
          <w:rFonts w:ascii="Times New Roman" w:eastAsia="Calibri" w:hAnsi="Times New Roman" w:cs="Times New Roman"/>
          <w:color w:val="222222"/>
          <w:kern w:val="0"/>
          <w:sz w:val="24"/>
          <w:szCs w:val="24"/>
          <w14:ligatures w14:val="none"/>
        </w:rPr>
        <w:t xml:space="preserve"> reported and interpreted, leading to inconsistencies, especially when the</w:t>
      </w:r>
      <w:r w:rsidR="006B6162">
        <w:rPr>
          <w:rFonts w:ascii="Times New Roman" w:eastAsia="Calibri" w:hAnsi="Times New Roman" w:cs="Times New Roman"/>
          <w:color w:val="222222"/>
          <w:kern w:val="0"/>
          <w:sz w:val="24"/>
          <w:szCs w:val="24"/>
          <w14:ligatures w14:val="none"/>
        </w:rPr>
        <w:t xml:space="preserve"> data</w:t>
      </w:r>
      <w:r w:rsidRPr="007271B6">
        <w:rPr>
          <w:rFonts w:ascii="Times New Roman" w:eastAsia="Calibri" w:hAnsi="Times New Roman" w:cs="Times New Roman"/>
          <w:color w:val="222222"/>
          <w:kern w:val="0"/>
          <w:sz w:val="24"/>
          <w:szCs w:val="24"/>
          <w14:ligatures w14:val="none"/>
        </w:rPr>
        <w:t xml:space="preserve"> come</w:t>
      </w:r>
      <w:r w:rsidR="006B6162">
        <w:rPr>
          <w:rFonts w:ascii="Times New Roman" w:eastAsia="Calibri" w:hAnsi="Times New Roman" w:cs="Times New Roman"/>
          <w:color w:val="222222"/>
          <w:kern w:val="0"/>
          <w:sz w:val="24"/>
          <w:szCs w:val="24"/>
          <w14:ligatures w14:val="none"/>
        </w:rPr>
        <w:t>s</w:t>
      </w:r>
      <w:r w:rsidRPr="007271B6">
        <w:rPr>
          <w:rFonts w:ascii="Times New Roman" w:eastAsia="Calibri" w:hAnsi="Times New Roman" w:cs="Times New Roman"/>
          <w:color w:val="222222"/>
          <w:kern w:val="0"/>
          <w:sz w:val="24"/>
          <w:szCs w:val="24"/>
          <w14:ligatures w14:val="none"/>
        </w:rPr>
        <w:t xml:space="preserve"> from different sources and use</w:t>
      </w:r>
      <w:r w:rsidR="006B6162">
        <w:rPr>
          <w:rFonts w:ascii="Times New Roman" w:eastAsia="Calibri" w:hAnsi="Times New Roman" w:cs="Times New Roman"/>
          <w:color w:val="222222"/>
          <w:kern w:val="0"/>
          <w:sz w:val="24"/>
          <w:szCs w:val="24"/>
          <w14:ligatures w14:val="none"/>
        </w:rPr>
        <w:t>s</w:t>
      </w:r>
      <w:r w:rsidRPr="007271B6">
        <w:rPr>
          <w:rFonts w:ascii="Times New Roman" w:eastAsia="Calibri" w:hAnsi="Times New Roman" w:cs="Times New Roman"/>
          <w:color w:val="222222"/>
          <w:kern w:val="0"/>
          <w:sz w:val="24"/>
          <w:szCs w:val="24"/>
          <w14:ligatures w14:val="none"/>
        </w:rPr>
        <w:t xml:space="preserve"> different standards. It has been very difficult to ensure the reliability of data in such an environment.</w:t>
      </w:r>
    </w:p>
    <w:p w14:paraId="21F9A067" w14:textId="753F29C7" w:rsidR="00802E71" w:rsidRPr="007271B6" w:rsidRDefault="00802E71" w:rsidP="00802E71">
      <w:pPr>
        <w:spacing w:after="0" w:line="480" w:lineRule="auto"/>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The digital asset industry operates under an unpredictable regulatory regime that differs from country to country. The complexity led to problems in collecting data on compliance, financial </w:t>
      </w:r>
      <w:proofErr w:type="gramStart"/>
      <w:r w:rsidRPr="007271B6">
        <w:rPr>
          <w:rFonts w:ascii="Times New Roman" w:eastAsia="Calibri" w:hAnsi="Times New Roman" w:cs="Times New Roman"/>
          <w:color w:val="222222"/>
          <w:kern w:val="0"/>
          <w:sz w:val="24"/>
          <w:szCs w:val="24"/>
          <w14:ligatures w14:val="none"/>
        </w:rPr>
        <w:t>reporting</w:t>
      </w:r>
      <w:proofErr w:type="gramEnd"/>
      <w:r w:rsidRPr="007271B6">
        <w:rPr>
          <w:rFonts w:ascii="Times New Roman" w:eastAsia="Calibri" w:hAnsi="Times New Roman" w:cs="Times New Roman"/>
          <w:color w:val="222222"/>
          <w:kern w:val="0"/>
          <w:sz w:val="24"/>
          <w:szCs w:val="24"/>
          <w14:ligatures w14:val="none"/>
        </w:rPr>
        <w:t xml:space="preserve"> and governance (Saltz and Dewar, 2019). There were regulatory barriers and legal restrictions</w:t>
      </w:r>
      <w:r w:rsidR="006B6162">
        <w:rPr>
          <w:rFonts w:ascii="Times New Roman" w:eastAsia="Calibri" w:hAnsi="Times New Roman" w:cs="Times New Roman"/>
          <w:color w:val="222222"/>
          <w:kern w:val="0"/>
          <w:sz w:val="24"/>
          <w:szCs w:val="24"/>
          <w14:ligatures w14:val="none"/>
        </w:rPr>
        <w:t xml:space="preserve"> based on a</w:t>
      </w:r>
      <w:r w:rsidRPr="007271B6">
        <w:rPr>
          <w:rFonts w:ascii="Times New Roman" w:eastAsia="Calibri" w:hAnsi="Times New Roman" w:cs="Times New Roman"/>
          <w:color w:val="222222"/>
          <w:kern w:val="0"/>
          <w:sz w:val="24"/>
          <w:szCs w:val="24"/>
          <w14:ligatures w14:val="none"/>
        </w:rPr>
        <w:t xml:space="preserve"> complex web of data protection laws and other regulatory requirements </w:t>
      </w:r>
      <w:r w:rsidR="006B6162">
        <w:rPr>
          <w:rFonts w:ascii="Times New Roman" w:eastAsia="Calibri" w:hAnsi="Times New Roman" w:cs="Times New Roman"/>
          <w:color w:val="222222"/>
          <w:kern w:val="0"/>
          <w:sz w:val="24"/>
          <w:szCs w:val="24"/>
          <w14:ligatures w14:val="none"/>
        </w:rPr>
        <w:t>across</w:t>
      </w:r>
      <w:r w:rsidRPr="007271B6">
        <w:rPr>
          <w:rFonts w:ascii="Times New Roman" w:eastAsia="Calibri" w:hAnsi="Times New Roman" w:cs="Times New Roman"/>
          <w:color w:val="222222"/>
          <w:kern w:val="0"/>
          <w:sz w:val="24"/>
          <w:szCs w:val="24"/>
          <w14:ligatures w14:val="none"/>
        </w:rPr>
        <w:t xml:space="preserve"> different jurisdictions. Compliance with these regulations took</w:t>
      </w:r>
      <w:r w:rsidR="00B74058">
        <w:rPr>
          <w:rFonts w:ascii="Times New Roman" w:eastAsia="Calibri" w:hAnsi="Times New Roman" w:cs="Times New Roman"/>
          <w:color w:val="222222"/>
          <w:kern w:val="0"/>
          <w:sz w:val="24"/>
          <w:szCs w:val="24"/>
          <w14:ligatures w14:val="none"/>
        </w:rPr>
        <w:t xml:space="preserve"> </w:t>
      </w:r>
      <w:r w:rsidRPr="007271B6">
        <w:rPr>
          <w:rFonts w:ascii="Times New Roman" w:eastAsia="Calibri" w:hAnsi="Times New Roman" w:cs="Times New Roman"/>
          <w:color w:val="222222"/>
          <w:kern w:val="0"/>
          <w:sz w:val="24"/>
          <w:szCs w:val="24"/>
          <w14:ligatures w14:val="none"/>
        </w:rPr>
        <w:t>considerable time</w:t>
      </w:r>
      <w:r w:rsidR="00B74058">
        <w:rPr>
          <w:rFonts w:ascii="Times New Roman" w:eastAsia="Calibri" w:hAnsi="Times New Roman" w:cs="Times New Roman"/>
          <w:color w:val="222222"/>
          <w:kern w:val="0"/>
          <w:sz w:val="24"/>
          <w:szCs w:val="24"/>
          <w14:ligatures w14:val="none"/>
        </w:rPr>
        <w:t xml:space="preserve"> to</w:t>
      </w:r>
      <w:r w:rsidRPr="007271B6">
        <w:rPr>
          <w:rFonts w:ascii="Times New Roman" w:eastAsia="Calibri" w:hAnsi="Times New Roman" w:cs="Times New Roman"/>
          <w:color w:val="222222"/>
          <w:kern w:val="0"/>
          <w:sz w:val="24"/>
          <w:szCs w:val="24"/>
          <w14:ligatures w14:val="none"/>
        </w:rPr>
        <w:t xml:space="preserve"> secure the relevant data information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In addition, the researcher had to deal with the legal restrictions that digital asset organisations were likely to impose on data sharing due to contractual agreements and non-disclosure agreements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However, these restrictions limited the scope of data that could be comprehensively analysed. It was very important to obtain information </w:t>
      </w:r>
      <w:r w:rsidR="00B74058">
        <w:rPr>
          <w:rFonts w:ascii="Times New Roman" w:eastAsia="Calibri" w:hAnsi="Times New Roman" w:cs="Times New Roman"/>
          <w:color w:val="222222"/>
          <w:kern w:val="0"/>
          <w:sz w:val="24"/>
          <w:szCs w:val="24"/>
          <w14:ligatures w14:val="none"/>
        </w:rPr>
        <w:t xml:space="preserve">ethically </w:t>
      </w:r>
      <w:r w:rsidRPr="007271B6">
        <w:rPr>
          <w:rFonts w:ascii="Times New Roman" w:eastAsia="Calibri" w:hAnsi="Times New Roman" w:cs="Times New Roman"/>
          <w:color w:val="222222"/>
          <w:kern w:val="0"/>
          <w:sz w:val="24"/>
          <w:szCs w:val="24"/>
          <w14:ligatures w14:val="none"/>
        </w:rPr>
        <w:t xml:space="preserve">when investigating governance failures in </w:t>
      </w:r>
      <w:r w:rsidR="00B74058">
        <w:rPr>
          <w:rFonts w:ascii="Times New Roman" w:eastAsia="Calibri" w:hAnsi="Times New Roman" w:cs="Times New Roman"/>
          <w:color w:val="222222"/>
          <w:kern w:val="0"/>
          <w:sz w:val="24"/>
          <w:szCs w:val="24"/>
          <w14:ligatures w14:val="none"/>
        </w:rPr>
        <w:t xml:space="preserve">digital asset </w:t>
      </w:r>
      <w:r w:rsidRPr="007271B6">
        <w:rPr>
          <w:rFonts w:ascii="Times New Roman" w:eastAsia="Calibri" w:hAnsi="Times New Roman" w:cs="Times New Roman"/>
          <w:color w:val="222222"/>
          <w:kern w:val="0"/>
          <w:sz w:val="24"/>
          <w:szCs w:val="24"/>
          <w14:ligatures w14:val="none"/>
        </w:rPr>
        <w:t>companies. Ethical issues arose, particularly in relation to openness and maintaining the trust of stakeholders on the one hand and companies on the other. This balance has helped to maintain the integrity of the research.</w:t>
      </w:r>
    </w:p>
    <w:p w14:paraId="11D89500" w14:textId="008B557B" w:rsidR="00F808B3" w:rsidRPr="007271B6" w:rsidRDefault="00802E71" w:rsidP="00802E71">
      <w:pPr>
        <w:spacing w:after="0" w:line="480" w:lineRule="auto"/>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lastRenderedPageBreak/>
        <w:t xml:space="preserve">Qualitative case studies can be extremely important in understanding the causes of corporate governance failures in companies, including FTX and Alameda Research. However, collecting relevant information on different variables requires work (Hacker 2017). Hurdles facing researchers in this area include access restrictions, data fragmentation, regulatory </w:t>
      </w:r>
      <w:proofErr w:type="gramStart"/>
      <w:r w:rsidRPr="007271B6">
        <w:rPr>
          <w:rFonts w:ascii="Times New Roman" w:eastAsia="Calibri" w:hAnsi="Times New Roman" w:cs="Times New Roman"/>
          <w:color w:val="222222"/>
          <w:kern w:val="0"/>
          <w:sz w:val="24"/>
          <w:szCs w:val="24"/>
          <w14:ligatures w14:val="none"/>
        </w:rPr>
        <w:t>complexity</w:t>
      </w:r>
      <w:proofErr w:type="gramEnd"/>
      <w:r w:rsidRPr="007271B6">
        <w:rPr>
          <w:rFonts w:ascii="Times New Roman" w:eastAsia="Calibri" w:hAnsi="Times New Roman" w:cs="Times New Roman"/>
          <w:color w:val="222222"/>
          <w:kern w:val="0"/>
          <w:sz w:val="24"/>
          <w:szCs w:val="24"/>
          <w14:ligatures w14:val="none"/>
        </w:rPr>
        <w:t xml:space="preserve"> and ethical conflicts. To overcome these hurdles, one must be persistent, </w:t>
      </w:r>
      <w:proofErr w:type="gramStart"/>
      <w:r w:rsidRPr="007271B6">
        <w:rPr>
          <w:rFonts w:ascii="Times New Roman" w:eastAsia="Calibri" w:hAnsi="Times New Roman" w:cs="Times New Roman"/>
          <w:color w:val="222222"/>
          <w:kern w:val="0"/>
          <w:sz w:val="24"/>
          <w:szCs w:val="24"/>
          <w14:ligatures w14:val="none"/>
        </w:rPr>
        <w:t>creative</w:t>
      </w:r>
      <w:proofErr w:type="gramEnd"/>
      <w:r w:rsidRPr="007271B6">
        <w:rPr>
          <w:rFonts w:ascii="Times New Roman" w:eastAsia="Calibri" w:hAnsi="Times New Roman" w:cs="Times New Roman"/>
          <w:color w:val="222222"/>
          <w:kern w:val="0"/>
          <w:sz w:val="24"/>
          <w:szCs w:val="24"/>
          <w14:ligatures w14:val="none"/>
        </w:rPr>
        <w:t xml:space="preserve"> and ethically committed when conducting research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Any research needs to understand the complexities of data collection in this unstable and secretive industry. This can lead to a more comprehensive knowledge of governance failures that will promote better governance practices and accountability for the digital asset industry.</w:t>
      </w:r>
    </w:p>
    <w:p w14:paraId="3CD8E170" w14:textId="77777777" w:rsidR="00F808B3" w:rsidRPr="007271B6" w:rsidRDefault="00F808B3" w:rsidP="008B2FC1">
      <w:pPr>
        <w:pStyle w:val="Heading2"/>
      </w:pPr>
      <w:bookmarkStart w:id="23" w:name="_Toc165667414"/>
      <w:r w:rsidRPr="007271B6">
        <w:t>Data Collection Analysis</w:t>
      </w:r>
      <w:bookmarkEnd w:id="23"/>
    </w:p>
    <w:p w14:paraId="674D679E" w14:textId="77777777" w:rsidR="00F808B3" w:rsidRPr="007271B6" w:rsidRDefault="00F808B3" w:rsidP="008B2FC1">
      <w:pPr>
        <w:pStyle w:val="Heading3"/>
      </w:pPr>
      <w:bookmarkStart w:id="24" w:name="_Toc165667415"/>
      <w:r w:rsidRPr="007271B6">
        <w:t>Qualitative Case Study Approach</w:t>
      </w:r>
      <w:bookmarkEnd w:id="24"/>
    </w:p>
    <w:p w14:paraId="7F88E50F" w14:textId="466C84EA" w:rsidR="00F808B3" w:rsidRPr="007271B6" w:rsidRDefault="0023752E" w:rsidP="00802E71">
      <w:pPr>
        <w:spacing w:after="0" w:line="480" w:lineRule="auto"/>
        <w:ind w:firstLine="720"/>
        <w:rPr>
          <w:rFonts w:ascii="Times New Roman" w:eastAsia="Calibri" w:hAnsi="Times New Roman" w:cs="Times New Roman"/>
          <w:color w:val="222222"/>
          <w:kern w:val="0"/>
          <w:sz w:val="24"/>
          <w:szCs w:val="24"/>
          <w14:ligatures w14:val="none"/>
        </w:rPr>
      </w:pPr>
      <w:r>
        <w:rPr>
          <w:rFonts w:ascii="Times New Roman" w:eastAsia="Calibri" w:hAnsi="Times New Roman" w:cs="Times New Roman"/>
          <w:color w:val="222222"/>
          <w:kern w:val="0"/>
          <w:sz w:val="24"/>
          <w:szCs w:val="24"/>
          <w14:ligatures w14:val="none"/>
        </w:rPr>
        <w:t>Based on the above</w:t>
      </w:r>
      <w:r w:rsidR="00802E71" w:rsidRPr="007271B6">
        <w:rPr>
          <w:rFonts w:ascii="Times New Roman" w:eastAsia="Calibri" w:hAnsi="Times New Roman" w:cs="Times New Roman"/>
          <w:color w:val="222222"/>
          <w:kern w:val="0"/>
          <w:sz w:val="24"/>
          <w:szCs w:val="24"/>
          <w14:ligatures w14:val="none"/>
        </w:rPr>
        <w:t>, a qualitative case study approach would be best for exploring corporate governance within FTX and Alameda Research (</w:t>
      </w:r>
      <w:proofErr w:type="spellStart"/>
      <w:r w:rsidR="00802E71" w:rsidRPr="007271B6">
        <w:rPr>
          <w:rFonts w:ascii="Times New Roman" w:eastAsia="Calibri" w:hAnsi="Times New Roman" w:cs="Times New Roman"/>
          <w:color w:val="222222"/>
          <w:kern w:val="0"/>
          <w:sz w:val="24"/>
          <w:szCs w:val="24"/>
          <w14:ligatures w14:val="none"/>
        </w:rPr>
        <w:t>Akyildirim</w:t>
      </w:r>
      <w:proofErr w:type="spellEnd"/>
      <w:r w:rsidR="00802E71" w:rsidRPr="007271B6">
        <w:rPr>
          <w:rFonts w:ascii="Times New Roman" w:eastAsia="Calibri" w:hAnsi="Times New Roman" w:cs="Times New Roman"/>
          <w:color w:val="222222"/>
          <w:kern w:val="0"/>
          <w:sz w:val="24"/>
          <w:szCs w:val="24"/>
          <w14:ligatures w14:val="none"/>
        </w:rPr>
        <w:t xml:space="preserve"> et al., 2023). Here, they give flexibility for in-depth scrutiny of their governance structures, which often have specific adaptations suited to the digital asset industry. Case studies help explore the intricacies and in-depth understanding of situations and provide a comprehensive view of a particular situation.</w:t>
      </w:r>
    </w:p>
    <w:p w14:paraId="41C86723" w14:textId="77777777" w:rsidR="00F808B3" w:rsidRPr="007271B6" w:rsidRDefault="00F808B3" w:rsidP="008B2FC1">
      <w:pPr>
        <w:pStyle w:val="Heading3"/>
      </w:pPr>
      <w:bookmarkStart w:id="25" w:name="_Toc165667416"/>
      <w:r w:rsidRPr="007271B6">
        <w:t>Exploring Governance in FTX</w:t>
      </w:r>
      <w:bookmarkEnd w:id="25"/>
    </w:p>
    <w:p w14:paraId="120AC2E2" w14:textId="62F98F9D" w:rsidR="00F808B3" w:rsidRPr="007271B6" w:rsidRDefault="00802E71" w:rsidP="00662610">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FTX is a digital asset exchange founded by S</w:t>
      </w:r>
      <w:r w:rsidR="003F546F" w:rsidRPr="007271B6">
        <w:rPr>
          <w:rFonts w:ascii="Times New Roman" w:eastAsia="Calibri" w:hAnsi="Times New Roman" w:cs="Times New Roman"/>
          <w:color w:val="222222"/>
          <w:kern w:val="0"/>
          <w:sz w:val="24"/>
          <w:szCs w:val="24"/>
          <w14:ligatures w14:val="none"/>
        </w:rPr>
        <w:t>BF</w:t>
      </w:r>
      <w:r w:rsidRPr="007271B6">
        <w:rPr>
          <w:rFonts w:ascii="Times New Roman" w:eastAsia="Calibri" w:hAnsi="Times New Roman" w:cs="Times New Roman"/>
          <w:color w:val="222222"/>
          <w:kern w:val="0"/>
          <w:sz w:val="24"/>
          <w:szCs w:val="24"/>
          <w14:ligatures w14:val="none"/>
        </w:rPr>
        <w:t xml:space="preserve"> and Gary Wang. The exchange’s governing practices must be analysed to understand how it made decisions. Due to the constantly changing nature of the industry, it is important to analyse what decisions were made regarding trading products, risk management and compliance and how these policies matured over the lifespan of the company. </w:t>
      </w:r>
      <w:r w:rsidR="0092386A">
        <w:rPr>
          <w:rFonts w:ascii="Times New Roman" w:eastAsia="Calibri" w:hAnsi="Times New Roman" w:cs="Times New Roman"/>
          <w:color w:val="222222"/>
          <w:kern w:val="0"/>
          <w:sz w:val="24"/>
          <w:szCs w:val="24"/>
          <w14:ligatures w14:val="none"/>
        </w:rPr>
        <w:t>Other</w:t>
      </w:r>
      <w:r w:rsidRPr="007271B6">
        <w:rPr>
          <w:rFonts w:ascii="Times New Roman" w:eastAsia="Calibri" w:hAnsi="Times New Roman" w:cs="Times New Roman"/>
          <w:color w:val="222222"/>
          <w:kern w:val="0"/>
          <w:sz w:val="24"/>
          <w:szCs w:val="24"/>
          <w14:ligatures w14:val="none"/>
        </w:rPr>
        <w:t xml:space="preserve"> critical polic</w:t>
      </w:r>
      <w:r w:rsidR="0092386A">
        <w:rPr>
          <w:rFonts w:ascii="Times New Roman" w:eastAsia="Calibri" w:hAnsi="Times New Roman" w:cs="Times New Roman"/>
          <w:color w:val="222222"/>
          <w:kern w:val="0"/>
          <w:sz w:val="24"/>
          <w:szCs w:val="24"/>
          <w14:ligatures w14:val="none"/>
        </w:rPr>
        <w:t>ies linked with governance which warrant examination</w:t>
      </w:r>
      <w:r w:rsidRPr="007271B6">
        <w:rPr>
          <w:rFonts w:ascii="Times New Roman" w:eastAsia="Calibri" w:hAnsi="Times New Roman" w:cs="Times New Roman"/>
          <w:color w:val="222222"/>
          <w:kern w:val="0"/>
          <w:sz w:val="24"/>
          <w:szCs w:val="24"/>
          <w14:ligatures w14:val="none"/>
        </w:rPr>
        <w:t xml:space="preserve"> </w:t>
      </w:r>
      <w:r w:rsidR="0092386A">
        <w:rPr>
          <w:rFonts w:ascii="Times New Roman" w:eastAsia="Calibri" w:hAnsi="Times New Roman" w:cs="Times New Roman"/>
          <w:color w:val="222222"/>
          <w:kern w:val="0"/>
          <w:sz w:val="24"/>
          <w:szCs w:val="24"/>
          <w14:ligatures w14:val="none"/>
        </w:rPr>
        <w:t xml:space="preserve">are those associated with </w:t>
      </w:r>
      <w:r w:rsidRPr="007271B6">
        <w:rPr>
          <w:rFonts w:ascii="Times New Roman" w:eastAsia="Calibri" w:hAnsi="Times New Roman" w:cs="Times New Roman"/>
          <w:color w:val="222222"/>
          <w:kern w:val="0"/>
          <w:sz w:val="24"/>
          <w:szCs w:val="24"/>
          <w14:ligatures w14:val="none"/>
        </w:rPr>
        <w:t>financial policies</w:t>
      </w:r>
      <w:r w:rsidR="0092386A">
        <w:rPr>
          <w:rFonts w:ascii="Times New Roman" w:eastAsia="Calibri" w:hAnsi="Times New Roman" w:cs="Times New Roman"/>
          <w:color w:val="222222"/>
          <w:kern w:val="0"/>
          <w:sz w:val="24"/>
          <w:szCs w:val="24"/>
          <w14:ligatures w14:val="none"/>
        </w:rPr>
        <w:t xml:space="preserve"> </w:t>
      </w:r>
      <w:r w:rsidRPr="007271B6">
        <w:rPr>
          <w:rFonts w:ascii="Times New Roman" w:eastAsia="Calibri" w:hAnsi="Times New Roman" w:cs="Times New Roman"/>
          <w:color w:val="222222"/>
          <w:kern w:val="0"/>
          <w:sz w:val="24"/>
          <w:szCs w:val="24"/>
          <w14:ligatures w14:val="none"/>
        </w:rPr>
        <w:t>(</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In particular, the exchange’s approach to </w:t>
      </w:r>
      <w:r w:rsidR="0092386A">
        <w:rPr>
          <w:rFonts w:ascii="Times New Roman" w:eastAsia="Calibri" w:hAnsi="Times New Roman" w:cs="Times New Roman"/>
          <w:color w:val="222222"/>
          <w:kern w:val="0"/>
          <w:sz w:val="24"/>
          <w:szCs w:val="24"/>
          <w14:ligatures w14:val="none"/>
        </w:rPr>
        <w:t>cash</w:t>
      </w:r>
      <w:r w:rsidRPr="007271B6">
        <w:rPr>
          <w:rFonts w:ascii="Times New Roman" w:eastAsia="Calibri" w:hAnsi="Times New Roman" w:cs="Times New Roman"/>
          <w:color w:val="222222"/>
          <w:kern w:val="0"/>
          <w:sz w:val="24"/>
          <w:szCs w:val="24"/>
          <w14:ligatures w14:val="none"/>
        </w:rPr>
        <w:t xml:space="preserve"> management, liquidity, and </w:t>
      </w:r>
      <w:r w:rsidR="0092386A">
        <w:rPr>
          <w:rFonts w:ascii="Times New Roman" w:eastAsia="Calibri" w:hAnsi="Times New Roman" w:cs="Times New Roman"/>
          <w:color w:val="222222"/>
          <w:kern w:val="0"/>
          <w:sz w:val="24"/>
          <w:szCs w:val="24"/>
          <w14:ligatures w14:val="none"/>
        </w:rPr>
        <w:t xml:space="preserve">segregation of assets </w:t>
      </w:r>
      <w:r w:rsidR="007A3E63">
        <w:rPr>
          <w:rFonts w:ascii="Times New Roman" w:eastAsia="Calibri" w:hAnsi="Times New Roman" w:cs="Times New Roman"/>
          <w:color w:val="222222"/>
          <w:kern w:val="0"/>
          <w:sz w:val="24"/>
          <w:szCs w:val="24"/>
          <w14:ligatures w14:val="none"/>
        </w:rPr>
        <w:t>merit</w:t>
      </w:r>
      <w:r w:rsidRPr="007271B6">
        <w:rPr>
          <w:rFonts w:ascii="Times New Roman" w:eastAsia="Calibri" w:hAnsi="Times New Roman" w:cs="Times New Roman"/>
          <w:color w:val="222222"/>
          <w:kern w:val="0"/>
          <w:sz w:val="24"/>
          <w:szCs w:val="24"/>
          <w14:ligatures w14:val="none"/>
        </w:rPr>
        <w:t xml:space="preserve"> investigation and consideration. The main purpose of the case study is to </w:t>
      </w:r>
      <w:r w:rsidRPr="007271B6">
        <w:rPr>
          <w:rFonts w:ascii="Times New Roman" w:eastAsia="Calibri" w:hAnsi="Times New Roman" w:cs="Times New Roman"/>
          <w:color w:val="222222"/>
          <w:kern w:val="0"/>
          <w:sz w:val="24"/>
          <w:szCs w:val="24"/>
          <w14:ligatures w14:val="none"/>
        </w:rPr>
        <w:lastRenderedPageBreak/>
        <w:t>review the financial policies of FTX to determine its approach to corporate governance and how this impacted the firm.</w:t>
      </w:r>
    </w:p>
    <w:p w14:paraId="41E31D1C" w14:textId="77777777" w:rsidR="00F808B3" w:rsidRPr="007271B6" w:rsidRDefault="00F808B3" w:rsidP="008B2FC1">
      <w:pPr>
        <w:pStyle w:val="Heading3"/>
      </w:pPr>
      <w:bookmarkStart w:id="26" w:name="_Toc165667417"/>
      <w:r w:rsidRPr="007271B6">
        <w:t>Analysing Governance in Alameda Research</w:t>
      </w:r>
      <w:bookmarkEnd w:id="26"/>
    </w:p>
    <w:p w14:paraId="046DB27F" w14:textId="18DB4FA6" w:rsidR="00F808B3" w:rsidRPr="007271B6" w:rsidRDefault="00171415" w:rsidP="00662610">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Alameda Research was a major player among quantitative trading companies for digital assets. Governance in such organisations that typically have a global scope is complicated and involves many factors that need to be considered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Alameda Research's decision-making processes in relation to high-frequency trading and algorithms offer great potential for further investigation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This qualitative case study examines how Alameda Research’s governance structure ensures the efficiency of decision-making in the face of extreme market volatility and regulatory issues. The study includes Alameda Research's financial policies such as risk assessment, capital allocation and financial compliance. According to Saltz and Dewar (2019), this will show how an unregulated company like a digital asset trading firm can appear profitable for a while but mismanage operational risks.</w:t>
      </w:r>
    </w:p>
    <w:p w14:paraId="7F6564EF" w14:textId="77777777" w:rsidR="00F808B3" w:rsidRPr="007271B6" w:rsidRDefault="00F808B3" w:rsidP="008B2FC1">
      <w:pPr>
        <w:pStyle w:val="Heading3"/>
      </w:pPr>
      <w:bookmarkStart w:id="27" w:name="_Toc165667418"/>
      <w:r w:rsidRPr="007271B6">
        <w:t>The Broader Implications</w:t>
      </w:r>
      <w:bookmarkEnd w:id="27"/>
    </w:p>
    <w:p w14:paraId="5AC02650" w14:textId="3239753A" w:rsidR="00F808B3" w:rsidRPr="007271B6" w:rsidRDefault="00171415" w:rsidP="00662610">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This qualitative case study of two companies, FTX and Alameda Research, is a microcosm for the digital asset industry, which increasingly requires corporate governance (Hacker 2017). The lessons learnt from this case study are helpful for other cryptocurrency exchanges and companies in the blockchain-based space for better governance in the industry. Furthermore, the study emphasises the agility and survivability that are crucial for companies in a dynamic environment. Corporate governance is usually an integral component that promotes reliability, </w:t>
      </w:r>
      <w:proofErr w:type="gramStart"/>
      <w:r w:rsidRPr="007271B6">
        <w:rPr>
          <w:rFonts w:ascii="Times New Roman" w:eastAsia="Calibri" w:hAnsi="Times New Roman" w:cs="Times New Roman"/>
          <w:color w:val="222222"/>
          <w:kern w:val="0"/>
          <w:sz w:val="24"/>
          <w:szCs w:val="24"/>
          <w14:ligatures w14:val="none"/>
        </w:rPr>
        <w:t>security</w:t>
      </w:r>
      <w:proofErr w:type="gramEnd"/>
      <w:r w:rsidRPr="007271B6">
        <w:rPr>
          <w:rFonts w:ascii="Times New Roman" w:eastAsia="Calibri" w:hAnsi="Times New Roman" w:cs="Times New Roman"/>
          <w:color w:val="222222"/>
          <w:kern w:val="0"/>
          <w:sz w:val="24"/>
          <w:szCs w:val="24"/>
          <w14:ligatures w14:val="none"/>
        </w:rPr>
        <w:t xml:space="preserve"> and longevity where innovation and disruptive factors are prevalent in the digital asset industry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A qualitative case study approach provides a useful way to decipher the complexity of governance at FTX and Alameda Research in terms of decision making and accounting policies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The results of this study provide insight into the governance arrangements within these </w:t>
      </w:r>
      <w:r w:rsidRPr="007271B6">
        <w:rPr>
          <w:rFonts w:ascii="Times New Roman" w:eastAsia="Calibri" w:hAnsi="Times New Roman" w:cs="Times New Roman"/>
          <w:color w:val="222222"/>
          <w:kern w:val="0"/>
          <w:sz w:val="24"/>
          <w:szCs w:val="24"/>
          <w14:ligatures w14:val="none"/>
        </w:rPr>
        <w:lastRenderedPageBreak/>
        <w:t>networks and the broader landscape of digital assets. Th</w:t>
      </w:r>
      <w:r w:rsidR="00053F16">
        <w:rPr>
          <w:rFonts w:ascii="Times New Roman" w:eastAsia="Calibri" w:hAnsi="Times New Roman" w:cs="Times New Roman"/>
          <w:color w:val="222222"/>
          <w:kern w:val="0"/>
          <w:sz w:val="24"/>
          <w:szCs w:val="24"/>
          <w14:ligatures w14:val="none"/>
        </w:rPr>
        <w:t xml:space="preserve">e </w:t>
      </w:r>
      <w:proofErr w:type="gramStart"/>
      <w:r w:rsidR="00053F16">
        <w:rPr>
          <w:rFonts w:ascii="Times New Roman" w:eastAsia="Calibri" w:hAnsi="Times New Roman" w:cs="Times New Roman"/>
          <w:color w:val="222222"/>
          <w:kern w:val="0"/>
          <w:sz w:val="24"/>
          <w:szCs w:val="24"/>
          <w14:ligatures w14:val="none"/>
        </w:rPr>
        <w:t>results</w:t>
      </w:r>
      <w:proofErr w:type="gramEnd"/>
      <w:r w:rsidR="00053F16">
        <w:rPr>
          <w:rFonts w:ascii="Times New Roman" w:eastAsia="Calibri" w:hAnsi="Times New Roman" w:cs="Times New Roman"/>
          <w:color w:val="222222"/>
          <w:kern w:val="0"/>
          <w:sz w:val="24"/>
          <w:szCs w:val="24"/>
          <w14:ligatures w14:val="none"/>
        </w:rPr>
        <w:t xml:space="preserve"> of this analysis</w:t>
      </w:r>
      <w:r w:rsidRPr="007271B6">
        <w:rPr>
          <w:rFonts w:ascii="Times New Roman" w:eastAsia="Calibri" w:hAnsi="Times New Roman" w:cs="Times New Roman"/>
          <w:color w:val="222222"/>
          <w:kern w:val="0"/>
          <w:sz w:val="24"/>
          <w:szCs w:val="24"/>
          <w14:ligatures w14:val="none"/>
        </w:rPr>
        <w:t xml:space="preserve"> </w:t>
      </w:r>
      <w:r w:rsidR="00053F16">
        <w:rPr>
          <w:rFonts w:ascii="Times New Roman" w:eastAsia="Calibri" w:hAnsi="Times New Roman" w:cs="Times New Roman"/>
          <w:color w:val="222222"/>
          <w:kern w:val="0"/>
          <w:sz w:val="24"/>
          <w:szCs w:val="24"/>
          <w14:ligatures w14:val="none"/>
        </w:rPr>
        <w:t>aims to</w:t>
      </w:r>
      <w:r w:rsidRPr="007271B6">
        <w:rPr>
          <w:rFonts w:ascii="Times New Roman" w:eastAsia="Calibri" w:hAnsi="Times New Roman" w:cs="Times New Roman"/>
          <w:color w:val="222222"/>
          <w:kern w:val="0"/>
          <w:sz w:val="24"/>
          <w:szCs w:val="24"/>
          <w14:ligatures w14:val="none"/>
        </w:rPr>
        <w:t xml:space="preserve"> provide </w:t>
      </w:r>
      <w:r w:rsidR="00053F16">
        <w:rPr>
          <w:rFonts w:ascii="Times New Roman" w:eastAsia="Calibri" w:hAnsi="Times New Roman" w:cs="Times New Roman"/>
          <w:color w:val="222222"/>
          <w:kern w:val="0"/>
          <w:sz w:val="24"/>
          <w:szCs w:val="24"/>
          <w14:ligatures w14:val="none"/>
        </w:rPr>
        <w:t xml:space="preserve">useful </w:t>
      </w:r>
      <w:r w:rsidRPr="007271B6">
        <w:rPr>
          <w:rFonts w:ascii="Times New Roman" w:eastAsia="Calibri" w:hAnsi="Times New Roman" w:cs="Times New Roman"/>
          <w:color w:val="222222"/>
          <w:kern w:val="0"/>
          <w:sz w:val="24"/>
          <w:szCs w:val="24"/>
          <w14:ligatures w14:val="none"/>
        </w:rPr>
        <w:t xml:space="preserve">insight into </w:t>
      </w:r>
      <w:r w:rsidR="00053F16">
        <w:rPr>
          <w:rFonts w:ascii="Times New Roman" w:eastAsia="Calibri" w:hAnsi="Times New Roman" w:cs="Times New Roman"/>
          <w:color w:val="222222"/>
          <w:kern w:val="0"/>
          <w:sz w:val="24"/>
          <w:szCs w:val="24"/>
          <w14:ligatures w14:val="none"/>
        </w:rPr>
        <w:t>effective corporate</w:t>
      </w:r>
      <w:r w:rsidRPr="007271B6">
        <w:rPr>
          <w:rFonts w:ascii="Times New Roman" w:eastAsia="Calibri" w:hAnsi="Times New Roman" w:cs="Times New Roman"/>
          <w:color w:val="222222"/>
          <w:kern w:val="0"/>
          <w:sz w:val="24"/>
          <w:szCs w:val="24"/>
          <w14:ligatures w14:val="none"/>
        </w:rPr>
        <w:t xml:space="preserve"> governance </w:t>
      </w:r>
      <w:r w:rsidR="00053F16">
        <w:rPr>
          <w:rFonts w:ascii="Times New Roman" w:eastAsia="Calibri" w:hAnsi="Times New Roman" w:cs="Times New Roman"/>
          <w:color w:val="222222"/>
          <w:kern w:val="0"/>
          <w:sz w:val="24"/>
          <w:szCs w:val="24"/>
          <w14:ligatures w14:val="none"/>
        </w:rPr>
        <w:t>within</w:t>
      </w:r>
      <w:r w:rsidRPr="007271B6">
        <w:rPr>
          <w:rFonts w:ascii="Times New Roman" w:eastAsia="Calibri" w:hAnsi="Times New Roman" w:cs="Times New Roman"/>
          <w:color w:val="222222"/>
          <w:kern w:val="0"/>
          <w:sz w:val="24"/>
          <w:szCs w:val="24"/>
          <w14:ligatures w14:val="none"/>
        </w:rPr>
        <w:t xml:space="preserve"> </w:t>
      </w:r>
      <w:r w:rsidR="00053F16">
        <w:rPr>
          <w:rFonts w:ascii="Times New Roman" w:eastAsia="Calibri" w:hAnsi="Times New Roman" w:cs="Times New Roman"/>
          <w:color w:val="222222"/>
          <w:kern w:val="0"/>
          <w:sz w:val="24"/>
          <w:szCs w:val="24"/>
          <w14:ligatures w14:val="none"/>
        </w:rPr>
        <w:t xml:space="preserve">the context of </w:t>
      </w:r>
      <w:r w:rsidRPr="007271B6">
        <w:rPr>
          <w:rFonts w:ascii="Times New Roman" w:eastAsia="Calibri" w:hAnsi="Times New Roman" w:cs="Times New Roman"/>
          <w:color w:val="222222"/>
          <w:kern w:val="0"/>
          <w:sz w:val="24"/>
          <w:szCs w:val="24"/>
          <w14:ligatures w14:val="none"/>
        </w:rPr>
        <w:t>digital asset</w:t>
      </w:r>
      <w:r w:rsidR="00053F16">
        <w:rPr>
          <w:rFonts w:ascii="Times New Roman" w:eastAsia="Calibri" w:hAnsi="Times New Roman" w:cs="Times New Roman"/>
          <w:color w:val="222222"/>
          <w:kern w:val="0"/>
          <w:sz w:val="24"/>
          <w:szCs w:val="24"/>
          <w14:ligatures w14:val="none"/>
        </w:rPr>
        <w:t xml:space="preserve"> firms.</w:t>
      </w:r>
    </w:p>
    <w:p w14:paraId="188AB34A" w14:textId="77777777" w:rsidR="00F808B3" w:rsidRPr="007271B6" w:rsidRDefault="00F808B3" w:rsidP="008B2FC1">
      <w:pPr>
        <w:pStyle w:val="Heading2"/>
      </w:pPr>
      <w:bookmarkStart w:id="28" w:name="_Toc165667419"/>
      <w:r w:rsidRPr="007271B6">
        <w:t>Ethical Considerations</w:t>
      </w:r>
      <w:bookmarkEnd w:id="28"/>
    </w:p>
    <w:p w14:paraId="7ABBEF0C" w14:textId="2CC3492C" w:rsidR="00171415" w:rsidRPr="007271B6" w:rsidRDefault="00171415" w:rsidP="00171415">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A qualitative case study approach utilises a utilitarian ethical framework approach for reliable data collection and analysis regarding failure due to weak corporate governance. Ethical issues lead the research to consider legality, which protects all organisations involved in the research process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Qualitative case studies require the collection of extensive and sensitive information </w:t>
      </w:r>
      <w:r w:rsidR="00F00C27" w:rsidRPr="007271B6">
        <w:rPr>
          <w:rFonts w:ascii="Times New Roman" w:eastAsia="Calibri" w:hAnsi="Times New Roman" w:cs="Times New Roman"/>
          <w:color w:val="222222"/>
          <w:kern w:val="0"/>
          <w:sz w:val="24"/>
          <w:szCs w:val="24"/>
          <w14:ligatures w14:val="none"/>
        </w:rPr>
        <w:t>to</w:t>
      </w:r>
      <w:r w:rsidRPr="007271B6">
        <w:rPr>
          <w:rFonts w:ascii="Times New Roman" w:eastAsia="Calibri" w:hAnsi="Times New Roman" w:cs="Times New Roman"/>
          <w:color w:val="222222"/>
          <w:kern w:val="0"/>
          <w:sz w:val="24"/>
          <w:szCs w:val="24"/>
          <w14:ligatures w14:val="none"/>
        </w:rPr>
        <w:t xml:space="preserve"> obtain a comprehensive picture of the subject. When investigating corporate governance failures in companies such as FTX and Alameda research, it is important to use ethical </w:t>
      </w:r>
      <w:r w:rsidR="00F00C27">
        <w:rPr>
          <w:rFonts w:ascii="Times New Roman" w:eastAsia="Calibri" w:hAnsi="Times New Roman" w:cs="Times New Roman"/>
          <w:color w:val="222222"/>
          <w:kern w:val="0"/>
          <w:sz w:val="24"/>
          <w:szCs w:val="24"/>
          <w14:ligatures w14:val="none"/>
        </w:rPr>
        <w:t xml:space="preserve">data collection </w:t>
      </w:r>
      <w:r w:rsidRPr="007271B6">
        <w:rPr>
          <w:rFonts w:ascii="Times New Roman" w:eastAsia="Calibri" w:hAnsi="Times New Roman" w:cs="Times New Roman"/>
          <w:color w:val="222222"/>
          <w:kern w:val="0"/>
          <w:sz w:val="24"/>
          <w:szCs w:val="24"/>
          <w14:ligatures w14:val="none"/>
        </w:rPr>
        <w:t xml:space="preserve">methods and assessment (Hacker 2017). For example, the surveyor obtained informed consent from everyone involved in the study, such as company executives, </w:t>
      </w:r>
      <w:proofErr w:type="gramStart"/>
      <w:r w:rsidRPr="007271B6">
        <w:rPr>
          <w:rFonts w:ascii="Times New Roman" w:eastAsia="Calibri" w:hAnsi="Times New Roman" w:cs="Times New Roman"/>
          <w:color w:val="222222"/>
          <w:kern w:val="0"/>
          <w:sz w:val="24"/>
          <w:szCs w:val="24"/>
          <w14:ligatures w14:val="none"/>
        </w:rPr>
        <w:t>employees</w:t>
      </w:r>
      <w:proofErr w:type="gramEnd"/>
      <w:r w:rsidRPr="007271B6">
        <w:rPr>
          <w:rFonts w:ascii="Times New Roman" w:eastAsia="Calibri" w:hAnsi="Times New Roman" w:cs="Times New Roman"/>
          <w:color w:val="222222"/>
          <w:kern w:val="0"/>
          <w:sz w:val="24"/>
          <w:szCs w:val="24"/>
          <w14:ligatures w14:val="none"/>
        </w:rPr>
        <w:t xml:space="preserve"> and stakeholders. Consent protects people from harm or danger by educating them on why this survey is necessary and asking them if they are willing to participate.</w:t>
      </w:r>
    </w:p>
    <w:p w14:paraId="16CE924D" w14:textId="77777777" w:rsidR="00171415" w:rsidRPr="007271B6" w:rsidRDefault="00171415" w:rsidP="00171415">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The research also ensures the privacy of individuals and the confidentiality of the private data used. The researcher pseudonymised the participants and employed secure data storage to protect the privacy of the companies and participants. It is imperative to ensure the security of the information collected as any breach could cause harm to the individuals or organisations involved (Dai et al., 2023). Nevertheless, in an exploratory mode, ethics should take pre-eminence in guiding such a case study concerning corporate governance. The research should be conducted in an unbiased manner and in a way that upholds the ethics of data collection, compliance with laws and regulatory standards, and respect for the organisations' and subjects' interests and rights.</w:t>
      </w:r>
    </w:p>
    <w:p w14:paraId="22DF6723" w14:textId="0DCF6007" w:rsidR="00F808B3" w:rsidRPr="007271B6" w:rsidRDefault="00171415" w:rsidP="00171415">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lastRenderedPageBreak/>
        <w:t>The review has adopted moral ways to undertake the task in a manner that contributes to a better understanding of the reasons for corporate governance failures in organisations such as FTX and Alameda Research while conducting an ethical and fair investigation (Hacker 2017). Therefore, ethical research practices help to uncover the reasons behind corporate failures and aid in the development of better future governance models.</w:t>
      </w:r>
    </w:p>
    <w:p w14:paraId="6F8470E5" w14:textId="77777777" w:rsidR="00F808B3" w:rsidRPr="007271B6" w:rsidRDefault="00F808B3" w:rsidP="008B2FC1">
      <w:pPr>
        <w:pStyle w:val="Heading2"/>
      </w:pPr>
      <w:bookmarkStart w:id="29" w:name="_Toc165667420"/>
      <w:r w:rsidRPr="007271B6">
        <w:t>Reliability of Qualitative Case Study Approach Method</w:t>
      </w:r>
      <w:bookmarkEnd w:id="29"/>
    </w:p>
    <w:p w14:paraId="4F31B602" w14:textId="77777777" w:rsidR="006A1DEA" w:rsidRPr="007271B6" w:rsidRDefault="006A1DEA" w:rsidP="006A1DEA">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The reliability of the methodology of the case study approach ensures that important data is collected and analysed. The qualitative technique of case studies is considered a reliable method that can be used in the analysis of organisational breakdowns, such as FTX and Alameda Research (Hacker 2017). The detailed explanations of why corporate governance failed at FTX and Alameda Research require an in-depth analysis of their unique contexts, which were characterised by regulatory complications, market dynamics and complex competition (Dai et al., 2023). The case study approach provides an environment in which multiple sources of diverse information can be collected and analysed to provide a holistic understanding of the issues and their implications.</w:t>
      </w:r>
    </w:p>
    <w:p w14:paraId="6B5D9AC1" w14:textId="7FE229E2" w:rsidR="00F808B3" w:rsidRPr="007271B6" w:rsidRDefault="006A1DEA" w:rsidP="008B2FC1">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Saltz and Dewar (2019) show that the qualitative case study approach offers a wide variety of data sources, ranging from interviews to document analysis and observation to archival records. This vast reservoir of information has helped to improve reliability by allowing researchers to verify information, ensuring that multiple sources and views contribute to telling a single story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However, this means that information </w:t>
      </w:r>
      <w:r w:rsidR="00905A2A" w:rsidRPr="007271B6">
        <w:rPr>
          <w:rFonts w:ascii="Times New Roman" w:eastAsia="Calibri" w:hAnsi="Times New Roman" w:cs="Times New Roman"/>
          <w:color w:val="222222"/>
          <w:kern w:val="0"/>
          <w:sz w:val="24"/>
          <w:szCs w:val="24"/>
          <w14:ligatures w14:val="none"/>
        </w:rPr>
        <w:t>should</w:t>
      </w:r>
      <w:r w:rsidRPr="007271B6">
        <w:rPr>
          <w:rFonts w:ascii="Times New Roman" w:eastAsia="Calibri" w:hAnsi="Times New Roman" w:cs="Times New Roman"/>
          <w:color w:val="222222"/>
          <w:kern w:val="0"/>
          <w:sz w:val="24"/>
          <w:szCs w:val="24"/>
          <w14:ligatures w14:val="none"/>
        </w:rPr>
        <w:t xml:space="preserve"> be gathered from internal reports, interviews with stakeholders, and public records for this analysis to be multifaceted and reliable when describing deficiencies in governance at FTX and Alameda Research (Hacker 2017). Another feature of the trustworthiness of a qualitative case study is that the approach is flexible and customisable. Failures in corporate governance occur in various forms that change over time. These </w:t>
      </w:r>
      <w:r w:rsidRPr="007271B6">
        <w:rPr>
          <w:rFonts w:ascii="Times New Roman" w:eastAsia="Calibri" w:hAnsi="Times New Roman" w:cs="Times New Roman"/>
          <w:color w:val="222222"/>
          <w:kern w:val="0"/>
          <w:sz w:val="24"/>
          <w:szCs w:val="24"/>
          <w14:ligatures w14:val="none"/>
        </w:rPr>
        <w:lastRenderedPageBreak/>
        <w:t>variations make the case study approach necessary as its flexible nature allows for the manipulation of different aspects, such as methodologies, focal points, and queries, once the matter is better understood (Dai et al., 2023). The flexibility enables the research to remain responsive toward the ever-changing aspects of corporate governance within the subject space.</w:t>
      </w:r>
    </w:p>
    <w:p w14:paraId="0106C6A4" w14:textId="77777777" w:rsidR="00F808B3" w:rsidRPr="007271B6" w:rsidRDefault="00F808B3" w:rsidP="008B2FC1">
      <w:pPr>
        <w:pStyle w:val="Heading3"/>
      </w:pPr>
      <w:bookmarkStart w:id="30" w:name="_Toc165667421"/>
      <w:r w:rsidRPr="007271B6">
        <w:t>Participant Engagement</w:t>
      </w:r>
      <w:bookmarkEnd w:id="30"/>
    </w:p>
    <w:p w14:paraId="7BFF4409" w14:textId="73180F37" w:rsidR="00F808B3" w:rsidRPr="007271B6" w:rsidRDefault="001A7E04" w:rsidP="00F808B3">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The qualitative case study generally involves interacting with eyewitnesses who have direct knowledge of the phenomenon under investigation. This could include contacting officials such as FTX and Alameda Research officers, employees, or shareholders (</w:t>
      </w:r>
      <w:proofErr w:type="spellStart"/>
      <w:r w:rsidRPr="007271B6">
        <w:rPr>
          <w:rFonts w:ascii="Times New Roman" w:eastAsia="Calibri" w:hAnsi="Times New Roman" w:cs="Times New Roman"/>
          <w:color w:val="222222"/>
          <w:kern w:val="0"/>
          <w:sz w:val="24"/>
          <w:szCs w:val="24"/>
          <w14:ligatures w14:val="none"/>
        </w:rPr>
        <w:t>Akyildirim</w:t>
      </w:r>
      <w:proofErr w:type="spellEnd"/>
      <w:r w:rsidRPr="007271B6">
        <w:rPr>
          <w:rFonts w:ascii="Times New Roman" w:eastAsia="Calibri" w:hAnsi="Times New Roman" w:cs="Times New Roman"/>
          <w:color w:val="222222"/>
          <w:kern w:val="0"/>
          <w:sz w:val="24"/>
          <w:szCs w:val="24"/>
          <w14:ligatures w14:val="none"/>
        </w:rPr>
        <w:t xml:space="preserve"> et al., 2023). It fosters trust and co-operation between participants in data collection and increases their credibility. This helps to obtain truthful and genuine information as participants feel that their views and experiences matter. Through this engagement, employees feel that they have an important role in significantly improving the process and product.</w:t>
      </w:r>
    </w:p>
    <w:p w14:paraId="0AE211E6" w14:textId="77777777" w:rsidR="00F808B3" w:rsidRPr="007271B6" w:rsidRDefault="00F808B3" w:rsidP="008B2FC1">
      <w:pPr>
        <w:pStyle w:val="Heading3"/>
      </w:pPr>
      <w:bookmarkStart w:id="31" w:name="_Toc165667422"/>
      <w:r w:rsidRPr="007271B6">
        <w:t>Validity</w:t>
      </w:r>
      <w:bookmarkEnd w:id="31"/>
    </w:p>
    <w:p w14:paraId="1B7F8983" w14:textId="27E88ECA" w:rsidR="00F808B3" w:rsidRPr="007271B6" w:rsidRDefault="00F808B3" w:rsidP="008B2FC1">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To improve the quality of analysis through a qualitative case study approach, secondary and primary data have been used to support the study, employing the current FTX and Alameda Research example cases.</w:t>
      </w:r>
    </w:p>
    <w:p w14:paraId="06CB3618" w14:textId="77777777" w:rsidR="00F808B3" w:rsidRPr="007271B6" w:rsidRDefault="00F808B3" w:rsidP="008B2FC1">
      <w:pPr>
        <w:pStyle w:val="Heading3"/>
      </w:pPr>
      <w:bookmarkStart w:id="32" w:name="_Toc165667423"/>
      <w:r w:rsidRPr="007271B6">
        <w:t>Primary Data Sources</w:t>
      </w:r>
      <w:bookmarkEnd w:id="32"/>
    </w:p>
    <w:p w14:paraId="3CE6DF7B" w14:textId="77777777" w:rsidR="00F808B3" w:rsidRPr="007271B6" w:rsidRDefault="00F808B3" w:rsidP="00F808B3">
      <w:pPr>
        <w:spacing w:after="0" w:line="480" w:lineRule="auto"/>
        <w:rPr>
          <w:rFonts w:ascii="Times New Roman" w:eastAsia="Calibri" w:hAnsi="Times New Roman" w:cs="Times New Roman"/>
          <w:bCs/>
          <w:i/>
          <w:color w:val="222222"/>
          <w:kern w:val="0"/>
          <w:sz w:val="24"/>
          <w:szCs w:val="24"/>
          <w14:ligatures w14:val="none"/>
        </w:rPr>
      </w:pPr>
      <w:r w:rsidRPr="007271B6">
        <w:rPr>
          <w:rFonts w:ascii="Times New Roman" w:eastAsia="Calibri" w:hAnsi="Times New Roman" w:cs="Times New Roman"/>
          <w:bCs/>
          <w:i/>
          <w:color w:val="222222"/>
          <w:kern w:val="0"/>
          <w:sz w:val="24"/>
          <w:szCs w:val="24"/>
          <w14:ligatures w14:val="none"/>
        </w:rPr>
        <w:t>Interviews with Key Stakeholders:</w:t>
      </w:r>
    </w:p>
    <w:p w14:paraId="3E0231C4" w14:textId="111C2CF9" w:rsidR="00F808B3" w:rsidRDefault="001A7E04" w:rsidP="00662610">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The cornerstone of the qualitative case study approach is interacting with individuals who have first-hand knowledge of the topic. Interviewees </w:t>
      </w:r>
      <w:r w:rsidR="00603030" w:rsidRPr="007271B6">
        <w:rPr>
          <w:rFonts w:ascii="Times New Roman" w:eastAsia="Calibri" w:hAnsi="Times New Roman" w:cs="Times New Roman"/>
          <w:color w:val="222222"/>
          <w:kern w:val="0"/>
          <w:sz w:val="24"/>
          <w:szCs w:val="24"/>
          <w14:ligatures w14:val="none"/>
        </w:rPr>
        <w:t>include five high level</w:t>
      </w:r>
      <w:r w:rsidRPr="007271B6">
        <w:rPr>
          <w:rFonts w:ascii="Times New Roman" w:eastAsia="Calibri" w:hAnsi="Times New Roman" w:cs="Times New Roman"/>
          <w:color w:val="222222"/>
          <w:kern w:val="0"/>
          <w:sz w:val="24"/>
          <w:szCs w:val="24"/>
          <w14:ligatures w14:val="none"/>
        </w:rPr>
        <w:t xml:space="preserve"> FTX and Alameda Research employee</w:t>
      </w:r>
      <w:r w:rsidR="00603030" w:rsidRPr="007271B6">
        <w:rPr>
          <w:rFonts w:ascii="Times New Roman" w:eastAsia="Calibri" w:hAnsi="Times New Roman" w:cs="Times New Roman"/>
          <w:color w:val="222222"/>
          <w:kern w:val="0"/>
          <w:sz w:val="24"/>
          <w:szCs w:val="24"/>
          <w14:ligatures w14:val="none"/>
        </w:rPr>
        <w:t xml:space="preserve">s </w:t>
      </w:r>
      <w:r w:rsidRPr="007271B6">
        <w:rPr>
          <w:rFonts w:ascii="Times New Roman" w:eastAsia="Calibri" w:hAnsi="Times New Roman" w:cs="Times New Roman"/>
          <w:color w:val="222222"/>
          <w:kern w:val="0"/>
          <w:sz w:val="24"/>
          <w:szCs w:val="24"/>
          <w14:ligatures w14:val="none"/>
        </w:rPr>
        <w:t xml:space="preserve">and </w:t>
      </w:r>
      <w:r w:rsidR="00603030" w:rsidRPr="007271B6">
        <w:rPr>
          <w:rFonts w:ascii="Times New Roman" w:eastAsia="Calibri" w:hAnsi="Times New Roman" w:cs="Times New Roman"/>
          <w:color w:val="222222"/>
          <w:kern w:val="0"/>
          <w:sz w:val="24"/>
          <w:szCs w:val="24"/>
          <w14:ligatures w14:val="none"/>
        </w:rPr>
        <w:t xml:space="preserve">three </w:t>
      </w:r>
      <w:r w:rsidRPr="007271B6">
        <w:rPr>
          <w:rFonts w:ascii="Times New Roman" w:eastAsia="Calibri" w:hAnsi="Times New Roman" w:cs="Times New Roman"/>
          <w:color w:val="222222"/>
          <w:kern w:val="0"/>
          <w:sz w:val="24"/>
          <w:szCs w:val="24"/>
          <w14:ligatures w14:val="none"/>
        </w:rPr>
        <w:t>stakeholders who revealed how these companies failed to govern themselves (Dai et al., 2023). Primary data sources such as oral interviews and surveys are essential to understanding the intricacies of breaking down governances.</w:t>
      </w:r>
    </w:p>
    <w:p w14:paraId="4016100B" w14:textId="77777777" w:rsidR="00951CCD" w:rsidRPr="007271B6" w:rsidRDefault="00951CCD" w:rsidP="00662610">
      <w:pPr>
        <w:spacing w:after="0" w:line="480" w:lineRule="auto"/>
        <w:ind w:firstLine="720"/>
        <w:rPr>
          <w:rFonts w:ascii="Times New Roman" w:eastAsia="Calibri" w:hAnsi="Times New Roman" w:cs="Times New Roman"/>
          <w:color w:val="222222"/>
          <w:kern w:val="0"/>
          <w:sz w:val="24"/>
          <w:szCs w:val="24"/>
          <w14:ligatures w14:val="none"/>
        </w:rPr>
      </w:pPr>
    </w:p>
    <w:p w14:paraId="753C1194" w14:textId="77777777" w:rsidR="00F808B3" w:rsidRPr="007271B6" w:rsidRDefault="00F808B3" w:rsidP="00F808B3">
      <w:pPr>
        <w:spacing w:after="0" w:line="480" w:lineRule="auto"/>
        <w:rPr>
          <w:rFonts w:ascii="Times New Roman" w:eastAsia="Calibri" w:hAnsi="Times New Roman" w:cs="Times New Roman"/>
          <w:bCs/>
          <w:i/>
          <w:color w:val="222222"/>
          <w:kern w:val="0"/>
          <w:sz w:val="24"/>
          <w:szCs w:val="24"/>
          <w14:ligatures w14:val="none"/>
        </w:rPr>
      </w:pPr>
      <w:r w:rsidRPr="007271B6">
        <w:rPr>
          <w:rFonts w:ascii="Times New Roman" w:eastAsia="Calibri" w:hAnsi="Times New Roman" w:cs="Times New Roman"/>
          <w:bCs/>
          <w:i/>
          <w:color w:val="222222"/>
          <w:kern w:val="0"/>
          <w:sz w:val="24"/>
          <w:szCs w:val="24"/>
          <w14:ligatures w14:val="none"/>
        </w:rPr>
        <w:lastRenderedPageBreak/>
        <w:t>Observations:</w:t>
      </w:r>
    </w:p>
    <w:p w14:paraId="62BDCB1E" w14:textId="1FBAB107" w:rsidR="00F808B3" w:rsidRPr="007271B6" w:rsidRDefault="00F808B3" w:rsidP="008B2FC1">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The research may also be enriched by observations undertaken through direct contacts. Through observations, researchers can observe the dynamics behind corporate governance. This will present a firsthand view of how governance policies and regulations get implemented in the organisation. Observational data such as this improves the credibility and trustworthiness of the outcomes.</w:t>
      </w:r>
    </w:p>
    <w:p w14:paraId="662038E2" w14:textId="77777777" w:rsidR="00F808B3" w:rsidRPr="007271B6" w:rsidRDefault="00F808B3" w:rsidP="008B2FC1">
      <w:pPr>
        <w:pStyle w:val="Heading3"/>
      </w:pPr>
      <w:bookmarkStart w:id="33" w:name="_Toc165667424"/>
      <w:r w:rsidRPr="007271B6">
        <w:t>Secondary Data Sources</w:t>
      </w:r>
      <w:bookmarkEnd w:id="33"/>
    </w:p>
    <w:p w14:paraId="7D33122F" w14:textId="77777777" w:rsidR="00F808B3" w:rsidRPr="007271B6" w:rsidRDefault="00F808B3" w:rsidP="00F808B3">
      <w:pPr>
        <w:spacing w:after="0" w:line="480" w:lineRule="auto"/>
        <w:rPr>
          <w:rFonts w:ascii="Times New Roman" w:eastAsia="Calibri" w:hAnsi="Times New Roman" w:cs="Times New Roman"/>
          <w:bCs/>
          <w:i/>
          <w:color w:val="222222"/>
          <w:kern w:val="0"/>
          <w:sz w:val="24"/>
          <w:szCs w:val="24"/>
          <w14:ligatures w14:val="none"/>
        </w:rPr>
      </w:pPr>
      <w:r w:rsidRPr="007271B6">
        <w:rPr>
          <w:rFonts w:ascii="Times New Roman" w:eastAsia="Calibri" w:hAnsi="Times New Roman" w:cs="Times New Roman"/>
          <w:bCs/>
          <w:i/>
          <w:color w:val="222222"/>
          <w:kern w:val="0"/>
          <w:sz w:val="24"/>
          <w:szCs w:val="24"/>
          <w14:ligatures w14:val="none"/>
        </w:rPr>
        <w:t>Archival Records:</w:t>
      </w:r>
    </w:p>
    <w:p w14:paraId="5BC066D1" w14:textId="5826249F" w:rsidR="00F808B3" w:rsidRPr="007271B6" w:rsidRDefault="001A7E04" w:rsidP="008B2FC1">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Archive records, internal </w:t>
      </w:r>
      <w:proofErr w:type="gramStart"/>
      <w:r w:rsidRPr="007271B6">
        <w:rPr>
          <w:rFonts w:ascii="Times New Roman" w:eastAsia="Calibri" w:hAnsi="Times New Roman" w:cs="Times New Roman"/>
          <w:color w:val="222222"/>
          <w:kern w:val="0"/>
          <w:sz w:val="24"/>
          <w:szCs w:val="24"/>
          <w14:ligatures w14:val="none"/>
        </w:rPr>
        <w:t>documents</w:t>
      </w:r>
      <w:proofErr w:type="gramEnd"/>
      <w:r w:rsidRPr="007271B6">
        <w:rPr>
          <w:rFonts w:ascii="Times New Roman" w:eastAsia="Calibri" w:hAnsi="Times New Roman" w:cs="Times New Roman"/>
          <w:color w:val="222222"/>
          <w:kern w:val="0"/>
          <w:sz w:val="24"/>
          <w:szCs w:val="24"/>
          <w14:ligatures w14:val="none"/>
        </w:rPr>
        <w:t xml:space="preserve"> and historical data help to verify the primary information collected. Examining records such as the company's financial reports, minutes of board meetings and other internal financial reports, among others, can shed light on how the company has adopted corporate governance over time.</w:t>
      </w:r>
    </w:p>
    <w:p w14:paraId="7F353963" w14:textId="77777777" w:rsidR="00F808B3" w:rsidRPr="007271B6" w:rsidRDefault="00F808B3" w:rsidP="00F808B3">
      <w:pPr>
        <w:spacing w:after="0" w:line="480" w:lineRule="auto"/>
        <w:rPr>
          <w:rFonts w:ascii="Times New Roman" w:eastAsia="Calibri" w:hAnsi="Times New Roman" w:cs="Times New Roman"/>
          <w:bCs/>
          <w:i/>
          <w:color w:val="222222"/>
          <w:kern w:val="0"/>
          <w:sz w:val="24"/>
          <w:szCs w:val="24"/>
          <w14:ligatures w14:val="none"/>
        </w:rPr>
      </w:pPr>
      <w:r w:rsidRPr="007271B6">
        <w:rPr>
          <w:rFonts w:ascii="Times New Roman" w:eastAsia="Calibri" w:hAnsi="Times New Roman" w:cs="Times New Roman"/>
          <w:bCs/>
          <w:i/>
          <w:color w:val="222222"/>
          <w:kern w:val="0"/>
          <w:sz w:val="24"/>
          <w:szCs w:val="24"/>
          <w14:ligatures w14:val="none"/>
        </w:rPr>
        <w:t>External Reports and Publications:</w:t>
      </w:r>
    </w:p>
    <w:p w14:paraId="0DC31508" w14:textId="77777777" w:rsidR="001A7E04" w:rsidRPr="007271B6" w:rsidRDefault="001A7E04" w:rsidP="001A7E04">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External reports and publications from regulatory bodies and other industry experts may reflect their views without bias. The sources serve as a reference point for verification and contribute to the authenticity of the research findings.</w:t>
      </w:r>
    </w:p>
    <w:p w14:paraId="1CF43F33" w14:textId="100A9758" w:rsidR="00F808B3" w:rsidRPr="007271B6" w:rsidRDefault="001A7E04" w:rsidP="001A7E04">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The use of primary and secondary data sources allows for a thorough and comprehensive analysis of governance failings. This means that the qualitative case study approach combined with data from multiple sources allows you to examine from various angles why these problems occurred, how they presented themselves and what their overall impact was (Dai et al., 2023). This multidimensional assessment adds credibility to the results. Accordingly, the qualitative case study approach becomes a viable method supported by a multi-source approach when it comes to explaining corporate governance failures in cases of companies such as FTX and Alameda Research (Hacker 2017). The use of different research sources as well as the application of triangulation methods makes the research more </w:t>
      </w:r>
      <w:r w:rsidRPr="007271B6">
        <w:rPr>
          <w:rFonts w:ascii="Times New Roman" w:eastAsia="Calibri" w:hAnsi="Times New Roman" w:cs="Times New Roman"/>
          <w:color w:val="222222"/>
          <w:kern w:val="0"/>
          <w:sz w:val="24"/>
          <w:szCs w:val="24"/>
          <w14:ligatures w14:val="none"/>
        </w:rPr>
        <w:lastRenderedPageBreak/>
        <w:t>valid. Using such a multi-source approach allows the researcher to paint an honest picture of corporate governance failures by explaining the intricacies and hurdles faced by these institutions. Ultimately, this helps us to understand the main problems in terms of good corporate governance and suggest measures to improve it in the rapidly evolving digital asset sector.</w:t>
      </w:r>
    </w:p>
    <w:p w14:paraId="2CA888C3" w14:textId="77777777" w:rsidR="00F808B3" w:rsidRPr="007271B6" w:rsidRDefault="00F808B3" w:rsidP="00F808B3">
      <w:pPr>
        <w:spacing w:after="0" w:line="480" w:lineRule="auto"/>
        <w:rPr>
          <w:rFonts w:ascii="Times New Roman" w:eastAsia="Calibri" w:hAnsi="Times New Roman" w:cs="Times New Roman"/>
          <w:bCs/>
          <w:i/>
          <w:color w:val="222222"/>
          <w:kern w:val="0"/>
          <w:sz w:val="24"/>
          <w:szCs w:val="24"/>
          <w14:ligatures w14:val="none"/>
        </w:rPr>
      </w:pPr>
      <w:r w:rsidRPr="007271B6">
        <w:rPr>
          <w:rFonts w:ascii="Times New Roman" w:eastAsia="Calibri" w:hAnsi="Times New Roman" w:cs="Times New Roman"/>
          <w:bCs/>
          <w:i/>
          <w:color w:val="222222"/>
          <w:kern w:val="0"/>
          <w:sz w:val="24"/>
          <w:szCs w:val="24"/>
          <w14:ligatures w14:val="none"/>
        </w:rPr>
        <w:t>Triangulation and Cross-Verification</w:t>
      </w:r>
    </w:p>
    <w:p w14:paraId="0A59F3F0" w14:textId="77777777" w:rsidR="001A7E04" w:rsidRPr="007271B6" w:rsidRDefault="001A7E04" w:rsidP="001A7E04">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Researchers can improve the reliability of findings through triangulation within the qualitative case study approach. Cross-referencing various sources and means is called triangulation. This means that the findings obtained from the interviews are compared with evidence from internal documents, financial </w:t>
      </w:r>
      <w:proofErr w:type="gramStart"/>
      <w:r w:rsidRPr="007271B6">
        <w:rPr>
          <w:rFonts w:ascii="Times New Roman" w:eastAsia="Calibri" w:hAnsi="Times New Roman" w:cs="Times New Roman"/>
          <w:color w:val="222222"/>
          <w:kern w:val="0"/>
          <w:sz w:val="24"/>
          <w:szCs w:val="24"/>
          <w14:ligatures w14:val="none"/>
        </w:rPr>
        <w:t>transactions</w:t>
      </w:r>
      <w:proofErr w:type="gramEnd"/>
      <w:r w:rsidRPr="007271B6">
        <w:rPr>
          <w:rFonts w:ascii="Times New Roman" w:eastAsia="Calibri" w:hAnsi="Times New Roman" w:cs="Times New Roman"/>
          <w:color w:val="222222"/>
          <w:kern w:val="0"/>
          <w:sz w:val="24"/>
          <w:szCs w:val="24"/>
          <w14:ligatures w14:val="none"/>
        </w:rPr>
        <w:t xml:space="preserve"> and external sources in the case of FTX and Alameda Research (Dai et al., 2023). A convergence of evidence from different perspectives strengthens the reliability and validity of the findings. The case study approach is considered reliable when it comes to improving data collection and analysis when discussing complicated topics such as corporate governance in companies like FTX and Alameda Research. Reliability is determined by the extent of its ability to examine context in depth, the use of rich multiple data sources, flexibility, interaction with respondents, and the use of triangulation, among other factors (Dai et al., 2023). The use of such factors, coupled with scientifically grounded research, provides a detailed analysis of corporate governance issues that provides a basis for suggesting improvements. This approach will allow researchers to continue the discussion on corporate governance in the digital asset industry and promote appropriate and reliable governance in this ever-changing sector.</w:t>
      </w:r>
    </w:p>
    <w:p w14:paraId="4D3948C6" w14:textId="629C18ED" w:rsidR="00F808B3" w:rsidRDefault="001A7E04" w:rsidP="001A7E04">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The qualitative case study approach provides an in-depth account of the qualitative study technique used in gathering reliable data on the corruption allegations at FTX and Alameda Research and governance issues (Hacker, 2017). Th</w:t>
      </w:r>
      <w:r w:rsidR="00E554C7">
        <w:rPr>
          <w:rFonts w:ascii="Times New Roman" w:eastAsia="Calibri" w:hAnsi="Times New Roman" w:cs="Times New Roman"/>
          <w:color w:val="222222"/>
          <w:kern w:val="0"/>
          <w:sz w:val="24"/>
          <w:szCs w:val="24"/>
          <w14:ligatures w14:val="none"/>
        </w:rPr>
        <w:t>is</w:t>
      </w:r>
      <w:r w:rsidRPr="007271B6">
        <w:rPr>
          <w:rFonts w:ascii="Times New Roman" w:eastAsia="Calibri" w:hAnsi="Times New Roman" w:cs="Times New Roman"/>
          <w:color w:val="222222"/>
          <w:kern w:val="0"/>
          <w:sz w:val="24"/>
          <w:szCs w:val="24"/>
          <w14:ligatures w14:val="none"/>
        </w:rPr>
        <w:t xml:space="preserve"> chapter explores all elements associated with this methodology, including the research techniques, the procedures used </w:t>
      </w:r>
      <w:r w:rsidRPr="007271B6">
        <w:rPr>
          <w:rFonts w:ascii="Times New Roman" w:eastAsia="Calibri" w:hAnsi="Times New Roman" w:cs="Times New Roman"/>
          <w:color w:val="222222"/>
          <w:kern w:val="0"/>
          <w:sz w:val="24"/>
          <w:szCs w:val="24"/>
          <w14:ligatures w14:val="none"/>
        </w:rPr>
        <w:lastRenderedPageBreak/>
        <w:t>during the process, and the ethical issues that were observed. A qualitative case study design was used for this study. This research technique is suitable for exploring the intricacies of complex events because it is the best option for investigating the pitfalls of corporate governance in digital asset companies, for example in Alameda Research and FTX (Hacker, 2017). The researcher used the case study method to situate the concerns and consider the unique dynamics and challenges of such organisations.</w:t>
      </w:r>
    </w:p>
    <w:p w14:paraId="714BB0FD" w14:textId="0C4EAB60" w:rsidR="006D36E5" w:rsidRPr="00B06243" w:rsidRDefault="00BE2E0A" w:rsidP="00B06243">
      <w:pPr>
        <w:pStyle w:val="Heading2"/>
      </w:pPr>
      <w:bookmarkStart w:id="34" w:name="_Toc165667425"/>
      <w:r w:rsidRPr="00BE2E0A">
        <w:t>Key Findings, Implications and Recommendations</w:t>
      </w:r>
      <w:bookmarkEnd w:id="34"/>
    </w:p>
    <w:p w14:paraId="4EA365D4" w14:textId="0F8A3C15" w:rsidR="00D2044B" w:rsidRDefault="00D2044B" w:rsidP="00C20D33">
      <w:pPr>
        <w:spacing w:after="0" w:line="480" w:lineRule="auto"/>
        <w:ind w:firstLine="720"/>
        <w:rPr>
          <w:rFonts w:ascii="Times New Roman" w:eastAsia="Calibri" w:hAnsi="Times New Roman" w:cs="Times New Roman"/>
          <w:color w:val="222222"/>
          <w:kern w:val="0"/>
          <w:sz w:val="24"/>
          <w:szCs w:val="24"/>
          <w14:ligatures w14:val="none"/>
        </w:rPr>
      </w:pPr>
      <w:r w:rsidRPr="00C20D33">
        <w:rPr>
          <w:rFonts w:ascii="Times New Roman" w:eastAsia="Calibri" w:hAnsi="Times New Roman" w:cs="Times New Roman"/>
          <w:color w:val="222222"/>
          <w:kern w:val="0"/>
          <w:sz w:val="24"/>
          <w:szCs w:val="24"/>
          <w14:ligatures w14:val="none"/>
        </w:rPr>
        <w:t xml:space="preserve">The </w:t>
      </w:r>
      <w:r w:rsidR="00C20D33" w:rsidRPr="00C20D33">
        <w:rPr>
          <w:rFonts w:ascii="Times New Roman" w:eastAsia="Calibri" w:hAnsi="Times New Roman" w:cs="Times New Roman"/>
          <w:color w:val="222222"/>
          <w:kern w:val="0"/>
          <w:sz w:val="24"/>
          <w:szCs w:val="24"/>
          <w14:ligatures w14:val="none"/>
        </w:rPr>
        <w:t>k</w:t>
      </w:r>
      <w:r w:rsidRPr="00C20D33">
        <w:rPr>
          <w:rFonts w:ascii="Times New Roman" w:eastAsia="Calibri" w:hAnsi="Times New Roman" w:cs="Times New Roman"/>
          <w:color w:val="222222"/>
          <w:kern w:val="0"/>
          <w:sz w:val="24"/>
          <w:szCs w:val="24"/>
          <w14:ligatures w14:val="none"/>
        </w:rPr>
        <w:t xml:space="preserve">ey </w:t>
      </w:r>
      <w:r w:rsidR="00C20D33" w:rsidRPr="00C20D33">
        <w:rPr>
          <w:rFonts w:ascii="Times New Roman" w:eastAsia="Calibri" w:hAnsi="Times New Roman" w:cs="Times New Roman"/>
          <w:color w:val="222222"/>
          <w:kern w:val="0"/>
          <w:sz w:val="24"/>
          <w:szCs w:val="24"/>
          <w14:ligatures w14:val="none"/>
        </w:rPr>
        <w:t>aim of</w:t>
      </w:r>
      <w:r w:rsidRPr="00C20D33">
        <w:rPr>
          <w:rFonts w:ascii="Times New Roman" w:eastAsia="Calibri" w:hAnsi="Times New Roman" w:cs="Times New Roman"/>
          <w:color w:val="222222"/>
          <w:kern w:val="0"/>
          <w:sz w:val="24"/>
          <w:szCs w:val="24"/>
          <w14:ligatures w14:val="none"/>
        </w:rPr>
        <w:t xml:space="preserve"> this section </w:t>
      </w:r>
      <w:r w:rsidR="00C20D33" w:rsidRPr="00C20D33">
        <w:rPr>
          <w:rFonts w:ascii="Times New Roman" w:eastAsia="Calibri" w:hAnsi="Times New Roman" w:cs="Times New Roman"/>
          <w:color w:val="222222"/>
          <w:kern w:val="0"/>
          <w:sz w:val="24"/>
          <w:szCs w:val="24"/>
          <w14:ligatures w14:val="none"/>
        </w:rPr>
        <w:t>was</w:t>
      </w:r>
      <w:r w:rsidR="006D43D0" w:rsidRPr="00C20D33">
        <w:rPr>
          <w:rFonts w:ascii="Times New Roman" w:eastAsia="Calibri" w:hAnsi="Times New Roman" w:cs="Times New Roman"/>
          <w:color w:val="222222"/>
          <w:kern w:val="0"/>
          <w:sz w:val="24"/>
          <w:szCs w:val="24"/>
          <w14:ligatures w14:val="none"/>
        </w:rPr>
        <w:t xml:space="preserve"> to</w:t>
      </w:r>
      <w:r w:rsidR="006D43D0">
        <w:rPr>
          <w:rFonts w:ascii="Times New Roman" w:eastAsia="Calibri" w:hAnsi="Times New Roman" w:cs="Times New Roman"/>
          <w:color w:val="222222"/>
          <w:kern w:val="0"/>
          <w:sz w:val="24"/>
          <w:szCs w:val="24"/>
          <w14:ligatures w14:val="none"/>
        </w:rPr>
        <w:t xml:space="preserve"> determine the research methodology and sources of information for this study. The review of research methodologies and data sources has determined that using a qualitative case study design using a variety of primary and secondary data sources </w:t>
      </w:r>
      <w:r w:rsidR="00C20D33">
        <w:rPr>
          <w:rFonts w:ascii="Times New Roman" w:eastAsia="Calibri" w:hAnsi="Times New Roman" w:cs="Times New Roman"/>
          <w:color w:val="222222"/>
          <w:kern w:val="0"/>
          <w:sz w:val="24"/>
          <w:szCs w:val="24"/>
          <w14:ligatures w14:val="none"/>
        </w:rPr>
        <w:t>will be an effective method to study the corporate governance issues within the two entries and draw important conclusions.</w:t>
      </w:r>
    </w:p>
    <w:p w14:paraId="5D55DB5B" w14:textId="51484A52" w:rsidR="00835A1E" w:rsidRDefault="00BE2E0A" w:rsidP="006D36E5">
      <w:pPr>
        <w:spacing w:after="0" w:line="480" w:lineRule="auto"/>
        <w:ind w:firstLine="720"/>
        <w:rPr>
          <w:rFonts w:ascii="Times New Roman" w:eastAsia="Calibri" w:hAnsi="Times New Roman" w:cs="Times New Roman"/>
          <w:color w:val="222222"/>
          <w:kern w:val="0"/>
          <w:sz w:val="24"/>
          <w:szCs w:val="24"/>
          <w14:ligatures w14:val="none"/>
        </w:rPr>
      </w:pPr>
      <w:r>
        <w:rPr>
          <w:rFonts w:ascii="Times New Roman" w:eastAsia="Calibri" w:hAnsi="Times New Roman" w:cs="Times New Roman"/>
          <w:color w:val="222222"/>
          <w:kern w:val="0"/>
          <w:sz w:val="24"/>
          <w:szCs w:val="24"/>
          <w14:ligatures w14:val="none"/>
        </w:rPr>
        <w:t xml:space="preserve">The </w:t>
      </w:r>
      <w:r w:rsidR="007E2B94">
        <w:rPr>
          <w:rFonts w:ascii="Times New Roman" w:eastAsia="Calibri" w:hAnsi="Times New Roman" w:cs="Times New Roman"/>
          <w:color w:val="222222"/>
          <w:kern w:val="0"/>
          <w:sz w:val="24"/>
          <w:szCs w:val="24"/>
          <w14:ligatures w14:val="none"/>
        </w:rPr>
        <w:t xml:space="preserve">expected </w:t>
      </w:r>
      <w:r>
        <w:rPr>
          <w:rFonts w:ascii="Times New Roman" w:eastAsia="Calibri" w:hAnsi="Times New Roman" w:cs="Times New Roman"/>
          <w:color w:val="222222"/>
          <w:kern w:val="0"/>
          <w:sz w:val="24"/>
          <w:szCs w:val="24"/>
          <w14:ligatures w14:val="none"/>
        </w:rPr>
        <w:t xml:space="preserve">result of this study </w:t>
      </w:r>
      <w:r w:rsidR="007E2B94">
        <w:rPr>
          <w:rFonts w:ascii="Times New Roman" w:eastAsia="Calibri" w:hAnsi="Times New Roman" w:cs="Times New Roman"/>
          <w:color w:val="222222"/>
          <w:kern w:val="0"/>
          <w:sz w:val="24"/>
          <w:szCs w:val="24"/>
          <w14:ligatures w14:val="none"/>
        </w:rPr>
        <w:t>is to illustrate how the bankruptcy of FTX and Alameda Research is directly attributable, to some degree, due to weak corporate governance. By documenting and examining this relationship, th</w:t>
      </w:r>
      <w:r w:rsidR="006D36E5">
        <w:rPr>
          <w:rFonts w:ascii="Times New Roman" w:eastAsia="Calibri" w:hAnsi="Times New Roman" w:cs="Times New Roman"/>
          <w:color w:val="222222"/>
          <w:kern w:val="0"/>
          <w:sz w:val="24"/>
          <w:szCs w:val="24"/>
          <w14:ligatures w14:val="none"/>
        </w:rPr>
        <w:t>e</w:t>
      </w:r>
      <w:r w:rsidR="007E2B94">
        <w:rPr>
          <w:rFonts w:ascii="Times New Roman" w:eastAsia="Calibri" w:hAnsi="Times New Roman" w:cs="Times New Roman"/>
          <w:color w:val="222222"/>
          <w:kern w:val="0"/>
          <w:sz w:val="24"/>
          <w:szCs w:val="24"/>
          <w14:ligatures w14:val="none"/>
        </w:rPr>
        <w:t xml:space="preserve"> study should be able to provide </w:t>
      </w:r>
      <w:r w:rsidR="00694C71">
        <w:rPr>
          <w:rFonts w:ascii="Times New Roman" w:eastAsia="Calibri" w:hAnsi="Times New Roman" w:cs="Times New Roman"/>
          <w:color w:val="222222"/>
          <w:kern w:val="0"/>
          <w:sz w:val="24"/>
          <w:szCs w:val="24"/>
          <w14:ligatures w14:val="none"/>
        </w:rPr>
        <w:t xml:space="preserve">key recommendations regarding corporate governance principles, </w:t>
      </w:r>
      <w:proofErr w:type="gramStart"/>
      <w:r w:rsidR="00694C71">
        <w:rPr>
          <w:rFonts w:ascii="Times New Roman" w:eastAsia="Calibri" w:hAnsi="Times New Roman" w:cs="Times New Roman"/>
          <w:color w:val="222222"/>
          <w:kern w:val="0"/>
          <w:sz w:val="24"/>
          <w:szCs w:val="24"/>
          <w14:ligatures w14:val="none"/>
        </w:rPr>
        <w:t>procedures</w:t>
      </w:r>
      <w:proofErr w:type="gramEnd"/>
      <w:r w:rsidR="00694C71">
        <w:rPr>
          <w:rFonts w:ascii="Times New Roman" w:eastAsia="Calibri" w:hAnsi="Times New Roman" w:cs="Times New Roman"/>
          <w:color w:val="222222"/>
          <w:kern w:val="0"/>
          <w:sz w:val="24"/>
          <w:szCs w:val="24"/>
          <w14:ligatures w14:val="none"/>
        </w:rPr>
        <w:t xml:space="preserve"> and processes to minimise a number of the business risks </w:t>
      </w:r>
      <w:r w:rsidR="00381B2A">
        <w:rPr>
          <w:rFonts w:ascii="Times New Roman" w:eastAsia="Calibri" w:hAnsi="Times New Roman" w:cs="Times New Roman"/>
          <w:color w:val="222222"/>
          <w:kern w:val="0"/>
          <w:sz w:val="24"/>
          <w:szCs w:val="24"/>
          <w14:ligatures w14:val="none"/>
        </w:rPr>
        <w:t xml:space="preserve">that </w:t>
      </w:r>
      <w:r w:rsidR="00694C71">
        <w:rPr>
          <w:rFonts w:ascii="Times New Roman" w:eastAsia="Calibri" w:hAnsi="Times New Roman" w:cs="Times New Roman"/>
          <w:color w:val="222222"/>
          <w:kern w:val="0"/>
          <w:sz w:val="24"/>
          <w:szCs w:val="24"/>
          <w14:ligatures w14:val="none"/>
        </w:rPr>
        <w:t xml:space="preserve">contributed to </w:t>
      </w:r>
      <w:r w:rsidR="00907CCB">
        <w:rPr>
          <w:rFonts w:ascii="Times New Roman" w:eastAsia="Calibri" w:hAnsi="Times New Roman" w:cs="Times New Roman"/>
          <w:color w:val="222222"/>
          <w:kern w:val="0"/>
          <w:sz w:val="24"/>
          <w:szCs w:val="24"/>
          <w14:ligatures w14:val="none"/>
        </w:rPr>
        <w:t xml:space="preserve">the bankruptcy of these two </w:t>
      </w:r>
      <w:r w:rsidR="00835A1E">
        <w:rPr>
          <w:rFonts w:ascii="Times New Roman" w:eastAsia="Calibri" w:hAnsi="Times New Roman" w:cs="Times New Roman"/>
          <w:color w:val="222222"/>
          <w:kern w:val="0"/>
          <w:sz w:val="24"/>
          <w:szCs w:val="24"/>
          <w14:ligatures w14:val="none"/>
        </w:rPr>
        <w:t>entities</w:t>
      </w:r>
      <w:r w:rsidR="00694C71">
        <w:rPr>
          <w:rFonts w:ascii="Times New Roman" w:eastAsia="Calibri" w:hAnsi="Times New Roman" w:cs="Times New Roman"/>
          <w:color w:val="222222"/>
          <w:kern w:val="0"/>
          <w:sz w:val="24"/>
          <w:szCs w:val="24"/>
          <w14:ligatures w14:val="none"/>
        </w:rPr>
        <w:t>.</w:t>
      </w:r>
      <w:r w:rsidR="00835A1E">
        <w:rPr>
          <w:rFonts w:ascii="Times New Roman" w:eastAsia="Calibri" w:hAnsi="Times New Roman" w:cs="Times New Roman"/>
          <w:color w:val="222222"/>
          <w:kern w:val="0"/>
          <w:sz w:val="24"/>
          <w:szCs w:val="24"/>
          <w14:ligatures w14:val="none"/>
        </w:rPr>
        <w:t xml:space="preserve"> The implication of this study as a result is </w:t>
      </w:r>
      <w:r w:rsidR="006D36E5">
        <w:rPr>
          <w:rFonts w:ascii="Times New Roman" w:eastAsia="Calibri" w:hAnsi="Times New Roman" w:cs="Times New Roman"/>
          <w:color w:val="222222"/>
          <w:kern w:val="0"/>
          <w:sz w:val="24"/>
          <w:szCs w:val="24"/>
          <w14:ligatures w14:val="none"/>
        </w:rPr>
        <w:t xml:space="preserve">a contribution towards the field of corporate governance, particularly its application to digital asset enterprises. </w:t>
      </w:r>
    </w:p>
    <w:p w14:paraId="2C5B69B4" w14:textId="4F6EB398" w:rsidR="007525FB" w:rsidRPr="007271B6" w:rsidRDefault="00BE2E0A" w:rsidP="00082C04">
      <w:pPr>
        <w:spacing w:after="0" w:line="480" w:lineRule="auto"/>
        <w:ind w:firstLine="720"/>
        <w:rPr>
          <w:rFonts w:ascii="Times New Roman" w:eastAsia="Calibri" w:hAnsi="Times New Roman" w:cs="Times New Roman"/>
          <w:color w:val="222222"/>
          <w:kern w:val="0"/>
          <w:sz w:val="24"/>
          <w:szCs w:val="24"/>
          <w14:ligatures w14:val="none"/>
        </w:rPr>
      </w:pPr>
      <w:r>
        <w:rPr>
          <w:rFonts w:ascii="Times New Roman" w:eastAsia="Calibri" w:hAnsi="Times New Roman" w:cs="Times New Roman"/>
          <w:color w:val="222222"/>
          <w:kern w:val="0"/>
          <w:sz w:val="24"/>
          <w:szCs w:val="24"/>
          <w14:ligatures w14:val="none"/>
        </w:rPr>
        <w:t>Due to the scope and limitation of this study</w:t>
      </w:r>
      <w:r w:rsidR="006D36E5">
        <w:rPr>
          <w:rFonts w:ascii="Times New Roman" w:eastAsia="Calibri" w:hAnsi="Times New Roman" w:cs="Times New Roman"/>
          <w:color w:val="222222"/>
          <w:kern w:val="0"/>
          <w:sz w:val="24"/>
          <w:szCs w:val="24"/>
          <w14:ligatures w14:val="none"/>
        </w:rPr>
        <w:t xml:space="preserve"> it would be anticipated that valuable insight could be gained from further </w:t>
      </w:r>
      <w:r w:rsidR="005F34DF">
        <w:rPr>
          <w:rFonts w:ascii="Times New Roman" w:eastAsia="Calibri" w:hAnsi="Times New Roman" w:cs="Times New Roman"/>
          <w:color w:val="222222"/>
          <w:kern w:val="0"/>
          <w:sz w:val="24"/>
          <w:szCs w:val="24"/>
          <w14:ligatures w14:val="none"/>
        </w:rPr>
        <w:t>research</w:t>
      </w:r>
      <w:r w:rsidR="006D36E5">
        <w:rPr>
          <w:rFonts w:ascii="Times New Roman" w:eastAsia="Calibri" w:hAnsi="Times New Roman" w:cs="Times New Roman"/>
          <w:color w:val="222222"/>
          <w:kern w:val="0"/>
          <w:sz w:val="24"/>
          <w:szCs w:val="24"/>
          <w14:ligatures w14:val="none"/>
        </w:rPr>
        <w:t>.</w:t>
      </w:r>
      <w:r w:rsidR="005F34DF">
        <w:rPr>
          <w:rFonts w:ascii="Times New Roman" w:eastAsia="Calibri" w:hAnsi="Times New Roman" w:cs="Times New Roman"/>
          <w:color w:val="222222"/>
          <w:kern w:val="0"/>
          <w:sz w:val="24"/>
          <w:szCs w:val="24"/>
          <w14:ligatures w14:val="none"/>
        </w:rPr>
        <w:t xml:space="preserve"> Notably a study examining the </w:t>
      </w:r>
      <w:r w:rsidR="00F82DA3">
        <w:rPr>
          <w:rFonts w:ascii="Times New Roman" w:eastAsia="Calibri" w:hAnsi="Times New Roman" w:cs="Times New Roman"/>
          <w:color w:val="222222"/>
          <w:kern w:val="0"/>
          <w:sz w:val="24"/>
          <w:szCs w:val="24"/>
          <w14:ligatures w14:val="none"/>
        </w:rPr>
        <w:t>involvement</w:t>
      </w:r>
      <w:r w:rsidR="005F34DF">
        <w:rPr>
          <w:rFonts w:ascii="Times New Roman" w:eastAsia="Calibri" w:hAnsi="Times New Roman" w:cs="Times New Roman"/>
          <w:color w:val="222222"/>
          <w:kern w:val="0"/>
          <w:sz w:val="24"/>
          <w:szCs w:val="24"/>
          <w14:ligatures w14:val="none"/>
        </w:rPr>
        <w:t xml:space="preserve"> of wider market participants including Binance and Coinbase in the events which </w:t>
      </w:r>
      <w:r w:rsidR="00F82DA3">
        <w:rPr>
          <w:rFonts w:ascii="Times New Roman" w:eastAsia="Calibri" w:hAnsi="Times New Roman" w:cs="Times New Roman"/>
          <w:color w:val="222222"/>
          <w:kern w:val="0"/>
          <w:sz w:val="24"/>
          <w:szCs w:val="24"/>
          <w14:ligatures w14:val="none"/>
        </w:rPr>
        <w:t>contributed</w:t>
      </w:r>
      <w:r w:rsidR="005F34DF">
        <w:rPr>
          <w:rFonts w:ascii="Times New Roman" w:eastAsia="Calibri" w:hAnsi="Times New Roman" w:cs="Times New Roman"/>
          <w:color w:val="222222"/>
          <w:kern w:val="0"/>
          <w:sz w:val="24"/>
          <w:szCs w:val="24"/>
          <w14:ligatures w14:val="none"/>
        </w:rPr>
        <w:t xml:space="preserve"> to the bankruptcy of FTX and Alameda Research and how stronger corporate governance practices could have mitigated these outside influences.</w:t>
      </w:r>
      <w:r w:rsidR="00F82DA3">
        <w:rPr>
          <w:rFonts w:ascii="Times New Roman" w:eastAsia="Calibri" w:hAnsi="Times New Roman" w:cs="Times New Roman"/>
          <w:color w:val="222222"/>
          <w:kern w:val="0"/>
          <w:sz w:val="24"/>
          <w:szCs w:val="24"/>
          <w14:ligatures w14:val="none"/>
        </w:rPr>
        <w:t xml:space="preserve"> Other valuable studies could include how regulators should respond to the rapidly changing digital asset industry regarding </w:t>
      </w:r>
      <w:r w:rsidR="00F82DA3">
        <w:rPr>
          <w:rFonts w:ascii="Times New Roman" w:eastAsia="Calibri" w:hAnsi="Times New Roman" w:cs="Times New Roman"/>
          <w:color w:val="222222"/>
          <w:kern w:val="0"/>
          <w:sz w:val="24"/>
          <w:szCs w:val="24"/>
          <w14:ligatures w14:val="none"/>
        </w:rPr>
        <w:lastRenderedPageBreak/>
        <w:t>corporate governance requirements or how governance frameworks can be created and developed specifically for the digital asset industry.</w:t>
      </w:r>
    </w:p>
    <w:p w14:paraId="29A9BBDB" w14:textId="77777777" w:rsidR="00F808B3" w:rsidRPr="007271B6" w:rsidRDefault="00F808B3" w:rsidP="008B2FC1">
      <w:pPr>
        <w:pStyle w:val="Heading2"/>
      </w:pPr>
      <w:bookmarkStart w:id="35" w:name="_Toc165667426"/>
      <w:r w:rsidRPr="007271B6">
        <w:t>Conclusion</w:t>
      </w:r>
      <w:bookmarkEnd w:id="35"/>
    </w:p>
    <w:p w14:paraId="7EE15749" w14:textId="77777777" w:rsidR="001A7E04" w:rsidRPr="007271B6" w:rsidRDefault="001A7E04" w:rsidP="001A7E04">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The first-hand knowledge of corporate governance failure comes from primary data sources. Interviews were conducted with FTX and Alameda Research executives, employees, and other stakeholders during the data collection process. The information gathered from these interviews forms important qualitative insights that shed light on the decision-making processes, policy structures, and situations in which the collapse occurred in the event of governance failures. The observations provided an alternative way of gathering information. Participant observation was also used by researchers who visited institutions to observe how governance manifested itself. This practise provided direct evidence of governance and policy that served as the basis for real-time observations of governance. Secondary data sources, including archival records and internal documents, were critical to consolidating the primary data. The researchers analysed financial reports, board meeting minutes and historical documents that helped to trace the evolution of corporate governance at FTX and Alameda Research.</w:t>
      </w:r>
    </w:p>
    <w:p w14:paraId="4D04841E" w14:textId="6E2DAC1C" w:rsidR="008B2FC1" w:rsidRDefault="001A7E04" w:rsidP="00F51E48">
      <w:pPr>
        <w:spacing w:after="0" w:line="480" w:lineRule="auto"/>
        <w:ind w:firstLine="720"/>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t xml:space="preserve">The qualitative case study approach is an appropriate and powerful means of gathering accurate data on why the corporate governance systems at FTX and Alameda Research failed. The researcher systematically analysed data from primary and secondary sources, while also looking at ethics when analysing the corporate governance problems of these companies. This approach has indeed provided useful insights into the debate on corporate governance in the digital asset industry and can serve as a basis for improvement if accountability is to be introduced in this dynamic industry. The methodology used provides relevant and reliable results that promote the realisation of the study's objectives. The </w:t>
      </w:r>
      <w:r w:rsidRPr="007271B6">
        <w:rPr>
          <w:rFonts w:ascii="Times New Roman" w:eastAsia="Calibri" w:hAnsi="Times New Roman" w:cs="Times New Roman"/>
          <w:color w:val="222222"/>
          <w:kern w:val="0"/>
          <w:sz w:val="24"/>
          <w:szCs w:val="24"/>
          <w14:ligatures w14:val="none"/>
        </w:rPr>
        <w:lastRenderedPageBreak/>
        <w:t>reliability and authenticity of the methodology is therefore an essential foundation for the results part of the project.</w:t>
      </w:r>
    </w:p>
    <w:p w14:paraId="59314C82"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5375E15F"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135E62E3"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6AC160DD"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177D2BE9"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06545C80"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5C6C5E55"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3AC31438"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4B3A7818"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3BEFAE8A"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5FB513C5"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0F06193E"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38C32AE5"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22F106E1"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219D255F"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2DF72129"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6E04368D"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46184EAC"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262BB1C9"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008DDA47"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2E5970C9"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0505FAD8" w14:textId="77777777" w:rsidR="00C87C4D"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1F42DDB3" w14:textId="77777777" w:rsidR="00C87C4D" w:rsidRPr="00F51E48" w:rsidRDefault="00C87C4D" w:rsidP="00F51E48">
      <w:pPr>
        <w:spacing w:after="0" w:line="480" w:lineRule="auto"/>
        <w:ind w:firstLine="720"/>
        <w:rPr>
          <w:rFonts w:ascii="Times New Roman" w:eastAsia="Calibri" w:hAnsi="Times New Roman" w:cs="Times New Roman"/>
          <w:color w:val="222222"/>
          <w:kern w:val="0"/>
          <w:sz w:val="24"/>
          <w:szCs w:val="24"/>
          <w14:ligatures w14:val="none"/>
        </w:rPr>
      </w:pPr>
    </w:p>
    <w:p w14:paraId="70F92184" w14:textId="7ABD5170" w:rsidR="00F808B3" w:rsidRPr="007271B6" w:rsidRDefault="00F808B3" w:rsidP="002770D2">
      <w:pPr>
        <w:pStyle w:val="Heading1"/>
        <w:rPr>
          <w:lang w:val="en-GB"/>
        </w:rPr>
      </w:pPr>
      <w:bookmarkStart w:id="36" w:name="_Toc165667427"/>
      <w:r w:rsidRPr="007271B6">
        <w:rPr>
          <w:lang w:val="en-GB"/>
        </w:rPr>
        <w:lastRenderedPageBreak/>
        <w:t>Analysis &amp; Results</w:t>
      </w:r>
      <w:bookmarkEnd w:id="36"/>
    </w:p>
    <w:p w14:paraId="0F756980" w14:textId="68C457DF" w:rsidR="00217A79" w:rsidRPr="007271B6" w:rsidRDefault="00217A79" w:rsidP="00217A79">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This chapter includes the analysis of archives, literature research and interviews through various investigative documentaries. The documentary interviews from these two channels serve as primary sources for a first-hand account of the participants in the study, mainly the key players from the companies FTX and Alameda Research. Priority coding was used to analyse the data; three predetermined codes were used to categorise the data, including corporate governance practices, corporate </w:t>
      </w:r>
      <w:proofErr w:type="gramStart"/>
      <w:r w:rsidRPr="007271B6">
        <w:rPr>
          <w:rFonts w:ascii="Times New Roman" w:hAnsi="Times New Roman" w:cs="Times New Roman"/>
          <w:kern w:val="0"/>
          <w:sz w:val="24"/>
          <w:szCs w:val="24"/>
        </w:rPr>
        <w:t>issues</w:t>
      </w:r>
      <w:proofErr w:type="gramEnd"/>
      <w:r w:rsidRPr="007271B6">
        <w:rPr>
          <w:rFonts w:ascii="Times New Roman" w:hAnsi="Times New Roman" w:cs="Times New Roman"/>
          <w:kern w:val="0"/>
          <w:sz w:val="24"/>
          <w:szCs w:val="24"/>
        </w:rPr>
        <w:t xml:space="preserve"> and </w:t>
      </w:r>
      <w:r w:rsidR="00DF38AE">
        <w:rPr>
          <w:rFonts w:ascii="Times New Roman" w:hAnsi="Times New Roman" w:cs="Times New Roman"/>
          <w:kern w:val="0"/>
          <w:sz w:val="24"/>
          <w:szCs w:val="24"/>
        </w:rPr>
        <w:t>digital asset</w:t>
      </w:r>
      <w:r w:rsidRPr="007271B6">
        <w:rPr>
          <w:rFonts w:ascii="Times New Roman" w:hAnsi="Times New Roman" w:cs="Times New Roman"/>
          <w:kern w:val="0"/>
          <w:sz w:val="24"/>
          <w:szCs w:val="24"/>
        </w:rPr>
        <w:t xml:space="preserve"> regulation. A cross-examination of the collapse and previous collapses of Terra/Luna and the Three Arrows was also conducted to identify similarities and differences.</w:t>
      </w:r>
    </w:p>
    <w:p w14:paraId="265D14C4" w14:textId="3BA83B0B" w:rsidR="00217A79" w:rsidRPr="007271B6" w:rsidRDefault="00217A79" w:rsidP="00217A79">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Priori coding was deployed to uncover an in-depth understanding of the FTX and Alameda Research corporate failure (Creswell and </w:t>
      </w:r>
      <w:proofErr w:type="spellStart"/>
      <w:r w:rsidRPr="007271B6">
        <w:rPr>
          <w:rFonts w:ascii="Times New Roman" w:hAnsi="Times New Roman" w:cs="Times New Roman"/>
          <w:kern w:val="0"/>
          <w:sz w:val="24"/>
          <w:szCs w:val="24"/>
        </w:rPr>
        <w:t>Poth</w:t>
      </w:r>
      <w:proofErr w:type="spellEnd"/>
      <w:r w:rsidRPr="007271B6">
        <w:rPr>
          <w:rFonts w:ascii="Times New Roman" w:hAnsi="Times New Roman" w:cs="Times New Roman"/>
          <w:kern w:val="0"/>
          <w:sz w:val="24"/>
          <w:szCs w:val="24"/>
        </w:rPr>
        <w:t xml:space="preserve">, 2016). The predetermined codes guided the data analysis by providing the framework for the study and helping to identify categories for the data from the interviews, </w:t>
      </w:r>
      <w:proofErr w:type="gramStart"/>
      <w:r w:rsidRPr="007271B6">
        <w:rPr>
          <w:rFonts w:ascii="Times New Roman" w:hAnsi="Times New Roman" w:cs="Times New Roman"/>
          <w:kern w:val="0"/>
          <w:sz w:val="24"/>
          <w:szCs w:val="24"/>
        </w:rPr>
        <w:t>archives</w:t>
      </w:r>
      <w:proofErr w:type="gramEnd"/>
      <w:r w:rsidRPr="007271B6">
        <w:rPr>
          <w:rFonts w:ascii="Times New Roman" w:hAnsi="Times New Roman" w:cs="Times New Roman"/>
          <w:kern w:val="0"/>
          <w:sz w:val="24"/>
          <w:szCs w:val="24"/>
        </w:rPr>
        <w:t xml:space="preserve"> and literature review. Identified themes that form the predetermined codes include corporate governance practices, corporate </w:t>
      </w:r>
      <w:proofErr w:type="gramStart"/>
      <w:r w:rsidRPr="007271B6">
        <w:rPr>
          <w:rFonts w:ascii="Times New Roman" w:hAnsi="Times New Roman" w:cs="Times New Roman"/>
          <w:kern w:val="0"/>
          <w:sz w:val="24"/>
          <w:szCs w:val="24"/>
        </w:rPr>
        <w:t>issues</w:t>
      </w:r>
      <w:proofErr w:type="gramEnd"/>
      <w:r w:rsidRPr="007271B6">
        <w:rPr>
          <w:rFonts w:ascii="Times New Roman" w:hAnsi="Times New Roman" w:cs="Times New Roman"/>
          <w:kern w:val="0"/>
          <w:sz w:val="24"/>
          <w:szCs w:val="24"/>
        </w:rPr>
        <w:t xml:space="preserve"> and </w:t>
      </w:r>
      <w:r w:rsidR="00DF38AE">
        <w:rPr>
          <w:rFonts w:ascii="Times New Roman" w:hAnsi="Times New Roman" w:cs="Times New Roman"/>
          <w:kern w:val="0"/>
          <w:sz w:val="24"/>
          <w:szCs w:val="24"/>
        </w:rPr>
        <w:t>digital asset</w:t>
      </w:r>
      <w:r w:rsidRPr="007271B6">
        <w:rPr>
          <w:rFonts w:ascii="Times New Roman" w:hAnsi="Times New Roman" w:cs="Times New Roman"/>
          <w:kern w:val="0"/>
          <w:sz w:val="24"/>
          <w:szCs w:val="24"/>
        </w:rPr>
        <w:t xml:space="preserve"> regulations. The data collected and reviewed was sorted and categorised for analysis based on these themes.</w:t>
      </w:r>
    </w:p>
    <w:p w14:paraId="6F9C1E1B" w14:textId="4AD40EDB" w:rsidR="00F808B3" w:rsidRPr="007271B6" w:rsidRDefault="00217A79" w:rsidP="00217A79">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The coding was primarily concerned with utilising the given themes from the literature review to create a comprehensive argument for their qualification. As a result, the analysis focused on three elements of entrepreneurial failure with the goal of shedding light on the relationships between FTX and Alameda Research and ultimate failure through cross-case analysis and invariant comparisons. Themes were drawn and constructed from various qualitative analyses of key informant interviews, stories, and archival data to explain the failure of FTX</w:t>
      </w:r>
      <w:r w:rsidR="00A212CB">
        <w:rPr>
          <w:rFonts w:ascii="Times New Roman" w:hAnsi="Times New Roman" w:cs="Times New Roman"/>
          <w:kern w:val="0"/>
          <w:sz w:val="24"/>
          <w:szCs w:val="24"/>
        </w:rPr>
        <w:t xml:space="preserve"> and Alameda Research</w:t>
      </w:r>
      <w:r w:rsidRPr="007271B6">
        <w:rPr>
          <w:rFonts w:ascii="Times New Roman" w:hAnsi="Times New Roman" w:cs="Times New Roman"/>
          <w:kern w:val="0"/>
          <w:sz w:val="24"/>
          <w:szCs w:val="24"/>
        </w:rPr>
        <w:t xml:space="preserve">. Several video interviews from primary sources such as Bloomberg Originals and CNBC provide detailed descriptions that </w:t>
      </w:r>
      <w:r w:rsidR="00A212CB" w:rsidRPr="007271B6">
        <w:rPr>
          <w:rFonts w:ascii="Times New Roman" w:hAnsi="Times New Roman" w:cs="Times New Roman"/>
          <w:kern w:val="0"/>
          <w:sz w:val="24"/>
          <w:szCs w:val="24"/>
        </w:rPr>
        <w:t>offer</w:t>
      </w:r>
      <w:r w:rsidRPr="007271B6">
        <w:rPr>
          <w:rFonts w:ascii="Times New Roman" w:hAnsi="Times New Roman" w:cs="Times New Roman"/>
          <w:kern w:val="0"/>
          <w:sz w:val="24"/>
          <w:szCs w:val="24"/>
        </w:rPr>
        <w:t xml:space="preserve"> an in-depth understanding of the extent and nature of t</w:t>
      </w:r>
      <w:r w:rsidR="004909ED" w:rsidRPr="007271B6">
        <w:rPr>
          <w:rFonts w:ascii="Times New Roman" w:hAnsi="Times New Roman" w:cs="Times New Roman"/>
          <w:kern w:val="0"/>
          <w:sz w:val="24"/>
          <w:szCs w:val="24"/>
        </w:rPr>
        <w:t>he underlying company issues</w:t>
      </w:r>
      <w:r w:rsidRPr="007271B6">
        <w:rPr>
          <w:rFonts w:ascii="Times New Roman" w:hAnsi="Times New Roman" w:cs="Times New Roman"/>
          <w:kern w:val="0"/>
          <w:sz w:val="24"/>
          <w:szCs w:val="24"/>
        </w:rPr>
        <w:t xml:space="preserve"> and corporate </w:t>
      </w:r>
      <w:r w:rsidRPr="007271B6">
        <w:rPr>
          <w:rFonts w:ascii="Times New Roman" w:hAnsi="Times New Roman" w:cs="Times New Roman"/>
          <w:kern w:val="0"/>
          <w:sz w:val="24"/>
          <w:szCs w:val="24"/>
        </w:rPr>
        <w:lastRenderedPageBreak/>
        <w:t>governance practises to provide a modest conclusion and recommendation based on the case study of FTX and Alameda</w:t>
      </w:r>
      <w:r w:rsidR="00A212CB">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R</w:t>
      </w:r>
      <w:r w:rsidR="00A212CB">
        <w:rPr>
          <w:rFonts w:ascii="Times New Roman" w:hAnsi="Times New Roman" w:cs="Times New Roman"/>
          <w:kern w:val="0"/>
          <w:sz w:val="24"/>
          <w:szCs w:val="24"/>
        </w:rPr>
        <w:t>1</w:t>
      </w:r>
      <w:r w:rsidRPr="007271B6">
        <w:rPr>
          <w:rFonts w:ascii="Times New Roman" w:hAnsi="Times New Roman" w:cs="Times New Roman"/>
          <w:kern w:val="0"/>
          <w:sz w:val="24"/>
          <w:szCs w:val="24"/>
        </w:rPr>
        <w:t>-R</w:t>
      </w:r>
      <w:r w:rsidR="00A212CB">
        <w:rPr>
          <w:rFonts w:ascii="Times New Roman" w:hAnsi="Times New Roman" w:cs="Times New Roman"/>
          <w:kern w:val="0"/>
          <w:sz w:val="24"/>
          <w:szCs w:val="24"/>
        </w:rPr>
        <w:t>8</w:t>
      </w:r>
      <w:r w:rsidRPr="007271B6">
        <w:rPr>
          <w:rFonts w:ascii="Times New Roman" w:hAnsi="Times New Roman" w:cs="Times New Roman"/>
          <w:kern w:val="0"/>
          <w:sz w:val="24"/>
          <w:szCs w:val="24"/>
        </w:rPr>
        <w:t xml:space="preserve"> identifies the eight interviewees for this study; full demographic information can b</w:t>
      </w:r>
      <w:r w:rsidR="00846984" w:rsidRPr="007271B6">
        <w:rPr>
          <w:rFonts w:ascii="Times New Roman" w:hAnsi="Times New Roman" w:cs="Times New Roman"/>
          <w:kern w:val="0"/>
          <w:sz w:val="24"/>
          <w:szCs w:val="24"/>
        </w:rPr>
        <w:t xml:space="preserve">e found in Table 1 in </w:t>
      </w:r>
      <w:r w:rsidR="00A212CB">
        <w:rPr>
          <w:rFonts w:ascii="Times New Roman" w:hAnsi="Times New Roman" w:cs="Times New Roman"/>
          <w:kern w:val="0"/>
          <w:sz w:val="24"/>
          <w:szCs w:val="24"/>
        </w:rPr>
        <w:t xml:space="preserve">the </w:t>
      </w:r>
      <w:r w:rsidR="00846984" w:rsidRPr="007271B6">
        <w:rPr>
          <w:rFonts w:ascii="Times New Roman" w:hAnsi="Times New Roman" w:cs="Times New Roman"/>
          <w:kern w:val="0"/>
          <w:sz w:val="24"/>
          <w:szCs w:val="24"/>
        </w:rPr>
        <w:t>Appendix</w:t>
      </w:r>
      <w:r w:rsidR="00A212CB">
        <w:rPr>
          <w:rFonts w:ascii="Times New Roman" w:hAnsi="Times New Roman" w:cs="Times New Roman"/>
          <w:kern w:val="0"/>
          <w:sz w:val="24"/>
          <w:szCs w:val="24"/>
        </w:rPr>
        <w:t>.</w:t>
      </w:r>
    </w:p>
    <w:p w14:paraId="533BE2E0" w14:textId="77777777" w:rsidR="00F808B3" w:rsidRPr="007271B6" w:rsidRDefault="00F808B3" w:rsidP="008B2FC1">
      <w:pPr>
        <w:pStyle w:val="Heading2"/>
      </w:pPr>
      <w:bookmarkStart w:id="37" w:name="_Toc165667428"/>
      <w:r w:rsidRPr="007271B6">
        <w:t>Theme 1: Company Issues</w:t>
      </w:r>
      <w:bookmarkEnd w:id="37"/>
    </w:p>
    <w:p w14:paraId="3B7B88F6" w14:textId="06CF20F9" w:rsidR="00F808B3" w:rsidRPr="007271B6" w:rsidRDefault="00A036E5" w:rsidP="00F808B3">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Multiple financial sources reveal that the unprecedented collapse of FTX was a significant blow to the cryptocurrency market, exposing loopholes in the companies (CNBC, 2023; Roy, Anand, and Chandra, 2022). This unveils the first sub-theme on the organisational structure of FTX and Alameda Research; see Figure 1 below.</w:t>
      </w:r>
      <w:r w:rsidR="00F808B3" w:rsidRPr="007271B6">
        <w:rPr>
          <w:rFonts w:ascii="Times New Roman" w:hAnsi="Times New Roman" w:cs="Times New Roman"/>
          <w:kern w:val="0"/>
          <w:sz w:val="24"/>
          <w:szCs w:val="24"/>
        </w:rPr>
        <w:t xml:space="preserve"> </w:t>
      </w:r>
    </w:p>
    <w:p w14:paraId="0D421A30" w14:textId="0E775D76" w:rsidR="00F808B3" w:rsidRPr="007271B6" w:rsidRDefault="00F808B3" w:rsidP="00F808B3">
      <w:pPr>
        <w:spacing w:after="0" w:line="240" w:lineRule="auto"/>
        <w:ind w:left="709" w:firstLine="11"/>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4</w:t>
      </w:r>
      <w:r w:rsidRPr="007271B6">
        <w:rPr>
          <w:rFonts w:ascii="Times New Roman" w:hAnsi="Times New Roman" w:cs="Times New Roman"/>
          <w:i/>
          <w:kern w:val="0"/>
          <w:sz w:val="24"/>
          <w:szCs w:val="24"/>
        </w:rPr>
        <w:t>: I had no reason to suspect that FTX wasn’t anything other than extremely profitable and in great shape…Sam was embarking on fundraising…He had said both on some internal all hands, and externally that ftx.com had 2 billion in excess capital, as a result of its raises, and FTX US has 6-$700</w:t>
      </w:r>
      <w:r w:rsidR="00E554C7">
        <w:rPr>
          <w:rFonts w:ascii="Times New Roman" w:hAnsi="Times New Roman" w:cs="Times New Roman"/>
          <w:i/>
          <w:kern w:val="0"/>
          <w:sz w:val="24"/>
          <w:szCs w:val="24"/>
        </w:rPr>
        <w:t xml:space="preserve"> million</w:t>
      </w:r>
      <w:r w:rsidRPr="007271B6">
        <w:rPr>
          <w:rFonts w:ascii="Times New Roman" w:hAnsi="Times New Roman" w:cs="Times New Roman"/>
          <w:i/>
          <w:kern w:val="0"/>
          <w:sz w:val="24"/>
          <w:szCs w:val="24"/>
        </w:rPr>
        <w:t xml:space="preserve">, and they were in </w:t>
      </w:r>
      <w:r w:rsidR="00A212CB" w:rsidRPr="007271B6">
        <w:rPr>
          <w:rFonts w:ascii="Times New Roman" w:hAnsi="Times New Roman" w:cs="Times New Roman"/>
          <w:i/>
          <w:kern w:val="0"/>
          <w:sz w:val="24"/>
          <w:szCs w:val="24"/>
        </w:rPr>
        <w:t>amazing</w:t>
      </w:r>
      <w:r w:rsidRPr="007271B6">
        <w:rPr>
          <w:rFonts w:ascii="Times New Roman" w:hAnsi="Times New Roman" w:cs="Times New Roman"/>
          <w:i/>
          <w:kern w:val="0"/>
          <w:sz w:val="24"/>
          <w:szCs w:val="24"/>
        </w:rPr>
        <w:t xml:space="preserve"> shape…We had absolutely no clue (CNBC, 2023, 10:00-27:00). </w:t>
      </w:r>
    </w:p>
    <w:p w14:paraId="3BF36E97" w14:textId="77777777" w:rsidR="00F808B3" w:rsidRPr="007271B6" w:rsidRDefault="00F808B3" w:rsidP="00F808B3">
      <w:pPr>
        <w:spacing w:after="0" w:line="24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 </w:t>
      </w:r>
    </w:p>
    <w:p w14:paraId="04E677D1" w14:textId="77777777" w:rsidR="00F808B3" w:rsidRPr="007271B6" w:rsidRDefault="00F808B3" w:rsidP="00F808B3">
      <w:pPr>
        <w:spacing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When asked by CNBC about the conflict of interest and ties between FTX and Alameda Research and how the two companies survived the crush, the key respondent answered:</w:t>
      </w:r>
    </w:p>
    <w:p w14:paraId="188F420D" w14:textId="50365AA5" w:rsidR="00F808B3" w:rsidRPr="007271B6" w:rsidRDefault="00F808B3" w:rsidP="00F808B3">
      <w:pPr>
        <w:spacing w:after="0" w:line="240" w:lineRule="auto"/>
        <w:ind w:left="709"/>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1</w:t>
      </w:r>
      <w:r w:rsidRPr="007271B6">
        <w:rPr>
          <w:rFonts w:ascii="Times New Roman" w:hAnsi="Times New Roman" w:cs="Times New Roman"/>
          <w:i/>
          <w:kern w:val="0"/>
          <w:sz w:val="24"/>
          <w:szCs w:val="24"/>
        </w:rPr>
        <w:t xml:space="preserve">: I mean, I think, and </w:t>
      </w:r>
      <w:proofErr w:type="gramStart"/>
      <w:r w:rsidRPr="007271B6">
        <w:rPr>
          <w:rFonts w:ascii="Times New Roman" w:hAnsi="Times New Roman" w:cs="Times New Roman"/>
          <w:i/>
          <w:kern w:val="0"/>
          <w:sz w:val="24"/>
          <w:szCs w:val="24"/>
        </w:rPr>
        <w:t>first of all</w:t>
      </w:r>
      <w:proofErr w:type="gramEnd"/>
      <w:r w:rsidRPr="007271B6">
        <w:rPr>
          <w:rFonts w:ascii="Times New Roman" w:hAnsi="Times New Roman" w:cs="Times New Roman"/>
          <w:i/>
          <w:kern w:val="0"/>
          <w:sz w:val="24"/>
          <w:szCs w:val="24"/>
        </w:rPr>
        <w:t xml:space="preserve">, FTX, our corporate treasury is in cash. I mean, our business office incredibly like related to the crypto markets, but we keep cash on hand, and it’s not meant to be something that has direct market exposure… I’ve put a lot of work over the last few years into trying to eliminate conflicts of interest there… I don’t run Alameda anymore. I don’t work for it. None of FTX does separate SaaS and the way that we view FTX is as a neutral piece of market infrastructure (CNBC, 2023, 10:00-27:00).  </w:t>
      </w:r>
    </w:p>
    <w:p w14:paraId="4AE5BE3F" w14:textId="77777777" w:rsidR="00F808B3" w:rsidRPr="007271B6" w:rsidRDefault="00F808B3" w:rsidP="00F808B3">
      <w:pPr>
        <w:spacing w:after="0" w:line="240" w:lineRule="auto"/>
        <w:ind w:left="709"/>
        <w:rPr>
          <w:rFonts w:ascii="Times New Roman" w:hAnsi="Times New Roman" w:cs="Times New Roman"/>
          <w:kern w:val="0"/>
          <w:sz w:val="24"/>
          <w:szCs w:val="24"/>
        </w:rPr>
      </w:pPr>
    </w:p>
    <w:p w14:paraId="6AC04256" w14:textId="36AD5F82" w:rsidR="00F808B3" w:rsidRPr="007271B6" w:rsidRDefault="00F808B3" w:rsidP="00F808B3">
      <w:pPr>
        <w:spacing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The CEO of FTX had a controversial vision. One </w:t>
      </w:r>
      <w:r w:rsidR="00A212CB">
        <w:rPr>
          <w:rFonts w:ascii="Times New Roman" w:hAnsi="Times New Roman" w:cs="Times New Roman"/>
          <w:kern w:val="0"/>
          <w:sz w:val="24"/>
          <w:szCs w:val="24"/>
        </w:rPr>
        <w:t>which significantly jeopardised the two entities</w:t>
      </w:r>
      <w:r w:rsidRPr="007271B6">
        <w:rPr>
          <w:rFonts w:ascii="Times New Roman" w:hAnsi="Times New Roman" w:cs="Times New Roman"/>
          <w:kern w:val="0"/>
          <w:sz w:val="24"/>
          <w:szCs w:val="24"/>
        </w:rPr>
        <w:t xml:space="preserve">. </w:t>
      </w:r>
    </w:p>
    <w:p w14:paraId="6CBDDA12" w14:textId="4DBBF014" w:rsidR="00F808B3" w:rsidRPr="007271B6" w:rsidRDefault="00F808B3" w:rsidP="00F808B3">
      <w:pPr>
        <w:spacing w:after="0" w:line="240" w:lineRule="auto"/>
        <w:ind w:left="709"/>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1</w:t>
      </w:r>
      <w:r w:rsidRPr="007271B6">
        <w:rPr>
          <w:rFonts w:ascii="Times New Roman" w:hAnsi="Times New Roman" w:cs="Times New Roman"/>
          <w:i/>
          <w:kern w:val="0"/>
          <w:sz w:val="24"/>
          <w:szCs w:val="24"/>
        </w:rPr>
        <w:t xml:space="preserve">: My goal is to put myself in a position where I will be able to donate almost everything that I make. If you spend $300 million buying a yacht, like that’s thousands of lives that you probably could have saved in Sub-Saharan Africa. </w:t>
      </w:r>
    </w:p>
    <w:p w14:paraId="4A63D5E8" w14:textId="77777777" w:rsidR="00F808B3" w:rsidRPr="007271B6" w:rsidRDefault="00F808B3" w:rsidP="00F808B3">
      <w:pPr>
        <w:spacing w:after="0" w:line="240" w:lineRule="auto"/>
        <w:ind w:left="709"/>
        <w:rPr>
          <w:rFonts w:ascii="Times New Roman" w:hAnsi="Times New Roman" w:cs="Times New Roman"/>
          <w:i/>
          <w:kern w:val="0"/>
          <w:sz w:val="24"/>
          <w:szCs w:val="24"/>
        </w:rPr>
      </w:pPr>
    </w:p>
    <w:p w14:paraId="7311F860" w14:textId="2309B88A" w:rsidR="00F808B3" w:rsidRPr="007271B6" w:rsidRDefault="00F808B3" w:rsidP="007525FB">
      <w:pPr>
        <w:spacing w:after="0" w:line="24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The Bloomberg documentary </w:t>
      </w:r>
      <w:r w:rsidR="00A212CB" w:rsidRPr="007271B6">
        <w:rPr>
          <w:rFonts w:ascii="Times New Roman" w:hAnsi="Times New Roman" w:cs="Times New Roman"/>
          <w:kern w:val="0"/>
          <w:sz w:val="24"/>
          <w:szCs w:val="24"/>
        </w:rPr>
        <w:t>dubbed</w:t>
      </w:r>
      <w:r w:rsidRPr="007271B6">
        <w:rPr>
          <w:rFonts w:ascii="Times New Roman" w:hAnsi="Times New Roman" w:cs="Times New Roman"/>
          <w:kern w:val="0"/>
          <w:sz w:val="24"/>
          <w:szCs w:val="24"/>
        </w:rPr>
        <w:t xml:space="preserve"> this ideology as effective altruism. The fundamental principle behind the concept and philosophy of effective altruism is utilitarianism, doing the best for the most people (Bloomberg Originals, 2023). The Bloomberg correspondence argues that:</w:t>
      </w:r>
    </w:p>
    <w:p w14:paraId="272B347E" w14:textId="20BA1A26" w:rsidR="00E554C7" w:rsidRPr="007271B6" w:rsidRDefault="00F808B3" w:rsidP="00E554C7">
      <w:pPr>
        <w:spacing w:before="240" w:after="0" w:line="240" w:lineRule="auto"/>
        <w:ind w:left="709"/>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7</w:t>
      </w:r>
      <w:r w:rsidRPr="007271B6">
        <w:rPr>
          <w:rFonts w:ascii="Times New Roman" w:hAnsi="Times New Roman" w:cs="Times New Roman"/>
          <w:i/>
          <w:kern w:val="0"/>
          <w:sz w:val="24"/>
          <w:szCs w:val="24"/>
        </w:rPr>
        <w:t xml:space="preserve">: </w:t>
      </w:r>
      <w:r w:rsidR="00E554C7">
        <w:rPr>
          <w:rFonts w:ascii="Times New Roman" w:hAnsi="Times New Roman" w:cs="Times New Roman"/>
          <w:i/>
          <w:kern w:val="0"/>
          <w:sz w:val="24"/>
          <w:szCs w:val="24"/>
        </w:rPr>
        <w:t>W</w:t>
      </w:r>
      <w:r w:rsidRPr="007271B6">
        <w:rPr>
          <w:rFonts w:ascii="Times New Roman" w:hAnsi="Times New Roman" w:cs="Times New Roman"/>
          <w:i/>
          <w:kern w:val="0"/>
          <w:sz w:val="24"/>
          <w:szCs w:val="24"/>
        </w:rPr>
        <w:t xml:space="preserve">hen you just take a few steps away from it, because the idea essentially is it’s better to go into finance than it is to become a doctor or a teacher. It’s morally </w:t>
      </w:r>
      <w:r w:rsidRPr="007271B6">
        <w:rPr>
          <w:rFonts w:ascii="Times New Roman" w:hAnsi="Times New Roman" w:cs="Times New Roman"/>
          <w:i/>
          <w:kern w:val="0"/>
          <w:sz w:val="24"/>
          <w:szCs w:val="24"/>
        </w:rPr>
        <w:lastRenderedPageBreak/>
        <w:t xml:space="preserve">superior and that it’s basically a philosophy designed to flatter the sensibilities of tech bros and finance bros, where now you don’t have feel bad about being in finance instead of </w:t>
      </w:r>
      <w:proofErr w:type="gramStart"/>
      <w:r w:rsidRPr="007271B6">
        <w:rPr>
          <w:rFonts w:ascii="Times New Roman" w:hAnsi="Times New Roman" w:cs="Times New Roman"/>
          <w:i/>
          <w:kern w:val="0"/>
          <w:sz w:val="24"/>
          <w:szCs w:val="24"/>
        </w:rPr>
        <w:t>actually helping</w:t>
      </w:r>
      <w:proofErr w:type="gramEnd"/>
      <w:r w:rsidRPr="007271B6">
        <w:rPr>
          <w:rFonts w:ascii="Times New Roman" w:hAnsi="Times New Roman" w:cs="Times New Roman"/>
          <w:i/>
          <w:kern w:val="0"/>
          <w:sz w:val="24"/>
          <w:szCs w:val="24"/>
        </w:rPr>
        <w:t xml:space="preserve"> people in your day-to-day life… It’s a worldview that essentially justifies almost any behaviour today, that justifies insane accumulation of wealth while not necessarily paying your fair share to society (Bloomberg Originals, 2023, 26:00-27:13). </w:t>
      </w:r>
    </w:p>
    <w:p w14:paraId="26AF850E" w14:textId="6B207EC1" w:rsidR="00F808B3" w:rsidRPr="007271B6" w:rsidRDefault="00A036E5" w:rsidP="00F808B3">
      <w:pPr>
        <w:spacing w:before="240"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These values contradicted the interests of the stakeholders; most expressed their dissatisfaction with the company following its collapse and their inability to withdraw their invested money. The moral principles of FTX's founder initiated the collapse from the beginning, and one investor told Bloomberg Originals that:</w:t>
      </w:r>
    </w:p>
    <w:p w14:paraId="36903CF5" w14:textId="2CCC2C06" w:rsidR="00F808B3" w:rsidRPr="007271B6" w:rsidRDefault="00F808B3" w:rsidP="00F808B3">
      <w:pPr>
        <w:spacing w:after="0" w:line="240" w:lineRule="auto"/>
        <w:ind w:left="709"/>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8</w:t>
      </w:r>
      <w:r w:rsidRPr="007271B6">
        <w:rPr>
          <w:rFonts w:ascii="Times New Roman" w:hAnsi="Times New Roman" w:cs="Times New Roman"/>
          <w:i/>
          <w:kern w:val="0"/>
          <w:sz w:val="24"/>
          <w:szCs w:val="24"/>
        </w:rPr>
        <w:t xml:space="preserve">: He wanted to take money from us into Alameda Research and he wanted to use that money to finance and help start a separate business that we would have no information about, no ownership in. And it was </w:t>
      </w:r>
      <w:proofErr w:type="gramStart"/>
      <w:r w:rsidRPr="007271B6">
        <w:rPr>
          <w:rFonts w:ascii="Times New Roman" w:hAnsi="Times New Roman" w:cs="Times New Roman"/>
          <w:i/>
          <w:kern w:val="0"/>
          <w:sz w:val="24"/>
          <w:szCs w:val="24"/>
        </w:rPr>
        <w:t>actually hurting</w:t>
      </w:r>
      <w:proofErr w:type="gramEnd"/>
      <w:r w:rsidRPr="007271B6">
        <w:rPr>
          <w:rFonts w:ascii="Times New Roman" w:hAnsi="Times New Roman" w:cs="Times New Roman"/>
          <w:i/>
          <w:kern w:val="0"/>
          <w:sz w:val="24"/>
          <w:szCs w:val="24"/>
        </w:rPr>
        <w:t xml:space="preserve"> our interest at Alameda. And I remember at the end I tried one last ditch effort to explain to Sam why we couldn’t just negotiate a separate deal for FTX. He was just looking at me very sort of wide-eyed. He didn’t care really about the moral implications of what he was proposing. It was almost like trying to explain business ethics 101 to a baby. And I realised that we were so far apart, that it was just too much. We couldn’t possibly deal with this guy (Bloomberg Originals, 2023, 15:00-27:13). </w:t>
      </w:r>
    </w:p>
    <w:p w14:paraId="567F58CC" w14:textId="77777777" w:rsidR="00F808B3" w:rsidRPr="007271B6" w:rsidRDefault="00F808B3" w:rsidP="00F808B3">
      <w:pPr>
        <w:spacing w:after="0" w:line="240" w:lineRule="auto"/>
        <w:ind w:left="709"/>
        <w:rPr>
          <w:rFonts w:ascii="Times New Roman" w:hAnsi="Times New Roman" w:cs="Times New Roman"/>
          <w:kern w:val="0"/>
          <w:sz w:val="24"/>
          <w:szCs w:val="24"/>
        </w:rPr>
      </w:pPr>
    </w:p>
    <w:p w14:paraId="59E322B6" w14:textId="6996FD59" w:rsidR="00A036E5" w:rsidRPr="007271B6" w:rsidRDefault="00A036E5" w:rsidP="00A036E5">
      <w:pPr>
        <w:spacing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 xml:space="preserve">Fu et al. (2022) emphasise the value of ethical leadership; the authors claim that the collapse of FTX was a function of unethical and dishonest </w:t>
      </w:r>
      <w:r w:rsidR="00C95DBF">
        <w:rPr>
          <w:rFonts w:ascii="Times New Roman" w:hAnsi="Times New Roman" w:cs="Times New Roman"/>
          <w:kern w:val="0"/>
          <w:sz w:val="24"/>
          <w:szCs w:val="24"/>
        </w:rPr>
        <w:t>actions</w:t>
      </w:r>
      <w:r w:rsidRPr="007271B6">
        <w:rPr>
          <w:rFonts w:ascii="Times New Roman" w:hAnsi="Times New Roman" w:cs="Times New Roman"/>
          <w:kern w:val="0"/>
          <w:sz w:val="24"/>
          <w:szCs w:val="24"/>
        </w:rPr>
        <w:t>. The authors introduce the concept of stakeholder theory to illustrate that corporate governance is often orientated towards stakeholder interests. As a result, their view reinforces R</w:t>
      </w:r>
      <w:r w:rsidR="00A212CB">
        <w:rPr>
          <w:rFonts w:ascii="Times New Roman" w:hAnsi="Times New Roman" w:cs="Times New Roman"/>
          <w:kern w:val="0"/>
          <w:sz w:val="24"/>
          <w:szCs w:val="24"/>
        </w:rPr>
        <w:t>8</w:t>
      </w:r>
      <w:r w:rsidRPr="007271B6">
        <w:rPr>
          <w:rFonts w:ascii="Times New Roman" w:hAnsi="Times New Roman" w:cs="Times New Roman"/>
          <w:kern w:val="0"/>
          <w:sz w:val="24"/>
          <w:szCs w:val="24"/>
        </w:rPr>
        <w:t>’s statement by emphasising that the company used alternative morals that worked against the investors instead of upholding stakeholder theory and sound business ethics.</w:t>
      </w:r>
    </w:p>
    <w:p w14:paraId="01AD9460" w14:textId="577CAEF7" w:rsidR="00F808B3" w:rsidRPr="007271B6" w:rsidRDefault="00A036E5" w:rsidP="00A036E5">
      <w:pPr>
        <w:spacing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FTX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 had poor management with no oversight. When the CEO was asked about the company's problems and remediation, especially after Brett Harrison resigned as President of FTX US and took on an advisory role and Sam Trabuco, the Co-CEO of Alameda, resigned, he stated:</w:t>
      </w:r>
    </w:p>
    <w:p w14:paraId="221336F9" w14:textId="1439A4B2" w:rsidR="00F808B3" w:rsidRPr="007271B6" w:rsidRDefault="00F808B3" w:rsidP="008B2FC1">
      <w:pPr>
        <w:spacing w:after="0" w:line="240" w:lineRule="auto"/>
        <w:ind w:left="709"/>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1</w:t>
      </w:r>
      <w:r w:rsidRPr="007271B6">
        <w:rPr>
          <w:rFonts w:ascii="Times New Roman" w:hAnsi="Times New Roman" w:cs="Times New Roman"/>
          <w:i/>
          <w:kern w:val="0"/>
          <w:sz w:val="24"/>
          <w:szCs w:val="24"/>
        </w:rPr>
        <w:t xml:space="preserve">:  </w:t>
      </w:r>
      <w:r w:rsidR="00E554C7">
        <w:rPr>
          <w:rFonts w:ascii="Times New Roman" w:hAnsi="Times New Roman" w:cs="Times New Roman"/>
          <w:i/>
          <w:kern w:val="0"/>
          <w:sz w:val="24"/>
          <w:szCs w:val="24"/>
        </w:rPr>
        <w:t>I</w:t>
      </w:r>
      <w:r w:rsidRPr="007271B6">
        <w:rPr>
          <w:rFonts w:ascii="Times New Roman" w:hAnsi="Times New Roman" w:cs="Times New Roman"/>
          <w:i/>
          <w:kern w:val="0"/>
          <w:sz w:val="24"/>
          <w:szCs w:val="24"/>
        </w:rPr>
        <w:t xml:space="preserve">t is not the kind of thing that would go public were it not to have been in the works for a little while… One thing that I </w:t>
      </w:r>
      <w:proofErr w:type="gramStart"/>
      <w:r w:rsidRPr="007271B6">
        <w:rPr>
          <w:rFonts w:ascii="Times New Roman" w:hAnsi="Times New Roman" w:cs="Times New Roman"/>
          <w:i/>
          <w:kern w:val="0"/>
          <w:sz w:val="24"/>
          <w:szCs w:val="24"/>
        </w:rPr>
        <w:t>definitely learned</w:t>
      </w:r>
      <w:proofErr w:type="gramEnd"/>
      <w:r w:rsidRPr="007271B6">
        <w:rPr>
          <w:rFonts w:ascii="Times New Roman" w:hAnsi="Times New Roman" w:cs="Times New Roman"/>
          <w:i/>
          <w:kern w:val="0"/>
          <w:sz w:val="24"/>
          <w:szCs w:val="24"/>
        </w:rPr>
        <w:t xml:space="preserve"> was how to manage a team. I knew how to manage a team when everyone was happy, but I had no idea how to manage a team when there was stress, when people were unhappy with each other, when there was conflict. I was presented with times when members of our team </w:t>
      </w:r>
      <w:r w:rsidRPr="007271B6">
        <w:rPr>
          <w:rFonts w:ascii="Times New Roman" w:hAnsi="Times New Roman" w:cs="Times New Roman"/>
          <w:i/>
          <w:kern w:val="0"/>
          <w:sz w:val="24"/>
          <w:szCs w:val="24"/>
        </w:rPr>
        <w:lastRenderedPageBreak/>
        <w:t xml:space="preserve">disagreed with each other, especially with me, and I didn’t know what to do when people couldn’t reconcile (Bloomberg Originals, 2023, 1:15:15-1:17:00). </w:t>
      </w:r>
    </w:p>
    <w:p w14:paraId="5630B08B" w14:textId="77777777" w:rsidR="00F808B3" w:rsidRPr="007271B6" w:rsidRDefault="00F808B3" w:rsidP="00F808B3">
      <w:pPr>
        <w:spacing w:after="0" w:line="240" w:lineRule="auto"/>
        <w:ind w:left="709"/>
        <w:rPr>
          <w:rFonts w:ascii="Times New Roman" w:hAnsi="Times New Roman" w:cs="Times New Roman"/>
          <w:i/>
          <w:kern w:val="0"/>
          <w:sz w:val="24"/>
          <w:szCs w:val="24"/>
        </w:rPr>
      </w:pPr>
    </w:p>
    <w:p w14:paraId="24F1A648" w14:textId="2C2E4543" w:rsidR="00F808B3" w:rsidRPr="007271B6" w:rsidRDefault="008B2FC1" w:rsidP="008B2FC1">
      <w:pPr>
        <w:pStyle w:val="Heading2"/>
      </w:pPr>
      <w:bookmarkStart w:id="38" w:name="_Toc165667429"/>
      <w:r w:rsidRPr="007271B6">
        <w:t>Theme 2: Corporate Governance P</w:t>
      </w:r>
      <w:r w:rsidR="00F808B3" w:rsidRPr="007271B6">
        <w:t>ractices</w:t>
      </w:r>
      <w:bookmarkEnd w:id="38"/>
    </w:p>
    <w:p w14:paraId="6584CD34" w14:textId="3BC04884" w:rsidR="00F808B3" w:rsidRPr="007271B6" w:rsidRDefault="00217A79" w:rsidP="00F808B3">
      <w:pPr>
        <w:spacing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FTX and Alameda Research confirmed poor corporate governance through lack of bookkeeping, internal accountability</w:t>
      </w:r>
      <w:r w:rsidR="00845CA6">
        <w:rPr>
          <w:rFonts w:ascii="Times New Roman" w:hAnsi="Times New Roman" w:cs="Times New Roman"/>
          <w:kern w:val="0"/>
          <w:sz w:val="24"/>
          <w:szCs w:val="24"/>
        </w:rPr>
        <w:t>, independent</w:t>
      </w:r>
      <w:r w:rsidRPr="007271B6">
        <w:rPr>
          <w:rFonts w:ascii="Times New Roman" w:hAnsi="Times New Roman" w:cs="Times New Roman"/>
          <w:kern w:val="0"/>
          <w:sz w:val="24"/>
          <w:szCs w:val="24"/>
        </w:rPr>
        <w:t xml:space="preserve"> oversight, commingling of various consumer funds and entit</w:t>
      </w:r>
      <w:r w:rsidR="00C95DBF">
        <w:rPr>
          <w:rFonts w:ascii="Times New Roman" w:hAnsi="Times New Roman" w:cs="Times New Roman"/>
          <w:kern w:val="0"/>
          <w:sz w:val="24"/>
          <w:szCs w:val="24"/>
        </w:rPr>
        <w:t>y</w:t>
      </w:r>
      <w:r w:rsidRPr="007271B6">
        <w:rPr>
          <w:rFonts w:ascii="Times New Roman" w:hAnsi="Times New Roman" w:cs="Times New Roman"/>
          <w:kern w:val="0"/>
          <w:sz w:val="24"/>
          <w:szCs w:val="24"/>
        </w:rPr>
        <w:t xml:space="preserve"> assets, poor segregation of responsibilities and roles, and lack of decision-making, see Figure 1 below (Roy, Anand, and Chandra, 2022).</w:t>
      </w:r>
      <w:r w:rsidR="00F808B3" w:rsidRPr="007271B6">
        <w:rPr>
          <w:rFonts w:ascii="Times New Roman" w:hAnsi="Times New Roman" w:cs="Times New Roman"/>
          <w:kern w:val="0"/>
          <w:sz w:val="24"/>
          <w:szCs w:val="24"/>
        </w:rPr>
        <w:t xml:space="preserve"> </w:t>
      </w:r>
    </w:p>
    <w:p w14:paraId="32C134CF" w14:textId="1DF2A3DD" w:rsidR="00F808B3" w:rsidRPr="007271B6" w:rsidRDefault="00F808B3" w:rsidP="00F808B3">
      <w:pPr>
        <w:spacing w:after="0" w:line="240" w:lineRule="auto"/>
        <w:ind w:left="709"/>
        <w:jc w:val="both"/>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5</w:t>
      </w:r>
      <w:r w:rsidRPr="007271B6">
        <w:rPr>
          <w:rFonts w:ascii="Times New Roman" w:hAnsi="Times New Roman" w:cs="Times New Roman"/>
          <w:i/>
          <w:kern w:val="0"/>
          <w:sz w:val="24"/>
          <w:szCs w:val="24"/>
        </w:rPr>
        <w:t xml:space="preserve">: This is </w:t>
      </w:r>
      <w:proofErr w:type="gramStart"/>
      <w:r w:rsidRPr="007271B6">
        <w:rPr>
          <w:rFonts w:ascii="Times New Roman" w:hAnsi="Times New Roman" w:cs="Times New Roman"/>
          <w:i/>
          <w:kern w:val="0"/>
          <w:sz w:val="24"/>
          <w:szCs w:val="24"/>
        </w:rPr>
        <w:t>really old-fashioned</w:t>
      </w:r>
      <w:proofErr w:type="gramEnd"/>
      <w:r w:rsidRPr="007271B6">
        <w:rPr>
          <w:rFonts w:ascii="Times New Roman" w:hAnsi="Times New Roman" w:cs="Times New Roman"/>
          <w:i/>
          <w:kern w:val="0"/>
          <w:sz w:val="24"/>
          <w:szCs w:val="24"/>
        </w:rPr>
        <w:t xml:space="preserve"> and embezzlement. This is just taking money from customers and using them for your own purpose…There’s no record-keeping whatsoever. It’s the absence of record keeping. Employees would communicate invoicing and expenses on Slack…They use QuickBooks, a multi-billion-dollar company using QuickBooks. There’s no independent board…We had one person controlling this (CNBC, 2023, 10:00-27:00).</w:t>
      </w:r>
    </w:p>
    <w:p w14:paraId="3913B8C6" w14:textId="77777777" w:rsidR="00F808B3" w:rsidRPr="007271B6" w:rsidRDefault="00F808B3" w:rsidP="00F808B3">
      <w:pPr>
        <w:spacing w:after="0" w:line="240" w:lineRule="auto"/>
        <w:ind w:left="709"/>
        <w:jc w:val="both"/>
        <w:rPr>
          <w:rFonts w:ascii="Times New Roman" w:hAnsi="Times New Roman" w:cs="Times New Roman"/>
          <w:kern w:val="0"/>
          <w:sz w:val="24"/>
          <w:szCs w:val="24"/>
        </w:rPr>
      </w:pPr>
    </w:p>
    <w:p w14:paraId="44A45A06" w14:textId="21816934" w:rsidR="00F808B3" w:rsidRPr="007271B6" w:rsidRDefault="00A036E5" w:rsidP="007525FB">
      <w:pPr>
        <w:spacing w:after="0" w:line="24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Akin to Roy et al. (2022), Pilkington (2022) draws the link between governance failures and FTX’s bankruptcy by revealing the latter’s problems with transparency, decision-making and risk management. Another interviewee, a former employee of FTX and Alameda Research, reiterated Respondent </w:t>
      </w:r>
      <w:r w:rsidR="00C95DBF">
        <w:rPr>
          <w:rFonts w:ascii="Times New Roman" w:hAnsi="Times New Roman" w:cs="Times New Roman"/>
          <w:kern w:val="0"/>
          <w:sz w:val="24"/>
          <w:szCs w:val="24"/>
        </w:rPr>
        <w:t>5</w:t>
      </w:r>
      <w:r w:rsidRPr="007271B6">
        <w:rPr>
          <w:rFonts w:ascii="Times New Roman" w:hAnsi="Times New Roman" w:cs="Times New Roman"/>
          <w:kern w:val="0"/>
          <w:sz w:val="24"/>
          <w:szCs w:val="24"/>
        </w:rPr>
        <w:t>’s statement by stating:</w:t>
      </w:r>
    </w:p>
    <w:p w14:paraId="701E66B4" w14:textId="0A88AB33" w:rsidR="00F808B3" w:rsidRPr="007271B6" w:rsidRDefault="00F808B3" w:rsidP="007525FB">
      <w:pPr>
        <w:spacing w:before="240" w:after="0" w:line="240" w:lineRule="auto"/>
        <w:ind w:left="709"/>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6</w:t>
      </w:r>
      <w:r w:rsidRPr="007271B6">
        <w:rPr>
          <w:rFonts w:ascii="Times New Roman" w:hAnsi="Times New Roman" w:cs="Times New Roman"/>
          <w:i/>
          <w:kern w:val="0"/>
          <w:sz w:val="24"/>
          <w:szCs w:val="24"/>
        </w:rPr>
        <w:t>: In some ways, it’s very straightforward what’s being alleged, which is that S</w:t>
      </w:r>
      <w:r w:rsidR="003F546F" w:rsidRPr="007271B6">
        <w:rPr>
          <w:rFonts w:ascii="Times New Roman" w:hAnsi="Times New Roman" w:cs="Times New Roman"/>
          <w:i/>
          <w:kern w:val="0"/>
          <w:sz w:val="24"/>
          <w:szCs w:val="24"/>
        </w:rPr>
        <w:t>BF</w:t>
      </w:r>
      <w:r w:rsidRPr="007271B6">
        <w:rPr>
          <w:rFonts w:ascii="Times New Roman" w:hAnsi="Times New Roman" w:cs="Times New Roman"/>
          <w:i/>
          <w:kern w:val="0"/>
          <w:sz w:val="24"/>
          <w:szCs w:val="24"/>
        </w:rPr>
        <w:t xml:space="preserve"> took some digital assets or other forms of assets from FTX, moved them over to Alameda, where he could have more control over them, and used that money as his own private piggy bank (CNBC, 2023, 15:00-32:00).</w:t>
      </w:r>
    </w:p>
    <w:p w14:paraId="5956EF04" w14:textId="1220F5BE" w:rsidR="00F808B3" w:rsidRPr="007271B6" w:rsidRDefault="00A036E5" w:rsidP="00F808B3">
      <w:pPr>
        <w:spacing w:before="240" w:after="0" w:line="480" w:lineRule="auto"/>
        <w:ind w:firstLine="709"/>
        <w:rPr>
          <w:rFonts w:ascii="Times New Roman" w:hAnsi="Times New Roman" w:cs="Times New Roman"/>
          <w:kern w:val="0"/>
          <w:sz w:val="24"/>
          <w:szCs w:val="24"/>
        </w:rPr>
      </w:pPr>
      <w:proofErr w:type="spellStart"/>
      <w:r w:rsidRPr="007271B6">
        <w:rPr>
          <w:rFonts w:ascii="Times New Roman" w:hAnsi="Times New Roman" w:cs="Times New Roman"/>
          <w:kern w:val="0"/>
          <w:sz w:val="24"/>
          <w:szCs w:val="24"/>
        </w:rPr>
        <w:t>Akiyildirim</w:t>
      </w:r>
      <w:proofErr w:type="spellEnd"/>
      <w:r w:rsidRPr="007271B6">
        <w:rPr>
          <w:rFonts w:ascii="Times New Roman" w:hAnsi="Times New Roman" w:cs="Times New Roman"/>
          <w:kern w:val="0"/>
          <w:sz w:val="24"/>
          <w:szCs w:val="24"/>
        </w:rPr>
        <w:t xml:space="preserve"> et al. (2023) agree</w:t>
      </w:r>
      <w:r w:rsidR="00C95DBF">
        <w:rPr>
          <w:rFonts w:ascii="Times New Roman" w:hAnsi="Times New Roman" w:cs="Times New Roman"/>
          <w:kern w:val="0"/>
          <w:sz w:val="24"/>
          <w:szCs w:val="24"/>
        </w:rPr>
        <w:t>s</w:t>
      </w:r>
      <w:r w:rsidRPr="007271B6">
        <w:rPr>
          <w:rFonts w:ascii="Times New Roman" w:hAnsi="Times New Roman" w:cs="Times New Roman"/>
          <w:kern w:val="0"/>
          <w:sz w:val="24"/>
          <w:szCs w:val="24"/>
        </w:rPr>
        <w:t xml:space="preserve"> with R</w:t>
      </w:r>
      <w:r w:rsidR="00A212CB">
        <w:rPr>
          <w:rFonts w:ascii="Times New Roman" w:hAnsi="Times New Roman" w:cs="Times New Roman"/>
          <w:kern w:val="0"/>
          <w:sz w:val="24"/>
          <w:szCs w:val="24"/>
        </w:rPr>
        <w:t>6</w:t>
      </w:r>
      <w:r w:rsidRPr="007271B6">
        <w:rPr>
          <w:rFonts w:ascii="Times New Roman" w:hAnsi="Times New Roman" w:cs="Times New Roman"/>
          <w:kern w:val="0"/>
          <w:sz w:val="24"/>
          <w:szCs w:val="24"/>
        </w:rPr>
        <w:t>’s argument; the authors explain that the fraudulent actions of S</w:t>
      </w:r>
      <w:r w:rsidR="003F546F" w:rsidRPr="007271B6">
        <w:rPr>
          <w:rFonts w:ascii="Times New Roman" w:hAnsi="Times New Roman" w:cs="Times New Roman"/>
          <w:kern w:val="0"/>
          <w:sz w:val="24"/>
          <w:szCs w:val="24"/>
        </w:rPr>
        <w:t>BF</w:t>
      </w:r>
      <w:r w:rsidRPr="007271B6">
        <w:rPr>
          <w:rFonts w:ascii="Times New Roman" w:hAnsi="Times New Roman" w:cs="Times New Roman"/>
          <w:kern w:val="0"/>
          <w:sz w:val="24"/>
          <w:szCs w:val="24"/>
        </w:rPr>
        <w:t xml:space="preserve"> and his colleagues were linked to personal profit rooted in their high affinity for squandering client funds rather than providing necessary stewardship. Pierce (2022) utilised agency theory to highlight the imminent dangers of corporate governance failure at FTX by asserting that conflict is inevitable when the interests of agents (management) and headmasters (shareholders) diverge. The author contends that such a scenario potentially leads to sub-optimal outcomes due to misaligned objectives (Pierce, 2022). Consequently, Price (2022) concludes that proper governance is critical in instilling effective company oversight to prevent substantial operational and financial risks, especially in the case of FTX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which operate in a highly volatile and rapidly evolving market.</w:t>
      </w:r>
      <w:r w:rsidR="00F808B3" w:rsidRPr="007271B6">
        <w:rPr>
          <w:rFonts w:ascii="Times New Roman" w:hAnsi="Times New Roman" w:cs="Times New Roman"/>
          <w:kern w:val="0"/>
          <w:sz w:val="24"/>
          <w:szCs w:val="24"/>
        </w:rPr>
        <w:t xml:space="preserve"> </w:t>
      </w:r>
    </w:p>
    <w:p w14:paraId="771C4E62" w14:textId="29C456F1" w:rsidR="00F808B3" w:rsidRPr="007271B6" w:rsidRDefault="008B2FC1" w:rsidP="008B2FC1">
      <w:pPr>
        <w:pStyle w:val="Heading2"/>
      </w:pPr>
      <w:bookmarkStart w:id="39" w:name="_Toc165667430"/>
      <w:r w:rsidRPr="007271B6">
        <w:lastRenderedPageBreak/>
        <w:t>Theme 3: Cryptocurrency R</w:t>
      </w:r>
      <w:r w:rsidR="00F808B3" w:rsidRPr="007271B6">
        <w:t>egulation</w:t>
      </w:r>
      <w:bookmarkEnd w:id="39"/>
    </w:p>
    <w:p w14:paraId="13F7EEF4" w14:textId="754314AB" w:rsidR="00F808B3" w:rsidRPr="007271B6" w:rsidRDefault="00F808B3" w:rsidP="00F808B3">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A CBNC documentary revealed that the cryptocurrency world is unregulated and prone to manipulation and deception, such as </w:t>
      </w:r>
      <w:r w:rsidR="00845CA6">
        <w:rPr>
          <w:rFonts w:ascii="Times New Roman" w:hAnsi="Times New Roman" w:cs="Times New Roman"/>
          <w:kern w:val="0"/>
          <w:sz w:val="24"/>
          <w:szCs w:val="24"/>
        </w:rPr>
        <w:t xml:space="preserve">the </w:t>
      </w:r>
      <w:r w:rsidRPr="007271B6">
        <w:rPr>
          <w:rFonts w:ascii="Times New Roman" w:hAnsi="Times New Roman" w:cs="Times New Roman"/>
          <w:kern w:val="0"/>
          <w:sz w:val="24"/>
          <w:szCs w:val="24"/>
        </w:rPr>
        <w:t xml:space="preserve">one </w:t>
      </w:r>
      <w:r w:rsidR="00845CA6">
        <w:rPr>
          <w:rFonts w:ascii="Times New Roman" w:hAnsi="Times New Roman" w:cs="Times New Roman"/>
          <w:kern w:val="0"/>
          <w:sz w:val="24"/>
          <w:szCs w:val="24"/>
        </w:rPr>
        <w:t>described</w:t>
      </w:r>
      <w:r w:rsidRPr="007271B6">
        <w:rPr>
          <w:rFonts w:ascii="Times New Roman" w:hAnsi="Times New Roman" w:cs="Times New Roman"/>
          <w:kern w:val="0"/>
          <w:sz w:val="24"/>
          <w:szCs w:val="24"/>
        </w:rPr>
        <w:t xml:space="preserve"> in R</w:t>
      </w:r>
      <w:r w:rsidR="00A212CB">
        <w:rPr>
          <w:rFonts w:ascii="Times New Roman" w:hAnsi="Times New Roman" w:cs="Times New Roman"/>
          <w:kern w:val="0"/>
          <w:sz w:val="24"/>
          <w:szCs w:val="24"/>
        </w:rPr>
        <w:t>2</w:t>
      </w:r>
      <w:r w:rsidRPr="007271B6">
        <w:rPr>
          <w:rFonts w:ascii="Times New Roman" w:hAnsi="Times New Roman" w:cs="Times New Roman"/>
          <w:kern w:val="0"/>
          <w:sz w:val="24"/>
          <w:szCs w:val="24"/>
        </w:rPr>
        <w:t>’s court testimony:</w:t>
      </w:r>
    </w:p>
    <w:p w14:paraId="2996C91B" w14:textId="10F294BC" w:rsidR="00F808B3" w:rsidRPr="007271B6" w:rsidRDefault="00F808B3" w:rsidP="00F808B3">
      <w:pPr>
        <w:spacing w:after="0" w:line="240" w:lineRule="auto"/>
        <w:ind w:left="851"/>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2</w:t>
      </w:r>
      <w:r w:rsidRPr="007271B6">
        <w:rPr>
          <w:rFonts w:ascii="Times New Roman" w:hAnsi="Times New Roman" w:cs="Times New Roman"/>
          <w:i/>
          <w:kern w:val="0"/>
          <w:sz w:val="24"/>
          <w:szCs w:val="24"/>
        </w:rPr>
        <w:t>: Between 2019 and 2022, as part of my employment at FTX, I was directed to and agreed to make certain changes to the platform’s code. I executed those changes which I knew would</w:t>
      </w:r>
      <w:r w:rsidR="00E554C7">
        <w:rPr>
          <w:rFonts w:ascii="Times New Roman" w:hAnsi="Times New Roman" w:cs="Times New Roman"/>
          <w:i/>
          <w:kern w:val="0"/>
          <w:sz w:val="24"/>
          <w:szCs w:val="24"/>
        </w:rPr>
        <w:t xml:space="preserve"> give</w:t>
      </w:r>
      <w:r w:rsidRPr="007271B6">
        <w:rPr>
          <w:rFonts w:ascii="Times New Roman" w:hAnsi="Times New Roman" w:cs="Times New Roman"/>
          <w:i/>
          <w:kern w:val="0"/>
          <w:sz w:val="24"/>
          <w:szCs w:val="24"/>
        </w:rPr>
        <w:t xml:space="preserve"> Alameda Research special privileges on FTX platform (CNBC, 2023, 10:00-27:00). </w:t>
      </w:r>
    </w:p>
    <w:p w14:paraId="18ADC8B5" w14:textId="77777777" w:rsidR="00F808B3" w:rsidRPr="007271B6" w:rsidRDefault="00F808B3" w:rsidP="00F808B3">
      <w:pPr>
        <w:spacing w:after="0" w:line="240" w:lineRule="auto"/>
        <w:rPr>
          <w:rFonts w:ascii="Times New Roman" w:hAnsi="Times New Roman" w:cs="Times New Roman"/>
          <w:kern w:val="0"/>
          <w:sz w:val="24"/>
          <w:szCs w:val="24"/>
        </w:rPr>
      </w:pPr>
    </w:p>
    <w:p w14:paraId="5DF98E8F" w14:textId="52DAAA91" w:rsidR="00F808B3" w:rsidRPr="007271B6" w:rsidRDefault="00A036E5" w:rsidP="00F808B3">
      <w:pPr>
        <w:spacing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R</w:t>
      </w:r>
      <w:r w:rsidR="00A212CB">
        <w:rPr>
          <w:rFonts w:ascii="Times New Roman" w:hAnsi="Times New Roman" w:cs="Times New Roman"/>
          <w:kern w:val="0"/>
          <w:sz w:val="24"/>
          <w:szCs w:val="24"/>
        </w:rPr>
        <w:t>2</w:t>
      </w:r>
      <w:r w:rsidRPr="007271B6">
        <w:rPr>
          <w:rFonts w:ascii="Times New Roman" w:hAnsi="Times New Roman" w:cs="Times New Roman"/>
          <w:kern w:val="0"/>
          <w:sz w:val="24"/>
          <w:szCs w:val="24"/>
        </w:rPr>
        <w:t xml:space="preserve">’s sentiments are consistent with Macey’s (2023) assertions that the digital asset market is highly susceptible to fraud, particularly because it is an internet-based business. These concerns were revealed by Senator Elizabeth Warren, who wrote to the treasury secretary expressing her concern about the vulnerability to fraudulent practices, including market manipulation in the cryptocurrency </w:t>
      </w:r>
      <w:r w:rsidR="00E910DB">
        <w:rPr>
          <w:rFonts w:ascii="Times New Roman" w:hAnsi="Times New Roman" w:cs="Times New Roman"/>
          <w:kern w:val="0"/>
          <w:sz w:val="24"/>
          <w:szCs w:val="24"/>
        </w:rPr>
        <w:t>industry</w:t>
      </w:r>
      <w:r w:rsidRPr="007271B6">
        <w:rPr>
          <w:rFonts w:ascii="Times New Roman" w:hAnsi="Times New Roman" w:cs="Times New Roman"/>
          <w:kern w:val="0"/>
          <w:sz w:val="24"/>
          <w:szCs w:val="24"/>
        </w:rPr>
        <w:t xml:space="preserve"> (Trautman, 2022). In her letter, the Senator proposes comprehensive oversight to protect the </w:t>
      </w:r>
      <w:proofErr w:type="gramStart"/>
      <w:r w:rsidRPr="007271B6">
        <w:rPr>
          <w:rFonts w:ascii="Times New Roman" w:hAnsi="Times New Roman" w:cs="Times New Roman"/>
          <w:kern w:val="0"/>
          <w:sz w:val="24"/>
          <w:szCs w:val="24"/>
        </w:rPr>
        <w:t>general public</w:t>
      </w:r>
      <w:proofErr w:type="gramEnd"/>
      <w:r w:rsidRPr="007271B6">
        <w:rPr>
          <w:rFonts w:ascii="Times New Roman" w:hAnsi="Times New Roman" w:cs="Times New Roman"/>
          <w:kern w:val="0"/>
          <w:sz w:val="24"/>
          <w:szCs w:val="24"/>
        </w:rPr>
        <w:t xml:space="preserve"> and investors from substantial financial disruption. </w:t>
      </w:r>
      <w:proofErr w:type="spellStart"/>
      <w:r w:rsidRPr="007271B6">
        <w:rPr>
          <w:rFonts w:ascii="Times New Roman" w:hAnsi="Times New Roman" w:cs="Times New Roman"/>
          <w:kern w:val="0"/>
          <w:sz w:val="24"/>
          <w:szCs w:val="24"/>
        </w:rPr>
        <w:t>Sensoy</w:t>
      </w:r>
      <w:proofErr w:type="spellEnd"/>
      <w:r w:rsidRPr="007271B6">
        <w:rPr>
          <w:rFonts w:ascii="Times New Roman" w:hAnsi="Times New Roman" w:cs="Times New Roman"/>
          <w:kern w:val="0"/>
          <w:sz w:val="24"/>
          <w:szCs w:val="24"/>
        </w:rPr>
        <w:t xml:space="preserve"> and colleagues (2021) revealed that </w:t>
      </w:r>
      <w:r w:rsidR="00E910DB">
        <w:rPr>
          <w:rFonts w:ascii="Times New Roman" w:hAnsi="Times New Roman" w:cs="Times New Roman"/>
          <w:kern w:val="0"/>
          <w:sz w:val="24"/>
          <w:szCs w:val="24"/>
        </w:rPr>
        <w:t xml:space="preserve">the </w:t>
      </w:r>
      <w:r w:rsidRPr="007271B6">
        <w:rPr>
          <w:rFonts w:ascii="Times New Roman" w:hAnsi="Times New Roman" w:cs="Times New Roman"/>
          <w:kern w:val="0"/>
          <w:sz w:val="24"/>
          <w:szCs w:val="24"/>
        </w:rPr>
        <w:t>Cryptocurrency Tether provided price support and</w:t>
      </w:r>
      <w:r w:rsidR="00E910DB">
        <w:rPr>
          <w:rFonts w:ascii="Times New Roman" w:hAnsi="Times New Roman" w:cs="Times New Roman"/>
          <w:kern w:val="0"/>
          <w:sz w:val="24"/>
          <w:szCs w:val="24"/>
        </w:rPr>
        <w:t xml:space="preserve"> was used to</w:t>
      </w:r>
      <w:r w:rsidRPr="007271B6">
        <w:rPr>
          <w:rFonts w:ascii="Times New Roman" w:hAnsi="Times New Roman" w:cs="Times New Roman"/>
          <w:kern w:val="0"/>
          <w:sz w:val="24"/>
          <w:szCs w:val="24"/>
        </w:rPr>
        <w:t xml:space="preserve"> manipulate prices so that when the coin received many transactions, the prices of other digital assets </w:t>
      </w:r>
      <w:r w:rsidR="00E910DB" w:rsidRPr="007271B6">
        <w:rPr>
          <w:rFonts w:ascii="Times New Roman" w:hAnsi="Times New Roman" w:cs="Times New Roman"/>
          <w:kern w:val="0"/>
          <w:sz w:val="24"/>
          <w:szCs w:val="24"/>
        </w:rPr>
        <w:t>fell</w:t>
      </w:r>
      <w:r w:rsidRPr="007271B6">
        <w:rPr>
          <w:rFonts w:ascii="Times New Roman" w:hAnsi="Times New Roman" w:cs="Times New Roman"/>
          <w:kern w:val="0"/>
          <w:sz w:val="24"/>
          <w:szCs w:val="24"/>
        </w:rPr>
        <w:t>.</w:t>
      </w:r>
    </w:p>
    <w:p w14:paraId="49DEF6BD" w14:textId="354AF2B5" w:rsidR="00F808B3" w:rsidRPr="007271B6" w:rsidRDefault="00F808B3" w:rsidP="00F808B3">
      <w:pPr>
        <w:spacing w:after="0" w:line="24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 xml:space="preserve"> FTX used Alameda Research to conduct its illegal activities. R</w:t>
      </w:r>
      <w:r w:rsidR="00A212CB">
        <w:rPr>
          <w:rFonts w:ascii="Times New Roman" w:hAnsi="Times New Roman" w:cs="Times New Roman"/>
          <w:kern w:val="0"/>
          <w:sz w:val="24"/>
          <w:szCs w:val="24"/>
        </w:rPr>
        <w:t>3</w:t>
      </w:r>
      <w:r w:rsidRPr="007271B6">
        <w:rPr>
          <w:rFonts w:ascii="Times New Roman" w:hAnsi="Times New Roman" w:cs="Times New Roman"/>
          <w:kern w:val="0"/>
          <w:sz w:val="24"/>
          <w:szCs w:val="24"/>
        </w:rPr>
        <w:t>, a senior employee at FTX, stated:</w:t>
      </w:r>
    </w:p>
    <w:p w14:paraId="09AC94FE" w14:textId="21E1DE3D" w:rsidR="00F808B3" w:rsidRPr="007271B6" w:rsidRDefault="00F808B3" w:rsidP="00F808B3">
      <w:pPr>
        <w:spacing w:before="240" w:after="0" w:line="240" w:lineRule="auto"/>
        <w:ind w:left="709"/>
        <w:rPr>
          <w:rFonts w:ascii="Times New Roman" w:hAnsi="Times New Roman" w:cs="Times New Roman"/>
          <w:i/>
          <w:kern w:val="0"/>
          <w:sz w:val="24"/>
          <w:szCs w:val="24"/>
        </w:rPr>
      </w:pPr>
      <w:r w:rsidRPr="007271B6">
        <w:rPr>
          <w:rFonts w:ascii="Times New Roman" w:hAnsi="Times New Roman" w:cs="Times New Roman"/>
          <w:i/>
          <w:kern w:val="0"/>
          <w:sz w:val="24"/>
          <w:szCs w:val="24"/>
        </w:rPr>
        <w:t>R</w:t>
      </w:r>
      <w:r w:rsidR="00A212CB">
        <w:rPr>
          <w:rFonts w:ascii="Times New Roman" w:hAnsi="Times New Roman" w:cs="Times New Roman"/>
          <w:i/>
          <w:kern w:val="0"/>
          <w:sz w:val="24"/>
          <w:szCs w:val="24"/>
        </w:rPr>
        <w:t>3</w:t>
      </w:r>
      <w:r w:rsidRPr="007271B6">
        <w:rPr>
          <w:rFonts w:ascii="Times New Roman" w:hAnsi="Times New Roman" w:cs="Times New Roman"/>
          <w:i/>
          <w:kern w:val="0"/>
          <w:sz w:val="24"/>
          <w:szCs w:val="24"/>
        </w:rPr>
        <w:t xml:space="preserve">: I understood that FTX would need to use customer funds to finance its loans to Alameda. I also understood that many FTX customers invested in crypto derivatives and that most FTX customers did not expect that FTX would lend out their digital asset holdings and fiat currency deposits to Alameda in this fashion (CNBC, 2023, 10:00-27:00). </w:t>
      </w:r>
    </w:p>
    <w:p w14:paraId="28419854" w14:textId="77777777" w:rsidR="00E910DB" w:rsidRDefault="00217A79" w:rsidP="00F808B3">
      <w:pPr>
        <w:spacing w:before="240"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t xml:space="preserve">In the </w:t>
      </w:r>
      <w:r w:rsidR="00A036E5" w:rsidRPr="007271B6">
        <w:rPr>
          <w:rFonts w:ascii="Times New Roman" w:hAnsi="Times New Roman" w:cs="Times New Roman"/>
          <w:kern w:val="0"/>
          <w:sz w:val="24"/>
          <w:szCs w:val="24"/>
        </w:rPr>
        <w:t>same vein, Conlon et al.</w:t>
      </w:r>
      <w:r w:rsidRPr="007271B6">
        <w:rPr>
          <w:rFonts w:ascii="Times New Roman" w:hAnsi="Times New Roman" w:cs="Times New Roman"/>
          <w:kern w:val="0"/>
          <w:sz w:val="24"/>
          <w:szCs w:val="24"/>
        </w:rPr>
        <w:t xml:space="preserve"> (2022) confirm respondent </w:t>
      </w:r>
      <w:r w:rsidR="00A212CB">
        <w:rPr>
          <w:rFonts w:ascii="Times New Roman" w:hAnsi="Times New Roman" w:cs="Times New Roman"/>
          <w:kern w:val="0"/>
          <w:sz w:val="24"/>
          <w:szCs w:val="24"/>
        </w:rPr>
        <w:t>3</w:t>
      </w:r>
      <w:r w:rsidRPr="007271B6">
        <w:rPr>
          <w:rFonts w:ascii="Times New Roman" w:hAnsi="Times New Roman" w:cs="Times New Roman"/>
          <w:kern w:val="0"/>
          <w:sz w:val="24"/>
          <w:szCs w:val="24"/>
        </w:rPr>
        <w:t xml:space="preserve">’s statement by showing that the collapse of FTX is positively correlated with the privately issued cryptocurrency FTT and the </w:t>
      </w:r>
      <w:r w:rsidR="00E910DB">
        <w:rPr>
          <w:rFonts w:ascii="Times New Roman" w:hAnsi="Times New Roman" w:cs="Times New Roman"/>
          <w:kern w:val="0"/>
          <w:sz w:val="24"/>
          <w:szCs w:val="24"/>
        </w:rPr>
        <w:t>considerable</w:t>
      </w:r>
      <w:r w:rsidRPr="007271B6">
        <w:rPr>
          <w:rFonts w:ascii="Times New Roman" w:hAnsi="Times New Roman" w:cs="Times New Roman"/>
          <w:kern w:val="0"/>
          <w:sz w:val="24"/>
          <w:szCs w:val="24"/>
        </w:rPr>
        <w:t xml:space="preserve"> lack of appropriate governance of crypto markets. A study by Roy, </w:t>
      </w:r>
      <w:proofErr w:type="gramStart"/>
      <w:r w:rsidRPr="007271B6">
        <w:rPr>
          <w:rFonts w:ascii="Times New Roman" w:hAnsi="Times New Roman" w:cs="Times New Roman"/>
          <w:kern w:val="0"/>
          <w:sz w:val="24"/>
          <w:szCs w:val="24"/>
        </w:rPr>
        <w:t>Anand</w:t>
      </w:r>
      <w:proofErr w:type="gramEnd"/>
      <w:r w:rsidRPr="007271B6">
        <w:rPr>
          <w:rFonts w:ascii="Times New Roman" w:hAnsi="Times New Roman" w:cs="Times New Roman"/>
          <w:kern w:val="0"/>
          <w:sz w:val="24"/>
          <w:szCs w:val="24"/>
        </w:rPr>
        <w:t xml:space="preserve"> and Chandra (2022) explains that Alameda Research’s assets were $14.6 billion as of 30 June</w:t>
      </w:r>
      <w:r w:rsidR="00E910DB">
        <w:rPr>
          <w:rFonts w:ascii="Times New Roman" w:hAnsi="Times New Roman" w:cs="Times New Roman"/>
          <w:kern w:val="0"/>
          <w:sz w:val="24"/>
          <w:szCs w:val="24"/>
        </w:rPr>
        <w:t xml:space="preserve"> 2022</w:t>
      </w:r>
      <w:r w:rsidRPr="007271B6">
        <w:rPr>
          <w:rFonts w:ascii="Times New Roman" w:hAnsi="Times New Roman" w:cs="Times New Roman"/>
          <w:kern w:val="0"/>
          <w:sz w:val="24"/>
          <w:szCs w:val="24"/>
        </w:rPr>
        <w:t xml:space="preserve">, with an estimated 40% stake in FTT tokens, meaning that the two companies were closely linked and filed for bankruptcy after </w:t>
      </w:r>
      <w:proofErr w:type="spellStart"/>
      <w:r w:rsidRPr="007271B6">
        <w:rPr>
          <w:rFonts w:ascii="Times New Roman" w:hAnsi="Times New Roman" w:cs="Times New Roman"/>
          <w:kern w:val="0"/>
          <w:sz w:val="24"/>
          <w:szCs w:val="24"/>
        </w:rPr>
        <w:t>Binance's</w:t>
      </w:r>
      <w:proofErr w:type="spellEnd"/>
      <w:r w:rsidRPr="007271B6">
        <w:rPr>
          <w:rFonts w:ascii="Times New Roman" w:hAnsi="Times New Roman" w:cs="Times New Roman"/>
          <w:kern w:val="0"/>
          <w:sz w:val="24"/>
          <w:szCs w:val="24"/>
        </w:rPr>
        <w:t xml:space="preserve"> CEO decided to sell his FTT token</w:t>
      </w:r>
      <w:r w:rsidR="00E910DB">
        <w:rPr>
          <w:rFonts w:ascii="Times New Roman" w:hAnsi="Times New Roman" w:cs="Times New Roman"/>
          <w:kern w:val="0"/>
          <w:sz w:val="24"/>
          <w:szCs w:val="24"/>
        </w:rPr>
        <w:t>s</w:t>
      </w:r>
      <w:r w:rsidRPr="007271B6">
        <w:rPr>
          <w:rFonts w:ascii="Times New Roman" w:hAnsi="Times New Roman" w:cs="Times New Roman"/>
          <w:kern w:val="0"/>
          <w:sz w:val="24"/>
          <w:szCs w:val="24"/>
        </w:rPr>
        <w:t xml:space="preserve">. </w:t>
      </w:r>
    </w:p>
    <w:p w14:paraId="3CDC9011" w14:textId="1267840D" w:rsidR="00F808B3" w:rsidRPr="007271B6" w:rsidRDefault="00217A79" w:rsidP="00F808B3">
      <w:pPr>
        <w:spacing w:before="240" w:after="0" w:line="480" w:lineRule="auto"/>
        <w:ind w:firstLine="709"/>
        <w:rPr>
          <w:rFonts w:ascii="Times New Roman" w:hAnsi="Times New Roman" w:cs="Times New Roman"/>
          <w:kern w:val="0"/>
          <w:sz w:val="24"/>
          <w:szCs w:val="24"/>
        </w:rPr>
      </w:pPr>
      <w:r w:rsidRPr="007271B6">
        <w:rPr>
          <w:rFonts w:ascii="Times New Roman" w:hAnsi="Times New Roman" w:cs="Times New Roman"/>
          <w:kern w:val="0"/>
          <w:sz w:val="24"/>
          <w:szCs w:val="24"/>
        </w:rPr>
        <w:lastRenderedPageBreak/>
        <w:t>Figure 1 below shows the coding procedures for the three themes uncovered in the interviews and literature.</w:t>
      </w:r>
    </w:p>
    <w:p w14:paraId="748FB410" w14:textId="237DAD78" w:rsidR="00F808B3" w:rsidRPr="007271B6" w:rsidRDefault="00F808B3" w:rsidP="00F808B3">
      <w:pPr>
        <w:keepNext/>
        <w:spacing w:after="200" w:line="240" w:lineRule="auto"/>
        <w:rPr>
          <w:rFonts w:ascii="Times New Roman" w:hAnsi="Times New Roman" w:cs="Times New Roman"/>
          <w:b/>
          <w:bCs/>
          <w:kern w:val="0"/>
          <w:sz w:val="24"/>
          <w:szCs w:val="24"/>
        </w:rPr>
      </w:pPr>
      <w:r w:rsidRPr="007271B6">
        <w:rPr>
          <w:rFonts w:ascii="Times New Roman" w:hAnsi="Times New Roman" w:cs="Times New Roman"/>
          <w:b/>
          <w:bCs/>
          <w:kern w:val="0"/>
          <w:sz w:val="24"/>
          <w:szCs w:val="24"/>
        </w:rPr>
        <w:t xml:space="preserve">Figure </w:t>
      </w:r>
      <w:r w:rsidRPr="007271B6">
        <w:rPr>
          <w:rFonts w:ascii="Times New Roman" w:hAnsi="Times New Roman" w:cs="Times New Roman"/>
          <w:b/>
          <w:bCs/>
          <w:kern w:val="0"/>
          <w:sz w:val="24"/>
          <w:szCs w:val="24"/>
        </w:rPr>
        <w:fldChar w:fldCharType="begin"/>
      </w:r>
      <w:r w:rsidRPr="007271B6">
        <w:rPr>
          <w:rFonts w:ascii="Times New Roman" w:hAnsi="Times New Roman" w:cs="Times New Roman"/>
          <w:b/>
          <w:bCs/>
          <w:kern w:val="0"/>
          <w:sz w:val="24"/>
          <w:szCs w:val="24"/>
        </w:rPr>
        <w:instrText xml:space="preserve"> SEQ Figure \* ARABIC </w:instrText>
      </w:r>
      <w:r w:rsidRPr="007271B6">
        <w:rPr>
          <w:rFonts w:ascii="Times New Roman" w:hAnsi="Times New Roman" w:cs="Times New Roman"/>
          <w:b/>
          <w:bCs/>
          <w:kern w:val="0"/>
          <w:sz w:val="24"/>
          <w:szCs w:val="24"/>
        </w:rPr>
        <w:fldChar w:fldCharType="separate"/>
      </w:r>
      <w:r w:rsidR="00DC4CD1" w:rsidRPr="007271B6">
        <w:rPr>
          <w:rFonts w:ascii="Times New Roman" w:hAnsi="Times New Roman" w:cs="Times New Roman"/>
          <w:b/>
          <w:bCs/>
          <w:noProof/>
          <w:kern w:val="0"/>
          <w:sz w:val="24"/>
          <w:szCs w:val="24"/>
        </w:rPr>
        <w:t>1</w:t>
      </w:r>
      <w:r w:rsidRPr="007271B6">
        <w:rPr>
          <w:rFonts w:ascii="Times New Roman" w:hAnsi="Times New Roman" w:cs="Times New Roman"/>
          <w:b/>
          <w:bCs/>
          <w:kern w:val="0"/>
          <w:sz w:val="24"/>
          <w:szCs w:val="24"/>
        </w:rPr>
        <w:fldChar w:fldCharType="end"/>
      </w:r>
      <w:r w:rsidRPr="007271B6">
        <w:rPr>
          <w:rFonts w:ascii="Times New Roman" w:hAnsi="Times New Roman" w:cs="Times New Roman"/>
          <w:b/>
          <w:bCs/>
          <w:kern w:val="0"/>
          <w:sz w:val="24"/>
          <w:szCs w:val="24"/>
        </w:rPr>
        <w:t xml:space="preserve">: </w:t>
      </w:r>
      <w:r w:rsidRPr="007271B6">
        <w:rPr>
          <w:rFonts w:ascii="Times New Roman" w:hAnsi="Times New Roman" w:cs="Times New Roman"/>
          <w:kern w:val="0"/>
          <w:sz w:val="24"/>
          <w:szCs w:val="24"/>
        </w:rPr>
        <w:t>Coding procedure for FTX corporate governance failure.</w:t>
      </w:r>
    </w:p>
    <w:p w14:paraId="47FBCC7D" w14:textId="1AFC964A" w:rsidR="00F808B3" w:rsidRPr="007271B6" w:rsidRDefault="00F808B3" w:rsidP="00F808B3">
      <w:pPr>
        <w:spacing w:after="200" w:line="276" w:lineRule="auto"/>
        <w:rPr>
          <w:rFonts w:ascii="Times New Roman" w:hAnsi="Times New Roman" w:cs="Times New Roman"/>
          <w:b/>
          <w:bCs/>
          <w:kern w:val="0"/>
          <w:sz w:val="24"/>
          <w:szCs w:val="24"/>
        </w:rPr>
      </w:pPr>
      <w:r w:rsidRPr="007271B6">
        <w:rPr>
          <w:noProof/>
        </w:rPr>
        <mc:AlternateContent>
          <mc:Choice Requires="wps">
            <w:drawing>
              <wp:anchor distT="0" distB="0" distL="114300" distR="114300" simplePos="0" relativeHeight="251659264" behindDoc="0" locked="0" layoutInCell="1" allowOverlap="1" wp14:anchorId="66EC5F18" wp14:editId="6B50EF63">
                <wp:simplePos x="0" y="0"/>
                <wp:positionH relativeFrom="column">
                  <wp:posOffset>4457700</wp:posOffset>
                </wp:positionH>
                <wp:positionV relativeFrom="paragraph">
                  <wp:posOffset>1701800</wp:posOffset>
                </wp:positionV>
                <wp:extent cx="457200" cy="365760"/>
                <wp:effectExtent l="0" t="0" r="0" b="15240"/>
                <wp:wrapNone/>
                <wp:docPr id="1367186446"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365760"/>
                        </a:xfrm>
                        <a:prstGeom prst="straightConnector1">
                          <a:avLst/>
                        </a:prstGeom>
                        <a:noFill/>
                        <a:ln w="12700">
                          <a:solidFill>
                            <a:srgbClr val="4472C4">
                              <a:lumMod val="100000"/>
                              <a:lumOff val="0"/>
                            </a:srgbClr>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type w14:anchorId="13F18D2C" id="_x0000_t32" coordsize="21600,21600" o:spt="32" o:oned="t" path="m,l21600,21600e" filled="f">
                <v:path arrowok="t" fillok="f" o:connecttype="none"/>
                <o:lock v:ext="edit" shapetype="t"/>
              </v:shapetype>
              <v:shape id="Straight Arrow Connector 4" o:spid="_x0000_s1026" type="#_x0000_t32" style="position:absolute;margin-left:351pt;margin-top:134pt;width:36pt;height:28.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" strokecolor="#4472c4" strokeweight="1pt"/>
            </w:pict>
          </mc:Fallback>
        </mc:AlternateContent>
      </w:r>
      <w:r w:rsidRPr="007271B6">
        <w:rPr>
          <w:noProof/>
        </w:rPr>
        <mc:AlternateContent>
          <mc:Choice Requires="wps">
            <w:drawing>
              <wp:anchor distT="0" distB="0" distL="114300" distR="114300" simplePos="0" relativeHeight="251660288" behindDoc="0" locked="0" layoutInCell="1" allowOverlap="1" wp14:anchorId="217F5FF1" wp14:editId="2B3ADCCB">
                <wp:simplePos x="0" y="0"/>
                <wp:positionH relativeFrom="column">
                  <wp:posOffset>4472940</wp:posOffset>
                </wp:positionH>
                <wp:positionV relativeFrom="paragraph">
                  <wp:posOffset>1915160</wp:posOffset>
                </wp:positionV>
                <wp:extent cx="510540" cy="746760"/>
                <wp:effectExtent l="0" t="0" r="3810" b="0"/>
                <wp:wrapNone/>
                <wp:docPr id="1506771344"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0540" cy="746760"/>
                        </a:xfrm>
                        <a:prstGeom prst="straightConnector1">
                          <a:avLst/>
                        </a:prstGeom>
                        <a:noFill/>
                        <a:ln w="12700">
                          <a:solidFill>
                            <a:srgbClr val="4472C4">
                              <a:lumMod val="100000"/>
                              <a:lumOff val="0"/>
                            </a:srgbClr>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 w14:anchorId="2AB3458F" id="Straight Arrow Connector 3" o:spid="_x0000_s1026" type="#_x0000_t32" style="position:absolute;margin-left:352.2pt;margin-top:150.8pt;width:40.2pt;height:58.8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" strokecolor="#4472c4" strokeweight="1pt"/>
            </w:pict>
          </mc:Fallback>
        </mc:AlternateContent>
      </w:r>
      <w:r w:rsidRPr="007271B6">
        <w:rPr>
          <w:noProof/>
        </w:rPr>
        <mc:AlternateContent>
          <mc:Choice Requires="wps">
            <w:drawing>
              <wp:anchor distT="0" distB="0" distL="114300" distR="114300" simplePos="0" relativeHeight="251662336" behindDoc="0" locked="0" layoutInCell="1" allowOverlap="1" wp14:anchorId="18A2335A" wp14:editId="6908E805">
                <wp:simplePos x="0" y="0"/>
                <wp:positionH relativeFrom="column">
                  <wp:posOffset>4480560</wp:posOffset>
                </wp:positionH>
                <wp:positionV relativeFrom="paragraph">
                  <wp:posOffset>4833620</wp:posOffset>
                </wp:positionV>
                <wp:extent cx="434340" cy="510540"/>
                <wp:effectExtent l="0" t="0" r="3810" b="3810"/>
                <wp:wrapNone/>
                <wp:docPr id="2260894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510540"/>
                        </a:xfrm>
                        <a:prstGeom prst="straightConnector1">
                          <a:avLst/>
                        </a:prstGeom>
                        <a:noFill/>
                        <a:ln w="12700">
                          <a:solidFill>
                            <a:srgbClr val="4472C4">
                              <a:lumMod val="100000"/>
                              <a:lumOff val="0"/>
                            </a:srgbClr>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 w14:anchorId="59A5C749" id="Straight Arrow Connector 2" o:spid="_x0000_s1026" type="#_x0000_t32" style="position:absolute;margin-left:352.8pt;margin-top:380.6pt;width:34.2pt;height:40.2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" strokecolor="#4472c4" strokeweight="1pt"/>
            </w:pict>
          </mc:Fallback>
        </mc:AlternateContent>
      </w:r>
      <w:r w:rsidRPr="007271B6">
        <w:rPr>
          <w:noProof/>
        </w:rPr>
        <mc:AlternateContent>
          <mc:Choice Requires="wps">
            <w:drawing>
              <wp:anchor distT="0" distB="0" distL="114300" distR="114300" simplePos="0" relativeHeight="251661312" behindDoc="0" locked="0" layoutInCell="1" allowOverlap="1" wp14:anchorId="2820B5A4" wp14:editId="5BA0F1DE">
                <wp:simplePos x="0" y="0"/>
                <wp:positionH relativeFrom="column">
                  <wp:posOffset>4488180</wp:posOffset>
                </wp:positionH>
                <wp:positionV relativeFrom="paragraph">
                  <wp:posOffset>3957320</wp:posOffset>
                </wp:positionV>
                <wp:extent cx="434340" cy="518160"/>
                <wp:effectExtent l="0" t="0" r="3810" b="15240"/>
                <wp:wrapNone/>
                <wp:docPr id="197075533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 cy="518160"/>
                        </a:xfrm>
                        <a:prstGeom prst="straightConnector1">
                          <a:avLst/>
                        </a:prstGeom>
                        <a:noFill/>
                        <a:ln w="12700">
                          <a:solidFill>
                            <a:srgbClr val="4472C4">
                              <a:lumMod val="100000"/>
                              <a:lumOff val="0"/>
                            </a:srgbClr>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 w14:anchorId="51B33BF4" id="Straight Arrow Connector 1" o:spid="_x0000_s1026" type="#_x0000_t32" style="position:absolute;margin-left:353.4pt;margin-top:311.6pt;width:34.2pt;height:4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" strokecolor="#4472c4" strokeweight="1pt"/>
            </w:pict>
          </mc:Fallback>
        </mc:AlternateContent>
      </w:r>
      <w:r w:rsidRPr="007271B6">
        <w:rPr>
          <w:rFonts w:ascii="Times New Roman" w:hAnsi="Times New Roman" w:cs="Times New Roman"/>
          <w:b/>
          <w:bCs/>
          <w:noProof/>
          <w:kern w:val="0"/>
          <w:sz w:val="24"/>
          <w:szCs w:val="24"/>
        </w:rPr>
        <w:drawing>
          <wp:inline distT="0" distB="0" distL="0" distR="0" wp14:anchorId="26918961" wp14:editId="24F4D68A">
            <wp:extent cx="6012180" cy="5890260"/>
            <wp:effectExtent l="38100" t="0" r="4572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1E0A8DC" w14:textId="13F1DC16" w:rsidR="00F808B3" w:rsidRPr="007271B6" w:rsidRDefault="00A036E5" w:rsidP="00F808B3">
      <w:pPr>
        <w:spacing w:after="0" w:line="480" w:lineRule="auto"/>
        <w:ind w:firstLine="720"/>
        <w:rPr>
          <w:rFonts w:ascii="Times New Roman" w:hAnsi="Times New Roman" w:cs="Times New Roman"/>
          <w:b/>
          <w:bCs/>
          <w:kern w:val="0"/>
          <w:sz w:val="24"/>
          <w:szCs w:val="24"/>
        </w:rPr>
      </w:pPr>
      <w:r w:rsidRPr="007271B6">
        <w:rPr>
          <w:rFonts w:ascii="Times New Roman" w:hAnsi="Times New Roman" w:cs="Times New Roman"/>
          <w:kern w:val="0"/>
          <w:sz w:val="24"/>
          <w:szCs w:val="24"/>
        </w:rPr>
        <w:t xml:space="preserve">Priori codes included corporate governance practices, </w:t>
      </w:r>
      <w:proofErr w:type="gramStart"/>
      <w:r w:rsidRPr="007271B6">
        <w:rPr>
          <w:rFonts w:ascii="Times New Roman" w:hAnsi="Times New Roman" w:cs="Times New Roman"/>
          <w:kern w:val="0"/>
          <w:sz w:val="24"/>
          <w:szCs w:val="24"/>
        </w:rPr>
        <w:t>regulations</w:t>
      </w:r>
      <w:proofErr w:type="gramEnd"/>
      <w:r w:rsidRPr="007271B6">
        <w:rPr>
          <w:rFonts w:ascii="Times New Roman" w:hAnsi="Times New Roman" w:cs="Times New Roman"/>
          <w:kern w:val="0"/>
          <w:sz w:val="24"/>
          <w:szCs w:val="24"/>
        </w:rPr>
        <w:t xml:space="preserve"> and corporate issues, as shown in Figure 1 above. These codes were expanded as applicable or based on interviews and literature, and ultimately categorised as lacking governance or policy commitments. Corporate governance practices thematically aligned with the former while company issues aligned with the latter; together, these factors compounded to illustrate that </w:t>
      </w:r>
      <w:r w:rsidRPr="007271B6">
        <w:rPr>
          <w:rFonts w:ascii="Times New Roman" w:hAnsi="Times New Roman" w:cs="Times New Roman"/>
          <w:kern w:val="0"/>
          <w:sz w:val="24"/>
          <w:szCs w:val="24"/>
        </w:rPr>
        <w:lastRenderedPageBreak/>
        <w:t>the collapse of FTX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 was a failure of corporate governance. The analysis has uncovered a new theme, namely the dynamic interconnectedness of companies through the cross examination of the collapse of Terra and Three Arrows.</w:t>
      </w:r>
    </w:p>
    <w:p w14:paraId="42BAC468" w14:textId="033B7824" w:rsidR="00F808B3" w:rsidRPr="007271B6" w:rsidRDefault="008B2FC1" w:rsidP="008B2FC1">
      <w:pPr>
        <w:pStyle w:val="Heading2"/>
      </w:pPr>
      <w:bookmarkStart w:id="40" w:name="_Toc165667431"/>
      <w:r w:rsidRPr="007271B6">
        <w:t>Emerging Theme: Dynamic Interconnectedness of Cryptocurrency E</w:t>
      </w:r>
      <w:r w:rsidR="00F808B3" w:rsidRPr="007271B6">
        <w:t>xchange</w:t>
      </w:r>
      <w:bookmarkEnd w:id="40"/>
    </w:p>
    <w:p w14:paraId="59D21C4F" w14:textId="03C78359"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The analysis revealed a pattern of research pointing to the integration of the cryptocurrency market. Interestingly, cross-examination of the FTX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 collapse and the previous cryptocurrency failures involving Three Arrows and Terra/Luna shows that the interconnectedness of exchange platforms makes them vulnerable to collapse when a more prominent firm collapses. </w:t>
      </w:r>
      <w:proofErr w:type="spellStart"/>
      <w:r w:rsidRPr="007271B6">
        <w:rPr>
          <w:rFonts w:ascii="Times New Roman" w:hAnsi="Times New Roman" w:cs="Times New Roman"/>
          <w:kern w:val="0"/>
          <w:sz w:val="24"/>
          <w:szCs w:val="24"/>
        </w:rPr>
        <w:t>Akyildirim</w:t>
      </w:r>
      <w:proofErr w:type="spellEnd"/>
      <w:r w:rsidRPr="007271B6">
        <w:rPr>
          <w:rFonts w:ascii="Times New Roman" w:hAnsi="Times New Roman" w:cs="Times New Roman"/>
          <w:kern w:val="0"/>
          <w:sz w:val="24"/>
          <w:szCs w:val="24"/>
        </w:rPr>
        <w:t xml:space="preserve"> and colleagues (2023) used a dynamic connectedness approach to illustrate the interconnectedness of financial markets and the associated systemic risks posed by the collapse of cryptocurrency exchanges. The interconnectedness resulted in firms sharing returns and volatility (</w:t>
      </w:r>
      <w:proofErr w:type="spellStart"/>
      <w:r w:rsidRPr="007271B6">
        <w:rPr>
          <w:rFonts w:ascii="Times New Roman" w:hAnsi="Times New Roman" w:cs="Times New Roman"/>
          <w:kern w:val="0"/>
          <w:sz w:val="24"/>
          <w:szCs w:val="24"/>
        </w:rPr>
        <w:t>Sensoy</w:t>
      </w:r>
      <w:proofErr w:type="spellEnd"/>
      <w:r w:rsidRPr="007271B6">
        <w:rPr>
          <w:rFonts w:ascii="Times New Roman" w:hAnsi="Times New Roman" w:cs="Times New Roman"/>
          <w:kern w:val="0"/>
          <w:sz w:val="24"/>
          <w:szCs w:val="24"/>
        </w:rPr>
        <w:t xml:space="preserve"> et al., 2021). Another similarity between the collapse of FTX and other predecessors is the effective altruism principle and the lack of sound corporate governance. However, a distinct difference between the previous collapses and that of FTX is that there were no aggressive marketing strategies involving celebrity athletes and there was no sister company such as Alameda Research (CNBC, 2023).</w:t>
      </w:r>
    </w:p>
    <w:p w14:paraId="30679B24" w14:textId="5ED4CC11" w:rsidR="00F808B3"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Data analysis based on three predetermined themes, including corporate governance practices, corporate </w:t>
      </w:r>
      <w:proofErr w:type="gramStart"/>
      <w:r w:rsidRPr="007271B6">
        <w:rPr>
          <w:rFonts w:ascii="Times New Roman" w:hAnsi="Times New Roman" w:cs="Times New Roman"/>
          <w:kern w:val="0"/>
          <w:sz w:val="24"/>
          <w:szCs w:val="24"/>
        </w:rPr>
        <w:t>issues</w:t>
      </w:r>
      <w:proofErr w:type="gramEnd"/>
      <w:r w:rsidRPr="007271B6">
        <w:rPr>
          <w:rFonts w:ascii="Times New Roman" w:hAnsi="Times New Roman" w:cs="Times New Roman"/>
          <w:kern w:val="0"/>
          <w:sz w:val="24"/>
          <w:szCs w:val="24"/>
        </w:rPr>
        <w:t xml:space="preserve"> and the regulation of cryptocurrency companies, categorised the documentary interviews according to priority codes. One emerging theme, the interconnectedness of cryptocurrency companies, was revealed by cross-examining the collapse of FTX and Alameda Research with the previous collapse of Three Arrows and Terra/Luna. The given codes paint an accurate picture of the collapse and establish that SBF deviated from </w:t>
      </w:r>
      <w:r w:rsidR="00905781">
        <w:rPr>
          <w:rFonts w:ascii="Times New Roman" w:hAnsi="Times New Roman" w:cs="Times New Roman"/>
          <w:kern w:val="0"/>
          <w:sz w:val="24"/>
          <w:szCs w:val="24"/>
        </w:rPr>
        <w:t>basic</w:t>
      </w:r>
      <w:r w:rsidRPr="007271B6">
        <w:rPr>
          <w:rFonts w:ascii="Times New Roman" w:hAnsi="Times New Roman" w:cs="Times New Roman"/>
          <w:kern w:val="0"/>
          <w:sz w:val="24"/>
          <w:szCs w:val="24"/>
        </w:rPr>
        <w:t xml:space="preserve"> corporate governance practises and maintained an effective altruism </w:t>
      </w:r>
      <w:r w:rsidRPr="007271B6">
        <w:rPr>
          <w:rFonts w:ascii="Times New Roman" w:hAnsi="Times New Roman" w:cs="Times New Roman"/>
          <w:kern w:val="0"/>
          <w:sz w:val="24"/>
          <w:szCs w:val="24"/>
        </w:rPr>
        <w:lastRenderedPageBreak/>
        <w:t xml:space="preserve">philosophy without oversight and boundaries. The findings from this data analysis are discussed in more detail </w:t>
      </w:r>
      <w:r w:rsidR="00905781">
        <w:rPr>
          <w:rFonts w:ascii="Times New Roman" w:hAnsi="Times New Roman" w:cs="Times New Roman"/>
          <w:kern w:val="0"/>
          <w:sz w:val="24"/>
          <w:szCs w:val="24"/>
        </w:rPr>
        <w:t>below</w:t>
      </w:r>
      <w:r w:rsidRPr="007271B6">
        <w:rPr>
          <w:rFonts w:ascii="Times New Roman" w:hAnsi="Times New Roman" w:cs="Times New Roman"/>
          <w:kern w:val="0"/>
          <w:sz w:val="24"/>
          <w:szCs w:val="24"/>
        </w:rPr>
        <w:t>.</w:t>
      </w:r>
      <w:r w:rsidR="00F808B3" w:rsidRPr="007271B6">
        <w:rPr>
          <w:rFonts w:ascii="Times New Roman" w:hAnsi="Times New Roman" w:cs="Times New Roman"/>
          <w:kern w:val="0"/>
          <w:sz w:val="24"/>
          <w:szCs w:val="24"/>
        </w:rPr>
        <w:t xml:space="preserve"> </w:t>
      </w:r>
      <w:r w:rsidR="00F808B3" w:rsidRPr="007271B6">
        <w:rPr>
          <w:rFonts w:ascii="Times New Roman" w:hAnsi="Times New Roman" w:cs="Times New Roman"/>
          <w:kern w:val="0"/>
          <w:sz w:val="24"/>
          <w:szCs w:val="24"/>
        </w:rPr>
        <w:br w:type="page"/>
      </w:r>
    </w:p>
    <w:p w14:paraId="11B78AA0" w14:textId="77777777" w:rsidR="00F808B3" w:rsidRPr="007271B6" w:rsidRDefault="00F808B3" w:rsidP="008B2FC1">
      <w:pPr>
        <w:pStyle w:val="Heading1"/>
        <w:rPr>
          <w:lang w:val="en-GB"/>
        </w:rPr>
      </w:pPr>
      <w:bookmarkStart w:id="41" w:name="_Toc165667432"/>
      <w:r w:rsidRPr="007271B6">
        <w:rPr>
          <w:lang w:val="en-GB"/>
        </w:rPr>
        <w:lastRenderedPageBreak/>
        <w:t>Discussion</w:t>
      </w:r>
      <w:bookmarkEnd w:id="41"/>
    </w:p>
    <w:p w14:paraId="494DC7BC" w14:textId="4B6F9F9A" w:rsidR="00F808B3" w:rsidRPr="007271B6" w:rsidRDefault="00CB630F" w:rsidP="00F808B3">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In this section, the results of the study are critically interpreted by linking them to the literature and the research questions. The discussion emphasises the significance of the findings, drawing on concepts and theories from the literature review that relate to the collapse of cryptocurrency firms. The chapter briefly explains how these findings and the literature answer the research questions and what implications they have for corporate governance. This discussion section draws on the research questions and related topics as follows:</w:t>
      </w:r>
    </w:p>
    <w:p w14:paraId="22B9275F" w14:textId="77777777" w:rsidR="00367085" w:rsidRPr="007271B6" w:rsidRDefault="00F808B3" w:rsidP="00F808B3">
      <w:pPr>
        <w:spacing w:after="0" w:line="480" w:lineRule="auto"/>
        <w:ind w:firstLine="720"/>
        <w:rPr>
          <w:rFonts w:ascii="Times New Roman" w:hAnsi="Times New Roman" w:cs="Times New Roman"/>
          <w:b/>
          <w:bCs/>
          <w:kern w:val="0"/>
          <w:sz w:val="24"/>
          <w:szCs w:val="24"/>
        </w:rPr>
      </w:pPr>
      <w:r w:rsidRPr="007271B6">
        <w:rPr>
          <w:rFonts w:ascii="Times New Roman" w:hAnsi="Times New Roman" w:cs="Times New Roman"/>
          <w:b/>
          <w:bCs/>
          <w:kern w:val="0"/>
          <w:sz w:val="24"/>
          <w:szCs w:val="24"/>
        </w:rPr>
        <w:t xml:space="preserve">Research question: How did corporate governance practices within FTX and Alameda Research lead to bankruptcies? </w:t>
      </w:r>
    </w:p>
    <w:p w14:paraId="4D29B18A" w14:textId="2AC95077"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Question 1 of the research questions </w:t>
      </w:r>
      <w:r w:rsidR="00FF6FB4" w:rsidRPr="007271B6">
        <w:rPr>
          <w:rFonts w:ascii="Times New Roman" w:hAnsi="Times New Roman" w:cs="Times New Roman"/>
          <w:kern w:val="0"/>
          <w:sz w:val="24"/>
          <w:szCs w:val="24"/>
        </w:rPr>
        <w:t>has</w:t>
      </w:r>
      <w:r w:rsidRPr="007271B6">
        <w:rPr>
          <w:rFonts w:ascii="Times New Roman" w:hAnsi="Times New Roman" w:cs="Times New Roman"/>
          <w:kern w:val="0"/>
          <w:sz w:val="24"/>
          <w:szCs w:val="24"/>
        </w:rPr>
        <w:t xml:space="preserve"> been at the centre of much of the literature and </w:t>
      </w:r>
      <w:r w:rsidR="00C546E9">
        <w:rPr>
          <w:rFonts w:ascii="Times New Roman" w:hAnsi="Times New Roman" w:cs="Times New Roman"/>
          <w:kern w:val="0"/>
          <w:sz w:val="24"/>
          <w:szCs w:val="24"/>
        </w:rPr>
        <w:t xml:space="preserve">source material </w:t>
      </w:r>
      <w:r w:rsidRPr="007271B6">
        <w:rPr>
          <w:rFonts w:ascii="Times New Roman" w:hAnsi="Times New Roman" w:cs="Times New Roman"/>
          <w:kern w:val="0"/>
          <w:sz w:val="24"/>
          <w:szCs w:val="24"/>
        </w:rPr>
        <w:t>on the collapse of FTX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A harrowing expose aired by CNBC in which one of the interviewees, Mr Ray, the current</w:t>
      </w:r>
      <w:r w:rsidR="00E554C7">
        <w:rPr>
          <w:rFonts w:ascii="Times New Roman" w:hAnsi="Times New Roman" w:cs="Times New Roman"/>
          <w:kern w:val="0"/>
          <w:sz w:val="24"/>
          <w:szCs w:val="24"/>
        </w:rPr>
        <w:t xml:space="preserve"> interim</w:t>
      </w:r>
      <w:r w:rsidRPr="007271B6">
        <w:rPr>
          <w:rFonts w:ascii="Times New Roman" w:hAnsi="Times New Roman" w:cs="Times New Roman"/>
          <w:kern w:val="0"/>
          <w:sz w:val="24"/>
          <w:szCs w:val="24"/>
        </w:rPr>
        <w:t xml:space="preserve"> CEO of FTX and Alameda Research, suggested that “It’s the absence of record- keeping” and “There’s no independent board” as the fundamental reasons behind the collapse of one of the leading cryptocurrency companies in the world. The data analysis revealed that poor corporate governance practices, including the lack of records and board of directors, were critical to the collapse of FTX and Alameda Research. Mr Ray’s answers shed light on the lack of appropriate corporate governance at the companies. This lack led to fraudulent activity as the roles and responsibilities of employees and management were not clearly delineated. In addition, the lack of a board of directors meant that there was no oversight to ensure strategic implementation.</w:t>
      </w:r>
    </w:p>
    <w:p w14:paraId="538CCCBB" w14:textId="12A3AE2E"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Pilkington (2022) claims that FTX’s bankruptcy was due to a failure of </w:t>
      </w:r>
      <w:r w:rsidR="00FF6FB4" w:rsidRPr="007271B6">
        <w:rPr>
          <w:rFonts w:ascii="Times New Roman" w:hAnsi="Times New Roman" w:cs="Times New Roman"/>
          <w:kern w:val="0"/>
          <w:sz w:val="24"/>
          <w:szCs w:val="24"/>
        </w:rPr>
        <w:t>governance,</w:t>
      </w:r>
      <w:r w:rsidRPr="007271B6">
        <w:rPr>
          <w:rFonts w:ascii="Times New Roman" w:hAnsi="Times New Roman" w:cs="Times New Roman"/>
          <w:kern w:val="0"/>
          <w:sz w:val="24"/>
          <w:szCs w:val="24"/>
        </w:rPr>
        <w:t xml:space="preserve"> the author points to problems in organisational decision-making, </w:t>
      </w:r>
      <w:proofErr w:type="gramStart"/>
      <w:r w:rsidRPr="007271B6">
        <w:rPr>
          <w:rFonts w:ascii="Times New Roman" w:hAnsi="Times New Roman" w:cs="Times New Roman"/>
          <w:kern w:val="0"/>
          <w:sz w:val="24"/>
          <w:szCs w:val="24"/>
        </w:rPr>
        <w:t>transparency</w:t>
      </w:r>
      <w:proofErr w:type="gramEnd"/>
      <w:r w:rsidRPr="007271B6">
        <w:rPr>
          <w:rFonts w:ascii="Times New Roman" w:hAnsi="Times New Roman" w:cs="Times New Roman"/>
          <w:kern w:val="0"/>
          <w:sz w:val="24"/>
          <w:szCs w:val="24"/>
        </w:rPr>
        <w:t xml:space="preserve"> and risk management. These components are consistent with the CNBC documentary, which </w:t>
      </w:r>
      <w:r w:rsidRPr="007271B6">
        <w:rPr>
          <w:rFonts w:ascii="Times New Roman" w:hAnsi="Times New Roman" w:cs="Times New Roman"/>
          <w:kern w:val="0"/>
          <w:sz w:val="24"/>
          <w:szCs w:val="24"/>
        </w:rPr>
        <w:lastRenderedPageBreak/>
        <w:t xml:space="preserve">highlighted the lack of record-keeping and an oversight board as critical deficiencies in the two companies’ corporate governance practices. The author discovered that the distributed networks that form the basis for blockchain-powered </w:t>
      </w:r>
      <w:r w:rsidR="00A37152" w:rsidRPr="007271B6">
        <w:rPr>
          <w:rFonts w:ascii="Times New Roman" w:hAnsi="Times New Roman" w:cs="Times New Roman"/>
          <w:kern w:val="0"/>
          <w:sz w:val="24"/>
          <w:szCs w:val="24"/>
        </w:rPr>
        <w:t>decentralised autonomous organisation (</w:t>
      </w:r>
      <w:r w:rsidRPr="007271B6">
        <w:rPr>
          <w:rFonts w:ascii="Times New Roman" w:hAnsi="Times New Roman" w:cs="Times New Roman"/>
          <w:kern w:val="0"/>
          <w:sz w:val="24"/>
          <w:szCs w:val="24"/>
        </w:rPr>
        <w:t>DAO</w:t>
      </w:r>
      <w:r w:rsidR="00A37152" w:rsidRPr="007271B6">
        <w:rPr>
          <w:rFonts w:ascii="Times New Roman" w:hAnsi="Times New Roman" w:cs="Times New Roman"/>
          <w:kern w:val="0"/>
          <w:sz w:val="24"/>
          <w:szCs w:val="24"/>
        </w:rPr>
        <w:t>)</w:t>
      </w:r>
      <w:r w:rsidRPr="007271B6">
        <w:rPr>
          <w:rFonts w:ascii="Times New Roman" w:hAnsi="Times New Roman" w:cs="Times New Roman"/>
          <w:kern w:val="0"/>
          <w:sz w:val="24"/>
          <w:szCs w:val="24"/>
        </w:rPr>
        <w:t xml:space="preserve"> had a consensus protocol that eliminated hierarchical power (Pilkington, 2022). These organisations tend to have a multitude of collaborators in a hierarchy-less group who have the potential to effect change in the void of distributed order; consequently, there is limited accountability and transparency (CNBC, 2023; Pilkington, 2022). Pilkington (2022) quotes Spinoza to explain that such blockchain-based technology, even if it tries to avoid hierarchies, falls into them, especially if one individual</w:t>
      </w:r>
      <w:r w:rsidR="00443FD9">
        <w:rPr>
          <w:rFonts w:ascii="Times New Roman" w:hAnsi="Times New Roman" w:cs="Times New Roman"/>
          <w:kern w:val="0"/>
          <w:sz w:val="24"/>
          <w:szCs w:val="24"/>
        </w:rPr>
        <w:t xml:space="preserve"> has better information flow and control</w:t>
      </w:r>
      <w:r w:rsidRPr="007271B6">
        <w:rPr>
          <w:rFonts w:ascii="Times New Roman" w:hAnsi="Times New Roman" w:cs="Times New Roman"/>
          <w:kern w:val="0"/>
          <w:sz w:val="24"/>
          <w:szCs w:val="24"/>
        </w:rPr>
        <w:t>. This explanation aligns with Mr Ray’s observation that S</w:t>
      </w:r>
      <w:r w:rsidR="003F546F" w:rsidRPr="007271B6">
        <w:rPr>
          <w:rFonts w:ascii="Times New Roman" w:hAnsi="Times New Roman" w:cs="Times New Roman"/>
          <w:kern w:val="0"/>
          <w:sz w:val="24"/>
          <w:szCs w:val="24"/>
        </w:rPr>
        <w:t>BF</w:t>
      </w:r>
      <w:r w:rsidRPr="007271B6">
        <w:rPr>
          <w:rFonts w:ascii="Times New Roman" w:hAnsi="Times New Roman" w:cs="Times New Roman"/>
          <w:kern w:val="0"/>
          <w:sz w:val="24"/>
          <w:szCs w:val="24"/>
        </w:rPr>
        <w:t xml:space="preserve">, who was </w:t>
      </w:r>
      <w:r w:rsidR="00443FD9">
        <w:rPr>
          <w:rFonts w:ascii="Times New Roman" w:hAnsi="Times New Roman" w:cs="Times New Roman"/>
          <w:kern w:val="0"/>
          <w:sz w:val="24"/>
          <w:szCs w:val="24"/>
        </w:rPr>
        <w:t>a founder of both companies and in a position of power</w:t>
      </w:r>
      <w:r w:rsidRPr="007271B6">
        <w:rPr>
          <w:rFonts w:ascii="Times New Roman" w:hAnsi="Times New Roman" w:cs="Times New Roman"/>
          <w:kern w:val="0"/>
          <w:sz w:val="24"/>
          <w:szCs w:val="24"/>
        </w:rPr>
        <w:t xml:space="preserve">, removed the hierarchical order in </w:t>
      </w:r>
      <w:r w:rsidR="00443FD9">
        <w:rPr>
          <w:rFonts w:ascii="Times New Roman" w:hAnsi="Times New Roman" w:cs="Times New Roman"/>
          <w:kern w:val="0"/>
          <w:sz w:val="24"/>
          <w:szCs w:val="24"/>
        </w:rPr>
        <w:t>these</w:t>
      </w:r>
      <w:r w:rsidRPr="007271B6">
        <w:rPr>
          <w:rFonts w:ascii="Times New Roman" w:hAnsi="Times New Roman" w:cs="Times New Roman"/>
          <w:kern w:val="0"/>
          <w:sz w:val="24"/>
          <w:szCs w:val="24"/>
        </w:rPr>
        <w:t xml:space="preserve"> organisation</w:t>
      </w:r>
      <w:r w:rsidR="00443FD9">
        <w:rPr>
          <w:rFonts w:ascii="Times New Roman" w:hAnsi="Times New Roman" w:cs="Times New Roman"/>
          <w:kern w:val="0"/>
          <w:sz w:val="24"/>
          <w:szCs w:val="24"/>
        </w:rPr>
        <w:t>s</w:t>
      </w:r>
      <w:r w:rsidRPr="007271B6">
        <w:rPr>
          <w:rFonts w:ascii="Times New Roman" w:hAnsi="Times New Roman" w:cs="Times New Roman"/>
          <w:kern w:val="0"/>
          <w:sz w:val="24"/>
          <w:szCs w:val="24"/>
        </w:rPr>
        <w:t xml:space="preserve"> and put himself at the top of any decision making.</w:t>
      </w:r>
    </w:p>
    <w:p w14:paraId="0883B452" w14:textId="37F0E034" w:rsidR="00F808B3"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CNBC's (2023) interview with the CEO of FTX US shows that Brett had no idea that the company was in danger at the time of his resignation, as SBF was busy with fundraising activities and controlled much of the information flow; there was no absolute unity. Pilkington (2022) claims that such organisational forms (without hierarchy) have more viability when they are given agency </w:t>
      </w:r>
      <w:r w:rsidR="00443FD9">
        <w:rPr>
          <w:rFonts w:ascii="Times New Roman" w:hAnsi="Times New Roman" w:cs="Times New Roman"/>
          <w:kern w:val="0"/>
          <w:sz w:val="24"/>
          <w:szCs w:val="24"/>
        </w:rPr>
        <w:t>compared to</w:t>
      </w:r>
      <w:r w:rsidRPr="007271B6">
        <w:rPr>
          <w:rFonts w:ascii="Times New Roman" w:hAnsi="Times New Roman" w:cs="Times New Roman"/>
          <w:kern w:val="0"/>
          <w:sz w:val="24"/>
          <w:szCs w:val="24"/>
        </w:rPr>
        <w:t xml:space="preserve"> when they have no constraints. However, as the CNBC and Bloomberg Originals documentaries show, FTX and Alameda </w:t>
      </w:r>
      <w:r w:rsidR="00C95DBF">
        <w:rPr>
          <w:rFonts w:ascii="Times New Roman" w:hAnsi="Times New Roman" w:cs="Times New Roman"/>
          <w:kern w:val="0"/>
          <w:sz w:val="24"/>
          <w:szCs w:val="24"/>
        </w:rPr>
        <w:t xml:space="preserve">Research </w:t>
      </w:r>
      <w:r w:rsidRPr="007271B6">
        <w:rPr>
          <w:rFonts w:ascii="Times New Roman" w:hAnsi="Times New Roman" w:cs="Times New Roman"/>
          <w:kern w:val="0"/>
          <w:sz w:val="24"/>
          <w:szCs w:val="24"/>
        </w:rPr>
        <w:t xml:space="preserve">opted for the latter (removal of constraints), which </w:t>
      </w:r>
      <w:r w:rsidR="00443FD9">
        <w:rPr>
          <w:rFonts w:ascii="Times New Roman" w:hAnsi="Times New Roman" w:cs="Times New Roman"/>
          <w:kern w:val="0"/>
          <w:sz w:val="24"/>
          <w:szCs w:val="24"/>
        </w:rPr>
        <w:t>impedes</w:t>
      </w:r>
      <w:r w:rsidRPr="007271B6">
        <w:rPr>
          <w:rFonts w:ascii="Times New Roman" w:hAnsi="Times New Roman" w:cs="Times New Roman"/>
          <w:kern w:val="0"/>
          <w:sz w:val="24"/>
          <w:szCs w:val="24"/>
        </w:rPr>
        <w:t xml:space="preserve"> governance practices such as clear roles and responsibilities, record-keeping, and board control, inevitably leading to their collapse (CNBC, 2023; Bloomberg Originals, 2023).</w:t>
      </w:r>
      <w:r w:rsidR="00F808B3" w:rsidRPr="007271B6">
        <w:rPr>
          <w:rFonts w:ascii="Times New Roman" w:hAnsi="Times New Roman" w:cs="Times New Roman"/>
          <w:kern w:val="0"/>
          <w:sz w:val="24"/>
          <w:szCs w:val="24"/>
        </w:rPr>
        <w:t xml:space="preserve"> </w:t>
      </w:r>
    </w:p>
    <w:p w14:paraId="6849829B" w14:textId="3358EFD4"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As though drawn from conception, after the elimination of hierarchy, SBF controlled FTX as though it was his “piggy bank” (CNBC, 2023, 15:00-32:00). This was </w:t>
      </w:r>
      <w:r w:rsidR="00443FD9">
        <w:rPr>
          <w:rFonts w:ascii="Times New Roman" w:hAnsi="Times New Roman" w:cs="Times New Roman"/>
          <w:kern w:val="0"/>
          <w:sz w:val="24"/>
          <w:szCs w:val="24"/>
        </w:rPr>
        <w:t>detrimental</w:t>
      </w:r>
      <w:r w:rsidRPr="007271B6">
        <w:rPr>
          <w:rFonts w:ascii="Times New Roman" w:hAnsi="Times New Roman" w:cs="Times New Roman"/>
          <w:kern w:val="0"/>
          <w:sz w:val="24"/>
          <w:szCs w:val="24"/>
        </w:rPr>
        <w:t xml:space="preserve"> to</w:t>
      </w:r>
      <w:r w:rsidR="00443FD9">
        <w:rPr>
          <w:rFonts w:ascii="Times New Roman" w:hAnsi="Times New Roman" w:cs="Times New Roman"/>
          <w:kern w:val="0"/>
          <w:sz w:val="24"/>
          <w:szCs w:val="24"/>
        </w:rPr>
        <w:t xml:space="preserve"> customers and </w:t>
      </w:r>
      <w:r w:rsidRPr="007271B6">
        <w:rPr>
          <w:rFonts w:ascii="Times New Roman" w:hAnsi="Times New Roman" w:cs="Times New Roman"/>
          <w:kern w:val="0"/>
          <w:sz w:val="24"/>
          <w:szCs w:val="24"/>
        </w:rPr>
        <w:t>shareholder</w:t>
      </w:r>
      <w:r w:rsidR="00443FD9">
        <w:rPr>
          <w:rFonts w:ascii="Times New Roman" w:hAnsi="Times New Roman" w:cs="Times New Roman"/>
          <w:kern w:val="0"/>
          <w:sz w:val="24"/>
          <w:szCs w:val="24"/>
        </w:rPr>
        <w:t>s as</w:t>
      </w:r>
      <w:r w:rsidRPr="007271B6">
        <w:rPr>
          <w:rFonts w:ascii="Times New Roman" w:hAnsi="Times New Roman" w:cs="Times New Roman"/>
          <w:kern w:val="0"/>
          <w:sz w:val="24"/>
          <w:szCs w:val="24"/>
        </w:rPr>
        <w:t xml:space="preserve"> </w:t>
      </w:r>
      <w:r w:rsidR="00443FD9">
        <w:rPr>
          <w:rFonts w:ascii="Times New Roman" w:hAnsi="Times New Roman" w:cs="Times New Roman"/>
          <w:kern w:val="0"/>
          <w:sz w:val="24"/>
          <w:szCs w:val="24"/>
        </w:rPr>
        <w:t xml:space="preserve">this </w:t>
      </w:r>
      <w:r w:rsidRPr="007271B6">
        <w:rPr>
          <w:rFonts w:ascii="Times New Roman" w:hAnsi="Times New Roman" w:cs="Times New Roman"/>
          <w:kern w:val="0"/>
          <w:sz w:val="24"/>
          <w:szCs w:val="24"/>
        </w:rPr>
        <w:t xml:space="preserve">was </w:t>
      </w:r>
      <w:r w:rsidR="00443FD9">
        <w:rPr>
          <w:rFonts w:ascii="Times New Roman" w:hAnsi="Times New Roman" w:cs="Times New Roman"/>
          <w:kern w:val="0"/>
          <w:sz w:val="24"/>
          <w:szCs w:val="24"/>
        </w:rPr>
        <w:t>when SBF was able to begin syphoning funds for personal gain</w:t>
      </w:r>
      <w:r w:rsidR="00A426FE">
        <w:rPr>
          <w:rFonts w:ascii="Times New Roman" w:hAnsi="Times New Roman" w:cs="Times New Roman"/>
          <w:kern w:val="0"/>
          <w:sz w:val="24"/>
          <w:szCs w:val="24"/>
        </w:rPr>
        <w:t xml:space="preserve">, leading to the misalignment of company objectives between management and </w:t>
      </w:r>
      <w:r w:rsidR="00A426FE">
        <w:rPr>
          <w:rFonts w:ascii="Times New Roman" w:hAnsi="Times New Roman" w:cs="Times New Roman"/>
          <w:kern w:val="0"/>
          <w:sz w:val="24"/>
          <w:szCs w:val="24"/>
        </w:rPr>
        <w:lastRenderedPageBreak/>
        <w:t>other stakeholders</w:t>
      </w:r>
      <w:r w:rsidRPr="007271B6">
        <w:rPr>
          <w:rFonts w:ascii="Times New Roman" w:hAnsi="Times New Roman" w:cs="Times New Roman"/>
          <w:kern w:val="0"/>
          <w:sz w:val="24"/>
          <w:szCs w:val="24"/>
        </w:rPr>
        <w:t xml:space="preserve"> (</w:t>
      </w:r>
      <w:proofErr w:type="spellStart"/>
      <w:r w:rsidRPr="007271B6">
        <w:rPr>
          <w:rFonts w:ascii="Times New Roman" w:hAnsi="Times New Roman" w:cs="Times New Roman"/>
          <w:kern w:val="0"/>
          <w:sz w:val="24"/>
          <w:szCs w:val="24"/>
        </w:rPr>
        <w:t>Akiyildirim</w:t>
      </w:r>
      <w:proofErr w:type="spellEnd"/>
      <w:r w:rsidRPr="007271B6">
        <w:rPr>
          <w:rFonts w:ascii="Times New Roman" w:hAnsi="Times New Roman" w:cs="Times New Roman"/>
          <w:kern w:val="0"/>
          <w:sz w:val="24"/>
          <w:szCs w:val="24"/>
        </w:rPr>
        <w:t xml:space="preserve"> et al., 2023). Pierce (2022) introduces agency theory, in which he emphasises the importance of companies pursuing the goals of their investors and shareholders as a primary objective. According to this theory, it is a corporate model in which investors invest in a company so that the company's management uses the funds to create value </w:t>
      </w:r>
      <w:r w:rsidR="00A426FE">
        <w:rPr>
          <w:rFonts w:ascii="Times New Roman" w:hAnsi="Times New Roman" w:cs="Times New Roman"/>
          <w:kern w:val="0"/>
          <w:sz w:val="24"/>
          <w:szCs w:val="24"/>
        </w:rPr>
        <w:t>by</w:t>
      </w:r>
      <w:r w:rsidRPr="007271B6">
        <w:rPr>
          <w:rFonts w:ascii="Times New Roman" w:hAnsi="Times New Roman" w:cs="Times New Roman"/>
          <w:kern w:val="0"/>
          <w:sz w:val="24"/>
          <w:szCs w:val="24"/>
        </w:rPr>
        <w:t xml:space="preserve"> increasing investors’ wealth (Pierce, 2022). Pierce’s shareholder primacy argument establishes clear roles where investors offer </w:t>
      </w:r>
      <w:r w:rsidR="00A426FE">
        <w:rPr>
          <w:rFonts w:ascii="Times New Roman" w:hAnsi="Times New Roman" w:cs="Times New Roman"/>
          <w:kern w:val="0"/>
          <w:sz w:val="24"/>
          <w:szCs w:val="24"/>
        </w:rPr>
        <w:t>capital</w:t>
      </w:r>
      <w:r w:rsidRPr="007271B6">
        <w:rPr>
          <w:rFonts w:ascii="Times New Roman" w:hAnsi="Times New Roman" w:cs="Times New Roman"/>
          <w:kern w:val="0"/>
          <w:sz w:val="24"/>
          <w:szCs w:val="24"/>
        </w:rPr>
        <w:t xml:space="preserve"> while the company manages it. FTX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 grossly violated agency theory by SBF’s insistence on using the money for charitable purposes through the philosophy of effective altruism and other schemes that proved to be outright misappropriation of investor capital (Pierce, 2022). Eventually, he could no longer provide investors with their funds on demand; in the process </w:t>
      </w:r>
      <w:r w:rsidR="00A426FE" w:rsidRPr="007271B6">
        <w:rPr>
          <w:rFonts w:ascii="Times New Roman" w:hAnsi="Times New Roman" w:cs="Times New Roman"/>
          <w:kern w:val="0"/>
          <w:sz w:val="24"/>
          <w:szCs w:val="24"/>
        </w:rPr>
        <w:t>exposi</w:t>
      </w:r>
      <w:r w:rsidR="00A426FE">
        <w:rPr>
          <w:rFonts w:ascii="Times New Roman" w:hAnsi="Times New Roman" w:cs="Times New Roman"/>
          <w:kern w:val="0"/>
          <w:sz w:val="24"/>
          <w:szCs w:val="24"/>
        </w:rPr>
        <w:t>ng his</w:t>
      </w:r>
      <w:r w:rsidRPr="007271B6">
        <w:rPr>
          <w:rFonts w:ascii="Times New Roman" w:hAnsi="Times New Roman" w:cs="Times New Roman"/>
          <w:kern w:val="0"/>
          <w:sz w:val="24"/>
          <w:szCs w:val="24"/>
        </w:rPr>
        <w:t xml:space="preserve"> fraudulent activities.</w:t>
      </w:r>
    </w:p>
    <w:p w14:paraId="6194D8E6" w14:textId="795BE641" w:rsidR="00F808B3"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CNBC (2023) uncovered that one of the executives, Caroline</w:t>
      </w:r>
      <w:r w:rsidR="00A426FE">
        <w:rPr>
          <w:rFonts w:ascii="Times New Roman" w:hAnsi="Times New Roman" w:cs="Times New Roman"/>
          <w:kern w:val="0"/>
          <w:sz w:val="24"/>
          <w:szCs w:val="24"/>
        </w:rPr>
        <w:t xml:space="preserve"> Ellison</w:t>
      </w:r>
      <w:r w:rsidRPr="007271B6">
        <w:rPr>
          <w:rFonts w:ascii="Times New Roman" w:hAnsi="Times New Roman" w:cs="Times New Roman"/>
          <w:kern w:val="0"/>
          <w:sz w:val="24"/>
          <w:szCs w:val="24"/>
        </w:rPr>
        <w:t>, CEO of Alameda Research, understood that investors would not be pleased that SBF was using their digital assets to pay off loans. However, there was no channel for her to raise the issue as there was no board or committee. As a result, FTX introduced uncollateralised FTT tokens as part of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s </w:t>
      </w:r>
      <w:r w:rsidR="00A426FE">
        <w:rPr>
          <w:rFonts w:ascii="Times New Roman" w:hAnsi="Times New Roman" w:cs="Times New Roman"/>
          <w:kern w:val="0"/>
          <w:sz w:val="24"/>
          <w:szCs w:val="24"/>
        </w:rPr>
        <w:t>balance sheet</w:t>
      </w:r>
      <w:r w:rsidRPr="007271B6">
        <w:rPr>
          <w:rFonts w:ascii="Times New Roman" w:hAnsi="Times New Roman" w:cs="Times New Roman"/>
          <w:kern w:val="0"/>
          <w:sz w:val="24"/>
          <w:szCs w:val="24"/>
        </w:rPr>
        <w:t xml:space="preserve">, with the latter owning 40% of the tokens; </w:t>
      </w:r>
      <w:r w:rsidR="00A426FE">
        <w:rPr>
          <w:rFonts w:ascii="Times New Roman" w:hAnsi="Times New Roman" w:cs="Times New Roman"/>
          <w:kern w:val="0"/>
          <w:sz w:val="24"/>
          <w:szCs w:val="24"/>
        </w:rPr>
        <w:t>the</w:t>
      </w:r>
      <w:r w:rsidRPr="007271B6">
        <w:rPr>
          <w:rFonts w:ascii="Times New Roman" w:hAnsi="Times New Roman" w:cs="Times New Roman"/>
          <w:kern w:val="0"/>
          <w:sz w:val="24"/>
          <w:szCs w:val="24"/>
        </w:rPr>
        <w:t xml:space="preserve"> leaked balance sheet from Alameda Research revealed the company's poor financial position given the use of FTT token</w:t>
      </w:r>
      <w:r w:rsidR="00A426FE">
        <w:rPr>
          <w:rFonts w:ascii="Times New Roman" w:hAnsi="Times New Roman" w:cs="Times New Roman"/>
          <w:kern w:val="0"/>
          <w:sz w:val="24"/>
          <w:szCs w:val="24"/>
        </w:rPr>
        <w:t>s</w:t>
      </w:r>
      <w:r w:rsidRPr="007271B6">
        <w:rPr>
          <w:rFonts w:ascii="Times New Roman" w:hAnsi="Times New Roman" w:cs="Times New Roman"/>
          <w:kern w:val="0"/>
          <w:sz w:val="24"/>
          <w:szCs w:val="24"/>
        </w:rPr>
        <w:t xml:space="preserve"> as part of its finances (Bloomberg Originals, 2023; CNBC, 2023). The revelations confirmed a conflict of interest while exposing the lack of corporate governance practices. The interview shows that while the CEO of Alameda Research knew that investors would not be happy with SBF’s use of their funds, there was no governance mechanism in place to address their concerns (Bloomberg Originals, 2023). The failure of Alameda Research's CEO to confront SBF about the capital fraud was a serious governance failure that significantly impacted the company after the financial statements were leaked.</w:t>
      </w:r>
    </w:p>
    <w:p w14:paraId="052C84B8" w14:textId="77777777" w:rsidR="00367085" w:rsidRPr="007271B6" w:rsidRDefault="00F808B3" w:rsidP="00F808B3">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b/>
          <w:bCs/>
          <w:kern w:val="0"/>
          <w:sz w:val="24"/>
          <w:szCs w:val="24"/>
        </w:rPr>
        <w:lastRenderedPageBreak/>
        <w:t>Research question:</w:t>
      </w:r>
      <w:r w:rsidRPr="007271B6">
        <w:rPr>
          <w:kern w:val="0"/>
        </w:rPr>
        <w:t xml:space="preserve"> </w:t>
      </w:r>
      <w:r w:rsidRPr="007271B6">
        <w:rPr>
          <w:rFonts w:ascii="Times New Roman" w:hAnsi="Times New Roman" w:cs="Times New Roman"/>
          <w:b/>
          <w:bCs/>
          <w:kern w:val="0"/>
          <w:sz w:val="24"/>
          <w:szCs w:val="24"/>
        </w:rPr>
        <w:t>What were the most prevalent underlying issues within the companies from a governance perspective?</w:t>
      </w:r>
      <w:r w:rsidRPr="007271B6">
        <w:rPr>
          <w:rFonts w:ascii="Times New Roman" w:hAnsi="Times New Roman" w:cs="Times New Roman"/>
          <w:kern w:val="0"/>
          <w:sz w:val="24"/>
          <w:szCs w:val="24"/>
        </w:rPr>
        <w:t xml:space="preserve"> </w:t>
      </w:r>
    </w:p>
    <w:p w14:paraId="523D69DF" w14:textId="0041F371"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The CNBC and Bloomberg Original documentary respondents described FTX and Alameda</w:t>
      </w:r>
      <w:r w:rsidR="00C95DBF">
        <w:rPr>
          <w:rFonts w:ascii="Times New Roman" w:hAnsi="Times New Roman" w:cs="Times New Roman"/>
          <w:kern w:val="0"/>
          <w:sz w:val="24"/>
          <w:szCs w:val="24"/>
        </w:rPr>
        <w:t xml:space="preserve"> Research</w:t>
      </w:r>
      <w:r w:rsidR="00907DFE">
        <w:rPr>
          <w:rFonts w:ascii="Times New Roman" w:hAnsi="Times New Roman" w:cs="Times New Roman"/>
          <w:kern w:val="0"/>
          <w:sz w:val="24"/>
          <w:szCs w:val="24"/>
        </w:rPr>
        <w:t>’s</w:t>
      </w:r>
      <w:r w:rsidRPr="007271B6">
        <w:rPr>
          <w:rFonts w:ascii="Times New Roman" w:hAnsi="Times New Roman" w:cs="Times New Roman"/>
          <w:kern w:val="0"/>
          <w:sz w:val="24"/>
          <w:szCs w:val="24"/>
        </w:rPr>
        <w:t xml:space="preserve"> issues emanating from poor corporate governance practices. At the centre of the collapse was SBF’s s</w:t>
      </w:r>
      <w:r w:rsidR="00907DFE">
        <w:rPr>
          <w:rFonts w:ascii="Times New Roman" w:hAnsi="Times New Roman" w:cs="Times New Roman"/>
          <w:kern w:val="0"/>
          <w:sz w:val="24"/>
          <w:szCs w:val="24"/>
        </w:rPr>
        <w:t>ole</w:t>
      </w:r>
      <w:r w:rsidRPr="007271B6">
        <w:rPr>
          <w:rFonts w:ascii="Times New Roman" w:hAnsi="Times New Roman" w:cs="Times New Roman"/>
          <w:kern w:val="0"/>
          <w:sz w:val="24"/>
          <w:szCs w:val="24"/>
        </w:rPr>
        <w:t xml:space="preserve"> management of the companies without consultation with colleagues, without a board of directors and with limited compliance with </w:t>
      </w:r>
      <w:r w:rsidR="000552DA">
        <w:rPr>
          <w:rFonts w:ascii="Times New Roman" w:hAnsi="Times New Roman" w:cs="Times New Roman"/>
          <w:kern w:val="0"/>
          <w:sz w:val="24"/>
          <w:szCs w:val="24"/>
        </w:rPr>
        <w:t>regulations</w:t>
      </w:r>
      <w:r w:rsidRPr="007271B6">
        <w:rPr>
          <w:rFonts w:ascii="Times New Roman" w:hAnsi="Times New Roman" w:cs="Times New Roman"/>
          <w:kern w:val="0"/>
          <w:sz w:val="24"/>
          <w:szCs w:val="24"/>
        </w:rPr>
        <w:t xml:space="preserve"> (CNBC, 2023). When the Bloomberg Originals documentary (2023) inquired about his management approach, SBF revealed that he was unaware of any management practices, particularly complaint resolution procedures. He replied that he only knew how to run the company when everyone was at peace and not during a storm such as the one caused by the abrupt departure of FTX US CEO, Brett Harrison,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 Co-CEO, Sam Trabuco (Bloomberg Originals, 2023). SBF had neither management skills nor a human resources department capable of addressing grievances, having chosen to run the company without any hierarchy or oversight.</w:t>
      </w:r>
    </w:p>
    <w:p w14:paraId="191378C4" w14:textId="57A6AC28"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The Bloomberg Originals </w:t>
      </w:r>
      <w:proofErr w:type="gramStart"/>
      <w:r w:rsidRPr="007271B6">
        <w:rPr>
          <w:rFonts w:ascii="Times New Roman" w:hAnsi="Times New Roman" w:cs="Times New Roman"/>
          <w:kern w:val="0"/>
          <w:sz w:val="24"/>
          <w:szCs w:val="24"/>
        </w:rPr>
        <w:t>documentary</w:t>
      </w:r>
      <w:proofErr w:type="gramEnd"/>
      <w:r w:rsidRPr="007271B6">
        <w:rPr>
          <w:rFonts w:ascii="Times New Roman" w:hAnsi="Times New Roman" w:cs="Times New Roman"/>
          <w:kern w:val="0"/>
          <w:sz w:val="24"/>
          <w:szCs w:val="24"/>
        </w:rPr>
        <w:t xml:space="preserve"> Ruin (2023) reveals how SBF sought out countries with poor financial regulations to set up its headquarters; it started in </w:t>
      </w:r>
      <w:r w:rsidR="000552DA">
        <w:rPr>
          <w:rFonts w:ascii="Times New Roman" w:hAnsi="Times New Roman" w:cs="Times New Roman"/>
          <w:kern w:val="0"/>
          <w:sz w:val="24"/>
          <w:szCs w:val="24"/>
        </w:rPr>
        <w:t>Hong Kong</w:t>
      </w:r>
      <w:r w:rsidRPr="007271B6">
        <w:rPr>
          <w:rFonts w:ascii="Times New Roman" w:hAnsi="Times New Roman" w:cs="Times New Roman"/>
          <w:kern w:val="0"/>
          <w:sz w:val="24"/>
          <w:szCs w:val="24"/>
        </w:rPr>
        <w:t xml:space="preserve"> and later moved to the Bahamas, where it </w:t>
      </w:r>
      <w:r w:rsidR="000552DA">
        <w:rPr>
          <w:rFonts w:ascii="Times New Roman" w:hAnsi="Times New Roman" w:cs="Times New Roman"/>
          <w:kern w:val="0"/>
          <w:sz w:val="24"/>
          <w:szCs w:val="24"/>
        </w:rPr>
        <w:t xml:space="preserve">was </w:t>
      </w:r>
      <w:r w:rsidRPr="007271B6">
        <w:rPr>
          <w:rFonts w:ascii="Times New Roman" w:hAnsi="Times New Roman" w:cs="Times New Roman"/>
          <w:kern w:val="0"/>
          <w:sz w:val="24"/>
          <w:szCs w:val="24"/>
        </w:rPr>
        <w:t>welcome</w:t>
      </w:r>
      <w:r w:rsidR="000552DA">
        <w:rPr>
          <w:rFonts w:ascii="Times New Roman" w:hAnsi="Times New Roman" w:cs="Times New Roman"/>
          <w:kern w:val="0"/>
          <w:sz w:val="24"/>
          <w:szCs w:val="24"/>
        </w:rPr>
        <w:t>d by government</w:t>
      </w:r>
      <w:r w:rsidRPr="007271B6">
        <w:rPr>
          <w:rFonts w:ascii="Times New Roman" w:hAnsi="Times New Roman" w:cs="Times New Roman"/>
          <w:kern w:val="0"/>
          <w:sz w:val="24"/>
          <w:szCs w:val="24"/>
        </w:rPr>
        <w:t xml:space="preserve">. With its headquarters in a country with </w:t>
      </w:r>
      <w:r w:rsidR="000552DA">
        <w:rPr>
          <w:rFonts w:ascii="Times New Roman" w:hAnsi="Times New Roman" w:cs="Times New Roman"/>
          <w:kern w:val="0"/>
          <w:sz w:val="24"/>
          <w:szCs w:val="24"/>
        </w:rPr>
        <w:t>little</w:t>
      </w:r>
      <w:r w:rsidRPr="007271B6">
        <w:rPr>
          <w:rFonts w:ascii="Times New Roman" w:hAnsi="Times New Roman" w:cs="Times New Roman"/>
          <w:kern w:val="0"/>
          <w:sz w:val="24"/>
          <w:szCs w:val="24"/>
        </w:rPr>
        <w:t xml:space="preserve"> financial regulations, SBF has consistently </w:t>
      </w:r>
      <w:r w:rsidR="000552DA" w:rsidRPr="007271B6">
        <w:rPr>
          <w:rFonts w:ascii="Times New Roman" w:hAnsi="Times New Roman" w:cs="Times New Roman"/>
          <w:kern w:val="0"/>
          <w:sz w:val="24"/>
          <w:szCs w:val="24"/>
        </w:rPr>
        <w:t>obstructed</w:t>
      </w:r>
      <w:r w:rsidRPr="007271B6">
        <w:rPr>
          <w:rFonts w:ascii="Times New Roman" w:hAnsi="Times New Roman" w:cs="Times New Roman"/>
          <w:kern w:val="0"/>
          <w:sz w:val="24"/>
          <w:szCs w:val="24"/>
        </w:rPr>
        <w:t xml:space="preserve"> the ideas of investors and employees, including top management such as the CEO of FTX US. An interview with the CEO of FTX US revealed how SBF's</w:t>
      </w:r>
      <w:r w:rsidR="007926E5" w:rsidRPr="007271B6">
        <w:rPr>
          <w:rFonts w:ascii="Times New Roman" w:hAnsi="Times New Roman" w:cs="Times New Roman"/>
          <w:kern w:val="0"/>
          <w:sz w:val="24"/>
          <w:szCs w:val="24"/>
        </w:rPr>
        <w:t xml:space="preserve"> intentional </w:t>
      </w:r>
      <w:r w:rsidRPr="007271B6">
        <w:rPr>
          <w:rFonts w:ascii="Times New Roman" w:hAnsi="Times New Roman" w:cs="Times New Roman"/>
          <w:kern w:val="0"/>
          <w:sz w:val="24"/>
          <w:szCs w:val="24"/>
        </w:rPr>
        <w:t xml:space="preserve">lack of </w:t>
      </w:r>
      <w:r w:rsidR="007926E5" w:rsidRPr="007271B6">
        <w:rPr>
          <w:rFonts w:ascii="Times New Roman" w:hAnsi="Times New Roman" w:cs="Times New Roman"/>
          <w:kern w:val="0"/>
          <w:sz w:val="24"/>
          <w:szCs w:val="24"/>
        </w:rPr>
        <w:t xml:space="preserve">risk management frameworks, asset and fund verification and </w:t>
      </w:r>
      <w:r w:rsidRPr="007271B6">
        <w:rPr>
          <w:rFonts w:ascii="Times New Roman" w:hAnsi="Times New Roman" w:cs="Times New Roman"/>
          <w:kern w:val="0"/>
          <w:sz w:val="24"/>
          <w:szCs w:val="24"/>
        </w:rPr>
        <w:t xml:space="preserve">accounting led everyone to believe that the company was </w:t>
      </w:r>
      <w:r w:rsidR="00E42523" w:rsidRPr="007271B6">
        <w:rPr>
          <w:rFonts w:ascii="Times New Roman" w:hAnsi="Times New Roman" w:cs="Times New Roman"/>
          <w:kern w:val="0"/>
          <w:sz w:val="24"/>
          <w:szCs w:val="24"/>
        </w:rPr>
        <w:t xml:space="preserve">financially healthy </w:t>
      </w:r>
      <w:r w:rsidRPr="007271B6">
        <w:rPr>
          <w:rFonts w:ascii="Times New Roman" w:hAnsi="Times New Roman" w:cs="Times New Roman"/>
          <w:kern w:val="0"/>
          <w:sz w:val="24"/>
          <w:szCs w:val="24"/>
        </w:rPr>
        <w:t xml:space="preserve">and </w:t>
      </w:r>
      <w:r w:rsidR="00E42523" w:rsidRPr="007271B6">
        <w:rPr>
          <w:rFonts w:ascii="Times New Roman" w:hAnsi="Times New Roman" w:cs="Times New Roman"/>
          <w:kern w:val="0"/>
          <w:sz w:val="24"/>
          <w:szCs w:val="24"/>
        </w:rPr>
        <w:t>stable</w:t>
      </w:r>
      <w:r w:rsidRPr="007271B6">
        <w:rPr>
          <w:rFonts w:ascii="Times New Roman" w:hAnsi="Times New Roman" w:cs="Times New Roman"/>
          <w:kern w:val="0"/>
          <w:sz w:val="24"/>
          <w:szCs w:val="24"/>
        </w:rPr>
        <w:t xml:space="preserve">. The CEO of FTX US was part of top management, but he </w:t>
      </w:r>
      <w:r w:rsidR="000552DA">
        <w:rPr>
          <w:rFonts w:ascii="Times New Roman" w:hAnsi="Times New Roman" w:cs="Times New Roman"/>
          <w:kern w:val="0"/>
          <w:sz w:val="24"/>
          <w:szCs w:val="24"/>
        </w:rPr>
        <w:t>believed</w:t>
      </w:r>
      <w:r w:rsidRPr="007271B6">
        <w:rPr>
          <w:rFonts w:ascii="Times New Roman" w:hAnsi="Times New Roman" w:cs="Times New Roman"/>
          <w:kern w:val="0"/>
          <w:sz w:val="24"/>
          <w:szCs w:val="24"/>
        </w:rPr>
        <w:t xml:space="preserve"> the company was </w:t>
      </w:r>
      <w:r w:rsidR="000552DA">
        <w:rPr>
          <w:rFonts w:ascii="Times New Roman" w:hAnsi="Times New Roman" w:cs="Times New Roman"/>
          <w:kern w:val="0"/>
          <w:sz w:val="24"/>
          <w:szCs w:val="24"/>
        </w:rPr>
        <w:t>financially health</w:t>
      </w:r>
      <w:r w:rsidRPr="007271B6">
        <w:rPr>
          <w:rFonts w:ascii="Times New Roman" w:hAnsi="Times New Roman" w:cs="Times New Roman"/>
          <w:kern w:val="0"/>
          <w:sz w:val="24"/>
          <w:szCs w:val="24"/>
        </w:rPr>
        <w:t xml:space="preserve"> before h</w:t>
      </w:r>
      <w:r w:rsidR="000552DA">
        <w:rPr>
          <w:rFonts w:ascii="Times New Roman" w:hAnsi="Times New Roman" w:cs="Times New Roman"/>
          <w:kern w:val="0"/>
          <w:sz w:val="24"/>
          <w:szCs w:val="24"/>
        </w:rPr>
        <w:t>is departure</w:t>
      </w:r>
      <w:r w:rsidRPr="007271B6">
        <w:rPr>
          <w:rFonts w:ascii="Times New Roman" w:hAnsi="Times New Roman" w:cs="Times New Roman"/>
          <w:kern w:val="0"/>
          <w:sz w:val="24"/>
          <w:szCs w:val="24"/>
        </w:rPr>
        <w:t xml:space="preserve">. This </w:t>
      </w:r>
      <w:r w:rsidR="000552DA">
        <w:rPr>
          <w:rFonts w:ascii="Times New Roman" w:hAnsi="Times New Roman" w:cs="Times New Roman"/>
          <w:kern w:val="0"/>
          <w:sz w:val="24"/>
          <w:szCs w:val="24"/>
        </w:rPr>
        <w:t>belief was derived from</w:t>
      </w:r>
      <w:r w:rsidRPr="007271B6">
        <w:rPr>
          <w:rFonts w:ascii="Times New Roman" w:hAnsi="Times New Roman" w:cs="Times New Roman"/>
          <w:kern w:val="0"/>
          <w:sz w:val="24"/>
          <w:szCs w:val="24"/>
        </w:rPr>
        <w:t xml:space="preserve"> </w:t>
      </w:r>
      <w:r w:rsidR="000552DA">
        <w:rPr>
          <w:rFonts w:ascii="Times New Roman" w:hAnsi="Times New Roman" w:cs="Times New Roman"/>
          <w:kern w:val="0"/>
          <w:sz w:val="24"/>
          <w:szCs w:val="24"/>
        </w:rPr>
        <w:t xml:space="preserve">discussions with </w:t>
      </w:r>
      <w:r w:rsidRPr="007271B6">
        <w:rPr>
          <w:rFonts w:ascii="Times New Roman" w:hAnsi="Times New Roman" w:cs="Times New Roman"/>
          <w:kern w:val="0"/>
          <w:sz w:val="24"/>
          <w:szCs w:val="24"/>
        </w:rPr>
        <w:t xml:space="preserve">SBF and </w:t>
      </w:r>
      <w:r w:rsidR="000552DA">
        <w:rPr>
          <w:rFonts w:ascii="Times New Roman" w:hAnsi="Times New Roman" w:cs="Times New Roman"/>
          <w:kern w:val="0"/>
          <w:sz w:val="24"/>
          <w:szCs w:val="24"/>
        </w:rPr>
        <w:t xml:space="preserve">was reinforced </w:t>
      </w:r>
      <w:r w:rsidRPr="007271B6">
        <w:rPr>
          <w:rFonts w:ascii="Times New Roman" w:hAnsi="Times New Roman" w:cs="Times New Roman"/>
          <w:kern w:val="0"/>
          <w:sz w:val="24"/>
          <w:szCs w:val="24"/>
        </w:rPr>
        <w:t xml:space="preserve">through </w:t>
      </w:r>
      <w:r w:rsidR="000552DA">
        <w:rPr>
          <w:rFonts w:ascii="Times New Roman" w:hAnsi="Times New Roman" w:cs="Times New Roman"/>
          <w:kern w:val="0"/>
          <w:sz w:val="24"/>
          <w:szCs w:val="24"/>
        </w:rPr>
        <w:t xml:space="preserve">marketings ploys such as </w:t>
      </w:r>
      <w:r w:rsidRPr="007271B6">
        <w:rPr>
          <w:rFonts w:ascii="Times New Roman" w:hAnsi="Times New Roman" w:cs="Times New Roman"/>
          <w:kern w:val="0"/>
          <w:sz w:val="24"/>
          <w:szCs w:val="24"/>
        </w:rPr>
        <w:t>appearances on Forbes</w:t>
      </w:r>
      <w:r w:rsidR="000552DA">
        <w:rPr>
          <w:rFonts w:ascii="Times New Roman" w:hAnsi="Times New Roman" w:cs="Times New Roman"/>
          <w:kern w:val="0"/>
          <w:sz w:val="24"/>
          <w:szCs w:val="24"/>
        </w:rPr>
        <w:t xml:space="preserve"> and other </w:t>
      </w:r>
      <w:r w:rsidRPr="007271B6">
        <w:rPr>
          <w:rFonts w:ascii="Times New Roman" w:hAnsi="Times New Roman" w:cs="Times New Roman"/>
          <w:kern w:val="0"/>
          <w:sz w:val="24"/>
          <w:szCs w:val="24"/>
        </w:rPr>
        <w:t xml:space="preserve">major news outlets and financial magazines, and by </w:t>
      </w:r>
      <w:r w:rsidRPr="007271B6">
        <w:rPr>
          <w:rFonts w:ascii="Times New Roman" w:hAnsi="Times New Roman" w:cs="Times New Roman"/>
          <w:kern w:val="0"/>
          <w:sz w:val="24"/>
          <w:szCs w:val="24"/>
        </w:rPr>
        <w:lastRenderedPageBreak/>
        <w:t xml:space="preserve">using A-list athletes to create the impression that the company was </w:t>
      </w:r>
      <w:r w:rsidR="000552DA">
        <w:rPr>
          <w:rFonts w:ascii="Times New Roman" w:hAnsi="Times New Roman" w:cs="Times New Roman"/>
          <w:kern w:val="0"/>
          <w:sz w:val="24"/>
          <w:szCs w:val="24"/>
        </w:rPr>
        <w:t>strong</w:t>
      </w:r>
      <w:r w:rsidRPr="007271B6">
        <w:rPr>
          <w:rFonts w:ascii="Times New Roman" w:hAnsi="Times New Roman" w:cs="Times New Roman"/>
          <w:kern w:val="0"/>
          <w:sz w:val="24"/>
          <w:szCs w:val="24"/>
        </w:rPr>
        <w:t xml:space="preserve"> (Bloomberg Originals, 2023). </w:t>
      </w:r>
    </w:p>
    <w:p w14:paraId="1B0CA822" w14:textId="6A408D5A"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A leaked copy of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’s financial statements soon revealed that FTX was closely tied to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 and that SBF was culpable of a conflict of interest by using </w:t>
      </w:r>
      <w:r w:rsidR="009F25F6">
        <w:rPr>
          <w:rFonts w:ascii="Times New Roman" w:hAnsi="Times New Roman" w:cs="Times New Roman"/>
          <w:kern w:val="0"/>
          <w:sz w:val="24"/>
          <w:szCs w:val="24"/>
        </w:rPr>
        <w:t xml:space="preserve">FTX as a funding source for </w:t>
      </w:r>
      <w:r w:rsidRPr="007271B6">
        <w:rPr>
          <w:rFonts w:ascii="Times New Roman" w:hAnsi="Times New Roman" w:cs="Times New Roman"/>
          <w:kern w:val="0"/>
          <w:sz w:val="24"/>
          <w:szCs w:val="24"/>
        </w:rPr>
        <w:t>Alameda</w:t>
      </w:r>
      <w:r w:rsidR="00C95DBF">
        <w:rPr>
          <w:rFonts w:ascii="Times New Roman" w:hAnsi="Times New Roman" w:cs="Times New Roman"/>
          <w:kern w:val="0"/>
          <w:sz w:val="24"/>
          <w:szCs w:val="24"/>
        </w:rPr>
        <w:t xml:space="preserve"> Research</w:t>
      </w:r>
      <w:r w:rsidR="009F25F6">
        <w:rPr>
          <w:rFonts w:ascii="Times New Roman" w:hAnsi="Times New Roman" w:cs="Times New Roman"/>
          <w:kern w:val="0"/>
          <w:sz w:val="24"/>
          <w:szCs w:val="24"/>
        </w:rPr>
        <w:t xml:space="preserve"> </w:t>
      </w:r>
      <w:r w:rsidRPr="007271B6">
        <w:rPr>
          <w:rFonts w:ascii="Times New Roman" w:hAnsi="Times New Roman" w:cs="Times New Roman"/>
          <w:kern w:val="0"/>
          <w:sz w:val="24"/>
          <w:szCs w:val="24"/>
        </w:rPr>
        <w:t xml:space="preserve">(Bloomberg Originals, 2023). According to Bloomberg Originals correspondence (2023), proponents of effective altruism would violate SEC rules while justifying that they were giving back the maximum to society. In addition to pursuing personal ambition at the expense of shareholder objectives and wealth creation as embodied in agency theory (Pierce, 2022), SBF </w:t>
      </w:r>
      <w:r w:rsidR="009F25F6">
        <w:rPr>
          <w:rFonts w:ascii="Times New Roman" w:hAnsi="Times New Roman" w:cs="Times New Roman"/>
          <w:kern w:val="0"/>
          <w:sz w:val="24"/>
          <w:szCs w:val="24"/>
        </w:rPr>
        <w:t>showed disregard for ethical practices</w:t>
      </w:r>
      <w:r w:rsidRPr="007271B6">
        <w:rPr>
          <w:rFonts w:ascii="Times New Roman" w:hAnsi="Times New Roman" w:cs="Times New Roman"/>
          <w:kern w:val="0"/>
          <w:sz w:val="24"/>
          <w:szCs w:val="24"/>
        </w:rPr>
        <w:t>.</w:t>
      </w:r>
    </w:p>
    <w:p w14:paraId="4F9AEB47" w14:textId="721AD493"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At the centre of cryptocurrency management is the inclination towards altruism, with critics of agency theory tending to argue against the primacy of shareholders (Pierce, 2022). These claims and arguments lead to unethical behaviour as the company moves away from value creation and focuses on and pursues philanthropic activities such as protecting the environment and eradicating disease. However, Pierce (2022) deliberately states that such idealistic endeavours undermine the importance of s</w:t>
      </w:r>
      <w:r w:rsidR="00737433">
        <w:rPr>
          <w:rFonts w:ascii="Times New Roman" w:hAnsi="Times New Roman" w:cs="Times New Roman"/>
          <w:kern w:val="0"/>
          <w:sz w:val="24"/>
          <w:szCs w:val="24"/>
        </w:rPr>
        <w:t>hareholders</w:t>
      </w:r>
      <w:r w:rsidRPr="007271B6">
        <w:rPr>
          <w:rFonts w:ascii="Times New Roman" w:hAnsi="Times New Roman" w:cs="Times New Roman"/>
          <w:kern w:val="0"/>
          <w:sz w:val="24"/>
          <w:szCs w:val="24"/>
        </w:rPr>
        <w:t xml:space="preserve"> and disregard</w:t>
      </w:r>
      <w:r w:rsidR="00737433">
        <w:rPr>
          <w:rFonts w:ascii="Times New Roman" w:hAnsi="Times New Roman" w:cs="Times New Roman"/>
          <w:kern w:val="0"/>
          <w:sz w:val="24"/>
          <w:szCs w:val="24"/>
        </w:rPr>
        <w:t>s</w:t>
      </w:r>
      <w:r w:rsidRPr="007271B6">
        <w:rPr>
          <w:rFonts w:ascii="Times New Roman" w:hAnsi="Times New Roman" w:cs="Times New Roman"/>
          <w:kern w:val="0"/>
          <w:sz w:val="24"/>
          <w:szCs w:val="24"/>
        </w:rPr>
        <w:t xml:space="preserve"> them as </w:t>
      </w:r>
      <w:r w:rsidR="00737433">
        <w:rPr>
          <w:rFonts w:ascii="Times New Roman" w:hAnsi="Times New Roman" w:cs="Times New Roman"/>
          <w:kern w:val="0"/>
          <w:sz w:val="24"/>
          <w:szCs w:val="24"/>
        </w:rPr>
        <w:t>unimportant</w:t>
      </w:r>
      <w:r w:rsidRPr="007271B6">
        <w:rPr>
          <w:rFonts w:ascii="Times New Roman" w:hAnsi="Times New Roman" w:cs="Times New Roman"/>
          <w:kern w:val="0"/>
          <w:sz w:val="24"/>
          <w:szCs w:val="24"/>
        </w:rPr>
        <w:t>. Thus, such actions by the company are categorised as unethical despite the permissible stakeholder statutes (Pierce, 2022).</w:t>
      </w:r>
    </w:p>
    <w:p w14:paraId="7B9EA740" w14:textId="442ACC15" w:rsidR="00F808B3" w:rsidRPr="007271B6" w:rsidRDefault="00CB630F" w:rsidP="00CB630F">
      <w:pPr>
        <w:spacing w:after="0" w:line="480" w:lineRule="auto"/>
        <w:ind w:firstLine="720"/>
        <w:rPr>
          <w:rFonts w:ascii="Times New Roman" w:hAnsi="Times New Roman" w:cs="Times New Roman"/>
          <w:kern w:val="0"/>
          <w:sz w:val="24"/>
          <w:szCs w:val="24"/>
        </w:rPr>
      </w:pPr>
      <w:proofErr w:type="gramStart"/>
      <w:r w:rsidRPr="007271B6">
        <w:rPr>
          <w:rFonts w:ascii="Times New Roman" w:hAnsi="Times New Roman" w:cs="Times New Roman"/>
          <w:kern w:val="0"/>
          <w:sz w:val="24"/>
          <w:szCs w:val="24"/>
        </w:rPr>
        <w:t>Similar to</w:t>
      </w:r>
      <w:proofErr w:type="gramEnd"/>
      <w:r w:rsidRPr="007271B6">
        <w:rPr>
          <w:rFonts w:ascii="Times New Roman" w:hAnsi="Times New Roman" w:cs="Times New Roman"/>
          <w:kern w:val="0"/>
          <w:sz w:val="24"/>
          <w:szCs w:val="24"/>
        </w:rPr>
        <w:t xml:space="preserve"> Pierce, Fu and colleagues (2023) point out that the collapse of FTX and Alameda</w:t>
      </w:r>
      <w:r w:rsidR="00C95DBF">
        <w:rPr>
          <w:rFonts w:ascii="Times New Roman" w:hAnsi="Times New Roman" w:cs="Times New Roman"/>
          <w:kern w:val="0"/>
          <w:sz w:val="24"/>
          <w:szCs w:val="24"/>
        </w:rPr>
        <w:t xml:space="preserve"> Research</w:t>
      </w:r>
      <w:r w:rsidRPr="007271B6">
        <w:rPr>
          <w:rFonts w:ascii="Times New Roman" w:hAnsi="Times New Roman" w:cs="Times New Roman"/>
          <w:kern w:val="0"/>
          <w:sz w:val="24"/>
          <w:szCs w:val="24"/>
        </w:rPr>
        <w:t xml:space="preserve"> is a case of unethical and fraudulent activities that deprived shareholders of their rights. The latter article attempts to retell the collapse of the two companies using the Ponzi model, with the authors emphasising that the case was not an incident but a serious violation of the rational model (Fu et al., 2023). The authors contend that by issuing its FTT token and </w:t>
      </w:r>
      <w:r w:rsidR="00737433">
        <w:rPr>
          <w:rFonts w:ascii="Times New Roman" w:hAnsi="Times New Roman" w:cs="Times New Roman"/>
          <w:kern w:val="0"/>
          <w:sz w:val="24"/>
          <w:szCs w:val="24"/>
        </w:rPr>
        <w:t xml:space="preserve">using it as collateral to </w:t>
      </w:r>
      <w:r w:rsidRPr="007271B6">
        <w:rPr>
          <w:rFonts w:ascii="Times New Roman" w:hAnsi="Times New Roman" w:cs="Times New Roman"/>
          <w:kern w:val="0"/>
          <w:sz w:val="24"/>
          <w:szCs w:val="24"/>
        </w:rPr>
        <w:t xml:space="preserve">borrow new money to pay old debts, FTX inherently took </w:t>
      </w:r>
      <w:r w:rsidR="00737433">
        <w:rPr>
          <w:rFonts w:ascii="Times New Roman" w:hAnsi="Times New Roman" w:cs="Times New Roman"/>
          <w:kern w:val="0"/>
          <w:sz w:val="24"/>
          <w:szCs w:val="24"/>
        </w:rPr>
        <w:lastRenderedPageBreak/>
        <w:t>on a</w:t>
      </w:r>
      <w:r w:rsidRPr="007271B6">
        <w:rPr>
          <w:rFonts w:ascii="Times New Roman" w:hAnsi="Times New Roman" w:cs="Times New Roman"/>
          <w:kern w:val="0"/>
          <w:sz w:val="24"/>
          <w:szCs w:val="24"/>
        </w:rPr>
        <w:t xml:space="preserve"> Ponzi nature, primarily because the FTT tokens are costless and without </w:t>
      </w:r>
      <w:r w:rsidR="00737433">
        <w:rPr>
          <w:rFonts w:ascii="Times New Roman" w:hAnsi="Times New Roman" w:cs="Times New Roman"/>
          <w:kern w:val="0"/>
          <w:sz w:val="24"/>
          <w:szCs w:val="24"/>
        </w:rPr>
        <w:t>asset backing</w:t>
      </w:r>
      <w:r w:rsidRPr="007271B6">
        <w:rPr>
          <w:rFonts w:ascii="Times New Roman" w:hAnsi="Times New Roman" w:cs="Times New Roman"/>
          <w:kern w:val="0"/>
          <w:sz w:val="24"/>
          <w:szCs w:val="24"/>
        </w:rPr>
        <w:t xml:space="preserve"> (Fu et al., 2023).</w:t>
      </w:r>
      <w:r w:rsidR="00F808B3" w:rsidRPr="007271B6">
        <w:rPr>
          <w:rFonts w:ascii="Times New Roman" w:hAnsi="Times New Roman" w:cs="Times New Roman"/>
          <w:kern w:val="0"/>
          <w:sz w:val="24"/>
          <w:szCs w:val="24"/>
        </w:rPr>
        <w:t xml:space="preserve"> </w:t>
      </w:r>
    </w:p>
    <w:p w14:paraId="75662D04" w14:textId="3560BE4D" w:rsidR="00CB630F" w:rsidRPr="007271B6" w:rsidRDefault="00CB630F" w:rsidP="007926E5">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Fu et al.'s (2023) narrative of a Ponzi scheme is not far-fetched; according to the Bloomberg Originals (2023) interview, an FTX engineer admitted that he wrote the FTT code knowing that Alameda Research would receive special privileges on the FTX platform. Pierce’s (2022) study on blockchain technology agrees with the arguments of Fu et al. However, the former argues that the fraudulent actions are a product of the lack of a DAO, i.e. a virtual entity with a certain number of shareholders and members who have the right to change its code or spend its funds (Pierce, 2022). The unregulated nature of the FTX platform gave the company’s engineer the unique mandate to write the exchange codes as it suited the company at the expense of the shareholders. Pierce (2022) emphasises that the DAO is crucial in blockchain technology because it involves a group of people with common goals forming a blockchain infrastructure to enforce common rules. The lack of such a virtual entity, especially at FTX and Alameda Research, gave SBF the power to carry out its Ponzi scheme, which led to the collapse of the two companies (Pierce, 2022; Fu et al., 2023). </w:t>
      </w:r>
      <w:r w:rsidR="00905A2A" w:rsidRPr="007271B6">
        <w:rPr>
          <w:rFonts w:ascii="Times New Roman" w:hAnsi="Times New Roman" w:cs="Times New Roman"/>
          <w:kern w:val="0"/>
          <w:sz w:val="24"/>
          <w:szCs w:val="24"/>
        </w:rPr>
        <w:t xml:space="preserve">This appears to be compounded by the lack of any notable risk management frameworks being in place to identify and mitigate </w:t>
      </w:r>
      <w:r w:rsidR="007926E5" w:rsidRPr="007271B6">
        <w:rPr>
          <w:rFonts w:ascii="Times New Roman" w:hAnsi="Times New Roman" w:cs="Times New Roman"/>
          <w:kern w:val="0"/>
          <w:sz w:val="24"/>
          <w:szCs w:val="24"/>
        </w:rPr>
        <w:t xml:space="preserve">SBF’s actions. </w:t>
      </w:r>
      <w:r w:rsidRPr="007271B6">
        <w:rPr>
          <w:rFonts w:ascii="Times New Roman" w:hAnsi="Times New Roman" w:cs="Times New Roman"/>
          <w:kern w:val="0"/>
          <w:sz w:val="24"/>
          <w:szCs w:val="24"/>
        </w:rPr>
        <w:t xml:space="preserve">SBF’s sole management of the two companies was a long-term scheme that resulted in </w:t>
      </w:r>
      <w:r w:rsidR="00737433">
        <w:rPr>
          <w:rFonts w:ascii="Times New Roman" w:hAnsi="Times New Roman" w:cs="Times New Roman"/>
          <w:kern w:val="0"/>
          <w:sz w:val="24"/>
          <w:szCs w:val="24"/>
        </w:rPr>
        <w:t>other executives</w:t>
      </w:r>
      <w:r w:rsidRPr="007271B6">
        <w:rPr>
          <w:rFonts w:ascii="Times New Roman" w:hAnsi="Times New Roman" w:cs="Times New Roman"/>
          <w:kern w:val="0"/>
          <w:sz w:val="24"/>
          <w:szCs w:val="24"/>
        </w:rPr>
        <w:t xml:space="preserve"> resigning and using Alameda Research as a hedge fund in an illegal and unethical manner characteristic of </w:t>
      </w:r>
      <w:r w:rsidR="007926E5" w:rsidRPr="007271B6">
        <w:rPr>
          <w:rFonts w:ascii="Times New Roman" w:hAnsi="Times New Roman" w:cs="Times New Roman"/>
          <w:kern w:val="0"/>
          <w:sz w:val="24"/>
          <w:szCs w:val="24"/>
        </w:rPr>
        <w:t xml:space="preserve">a </w:t>
      </w:r>
      <w:r w:rsidRPr="007271B6">
        <w:rPr>
          <w:rFonts w:ascii="Times New Roman" w:hAnsi="Times New Roman" w:cs="Times New Roman"/>
          <w:kern w:val="0"/>
          <w:sz w:val="24"/>
          <w:szCs w:val="24"/>
        </w:rPr>
        <w:t>Ponzi scheme.</w:t>
      </w:r>
    </w:p>
    <w:p w14:paraId="166E0FC1" w14:textId="79B098AF" w:rsidR="00F808B3"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Cross-examination of the FTX collapse and the collapse of Terra/Luna and Three Arrows has shown that cryptocurrency firms are run by a</w:t>
      </w:r>
      <w:r w:rsidR="00737433">
        <w:rPr>
          <w:rFonts w:ascii="Times New Roman" w:hAnsi="Times New Roman" w:cs="Times New Roman"/>
          <w:kern w:val="0"/>
          <w:sz w:val="24"/>
          <w:szCs w:val="24"/>
        </w:rPr>
        <w:t xml:space="preserve"> small number of managers</w:t>
      </w:r>
      <w:r w:rsidRPr="007271B6">
        <w:rPr>
          <w:rFonts w:ascii="Times New Roman" w:hAnsi="Times New Roman" w:cs="Times New Roman"/>
          <w:kern w:val="0"/>
          <w:sz w:val="24"/>
          <w:szCs w:val="24"/>
        </w:rPr>
        <w:t>, mainly founders who have little or no understanding of how to run such complex organisations.</w:t>
      </w:r>
      <w:r w:rsidR="00905A2A" w:rsidRPr="007271B6">
        <w:rPr>
          <w:rFonts w:ascii="Times New Roman" w:hAnsi="Times New Roman" w:cs="Times New Roman"/>
          <w:kern w:val="0"/>
          <w:sz w:val="24"/>
          <w:szCs w:val="24"/>
        </w:rPr>
        <w:t xml:space="preserve"> </w:t>
      </w:r>
      <w:r w:rsidRPr="007271B6">
        <w:rPr>
          <w:rFonts w:ascii="Times New Roman" w:hAnsi="Times New Roman" w:cs="Times New Roman"/>
          <w:kern w:val="0"/>
          <w:sz w:val="24"/>
          <w:szCs w:val="24"/>
        </w:rPr>
        <w:t xml:space="preserve">The interconnectedness of these firms also showed that although the companies suffered from volatility and diminishing returns, the CEOs did little or nothing to address these effects; instead, they ran massive fundraising and marketing campaigns (Bloomberg Originals, 2023; </w:t>
      </w:r>
      <w:r w:rsidRPr="007271B6">
        <w:rPr>
          <w:rFonts w:ascii="Times New Roman" w:hAnsi="Times New Roman" w:cs="Times New Roman"/>
          <w:kern w:val="0"/>
          <w:sz w:val="24"/>
          <w:szCs w:val="24"/>
        </w:rPr>
        <w:lastRenderedPageBreak/>
        <w:t xml:space="preserve">Fu et al., 2023). As a result, the collapse of one company essentially led to the demise of another. </w:t>
      </w:r>
      <w:r w:rsidR="00905A2A" w:rsidRPr="007271B6">
        <w:rPr>
          <w:rFonts w:ascii="Times New Roman" w:hAnsi="Times New Roman" w:cs="Times New Roman"/>
          <w:kern w:val="0"/>
          <w:sz w:val="24"/>
          <w:szCs w:val="24"/>
        </w:rPr>
        <w:t xml:space="preserve">None </w:t>
      </w:r>
      <w:r w:rsidRPr="007271B6">
        <w:rPr>
          <w:rFonts w:ascii="Times New Roman" w:hAnsi="Times New Roman" w:cs="Times New Roman"/>
          <w:kern w:val="0"/>
          <w:sz w:val="24"/>
          <w:szCs w:val="24"/>
        </w:rPr>
        <w:t xml:space="preserve">of the CEOs of these companies seemed to view the interconnectedness and spillover of volatility as a management or regulatory issue, instead treating them as isolated incidents (Bloomberg Originals, 2023). CEOs of </w:t>
      </w:r>
      <w:r w:rsidR="00905A2A" w:rsidRPr="007271B6">
        <w:rPr>
          <w:rFonts w:ascii="Times New Roman" w:hAnsi="Times New Roman" w:cs="Times New Roman"/>
          <w:kern w:val="0"/>
          <w:sz w:val="24"/>
          <w:szCs w:val="24"/>
        </w:rPr>
        <w:t>digital asset</w:t>
      </w:r>
      <w:r w:rsidRPr="007271B6">
        <w:rPr>
          <w:rFonts w:ascii="Times New Roman" w:hAnsi="Times New Roman" w:cs="Times New Roman"/>
          <w:kern w:val="0"/>
          <w:sz w:val="24"/>
          <w:szCs w:val="24"/>
        </w:rPr>
        <w:t xml:space="preserve"> firms contributed to the yield and volatility spillover by allowing rival firms to buy their shares. This is reflected in a post by Bloomberg Originals (2023), which noted that FTX had sold 20% of its shares to Binance, a major competitor run by its CEO </w:t>
      </w:r>
      <w:r w:rsidR="00737433">
        <w:rPr>
          <w:rFonts w:ascii="Times New Roman" w:hAnsi="Times New Roman" w:cs="Times New Roman"/>
          <w:kern w:val="0"/>
          <w:sz w:val="24"/>
          <w:szCs w:val="24"/>
        </w:rPr>
        <w:t xml:space="preserve">known as </w:t>
      </w:r>
      <w:r w:rsidRPr="007271B6">
        <w:rPr>
          <w:rFonts w:ascii="Times New Roman" w:hAnsi="Times New Roman" w:cs="Times New Roman"/>
          <w:kern w:val="0"/>
          <w:sz w:val="24"/>
          <w:szCs w:val="24"/>
        </w:rPr>
        <w:t xml:space="preserve">CZ. When </w:t>
      </w:r>
      <w:r w:rsidR="00F01DFE">
        <w:rPr>
          <w:rFonts w:ascii="Times New Roman" w:hAnsi="Times New Roman" w:cs="Times New Roman"/>
          <w:kern w:val="0"/>
          <w:sz w:val="24"/>
          <w:szCs w:val="24"/>
        </w:rPr>
        <w:t>CZ</w:t>
      </w:r>
      <w:r w:rsidRPr="007271B6">
        <w:rPr>
          <w:rFonts w:ascii="Times New Roman" w:hAnsi="Times New Roman" w:cs="Times New Roman"/>
          <w:kern w:val="0"/>
          <w:sz w:val="24"/>
          <w:szCs w:val="24"/>
        </w:rPr>
        <w:t xml:space="preserve"> decided to sell his </w:t>
      </w:r>
      <w:r w:rsidR="00F01DFE">
        <w:rPr>
          <w:rFonts w:ascii="Times New Roman" w:hAnsi="Times New Roman" w:cs="Times New Roman"/>
          <w:kern w:val="0"/>
          <w:sz w:val="24"/>
          <w:szCs w:val="24"/>
        </w:rPr>
        <w:t>20% stake</w:t>
      </w:r>
      <w:r w:rsidRPr="007271B6">
        <w:rPr>
          <w:rFonts w:ascii="Times New Roman" w:hAnsi="Times New Roman" w:cs="Times New Roman"/>
          <w:kern w:val="0"/>
          <w:sz w:val="24"/>
          <w:szCs w:val="24"/>
        </w:rPr>
        <w:t xml:space="preserve"> after discovering FT</w:t>
      </w:r>
      <w:r w:rsidR="005F2845" w:rsidRPr="007271B6">
        <w:rPr>
          <w:rFonts w:ascii="Times New Roman" w:hAnsi="Times New Roman" w:cs="Times New Roman"/>
          <w:kern w:val="0"/>
          <w:sz w:val="24"/>
          <w:szCs w:val="24"/>
        </w:rPr>
        <w:t>T</w:t>
      </w:r>
      <w:r w:rsidRPr="007271B6">
        <w:rPr>
          <w:rFonts w:ascii="Times New Roman" w:hAnsi="Times New Roman" w:cs="Times New Roman"/>
          <w:kern w:val="0"/>
          <w:sz w:val="24"/>
          <w:szCs w:val="24"/>
        </w:rPr>
        <w:t xml:space="preserve"> tokens </w:t>
      </w:r>
      <w:r w:rsidR="00F01DFE">
        <w:rPr>
          <w:rFonts w:ascii="Times New Roman" w:hAnsi="Times New Roman" w:cs="Times New Roman"/>
          <w:kern w:val="0"/>
          <w:sz w:val="24"/>
          <w:szCs w:val="24"/>
        </w:rPr>
        <w:t>made up</w:t>
      </w:r>
      <w:r w:rsidRPr="007271B6">
        <w:rPr>
          <w:rFonts w:ascii="Times New Roman" w:hAnsi="Times New Roman" w:cs="Times New Roman"/>
          <w:kern w:val="0"/>
          <w:sz w:val="24"/>
          <w:szCs w:val="24"/>
        </w:rPr>
        <w:t xml:space="preserve"> a significant </w:t>
      </w:r>
      <w:r w:rsidR="00F01DFE">
        <w:rPr>
          <w:rFonts w:ascii="Times New Roman" w:hAnsi="Times New Roman" w:cs="Times New Roman"/>
          <w:kern w:val="0"/>
          <w:sz w:val="24"/>
          <w:szCs w:val="24"/>
        </w:rPr>
        <w:t>proportion of</w:t>
      </w:r>
      <w:r w:rsidRPr="007271B6">
        <w:rPr>
          <w:rFonts w:ascii="Times New Roman" w:hAnsi="Times New Roman" w:cs="Times New Roman"/>
          <w:kern w:val="0"/>
          <w:sz w:val="24"/>
          <w:szCs w:val="24"/>
        </w:rPr>
        <w:t xml:space="preserve"> FTX’s </w:t>
      </w:r>
      <w:r w:rsidR="00F01DFE">
        <w:rPr>
          <w:rFonts w:ascii="Times New Roman" w:hAnsi="Times New Roman" w:cs="Times New Roman"/>
          <w:kern w:val="0"/>
          <w:sz w:val="24"/>
          <w:szCs w:val="24"/>
        </w:rPr>
        <w:t>balance sheet assets</w:t>
      </w:r>
      <w:r w:rsidRPr="007271B6">
        <w:rPr>
          <w:rFonts w:ascii="Times New Roman" w:hAnsi="Times New Roman" w:cs="Times New Roman"/>
          <w:kern w:val="0"/>
          <w:sz w:val="24"/>
          <w:szCs w:val="24"/>
        </w:rPr>
        <w:t>, it triggered a collapse.</w:t>
      </w:r>
      <w:r w:rsidR="00F808B3" w:rsidRPr="007271B6">
        <w:rPr>
          <w:rFonts w:ascii="Times New Roman" w:hAnsi="Times New Roman" w:cs="Times New Roman"/>
          <w:kern w:val="0"/>
          <w:sz w:val="24"/>
          <w:szCs w:val="24"/>
        </w:rPr>
        <w:t xml:space="preserve"> </w:t>
      </w:r>
    </w:p>
    <w:p w14:paraId="5C377C33" w14:textId="18448947" w:rsidR="005F2845" w:rsidRPr="007271B6" w:rsidRDefault="005F2845"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Unique to FTX and Alameda Research when compared to</w:t>
      </w:r>
      <w:r w:rsidR="00D47E24" w:rsidRPr="007271B6">
        <w:rPr>
          <w:rFonts w:ascii="Times New Roman" w:hAnsi="Times New Roman" w:cs="Times New Roman"/>
          <w:kern w:val="0"/>
          <w:sz w:val="24"/>
          <w:szCs w:val="24"/>
        </w:rPr>
        <w:t xml:space="preserve"> </w:t>
      </w:r>
      <w:r w:rsidRPr="007271B6">
        <w:rPr>
          <w:rFonts w:ascii="Times New Roman" w:hAnsi="Times New Roman" w:cs="Times New Roman"/>
          <w:kern w:val="0"/>
          <w:sz w:val="24"/>
          <w:szCs w:val="24"/>
        </w:rPr>
        <w:t>other</w:t>
      </w:r>
      <w:r w:rsidR="00D47E24" w:rsidRPr="007271B6">
        <w:rPr>
          <w:rFonts w:ascii="Times New Roman" w:hAnsi="Times New Roman" w:cs="Times New Roman"/>
          <w:kern w:val="0"/>
          <w:sz w:val="24"/>
          <w:szCs w:val="24"/>
        </w:rPr>
        <w:t xml:space="preserve"> digital asset market</w:t>
      </w:r>
      <w:r w:rsidRPr="007271B6">
        <w:rPr>
          <w:rFonts w:ascii="Times New Roman" w:hAnsi="Times New Roman" w:cs="Times New Roman"/>
          <w:kern w:val="0"/>
          <w:sz w:val="24"/>
          <w:szCs w:val="24"/>
        </w:rPr>
        <w:t xml:space="preserve"> failures </w:t>
      </w:r>
      <w:r w:rsidR="00D47E24" w:rsidRPr="007271B6">
        <w:rPr>
          <w:rFonts w:ascii="Times New Roman" w:hAnsi="Times New Roman" w:cs="Times New Roman"/>
          <w:kern w:val="0"/>
          <w:sz w:val="24"/>
          <w:szCs w:val="24"/>
        </w:rPr>
        <w:t xml:space="preserve">is </w:t>
      </w:r>
      <w:r w:rsidRPr="007271B6">
        <w:rPr>
          <w:rFonts w:ascii="Times New Roman" w:hAnsi="Times New Roman" w:cs="Times New Roman"/>
          <w:kern w:val="0"/>
          <w:sz w:val="24"/>
          <w:szCs w:val="24"/>
        </w:rPr>
        <w:t xml:space="preserve">the scale of </w:t>
      </w:r>
      <w:r w:rsidR="00D47E24" w:rsidRPr="007271B6">
        <w:rPr>
          <w:rFonts w:ascii="Times New Roman" w:hAnsi="Times New Roman" w:cs="Times New Roman"/>
          <w:kern w:val="0"/>
          <w:sz w:val="24"/>
          <w:szCs w:val="24"/>
        </w:rPr>
        <w:t>comingled funds and management’s ability to illicitly appropriate customer deposits for personal use. This highlights the need for strong independent board members and accurate financial records</w:t>
      </w:r>
      <w:r w:rsidR="00826BD1" w:rsidRPr="007271B6">
        <w:rPr>
          <w:rFonts w:ascii="Times New Roman" w:hAnsi="Times New Roman" w:cs="Times New Roman"/>
          <w:kern w:val="0"/>
          <w:sz w:val="24"/>
          <w:szCs w:val="24"/>
        </w:rPr>
        <w:t xml:space="preserve"> (particularly related to third-party transactions</w:t>
      </w:r>
      <w:r w:rsidR="00874CB0" w:rsidRPr="007271B6">
        <w:rPr>
          <w:rFonts w:ascii="Times New Roman" w:hAnsi="Times New Roman" w:cs="Times New Roman"/>
          <w:kern w:val="0"/>
          <w:sz w:val="24"/>
          <w:szCs w:val="24"/>
        </w:rPr>
        <w:t xml:space="preserve"> and irregularity reporting</w:t>
      </w:r>
      <w:r w:rsidR="00826BD1" w:rsidRPr="007271B6">
        <w:rPr>
          <w:rFonts w:ascii="Times New Roman" w:hAnsi="Times New Roman" w:cs="Times New Roman"/>
          <w:kern w:val="0"/>
          <w:sz w:val="24"/>
          <w:szCs w:val="24"/>
        </w:rPr>
        <w:t>)</w:t>
      </w:r>
      <w:r w:rsidR="00D47E24" w:rsidRPr="007271B6">
        <w:rPr>
          <w:rFonts w:ascii="Times New Roman" w:hAnsi="Times New Roman" w:cs="Times New Roman"/>
          <w:kern w:val="0"/>
          <w:sz w:val="24"/>
          <w:szCs w:val="24"/>
        </w:rPr>
        <w:t xml:space="preserve"> to deter financial manipulation</w:t>
      </w:r>
      <w:r w:rsidR="00826BD1" w:rsidRPr="007271B6">
        <w:rPr>
          <w:rFonts w:ascii="Times New Roman" w:hAnsi="Times New Roman" w:cs="Times New Roman"/>
          <w:kern w:val="0"/>
          <w:sz w:val="24"/>
          <w:szCs w:val="24"/>
        </w:rPr>
        <w:t xml:space="preserve"> and fraudulent transactions</w:t>
      </w:r>
      <w:r w:rsidR="00D47E24" w:rsidRPr="007271B6">
        <w:rPr>
          <w:rFonts w:ascii="Times New Roman" w:hAnsi="Times New Roman" w:cs="Times New Roman"/>
          <w:kern w:val="0"/>
          <w:sz w:val="24"/>
          <w:szCs w:val="24"/>
        </w:rPr>
        <w:t xml:space="preserve"> within large multinational organisations.</w:t>
      </w:r>
      <w:r w:rsidR="00826BD1" w:rsidRPr="007271B6">
        <w:rPr>
          <w:rFonts w:ascii="Times New Roman" w:hAnsi="Times New Roman" w:cs="Times New Roman"/>
          <w:kern w:val="0"/>
          <w:sz w:val="24"/>
          <w:szCs w:val="24"/>
        </w:rPr>
        <w:t xml:space="preserve"> This is particularly evident in the case where SBF had ultimate control of the two distinct entities.</w:t>
      </w:r>
    </w:p>
    <w:p w14:paraId="5CC56A9D" w14:textId="77777777" w:rsidR="00367085" w:rsidRPr="007271B6" w:rsidRDefault="00F808B3" w:rsidP="00F808B3">
      <w:pPr>
        <w:spacing w:after="0" w:line="480" w:lineRule="auto"/>
        <w:ind w:firstLine="720"/>
        <w:rPr>
          <w:rFonts w:ascii="Times New Roman" w:hAnsi="Times New Roman" w:cs="Times New Roman"/>
          <w:b/>
          <w:bCs/>
          <w:kern w:val="0"/>
          <w:sz w:val="24"/>
          <w:szCs w:val="24"/>
        </w:rPr>
      </w:pPr>
      <w:r w:rsidRPr="007271B6">
        <w:rPr>
          <w:rFonts w:ascii="Times New Roman" w:hAnsi="Times New Roman" w:cs="Times New Roman"/>
          <w:b/>
          <w:bCs/>
          <w:kern w:val="0"/>
          <w:sz w:val="24"/>
          <w:szCs w:val="24"/>
        </w:rPr>
        <w:t>Research question:</w:t>
      </w:r>
      <w:r w:rsidRPr="007271B6">
        <w:rPr>
          <w:kern w:val="0"/>
        </w:rPr>
        <w:t xml:space="preserve"> </w:t>
      </w:r>
      <w:r w:rsidRPr="007271B6">
        <w:rPr>
          <w:rFonts w:ascii="Times New Roman" w:hAnsi="Times New Roman" w:cs="Times New Roman"/>
          <w:b/>
          <w:bCs/>
          <w:kern w:val="0"/>
          <w:sz w:val="24"/>
          <w:szCs w:val="24"/>
        </w:rPr>
        <w:t xml:space="preserve">What are the modest conclusions and recommendations regarding corporate governance as learned from the failure of FTX and Alameda Research? </w:t>
      </w:r>
    </w:p>
    <w:p w14:paraId="48761088" w14:textId="197EC100" w:rsidR="00CB630F"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The discussion segment has uncovered two important areas: corporate governance practices and underlying </w:t>
      </w:r>
      <w:r w:rsidR="004909ED" w:rsidRPr="007271B6">
        <w:rPr>
          <w:rFonts w:ascii="Times New Roman" w:hAnsi="Times New Roman" w:cs="Times New Roman"/>
          <w:kern w:val="0"/>
          <w:sz w:val="24"/>
          <w:szCs w:val="24"/>
        </w:rPr>
        <w:t>company issues</w:t>
      </w:r>
      <w:r w:rsidRPr="007271B6">
        <w:rPr>
          <w:rFonts w:ascii="Times New Roman" w:hAnsi="Times New Roman" w:cs="Times New Roman"/>
          <w:kern w:val="0"/>
          <w:sz w:val="24"/>
          <w:szCs w:val="24"/>
        </w:rPr>
        <w:t xml:space="preserve"> as the primary factors that contributed to the collapse of FTX and Alameda Research</w:t>
      </w:r>
      <w:r w:rsidR="00C546E9">
        <w:rPr>
          <w:rFonts w:ascii="Times New Roman" w:hAnsi="Times New Roman" w:cs="Times New Roman"/>
          <w:kern w:val="0"/>
          <w:sz w:val="24"/>
          <w:szCs w:val="24"/>
        </w:rPr>
        <w:t>, which addresses</w:t>
      </w:r>
      <w:r w:rsidRPr="007271B6">
        <w:rPr>
          <w:rFonts w:ascii="Times New Roman" w:hAnsi="Times New Roman" w:cs="Times New Roman"/>
          <w:kern w:val="0"/>
          <w:sz w:val="24"/>
          <w:szCs w:val="24"/>
        </w:rPr>
        <w:t xml:space="preserve"> the first and second research questions. However, the third research question examines the discussions and their impact on the cryptocurrency industry </w:t>
      </w:r>
      <w:r w:rsidR="00C546E9" w:rsidRPr="007271B6">
        <w:rPr>
          <w:rFonts w:ascii="Times New Roman" w:hAnsi="Times New Roman" w:cs="Times New Roman"/>
          <w:kern w:val="0"/>
          <w:sz w:val="24"/>
          <w:szCs w:val="24"/>
        </w:rPr>
        <w:t>to</w:t>
      </w:r>
      <w:r w:rsidRPr="007271B6">
        <w:rPr>
          <w:rFonts w:ascii="Times New Roman" w:hAnsi="Times New Roman" w:cs="Times New Roman"/>
          <w:kern w:val="0"/>
          <w:sz w:val="24"/>
          <w:szCs w:val="24"/>
        </w:rPr>
        <w:t xml:space="preserve"> provide appropriate recommendations and conclusions in the following chapter.</w:t>
      </w:r>
    </w:p>
    <w:p w14:paraId="38CB74D3" w14:textId="1259AC6D" w:rsidR="00F808B3" w:rsidRPr="007271B6" w:rsidRDefault="00CB630F" w:rsidP="00CB630F">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lastRenderedPageBreak/>
        <w:t xml:space="preserve">In </w:t>
      </w:r>
      <w:r w:rsidR="00DF1D63">
        <w:rPr>
          <w:rFonts w:ascii="Times New Roman" w:hAnsi="Times New Roman" w:cs="Times New Roman"/>
          <w:kern w:val="0"/>
          <w:sz w:val="24"/>
          <w:szCs w:val="24"/>
        </w:rPr>
        <w:t>t</w:t>
      </w:r>
      <w:r w:rsidRPr="007271B6">
        <w:rPr>
          <w:rFonts w:ascii="Times New Roman" w:hAnsi="Times New Roman" w:cs="Times New Roman"/>
          <w:kern w:val="0"/>
          <w:sz w:val="24"/>
          <w:szCs w:val="24"/>
        </w:rPr>
        <w:t>his chapter, the discussion section of the dissertation was addressed based on the three research questions by sorting the topics and their associated categorisations to answer the questions. The first research question was thematically related to corporate governance practises. Respondents’ answers to this topic, including regulation, transparency and the lack of clear roles and responsibilities, were used to answer the question. The second research question o</w:t>
      </w:r>
      <w:r w:rsidR="004909ED" w:rsidRPr="007271B6">
        <w:rPr>
          <w:rFonts w:ascii="Times New Roman" w:hAnsi="Times New Roman" w:cs="Times New Roman"/>
          <w:kern w:val="0"/>
          <w:sz w:val="24"/>
          <w:szCs w:val="24"/>
        </w:rPr>
        <w:t>n fundamental company issues</w:t>
      </w:r>
      <w:r w:rsidRPr="007271B6">
        <w:rPr>
          <w:rFonts w:ascii="Times New Roman" w:hAnsi="Times New Roman" w:cs="Times New Roman"/>
          <w:kern w:val="0"/>
          <w:sz w:val="24"/>
          <w:szCs w:val="24"/>
        </w:rPr>
        <w:t xml:space="preserve"> from a corporate governance perspective was answered using the responses and research on</w:t>
      </w:r>
      <w:r w:rsidR="004909ED" w:rsidRPr="007271B6">
        <w:rPr>
          <w:rFonts w:ascii="Times New Roman" w:hAnsi="Times New Roman" w:cs="Times New Roman"/>
          <w:kern w:val="0"/>
          <w:sz w:val="24"/>
          <w:szCs w:val="24"/>
        </w:rPr>
        <w:t xml:space="preserve"> the topic</w:t>
      </w:r>
      <w:r w:rsidRPr="007271B6">
        <w:rPr>
          <w:rFonts w:ascii="Times New Roman" w:hAnsi="Times New Roman" w:cs="Times New Roman"/>
          <w:kern w:val="0"/>
          <w:sz w:val="24"/>
          <w:szCs w:val="24"/>
        </w:rPr>
        <w:t xml:space="preserve">. The third research question on recommendations and conclusions on corporate governance, on the other hand, is answered in the final chapter </w:t>
      </w:r>
      <w:r w:rsidR="00F01DFE">
        <w:rPr>
          <w:rFonts w:ascii="Times New Roman" w:hAnsi="Times New Roman" w:cs="Times New Roman"/>
          <w:kern w:val="0"/>
          <w:sz w:val="24"/>
          <w:szCs w:val="24"/>
        </w:rPr>
        <w:t>below</w:t>
      </w:r>
      <w:r w:rsidRPr="007271B6">
        <w:rPr>
          <w:rFonts w:ascii="Times New Roman" w:hAnsi="Times New Roman" w:cs="Times New Roman"/>
          <w:kern w:val="0"/>
          <w:sz w:val="24"/>
          <w:szCs w:val="24"/>
        </w:rPr>
        <w:t>.</w:t>
      </w:r>
    </w:p>
    <w:p w14:paraId="704D9CDD" w14:textId="77777777" w:rsidR="00F808B3" w:rsidRPr="007271B6" w:rsidRDefault="00F808B3" w:rsidP="00F808B3">
      <w:pPr>
        <w:spacing w:after="200" w:line="276" w:lineRule="auto"/>
        <w:rPr>
          <w:rFonts w:ascii="Times New Roman" w:hAnsi="Times New Roman" w:cs="Times New Roman"/>
          <w:kern w:val="0"/>
          <w:sz w:val="24"/>
          <w:szCs w:val="24"/>
        </w:rPr>
      </w:pPr>
      <w:r w:rsidRPr="007271B6">
        <w:rPr>
          <w:rFonts w:ascii="Times New Roman" w:hAnsi="Times New Roman" w:cs="Times New Roman"/>
          <w:kern w:val="0"/>
          <w:sz w:val="24"/>
          <w:szCs w:val="24"/>
        </w:rPr>
        <w:br w:type="page"/>
      </w:r>
    </w:p>
    <w:p w14:paraId="6C87BECC" w14:textId="77777777" w:rsidR="00F808B3" w:rsidRPr="007271B6" w:rsidRDefault="00F808B3" w:rsidP="008B2FC1">
      <w:pPr>
        <w:pStyle w:val="Heading1"/>
        <w:rPr>
          <w:lang w:val="en-GB"/>
        </w:rPr>
      </w:pPr>
      <w:bookmarkStart w:id="42" w:name="_Toc165667433"/>
      <w:r w:rsidRPr="007271B6">
        <w:rPr>
          <w:lang w:val="en-GB"/>
        </w:rPr>
        <w:lastRenderedPageBreak/>
        <w:t>Recommendations and Conclusion</w:t>
      </w:r>
      <w:bookmarkEnd w:id="42"/>
    </w:p>
    <w:p w14:paraId="2EAF8355" w14:textId="52D729C1" w:rsidR="00F808B3" w:rsidRPr="007271B6" w:rsidRDefault="00CB630F" w:rsidP="00F808B3">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The collapse and bankruptcy of FTX and Alameda Research</w:t>
      </w:r>
      <w:r w:rsidR="0096300C">
        <w:rPr>
          <w:rFonts w:ascii="Times New Roman" w:hAnsi="Times New Roman" w:cs="Times New Roman"/>
          <w:kern w:val="0"/>
          <w:sz w:val="24"/>
          <w:szCs w:val="24"/>
        </w:rPr>
        <w:t xml:space="preserve"> was significant to the digital asset industry </w:t>
      </w:r>
      <w:r w:rsidRPr="007271B6">
        <w:rPr>
          <w:rFonts w:ascii="Times New Roman" w:hAnsi="Times New Roman" w:cs="Times New Roman"/>
          <w:kern w:val="0"/>
          <w:sz w:val="24"/>
          <w:szCs w:val="24"/>
        </w:rPr>
        <w:t xml:space="preserve">and at the same time revealed major failures in corporate governance. This chapter addresses </w:t>
      </w:r>
      <w:r w:rsidR="0096300C">
        <w:rPr>
          <w:rFonts w:ascii="Times New Roman" w:hAnsi="Times New Roman" w:cs="Times New Roman"/>
          <w:kern w:val="0"/>
          <w:sz w:val="24"/>
          <w:szCs w:val="24"/>
        </w:rPr>
        <w:t>these</w:t>
      </w:r>
      <w:r w:rsidRPr="007271B6">
        <w:rPr>
          <w:rFonts w:ascii="Times New Roman" w:hAnsi="Times New Roman" w:cs="Times New Roman"/>
          <w:kern w:val="0"/>
          <w:sz w:val="24"/>
          <w:szCs w:val="24"/>
        </w:rPr>
        <w:t xml:space="preserve"> failure</w:t>
      </w:r>
      <w:r w:rsidR="0096300C">
        <w:rPr>
          <w:rFonts w:ascii="Times New Roman" w:hAnsi="Times New Roman" w:cs="Times New Roman"/>
          <w:kern w:val="0"/>
          <w:sz w:val="24"/>
          <w:szCs w:val="24"/>
        </w:rPr>
        <w:t>s</w:t>
      </w:r>
      <w:r w:rsidRPr="007271B6">
        <w:rPr>
          <w:rFonts w:ascii="Times New Roman" w:hAnsi="Times New Roman" w:cs="Times New Roman"/>
          <w:kern w:val="0"/>
          <w:sz w:val="24"/>
          <w:szCs w:val="24"/>
        </w:rPr>
        <w:t xml:space="preserve"> by examining the analys</w:t>
      </w:r>
      <w:r w:rsidR="00F01DFE">
        <w:rPr>
          <w:rFonts w:ascii="Times New Roman" w:hAnsi="Times New Roman" w:cs="Times New Roman"/>
          <w:kern w:val="0"/>
          <w:sz w:val="24"/>
          <w:szCs w:val="24"/>
        </w:rPr>
        <w:t>is</w:t>
      </w:r>
      <w:r w:rsidRPr="007271B6">
        <w:rPr>
          <w:rFonts w:ascii="Times New Roman" w:hAnsi="Times New Roman" w:cs="Times New Roman"/>
          <w:kern w:val="0"/>
          <w:sz w:val="24"/>
          <w:szCs w:val="24"/>
        </w:rPr>
        <w:t xml:space="preserve"> and discussion sections and providing recommendations for cryptocurrency companies, policymakers, and regulators on possible ways to avoid similar incidents in the future. In addition, this chapter addresses the contribution to theory, identifies the limitations of the study and highlights areas that require further research.</w:t>
      </w:r>
      <w:r w:rsidR="00F808B3" w:rsidRPr="007271B6">
        <w:rPr>
          <w:rFonts w:ascii="Times New Roman" w:hAnsi="Times New Roman" w:cs="Times New Roman"/>
          <w:kern w:val="0"/>
          <w:sz w:val="24"/>
          <w:szCs w:val="24"/>
        </w:rPr>
        <w:t xml:space="preserve"> </w:t>
      </w:r>
    </w:p>
    <w:p w14:paraId="1E4E2B06" w14:textId="294BA289" w:rsidR="00F808B3" w:rsidRPr="007271B6" w:rsidRDefault="00F808B3" w:rsidP="00F808B3">
      <w:pPr>
        <w:numPr>
          <w:ilvl w:val="0"/>
          <w:numId w:val="2"/>
        </w:numPr>
        <w:spacing w:after="0" w:line="480" w:lineRule="auto"/>
        <w:ind w:firstLine="720"/>
        <w:contextualSpacing/>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The DAO concepts. </w:t>
      </w:r>
      <w:r w:rsidR="004909ED" w:rsidRPr="007271B6">
        <w:rPr>
          <w:rFonts w:ascii="Times New Roman" w:hAnsi="Times New Roman" w:cs="Times New Roman"/>
          <w:kern w:val="0"/>
          <w:sz w:val="24"/>
          <w:szCs w:val="24"/>
        </w:rPr>
        <w:t xml:space="preserve">The management of </w:t>
      </w:r>
      <w:r w:rsidR="005E3A82">
        <w:rPr>
          <w:rFonts w:ascii="Times New Roman" w:hAnsi="Times New Roman" w:cs="Times New Roman"/>
          <w:kern w:val="0"/>
          <w:sz w:val="24"/>
          <w:szCs w:val="24"/>
        </w:rPr>
        <w:t>digital asset</w:t>
      </w:r>
      <w:r w:rsidR="004909ED" w:rsidRPr="007271B6">
        <w:rPr>
          <w:rFonts w:ascii="Times New Roman" w:hAnsi="Times New Roman" w:cs="Times New Roman"/>
          <w:kern w:val="0"/>
          <w:sz w:val="24"/>
          <w:szCs w:val="24"/>
        </w:rPr>
        <w:t xml:space="preserve"> firms has been closely tied to self-governance, particularly auto-management, void of oversight, which inevitably translates to investment fraud, manipulation, and biased coding. DAOs inherently promote </w:t>
      </w:r>
      <w:r w:rsidR="001144BD">
        <w:rPr>
          <w:rFonts w:ascii="Times New Roman" w:hAnsi="Times New Roman" w:cs="Times New Roman"/>
          <w:kern w:val="0"/>
          <w:sz w:val="24"/>
          <w:szCs w:val="24"/>
        </w:rPr>
        <w:t>collaboration and transparency</w:t>
      </w:r>
      <w:r w:rsidR="004909ED" w:rsidRPr="007271B6">
        <w:rPr>
          <w:rFonts w:ascii="Times New Roman" w:hAnsi="Times New Roman" w:cs="Times New Roman"/>
          <w:kern w:val="0"/>
          <w:sz w:val="24"/>
          <w:szCs w:val="24"/>
        </w:rPr>
        <w:t xml:space="preserve"> because it helps to fulfil members’ wishes by adhering to decisions and rules, with contract-based coordination acting as a governance mechanism (Pierce, 2022). Blockchain-enabled DAOs can utilise the consensus-based protocol to eliminate hierarchical power. The crowds in these digital networks achieve equality through digital </w:t>
      </w:r>
      <w:r w:rsidR="00F01DFE">
        <w:rPr>
          <w:rFonts w:ascii="Times New Roman" w:hAnsi="Times New Roman" w:cs="Times New Roman"/>
          <w:kern w:val="0"/>
          <w:sz w:val="24"/>
          <w:szCs w:val="24"/>
        </w:rPr>
        <w:t>voting</w:t>
      </w:r>
      <w:r w:rsidR="004909ED" w:rsidRPr="007271B6">
        <w:rPr>
          <w:rFonts w:ascii="Times New Roman" w:hAnsi="Times New Roman" w:cs="Times New Roman"/>
          <w:kern w:val="0"/>
          <w:sz w:val="24"/>
          <w:szCs w:val="24"/>
        </w:rPr>
        <w:t xml:space="preserve"> (Pierce, 2022). In such a framework, the crowd of shareholders can set limits on the leader's philanthropic ambitions, including possible fraudulent actions.</w:t>
      </w:r>
      <w:r w:rsidRPr="007271B6">
        <w:rPr>
          <w:rFonts w:ascii="Times New Roman" w:hAnsi="Times New Roman" w:cs="Times New Roman"/>
          <w:kern w:val="0"/>
          <w:sz w:val="24"/>
          <w:szCs w:val="24"/>
        </w:rPr>
        <w:t xml:space="preserve"> </w:t>
      </w:r>
    </w:p>
    <w:p w14:paraId="37D5422C" w14:textId="7793A775" w:rsidR="00F808B3" w:rsidRPr="007271B6" w:rsidRDefault="00F808B3" w:rsidP="00F808B3">
      <w:pPr>
        <w:numPr>
          <w:ilvl w:val="0"/>
          <w:numId w:val="2"/>
        </w:numPr>
        <w:spacing w:after="0" w:line="480" w:lineRule="auto"/>
        <w:ind w:firstLine="720"/>
        <w:contextualSpacing/>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Transparency. </w:t>
      </w:r>
      <w:r w:rsidR="004909ED" w:rsidRPr="007271B6">
        <w:rPr>
          <w:rFonts w:ascii="Times New Roman" w:hAnsi="Times New Roman" w:cs="Times New Roman"/>
          <w:kern w:val="0"/>
          <w:sz w:val="24"/>
          <w:szCs w:val="24"/>
        </w:rPr>
        <w:t>Most centralised exchanges (</w:t>
      </w:r>
      <w:proofErr w:type="spellStart"/>
      <w:r w:rsidR="004909ED" w:rsidRPr="007271B6">
        <w:rPr>
          <w:rFonts w:ascii="Times New Roman" w:hAnsi="Times New Roman" w:cs="Times New Roman"/>
          <w:kern w:val="0"/>
          <w:sz w:val="24"/>
          <w:szCs w:val="24"/>
        </w:rPr>
        <w:t>CEXes</w:t>
      </w:r>
      <w:proofErr w:type="spellEnd"/>
      <w:r w:rsidR="004909ED" w:rsidRPr="007271B6">
        <w:rPr>
          <w:rFonts w:ascii="Times New Roman" w:hAnsi="Times New Roman" w:cs="Times New Roman"/>
          <w:kern w:val="0"/>
          <w:sz w:val="24"/>
          <w:szCs w:val="24"/>
        </w:rPr>
        <w:t xml:space="preserve">) in the cryptocurrency industry have developed and implemented a proof of asset reserves that serves as evidence for their clients (Fu et al., 2023). In contrast, the proof of performance does not reflect the overall solvency of the exchange. </w:t>
      </w:r>
      <w:proofErr w:type="spellStart"/>
      <w:r w:rsidR="004909ED" w:rsidRPr="007271B6">
        <w:rPr>
          <w:rFonts w:ascii="Times New Roman" w:hAnsi="Times New Roman" w:cs="Times New Roman"/>
          <w:kern w:val="0"/>
          <w:sz w:val="24"/>
          <w:szCs w:val="24"/>
        </w:rPr>
        <w:t>CEXes</w:t>
      </w:r>
      <w:proofErr w:type="spellEnd"/>
      <w:r w:rsidR="004909ED" w:rsidRPr="007271B6">
        <w:rPr>
          <w:rFonts w:ascii="Times New Roman" w:hAnsi="Times New Roman" w:cs="Times New Roman"/>
          <w:kern w:val="0"/>
          <w:sz w:val="24"/>
          <w:szCs w:val="24"/>
        </w:rPr>
        <w:t xml:space="preserve">' instruments should depend on external drivers to gain market confidence. The rules and logic written into smart contracts are transparent </w:t>
      </w:r>
      <w:r w:rsidR="004909ED" w:rsidRPr="007271B6">
        <w:rPr>
          <w:rFonts w:ascii="Times New Roman" w:hAnsi="Times New Roman" w:cs="Times New Roman"/>
          <w:kern w:val="0"/>
          <w:sz w:val="24"/>
          <w:szCs w:val="24"/>
        </w:rPr>
        <w:lastRenderedPageBreak/>
        <w:t xml:space="preserve">and verifiable to the public. Another area of transparency is record keeping and board oversight. Cryptocurrency companies </w:t>
      </w:r>
      <w:r w:rsidR="00905A2A" w:rsidRPr="007271B6">
        <w:rPr>
          <w:rFonts w:ascii="Times New Roman" w:hAnsi="Times New Roman" w:cs="Times New Roman"/>
          <w:kern w:val="0"/>
          <w:sz w:val="24"/>
          <w:szCs w:val="24"/>
        </w:rPr>
        <w:t>should</w:t>
      </w:r>
      <w:r w:rsidR="004909ED" w:rsidRPr="007271B6">
        <w:rPr>
          <w:rFonts w:ascii="Times New Roman" w:hAnsi="Times New Roman" w:cs="Times New Roman"/>
          <w:kern w:val="0"/>
          <w:sz w:val="24"/>
          <w:szCs w:val="24"/>
        </w:rPr>
        <w:t xml:space="preserve"> disclose their financial statements and use the appropriate financial reporting tools.</w:t>
      </w:r>
    </w:p>
    <w:p w14:paraId="0B586648" w14:textId="1BA31891" w:rsidR="00F808B3" w:rsidRPr="007271B6" w:rsidRDefault="00F808B3" w:rsidP="00F808B3">
      <w:pPr>
        <w:numPr>
          <w:ilvl w:val="0"/>
          <w:numId w:val="2"/>
        </w:numPr>
        <w:spacing w:after="0" w:line="480" w:lineRule="auto"/>
        <w:ind w:firstLine="720"/>
        <w:contextualSpacing/>
        <w:rPr>
          <w:rFonts w:ascii="Times New Roman" w:hAnsi="Times New Roman" w:cs="Times New Roman"/>
          <w:kern w:val="0"/>
          <w:sz w:val="24"/>
          <w:szCs w:val="24"/>
        </w:rPr>
      </w:pPr>
      <w:r w:rsidRPr="007271B6">
        <w:rPr>
          <w:rFonts w:ascii="Times New Roman" w:hAnsi="Times New Roman" w:cs="Times New Roman"/>
          <w:kern w:val="0"/>
          <w:sz w:val="24"/>
          <w:szCs w:val="24"/>
        </w:rPr>
        <w:t xml:space="preserve">Regulation. </w:t>
      </w:r>
      <w:r w:rsidR="004909ED" w:rsidRPr="007271B6">
        <w:rPr>
          <w:rFonts w:ascii="Times New Roman" w:hAnsi="Times New Roman" w:cs="Times New Roman"/>
          <w:kern w:val="0"/>
          <w:sz w:val="24"/>
          <w:szCs w:val="24"/>
        </w:rPr>
        <w:t xml:space="preserve">The emergence of cryptocurrencies has attracted several users of traditional finance who inherently pursued decentralisation. The collapse of FTX and the previous bankruptcy of Luna and Three Arrows have unsettled some users. At the same time, some are </w:t>
      </w:r>
      <w:r w:rsidR="00F01DFE">
        <w:rPr>
          <w:rFonts w:ascii="Times New Roman" w:hAnsi="Times New Roman" w:cs="Times New Roman"/>
          <w:kern w:val="0"/>
          <w:sz w:val="24"/>
          <w:szCs w:val="24"/>
        </w:rPr>
        <w:t>discouraged due to the unregulated nature of the industry and the loss of capital to bad actors.</w:t>
      </w:r>
      <w:r w:rsidR="004909ED" w:rsidRPr="007271B6">
        <w:rPr>
          <w:rFonts w:ascii="Times New Roman" w:hAnsi="Times New Roman" w:cs="Times New Roman"/>
          <w:kern w:val="0"/>
          <w:sz w:val="24"/>
          <w:szCs w:val="24"/>
        </w:rPr>
        <w:t xml:space="preserve"> These sentiments </w:t>
      </w:r>
      <w:r w:rsidR="00F01DFE">
        <w:rPr>
          <w:rFonts w:ascii="Times New Roman" w:hAnsi="Times New Roman" w:cs="Times New Roman"/>
          <w:kern w:val="0"/>
          <w:sz w:val="24"/>
          <w:szCs w:val="24"/>
        </w:rPr>
        <w:t>have merit</w:t>
      </w:r>
      <w:r w:rsidR="004909ED" w:rsidRPr="007271B6">
        <w:rPr>
          <w:rFonts w:ascii="Times New Roman" w:hAnsi="Times New Roman" w:cs="Times New Roman"/>
          <w:kern w:val="0"/>
          <w:sz w:val="24"/>
          <w:szCs w:val="24"/>
        </w:rPr>
        <w:t xml:space="preserve"> given the fraudulent nature of some of the </w:t>
      </w:r>
      <w:proofErr w:type="spellStart"/>
      <w:r w:rsidR="004909ED" w:rsidRPr="007271B6">
        <w:rPr>
          <w:rFonts w:ascii="Times New Roman" w:hAnsi="Times New Roman" w:cs="Times New Roman"/>
          <w:kern w:val="0"/>
          <w:sz w:val="24"/>
          <w:szCs w:val="24"/>
        </w:rPr>
        <w:t>CEXes</w:t>
      </w:r>
      <w:proofErr w:type="spellEnd"/>
      <w:r w:rsidR="004909ED" w:rsidRPr="007271B6">
        <w:rPr>
          <w:rFonts w:ascii="Times New Roman" w:hAnsi="Times New Roman" w:cs="Times New Roman"/>
          <w:kern w:val="0"/>
          <w:sz w:val="24"/>
          <w:szCs w:val="24"/>
        </w:rPr>
        <w:t xml:space="preserve">, </w:t>
      </w:r>
      <w:r w:rsidR="00F01DFE">
        <w:rPr>
          <w:rFonts w:ascii="Times New Roman" w:hAnsi="Times New Roman" w:cs="Times New Roman"/>
          <w:kern w:val="0"/>
          <w:sz w:val="24"/>
          <w:szCs w:val="24"/>
        </w:rPr>
        <w:t xml:space="preserve">including </w:t>
      </w:r>
      <w:r w:rsidR="004909ED" w:rsidRPr="007271B6">
        <w:rPr>
          <w:rFonts w:ascii="Times New Roman" w:hAnsi="Times New Roman" w:cs="Times New Roman"/>
          <w:kern w:val="0"/>
          <w:sz w:val="24"/>
          <w:szCs w:val="24"/>
        </w:rPr>
        <w:t xml:space="preserve">code </w:t>
      </w:r>
      <w:r w:rsidR="00F01DFE">
        <w:rPr>
          <w:rFonts w:ascii="Times New Roman" w:hAnsi="Times New Roman" w:cs="Times New Roman"/>
          <w:kern w:val="0"/>
          <w:sz w:val="24"/>
          <w:szCs w:val="24"/>
        </w:rPr>
        <w:t>editing</w:t>
      </w:r>
      <w:r w:rsidR="004909ED" w:rsidRPr="007271B6">
        <w:rPr>
          <w:rFonts w:ascii="Times New Roman" w:hAnsi="Times New Roman" w:cs="Times New Roman"/>
          <w:kern w:val="0"/>
          <w:sz w:val="24"/>
          <w:szCs w:val="24"/>
        </w:rPr>
        <w:t>, price manipulation and Ponzi schemes</w:t>
      </w:r>
      <w:r w:rsidR="004909ED" w:rsidRPr="009A3E23">
        <w:rPr>
          <w:rFonts w:ascii="Times New Roman" w:hAnsi="Times New Roman" w:cs="Times New Roman"/>
          <w:kern w:val="0"/>
          <w:sz w:val="24"/>
          <w:szCs w:val="24"/>
        </w:rPr>
        <w:t>. Given</w:t>
      </w:r>
      <w:r w:rsidR="004909ED" w:rsidRPr="007271B6">
        <w:rPr>
          <w:rFonts w:ascii="Times New Roman" w:hAnsi="Times New Roman" w:cs="Times New Roman"/>
          <w:kern w:val="0"/>
          <w:sz w:val="24"/>
          <w:szCs w:val="24"/>
        </w:rPr>
        <w:t xml:space="preserve"> these concerns, regulations, including guidelines</w:t>
      </w:r>
      <w:r w:rsidR="0096300C">
        <w:rPr>
          <w:rFonts w:ascii="Times New Roman" w:hAnsi="Times New Roman" w:cs="Times New Roman"/>
          <w:kern w:val="0"/>
          <w:sz w:val="24"/>
          <w:szCs w:val="24"/>
        </w:rPr>
        <w:t xml:space="preserve"> and rules</w:t>
      </w:r>
      <w:r w:rsidR="004909ED" w:rsidRPr="007271B6">
        <w:rPr>
          <w:rFonts w:ascii="Times New Roman" w:hAnsi="Times New Roman" w:cs="Times New Roman"/>
          <w:kern w:val="0"/>
          <w:sz w:val="24"/>
          <w:szCs w:val="24"/>
        </w:rPr>
        <w:t>, should be introduced to the cryptocurrency industry.</w:t>
      </w:r>
      <w:r w:rsidR="0096300C">
        <w:rPr>
          <w:rFonts w:ascii="Times New Roman" w:hAnsi="Times New Roman" w:cs="Times New Roman"/>
          <w:kern w:val="0"/>
          <w:sz w:val="24"/>
          <w:szCs w:val="24"/>
        </w:rPr>
        <w:t xml:space="preserve"> This study highlighted that some of the most important changes would be the mandatory implementation of an independent board and strict controls and monitoring regarding customer funds and </w:t>
      </w:r>
      <w:r w:rsidR="00F51E48">
        <w:rPr>
          <w:rFonts w:ascii="Times New Roman" w:hAnsi="Times New Roman" w:cs="Times New Roman"/>
          <w:kern w:val="0"/>
          <w:sz w:val="24"/>
          <w:szCs w:val="24"/>
        </w:rPr>
        <w:t>third-party</w:t>
      </w:r>
      <w:r w:rsidR="0096300C">
        <w:rPr>
          <w:rFonts w:ascii="Times New Roman" w:hAnsi="Times New Roman" w:cs="Times New Roman"/>
          <w:kern w:val="0"/>
          <w:sz w:val="24"/>
          <w:szCs w:val="24"/>
        </w:rPr>
        <w:t xml:space="preserve"> transactions.</w:t>
      </w:r>
    </w:p>
    <w:p w14:paraId="595898E5" w14:textId="195A4B97" w:rsidR="00F808B3" w:rsidRPr="007271B6" w:rsidRDefault="008B2FC1" w:rsidP="008B2FC1">
      <w:pPr>
        <w:pStyle w:val="Heading2"/>
      </w:pPr>
      <w:bookmarkStart w:id="43" w:name="_Toc165667434"/>
      <w:r w:rsidRPr="007271B6">
        <w:t>Contribution to T</w:t>
      </w:r>
      <w:r w:rsidR="00F808B3" w:rsidRPr="007271B6">
        <w:t>heory</w:t>
      </w:r>
      <w:bookmarkEnd w:id="43"/>
    </w:p>
    <w:p w14:paraId="36EE60A2" w14:textId="3C7B914D" w:rsidR="00F808B3" w:rsidRPr="007271B6" w:rsidRDefault="004909ED" w:rsidP="00F808B3">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This dissertation demonstrates that the collapse of FTX and Alameda Research was due to poor corporate governance practices. The results of this study show that the collapse and bankruptcy of FTX, and to some extent similar earlier incidents, can be attributed in part to corporate governance. Consequently, the perspective taken in this dissertation provides unique insights into the various theoretical underpinnings of the collapse of </w:t>
      </w:r>
      <w:r w:rsidR="00291CEA">
        <w:rPr>
          <w:rFonts w:ascii="Times New Roman" w:hAnsi="Times New Roman" w:cs="Times New Roman"/>
          <w:kern w:val="0"/>
          <w:sz w:val="24"/>
          <w:szCs w:val="24"/>
        </w:rPr>
        <w:t>digital asset trading and exchange</w:t>
      </w:r>
      <w:r w:rsidRPr="007271B6">
        <w:rPr>
          <w:rFonts w:ascii="Times New Roman" w:hAnsi="Times New Roman" w:cs="Times New Roman"/>
          <w:kern w:val="0"/>
          <w:sz w:val="24"/>
          <w:szCs w:val="24"/>
        </w:rPr>
        <w:t xml:space="preserve"> firms. The corporate governance perspective offers agency theory a new paradigm to understand why companies might prioritise certain goals such as </w:t>
      </w:r>
      <w:r w:rsidR="00291CEA">
        <w:rPr>
          <w:rFonts w:ascii="Times New Roman" w:hAnsi="Times New Roman" w:cs="Times New Roman"/>
          <w:kern w:val="0"/>
          <w:sz w:val="24"/>
          <w:szCs w:val="24"/>
        </w:rPr>
        <w:t xml:space="preserve">profitability, political </w:t>
      </w:r>
      <w:proofErr w:type="gramStart"/>
      <w:r w:rsidR="00291CEA">
        <w:rPr>
          <w:rFonts w:ascii="Times New Roman" w:hAnsi="Times New Roman" w:cs="Times New Roman"/>
          <w:kern w:val="0"/>
          <w:sz w:val="24"/>
          <w:szCs w:val="24"/>
        </w:rPr>
        <w:t>capital</w:t>
      </w:r>
      <w:proofErr w:type="gramEnd"/>
      <w:r w:rsidRPr="007271B6">
        <w:rPr>
          <w:rFonts w:ascii="Times New Roman" w:hAnsi="Times New Roman" w:cs="Times New Roman"/>
          <w:kern w:val="0"/>
          <w:sz w:val="24"/>
          <w:szCs w:val="24"/>
        </w:rPr>
        <w:t xml:space="preserve"> or philanthropy over wealth creation for </w:t>
      </w:r>
      <w:r w:rsidR="00291CEA">
        <w:rPr>
          <w:rFonts w:ascii="Times New Roman" w:hAnsi="Times New Roman" w:cs="Times New Roman"/>
          <w:kern w:val="0"/>
          <w:sz w:val="24"/>
          <w:szCs w:val="24"/>
        </w:rPr>
        <w:t xml:space="preserve">shareholders or other </w:t>
      </w:r>
      <w:r w:rsidRPr="007271B6">
        <w:rPr>
          <w:rFonts w:ascii="Times New Roman" w:hAnsi="Times New Roman" w:cs="Times New Roman"/>
          <w:kern w:val="0"/>
          <w:sz w:val="24"/>
          <w:szCs w:val="24"/>
        </w:rPr>
        <w:t xml:space="preserve">stakeholders. The underlying company issues, such as the lack of clear roles and </w:t>
      </w:r>
      <w:r w:rsidRPr="007271B6">
        <w:rPr>
          <w:rFonts w:ascii="Times New Roman" w:hAnsi="Times New Roman" w:cs="Times New Roman"/>
          <w:kern w:val="0"/>
          <w:sz w:val="24"/>
          <w:szCs w:val="24"/>
        </w:rPr>
        <w:lastRenderedPageBreak/>
        <w:t xml:space="preserve">responsibilities, grievance settlement, and unethical practices, represent fundamental problems that explain the collapse and bankruptcy of FTX </w:t>
      </w:r>
      <w:r w:rsidR="009A3E23">
        <w:rPr>
          <w:rFonts w:ascii="Times New Roman" w:hAnsi="Times New Roman" w:cs="Times New Roman"/>
          <w:kern w:val="0"/>
          <w:sz w:val="24"/>
          <w:szCs w:val="24"/>
        </w:rPr>
        <w:t xml:space="preserve">and Alameda Research </w:t>
      </w:r>
      <w:r w:rsidRPr="007271B6">
        <w:rPr>
          <w:rFonts w:ascii="Times New Roman" w:hAnsi="Times New Roman" w:cs="Times New Roman"/>
          <w:kern w:val="0"/>
          <w:sz w:val="24"/>
          <w:szCs w:val="24"/>
        </w:rPr>
        <w:t xml:space="preserve">from a corporate governance </w:t>
      </w:r>
      <w:r w:rsidR="009A3E23">
        <w:rPr>
          <w:rFonts w:ascii="Times New Roman" w:hAnsi="Times New Roman" w:cs="Times New Roman"/>
          <w:kern w:val="0"/>
          <w:sz w:val="24"/>
          <w:szCs w:val="24"/>
        </w:rPr>
        <w:t>perspective</w:t>
      </w:r>
      <w:r w:rsidRPr="007271B6">
        <w:rPr>
          <w:rFonts w:ascii="Times New Roman" w:hAnsi="Times New Roman" w:cs="Times New Roman"/>
          <w:kern w:val="0"/>
          <w:sz w:val="24"/>
          <w:szCs w:val="24"/>
        </w:rPr>
        <w:t xml:space="preserve"> instead of the generalised Ponzi scheme or capital fraudulent concepts</w:t>
      </w:r>
      <w:r w:rsidR="00291CEA">
        <w:rPr>
          <w:rFonts w:ascii="Times New Roman" w:hAnsi="Times New Roman" w:cs="Times New Roman"/>
          <w:kern w:val="0"/>
          <w:sz w:val="24"/>
          <w:szCs w:val="24"/>
        </w:rPr>
        <w:t xml:space="preserve">. Simple corporate governance practices, adequately implemented and enforced, may have prevented the collapse of the two entities. Just one example of this being the restriction of comingled customer funds </w:t>
      </w:r>
      <w:r w:rsidR="00C546E9">
        <w:rPr>
          <w:rFonts w:ascii="Times New Roman" w:hAnsi="Times New Roman" w:cs="Times New Roman"/>
          <w:kern w:val="0"/>
          <w:sz w:val="24"/>
          <w:szCs w:val="24"/>
        </w:rPr>
        <w:t>or the bowing of FTX’s</w:t>
      </w:r>
      <w:r w:rsidR="00291CEA">
        <w:rPr>
          <w:rFonts w:ascii="Times New Roman" w:hAnsi="Times New Roman" w:cs="Times New Roman"/>
          <w:kern w:val="0"/>
          <w:sz w:val="24"/>
          <w:szCs w:val="24"/>
        </w:rPr>
        <w:t xml:space="preserve"> native FTT token </w:t>
      </w:r>
      <w:r w:rsidR="00C546E9">
        <w:rPr>
          <w:rFonts w:ascii="Times New Roman" w:hAnsi="Times New Roman" w:cs="Times New Roman"/>
          <w:kern w:val="0"/>
          <w:sz w:val="24"/>
          <w:szCs w:val="24"/>
        </w:rPr>
        <w:t>would have substantially derisked FTX’s balance sheet.</w:t>
      </w:r>
      <w:r w:rsidR="00E358B9">
        <w:rPr>
          <w:rFonts w:ascii="Times New Roman" w:hAnsi="Times New Roman" w:cs="Times New Roman"/>
          <w:kern w:val="0"/>
          <w:sz w:val="24"/>
          <w:szCs w:val="24"/>
        </w:rPr>
        <w:t xml:space="preserve"> An overarching theme that became evident </w:t>
      </w:r>
      <w:proofErr w:type="gramStart"/>
      <w:r w:rsidR="00E358B9">
        <w:rPr>
          <w:rFonts w:ascii="Times New Roman" w:hAnsi="Times New Roman" w:cs="Times New Roman"/>
          <w:kern w:val="0"/>
          <w:sz w:val="24"/>
          <w:szCs w:val="24"/>
        </w:rPr>
        <w:t>during the course of</w:t>
      </w:r>
      <w:proofErr w:type="gramEnd"/>
      <w:r w:rsidR="00E358B9">
        <w:rPr>
          <w:rFonts w:ascii="Times New Roman" w:hAnsi="Times New Roman" w:cs="Times New Roman"/>
          <w:kern w:val="0"/>
          <w:sz w:val="24"/>
          <w:szCs w:val="24"/>
        </w:rPr>
        <w:t xml:space="preserve"> this study is that corporate governance practices such as oversight, segregation of duties, cash controls, security controls and disbursement controls would have </w:t>
      </w:r>
      <w:r w:rsidR="00E358B9" w:rsidRPr="00C23237">
        <w:rPr>
          <w:rFonts w:ascii="Times New Roman" w:hAnsi="Times New Roman" w:cs="Times New Roman"/>
          <w:kern w:val="0"/>
          <w:sz w:val="24"/>
          <w:szCs w:val="24"/>
        </w:rPr>
        <w:t>most likely resulted in safeguard</w:t>
      </w:r>
      <w:r w:rsidR="00522F09">
        <w:rPr>
          <w:rFonts w:ascii="Times New Roman" w:hAnsi="Times New Roman" w:cs="Times New Roman"/>
          <w:kern w:val="0"/>
          <w:sz w:val="24"/>
          <w:szCs w:val="24"/>
        </w:rPr>
        <w:t>ing</w:t>
      </w:r>
      <w:r w:rsidR="00E358B9" w:rsidRPr="00C23237">
        <w:rPr>
          <w:rFonts w:ascii="Times New Roman" w:hAnsi="Times New Roman" w:cs="Times New Roman"/>
          <w:kern w:val="0"/>
          <w:sz w:val="24"/>
          <w:szCs w:val="24"/>
        </w:rPr>
        <w:t xml:space="preserve"> FTX’s assets</w:t>
      </w:r>
      <w:r w:rsidR="00522F09">
        <w:rPr>
          <w:rFonts w:ascii="Times New Roman" w:hAnsi="Times New Roman" w:cs="Times New Roman"/>
          <w:kern w:val="0"/>
          <w:sz w:val="24"/>
          <w:szCs w:val="24"/>
        </w:rPr>
        <w:t xml:space="preserve"> and protected this entity from the losses incurred from Alameda Research</w:t>
      </w:r>
      <w:r w:rsidR="00E358B9" w:rsidRPr="00C23237">
        <w:rPr>
          <w:rFonts w:ascii="Times New Roman" w:hAnsi="Times New Roman" w:cs="Times New Roman"/>
          <w:kern w:val="0"/>
          <w:sz w:val="24"/>
          <w:szCs w:val="24"/>
        </w:rPr>
        <w:t>.</w:t>
      </w:r>
    </w:p>
    <w:p w14:paraId="71FDFFB7" w14:textId="77777777" w:rsidR="00F808B3" w:rsidRPr="007271B6" w:rsidRDefault="00F808B3" w:rsidP="008B2FC1">
      <w:pPr>
        <w:pStyle w:val="Heading2"/>
      </w:pPr>
      <w:bookmarkStart w:id="44" w:name="_Toc165667435"/>
      <w:r w:rsidRPr="007271B6">
        <w:t>Limitation of the Study</w:t>
      </w:r>
      <w:bookmarkEnd w:id="44"/>
    </w:p>
    <w:p w14:paraId="3847F9A8" w14:textId="76432A1E" w:rsidR="00F808B3" w:rsidRPr="007271B6" w:rsidRDefault="004909ED" w:rsidP="00F808B3">
      <w:pPr>
        <w:spacing w:after="0" w:line="480" w:lineRule="auto"/>
        <w:ind w:firstLine="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This study is limited to analysing the collapse of FTX and Alameda Research from a corporate governance perspective. Therefore, it cannot express the influence of the interconnectedness of cryptocurrency companies, economic </w:t>
      </w:r>
      <w:proofErr w:type="gramStart"/>
      <w:r w:rsidRPr="007271B6">
        <w:rPr>
          <w:rFonts w:ascii="Times New Roman" w:hAnsi="Times New Roman" w:cs="Times New Roman"/>
          <w:kern w:val="0"/>
          <w:sz w:val="24"/>
          <w:szCs w:val="24"/>
        </w:rPr>
        <w:t>downturns</w:t>
      </w:r>
      <w:proofErr w:type="gramEnd"/>
      <w:r w:rsidRPr="007271B6">
        <w:rPr>
          <w:rFonts w:ascii="Times New Roman" w:hAnsi="Times New Roman" w:cs="Times New Roman"/>
          <w:kern w:val="0"/>
          <w:sz w:val="24"/>
          <w:szCs w:val="24"/>
        </w:rPr>
        <w:t xml:space="preserve"> and rivalry in the industry. At the same time, the qualitative method used in this study is limited to the opinions and views of the interviewers. The impact of corporate governance failures on the collapse of FTX and Alameda Research cannot be empirically determined. Therefore, further research on the collapse and bankruptcy of FTX and Alameda Research is needed, focusing on industry competition, economic uncertainty and corporate interdependence and their impact on corporate governance. In addition, a quantitative study of the impact of corporate governance practices on the collapse of the two companies is needed to assess the significance of the related factors.</w:t>
      </w:r>
      <w:r w:rsidR="00F808B3" w:rsidRPr="007271B6">
        <w:rPr>
          <w:rFonts w:ascii="Times New Roman" w:hAnsi="Times New Roman" w:cs="Times New Roman"/>
          <w:kern w:val="0"/>
          <w:sz w:val="24"/>
          <w:szCs w:val="24"/>
        </w:rPr>
        <w:t xml:space="preserve"> </w:t>
      </w:r>
      <w:r w:rsidR="00FC3E65" w:rsidRPr="007271B6">
        <w:rPr>
          <w:rFonts w:ascii="Times New Roman" w:hAnsi="Times New Roman" w:cs="Times New Roman"/>
          <w:kern w:val="0"/>
          <w:sz w:val="24"/>
          <w:szCs w:val="24"/>
        </w:rPr>
        <w:t xml:space="preserve">Other limitations include a lack of </w:t>
      </w:r>
      <w:r w:rsidR="0099165B" w:rsidRPr="007271B6">
        <w:rPr>
          <w:rFonts w:ascii="Times New Roman" w:hAnsi="Times New Roman" w:cs="Times New Roman"/>
          <w:kern w:val="0"/>
          <w:sz w:val="24"/>
          <w:szCs w:val="24"/>
        </w:rPr>
        <w:t>analysis</w:t>
      </w:r>
      <w:r w:rsidR="00FC3E65" w:rsidRPr="007271B6">
        <w:rPr>
          <w:rFonts w:ascii="Times New Roman" w:hAnsi="Times New Roman" w:cs="Times New Roman"/>
          <w:kern w:val="0"/>
          <w:sz w:val="24"/>
          <w:szCs w:val="24"/>
        </w:rPr>
        <w:t xml:space="preserve"> regarding the diversification of age, gender</w:t>
      </w:r>
      <w:r w:rsidR="0099165B" w:rsidRPr="007271B6">
        <w:rPr>
          <w:rFonts w:ascii="Times New Roman" w:hAnsi="Times New Roman" w:cs="Times New Roman"/>
          <w:kern w:val="0"/>
          <w:sz w:val="24"/>
          <w:szCs w:val="24"/>
        </w:rPr>
        <w:t>, educational background, race,</w:t>
      </w:r>
      <w:r w:rsidR="00FC3E65" w:rsidRPr="007271B6">
        <w:rPr>
          <w:rFonts w:ascii="Times New Roman" w:hAnsi="Times New Roman" w:cs="Times New Roman"/>
          <w:kern w:val="0"/>
          <w:sz w:val="24"/>
          <w:szCs w:val="24"/>
        </w:rPr>
        <w:t xml:space="preserve"> </w:t>
      </w:r>
      <w:r w:rsidR="0099165B" w:rsidRPr="007271B6">
        <w:rPr>
          <w:rFonts w:ascii="Times New Roman" w:hAnsi="Times New Roman" w:cs="Times New Roman"/>
          <w:kern w:val="0"/>
          <w:sz w:val="24"/>
          <w:szCs w:val="24"/>
        </w:rPr>
        <w:t xml:space="preserve">and other diversity markers </w:t>
      </w:r>
      <w:r w:rsidR="00FC3E65" w:rsidRPr="007271B6">
        <w:rPr>
          <w:rFonts w:ascii="Times New Roman" w:hAnsi="Times New Roman" w:cs="Times New Roman"/>
          <w:kern w:val="0"/>
          <w:sz w:val="24"/>
          <w:szCs w:val="24"/>
        </w:rPr>
        <w:t xml:space="preserve">among senior </w:t>
      </w:r>
      <w:r w:rsidR="0099165B" w:rsidRPr="007271B6">
        <w:rPr>
          <w:rFonts w:ascii="Times New Roman" w:hAnsi="Times New Roman" w:cs="Times New Roman"/>
          <w:kern w:val="0"/>
          <w:sz w:val="24"/>
          <w:szCs w:val="24"/>
        </w:rPr>
        <w:t xml:space="preserve">leaders </w:t>
      </w:r>
      <w:r w:rsidR="0099165B" w:rsidRPr="007271B6">
        <w:rPr>
          <w:rFonts w:ascii="Times New Roman" w:hAnsi="Times New Roman" w:cs="Times New Roman"/>
          <w:kern w:val="0"/>
          <w:sz w:val="24"/>
          <w:szCs w:val="24"/>
        </w:rPr>
        <w:lastRenderedPageBreak/>
        <w:t>within FTX and Alameda Research</w:t>
      </w:r>
      <w:r w:rsidR="00FC3E65" w:rsidRPr="007271B6">
        <w:rPr>
          <w:rFonts w:ascii="Times New Roman" w:hAnsi="Times New Roman" w:cs="Times New Roman"/>
          <w:kern w:val="0"/>
          <w:sz w:val="24"/>
          <w:szCs w:val="24"/>
        </w:rPr>
        <w:t xml:space="preserve"> as a contributing factor towards</w:t>
      </w:r>
      <w:r w:rsidR="0099165B" w:rsidRPr="007271B6">
        <w:rPr>
          <w:rFonts w:ascii="Times New Roman" w:hAnsi="Times New Roman" w:cs="Times New Roman"/>
          <w:kern w:val="0"/>
          <w:sz w:val="24"/>
          <w:szCs w:val="24"/>
        </w:rPr>
        <w:t xml:space="preserve"> both companies collapse. In addition, the study is limited as the background of all source information is not known.</w:t>
      </w:r>
    </w:p>
    <w:p w14:paraId="1349E4E2" w14:textId="15ED5986" w:rsidR="00603030" w:rsidRPr="007271B6" w:rsidRDefault="00603030" w:rsidP="00603030">
      <w:pPr>
        <w:spacing w:line="480" w:lineRule="auto"/>
        <w:ind w:firstLine="720"/>
        <w:rPr>
          <w:rFonts w:ascii="Times New Roman" w:hAnsi="Times New Roman" w:cs="Times New Roman"/>
          <w:kern w:val="0"/>
          <w:sz w:val="24"/>
          <w:szCs w:val="24"/>
          <w14:ligatures w14:val="none"/>
        </w:rPr>
      </w:pPr>
      <w:r w:rsidRPr="007271B6">
        <w:rPr>
          <w:rFonts w:ascii="Times New Roman" w:hAnsi="Times New Roman" w:cs="Times New Roman"/>
          <w:kern w:val="0"/>
          <w:sz w:val="24"/>
          <w:szCs w:val="24"/>
          <w14:ligatures w14:val="none"/>
        </w:rPr>
        <w:t>Further research is needed that looks at how regulators respond to such failures, as most of the studies reviewed only look at the causes of the demise of FTX and Alameda Research and do not provide adequate recommendations for change. Therefore, future studies should examine how regulators can change their requirements, procedures, and best practices</w:t>
      </w:r>
      <w:r w:rsidR="009A3E23">
        <w:rPr>
          <w:rFonts w:ascii="Times New Roman" w:hAnsi="Times New Roman" w:cs="Times New Roman"/>
          <w:kern w:val="0"/>
          <w:sz w:val="24"/>
          <w:szCs w:val="24"/>
          <w14:ligatures w14:val="none"/>
        </w:rPr>
        <w:t xml:space="preserve"> to bring positive change</w:t>
      </w:r>
      <w:r w:rsidRPr="007271B6">
        <w:rPr>
          <w:rFonts w:ascii="Times New Roman" w:hAnsi="Times New Roman" w:cs="Times New Roman"/>
          <w:kern w:val="0"/>
          <w:sz w:val="24"/>
          <w:szCs w:val="24"/>
          <w14:ligatures w14:val="none"/>
        </w:rPr>
        <w:t>. Finally, more in-depth research is needed on the creation and evaluation of governance frameworks specific to the digital asset industry.</w:t>
      </w:r>
      <w:r w:rsidR="0096300C">
        <w:rPr>
          <w:rFonts w:ascii="Times New Roman" w:hAnsi="Times New Roman" w:cs="Times New Roman"/>
          <w:kern w:val="0"/>
          <w:sz w:val="24"/>
          <w:szCs w:val="24"/>
          <w14:ligatures w14:val="none"/>
        </w:rPr>
        <w:t xml:space="preserve"> F</w:t>
      </w:r>
      <w:r w:rsidR="009A3E23">
        <w:rPr>
          <w:rFonts w:ascii="Times New Roman" w:hAnsi="Times New Roman" w:cs="Times New Roman"/>
          <w:kern w:val="0"/>
          <w:sz w:val="24"/>
          <w:szCs w:val="24"/>
          <w14:ligatures w14:val="none"/>
        </w:rPr>
        <w:t>inally</w:t>
      </w:r>
      <w:r w:rsidR="0096300C">
        <w:rPr>
          <w:rFonts w:ascii="Times New Roman" w:hAnsi="Times New Roman" w:cs="Times New Roman"/>
          <w:kern w:val="0"/>
          <w:sz w:val="24"/>
          <w:szCs w:val="24"/>
          <w14:ligatures w14:val="none"/>
        </w:rPr>
        <w:t>, this study focuses on the failure of a digital asset centralised exchange and trading fund. Decentralised digital asset exchanges exist and further study regarding the application of effective corporate governance to these entities is crucial to help prevent similar instances of failure.</w:t>
      </w:r>
    </w:p>
    <w:p w14:paraId="3C416458" w14:textId="5CF7E1EE" w:rsidR="00F808B3" w:rsidRPr="007271B6" w:rsidRDefault="00F808B3" w:rsidP="008B2FC1">
      <w:pPr>
        <w:pStyle w:val="Heading2"/>
      </w:pPr>
      <w:bookmarkStart w:id="45" w:name="_Toc165667436"/>
      <w:r w:rsidRPr="007271B6">
        <w:t>Conclusion</w:t>
      </w:r>
      <w:bookmarkEnd w:id="45"/>
    </w:p>
    <w:p w14:paraId="495F58D4" w14:textId="6050EF17" w:rsidR="00EA29E6" w:rsidRPr="00BB3D3A" w:rsidRDefault="004909ED" w:rsidP="00976DD4">
      <w:pPr>
        <w:spacing w:after="0" w:line="480" w:lineRule="auto"/>
        <w:ind w:firstLine="720"/>
        <w:rPr>
          <w:rFonts w:ascii="Times New Roman" w:hAnsi="Times New Roman" w:cs="Times New Roman"/>
          <w:kern w:val="0"/>
          <w:sz w:val="24"/>
          <w:szCs w:val="24"/>
        </w:rPr>
      </w:pPr>
      <w:r w:rsidRPr="00BB3D3A">
        <w:rPr>
          <w:rFonts w:ascii="Times New Roman" w:hAnsi="Times New Roman" w:cs="Times New Roman"/>
          <w:kern w:val="0"/>
          <w:sz w:val="24"/>
          <w:szCs w:val="24"/>
        </w:rPr>
        <w:t>The</w:t>
      </w:r>
      <w:r w:rsidR="003B749E" w:rsidRPr="00BB3D3A">
        <w:rPr>
          <w:rFonts w:ascii="Times New Roman" w:hAnsi="Times New Roman" w:cs="Times New Roman"/>
          <w:kern w:val="0"/>
          <w:sz w:val="24"/>
          <w:szCs w:val="24"/>
        </w:rPr>
        <w:t xml:space="preserve"> purpose of this case study </w:t>
      </w:r>
      <w:r w:rsidR="003451A3" w:rsidRPr="00BB3D3A">
        <w:rPr>
          <w:rFonts w:ascii="Times New Roman" w:hAnsi="Times New Roman" w:cs="Times New Roman"/>
          <w:kern w:val="0"/>
          <w:sz w:val="24"/>
          <w:szCs w:val="24"/>
        </w:rPr>
        <w:t xml:space="preserve">research </w:t>
      </w:r>
      <w:r w:rsidR="003B749E" w:rsidRPr="00BB3D3A">
        <w:rPr>
          <w:rFonts w:ascii="Times New Roman" w:hAnsi="Times New Roman" w:cs="Times New Roman"/>
          <w:kern w:val="0"/>
          <w:sz w:val="24"/>
          <w:szCs w:val="24"/>
        </w:rPr>
        <w:t>was to examine the failure of FTX and Alameda Research through the context of corporate governance</w:t>
      </w:r>
      <w:r w:rsidR="00976DD4" w:rsidRPr="00BB3D3A">
        <w:rPr>
          <w:rFonts w:ascii="Times New Roman" w:hAnsi="Times New Roman" w:cs="Times New Roman"/>
          <w:kern w:val="0"/>
          <w:sz w:val="24"/>
          <w:szCs w:val="24"/>
        </w:rPr>
        <w:t>. From this, the study aimed to draw meaningful conclusions and provide recommendations that could prevent similar failures. Analysis</w:t>
      </w:r>
      <w:r w:rsidR="003B749E" w:rsidRPr="00BB3D3A">
        <w:rPr>
          <w:rFonts w:ascii="Times New Roman" w:hAnsi="Times New Roman" w:cs="Times New Roman"/>
          <w:kern w:val="0"/>
          <w:sz w:val="24"/>
          <w:szCs w:val="24"/>
        </w:rPr>
        <w:t xml:space="preserve"> of </w:t>
      </w:r>
      <w:r w:rsidR="00976DD4" w:rsidRPr="00BB3D3A">
        <w:rPr>
          <w:rFonts w:ascii="Times New Roman" w:hAnsi="Times New Roman" w:cs="Times New Roman"/>
          <w:kern w:val="0"/>
          <w:sz w:val="24"/>
          <w:szCs w:val="24"/>
        </w:rPr>
        <w:t>source material and existing literature established a significant lack of corporate governance within FTX and Alameda Research</w:t>
      </w:r>
      <w:r w:rsidR="003451A3" w:rsidRPr="00BB3D3A">
        <w:rPr>
          <w:rFonts w:ascii="Times New Roman" w:hAnsi="Times New Roman" w:cs="Times New Roman"/>
          <w:kern w:val="0"/>
          <w:sz w:val="24"/>
          <w:szCs w:val="24"/>
        </w:rPr>
        <w:t xml:space="preserve"> and was </w:t>
      </w:r>
      <w:r w:rsidR="00EA29E6" w:rsidRPr="00BB3D3A">
        <w:rPr>
          <w:rFonts w:ascii="Times New Roman" w:hAnsi="Times New Roman" w:cs="Times New Roman"/>
          <w:kern w:val="0"/>
          <w:sz w:val="24"/>
          <w:szCs w:val="24"/>
        </w:rPr>
        <w:t xml:space="preserve">key </w:t>
      </w:r>
      <w:r w:rsidR="003451A3" w:rsidRPr="00BB3D3A">
        <w:rPr>
          <w:rFonts w:ascii="Times New Roman" w:hAnsi="Times New Roman" w:cs="Times New Roman"/>
          <w:kern w:val="0"/>
          <w:sz w:val="24"/>
          <w:szCs w:val="24"/>
        </w:rPr>
        <w:t xml:space="preserve">to </w:t>
      </w:r>
      <w:r w:rsidR="00EA29E6" w:rsidRPr="00BB3D3A">
        <w:rPr>
          <w:rFonts w:ascii="Times New Roman" w:hAnsi="Times New Roman" w:cs="Times New Roman"/>
          <w:kern w:val="0"/>
          <w:sz w:val="24"/>
          <w:szCs w:val="24"/>
        </w:rPr>
        <w:t>the failure of these firms.</w:t>
      </w:r>
      <w:r w:rsidR="003451A3" w:rsidRPr="00BB3D3A">
        <w:rPr>
          <w:rFonts w:ascii="Times New Roman" w:hAnsi="Times New Roman" w:cs="Times New Roman"/>
          <w:kern w:val="0"/>
          <w:sz w:val="24"/>
          <w:szCs w:val="24"/>
        </w:rPr>
        <w:t xml:space="preserve"> The themes that emerged from the failure </w:t>
      </w:r>
      <w:r w:rsidR="00C323E7">
        <w:rPr>
          <w:rFonts w:ascii="Times New Roman" w:hAnsi="Times New Roman" w:cs="Times New Roman"/>
          <w:kern w:val="0"/>
          <w:sz w:val="24"/>
          <w:szCs w:val="24"/>
        </w:rPr>
        <w:t>in respect to</w:t>
      </w:r>
      <w:r w:rsidR="003451A3" w:rsidRPr="00BB3D3A">
        <w:rPr>
          <w:rFonts w:ascii="Times New Roman" w:hAnsi="Times New Roman" w:cs="Times New Roman"/>
          <w:kern w:val="0"/>
          <w:sz w:val="24"/>
          <w:szCs w:val="24"/>
        </w:rPr>
        <w:t xml:space="preserve"> </w:t>
      </w:r>
      <w:r w:rsidR="00BB3D3A" w:rsidRPr="00BB3D3A">
        <w:rPr>
          <w:rFonts w:ascii="Times New Roman" w:hAnsi="Times New Roman" w:cs="Times New Roman"/>
          <w:kern w:val="0"/>
          <w:sz w:val="24"/>
          <w:szCs w:val="24"/>
        </w:rPr>
        <w:t xml:space="preserve">corporate </w:t>
      </w:r>
      <w:r w:rsidR="003451A3" w:rsidRPr="00BB3D3A">
        <w:rPr>
          <w:rFonts w:ascii="Times New Roman" w:hAnsi="Times New Roman" w:cs="Times New Roman"/>
          <w:kern w:val="0"/>
          <w:sz w:val="24"/>
          <w:szCs w:val="24"/>
        </w:rPr>
        <w:t xml:space="preserve">governance </w:t>
      </w:r>
      <w:r w:rsidR="00C323E7" w:rsidRPr="00BB3D3A">
        <w:rPr>
          <w:rFonts w:ascii="Times New Roman" w:hAnsi="Times New Roman" w:cs="Times New Roman"/>
          <w:kern w:val="0"/>
          <w:sz w:val="24"/>
          <w:szCs w:val="24"/>
        </w:rPr>
        <w:t>were</w:t>
      </w:r>
      <w:r w:rsidR="001875C9">
        <w:rPr>
          <w:rFonts w:ascii="Times New Roman" w:hAnsi="Times New Roman" w:cs="Times New Roman"/>
          <w:kern w:val="0"/>
          <w:sz w:val="24"/>
          <w:szCs w:val="24"/>
        </w:rPr>
        <w:t>:</w:t>
      </w:r>
      <w:r w:rsidR="003451A3" w:rsidRPr="00BB3D3A">
        <w:rPr>
          <w:rFonts w:ascii="Times New Roman" w:hAnsi="Times New Roman" w:cs="Times New Roman"/>
          <w:kern w:val="0"/>
          <w:sz w:val="24"/>
          <w:szCs w:val="24"/>
        </w:rPr>
        <w:t xml:space="preserve"> (a) lack of clear roles, </w:t>
      </w:r>
      <w:proofErr w:type="gramStart"/>
      <w:r w:rsidR="00BB3D3A" w:rsidRPr="00BB3D3A">
        <w:rPr>
          <w:rFonts w:ascii="Times New Roman" w:hAnsi="Times New Roman" w:cs="Times New Roman"/>
          <w:kern w:val="0"/>
          <w:sz w:val="24"/>
          <w:szCs w:val="24"/>
        </w:rPr>
        <w:t>responsibilities</w:t>
      </w:r>
      <w:proofErr w:type="gramEnd"/>
      <w:r w:rsidR="003451A3" w:rsidRPr="00BB3D3A">
        <w:rPr>
          <w:rFonts w:ascii="Times New Roman" w:hAnsi="Times New Roman" w:cs="Times New Roman"/>
          <w:kern w:val="0"/>
          <w:sz w:val="24"/>
          <w:szCs w:val="24"/>
        </w:rPr>
        <w:t xml:space="preserve"> and oversight, (b) </w:t>
      </w:r>
      <w:r w:rsidR="00CE6F80" w:rsidRPr="00BB3D3A">
        <w:rPr>
          <w:rFonts w:ascii="Times New Roman" w:hAnsi="Times New Roman" w:cs="Times New Roman"/>
          <w:kern w:val="0"/>
          <w:sz w:val="24"/>
          <w:szCs w:val="24"/>
        </w:rPr>
        <w:t>inaccurate financial records, (</w:t>
      </w:r>
      <w:r w:rsidR="005D5440" w:rsidRPr="00BB3D3A">
        <w:rPr>
          <w:rFonts w:ascii="Times New Roman" w:hAnsi="Times New Roman" w:cs="Times New Roman"/>
          <w:kern w:val="0"/>
          <w:sz w:val="24"/>
          <w:szCs w:val="24"/>
        </w:rPr>
        <w:t>c</w:t>
      </w:r>
      <w:r w:rsidR="00CE6F80" w:rsidRPr="00BB3D3A">
        <w:rPr>
          <w:rFonts w:ascii="Times New Roman" w:hAnsi="Times New Roman" w:cs="Times New Roman"/>
          <w:kern w:val="0"/>
          <w:sz w:val="24"/>
          <w:szCs w:val="24"/>
        </w:rPr>
        <w:t xml:space="preserve">) ultimate </w:t>
      </w:r>
      <w:r w:rsidR="00577C73" w:rsidRPr="00BB3D3A">
        <w:rPr>
          <w:rFonts w:ascii="Times New Roman" w:hAnsi="Times New Roman" w:cs="Times New Roman"/>
          <w:kern w:val="0"/>
          <w:sz w:val="24"/>
          <w:szCs w:val="24"/>
        </w:rPr>
        <w:t xml:space="preserve">sole management and </w:t>
      </w:r>
      <w:r w:rsidR="00CE6F80" w:rsidRPr="00BB3D3A">
        <w:rPr>
          <w:rFonts w:ascii="Times New Roman" w:hAnsi="Times New Roman" w:cs="Times New Roman"/>
          <w:kern w:val="0"/>
          <w:sz w:val="24"/>
          <w:szCs w:val="24"/>
        </w:rPr>
        <w:t>control, (</w:t>
      </w:r>
      <w:r w:rsidR="005D5440" w:rsidRPr="00BB3D3A">
        <w:rPr>
          <w:rFonts w:ascii="Times New Roman" w:hAnsi="Times New Roman" w:cs="Times New Roman"/>
          <w:kern w:val="0"/>
          <w:sz w:val="24"/>
          <w:szCs w:val="24"/>
        </w:rPr>
        <w:t>d</w:t>
      </w:r>
      <w:r w:rsidR="00CE6F80" w:rsidRPr="00BB3D3A">
        <w:rPr>
          <w:rFonts w:ascii="Times New Roman" w:hAnsi="Times New Roman" w:cs="Times New Roman"/>
          <w:kern w:val="0"/>
          <w:sz w:val="24"/>
          <w:szCs w:val="24"/>
        </w:rPr>
        <w:t xml:space="preserve">) </w:t>
      </w:r>
      <w:r w:rsidR="005D5440" w:rsidRPr="00BB3D3A">
        <w:rPr>
          <w:rFonts w:ascii="Times New Roman" w:hAnsi="Times New Roman" w:cs="Times New Roman"/>
          <w:kern w:val="0"/>
          <w:sz w:val="24"/>
          <w:szCs w:val="24"/>
        </w:rPr>
        <w:t xml:space="preserve">lack of DOA architecture, (e) </w:t>
      </w:r>
      <w:r w:rsidR="00BB3D3A" w:rsidRPr="00BB3D3A">
        <w:rPr>
          <w:rFonts w:ascii="Times New Roman" w:hAnsi="Times New Roman" w:cs="Times New Roman"/>
          <w:kern w:val="0"/>
          <w:sz w:val="24"/>
          <w:szCs w:val="24"/>
        </w:rPr>
        <w:t xml:space="preserve">ability to hide </w:t>
      </w:r>
      <w:r w:rsidR="005D5440" w:rsidRPr="00BB3D3A">
        <w:rPr>
          <w:rFonts w:ascii="Times New Roman" w:hAnsi="Times New Roman" w:cs="Times New Roman"/>
          <w:kern w:val="0"/>
          <w:sz w:val="24"/>
          <w:szCs w:val="24"/>
        </w:rPr>
        <w:t>elicit third-party transactions and</w:t>
      </w:r>
      <w:r w:rsidR="00BB3D3A" w:rsidRPr="00BB3D3A">
        <w:rPr>
          <w:rFonts w:ascii="Times New Roman" w:hAnsi="Times New Roman" w:cs="Times New Roman"/>
          <w:kern w:val="0"/>
          <w:sz w:val="24"/>
          <w:szCs w:val="24"/>
        </w:rPr>
        <w:t xml:space="preserve"> </w:t>
      </w:r>
      <w:r w:rsidR="005D5440" w:rsidRPr="00BB3D3A">
        <w:rPr>
          <w:rFonts w:ascii="Times New Roman" w:hAnsi="Times New Roman" w:cs="Times New Roman"/>
          <w:kern w:val="0"/>
          <w:sz w:val="24"/>
          <w:szCs w:val="24"/>
        </w:rPr>
        <w:t>misappropriation of investor capital, (f) poor jurisdictional financial regulation</w:t>
      </w:r>
      <w:r w:rsidR="00BB3D3A" w:rsidRPr="00BB3D3A">
        <w:rPr>
          <w:rFonts w:ascii="Times New Roman" w:hAnsi="Times New Roman" w:cs="Times New Roman"/>
          <w:kern w:val="0"/>
          <w:sz w:val="24"/>
          <w:szCs w:val="24"/>
        </w:rPr>
        <w:t xml:space="preserve"> and oversight</w:t>
      </w:r>
      <w:r w:rsidR="00737433">
        <w:rPr>
          <w:rFonts w:ascii="Times New Roman" w:hAnsi="Times New Roman" w:cs="Times New Roman"/>
          <w:kern w:val="0"/>
          <w:sz w:val="24"/>
          <w:szCs w:val="24"/>
        </w:rPr>
        <w:t xml:space="preserve"> (g) lack of risk management frameworks</w:t>
      </w:r>
      <w:r w:rsidR="00BB3D3A" w:rsidRPr="00BB3D3A">
        <w:rPr>
          <w:rFonts w:ascii="Times New Roman" w:hAnsi="Times New Roman" w:cs="Times New Roman"/>
          <w:kern w:val="0"/>
          <w:sz w:val="24"/>
          <w:szCs w:val="24"/>
        </w:rPr>
        <w:t xml:space="preserve">. </w:t>
      </w:r>
    </w:p>
    <w:p w14:paraId="3DE7F542" w14:textId="4AC619FF" w:rsidR="00C323E7" w:rsidRPr="00C401B6" w:rsidRDefault="00BB3D3A" w:rsidP="00EC5E0B">
      <w:pPr>
        <w:spacing w:after="0" w:line="480" w:lineRule="auto"/>
        <w:ind w:firstLine="720"/>
        <w:rPr>
          <w:rFonts w:ascii="Times New Roman" w:hAnsi="Times New Roman" w:cs="Times New Roman"/>
          <w:kern w:val="0"/>
          <w:sz w:val="24"/>
          <w:szCs w:val="24"/>
        </w:rPr>
      </w:pPr>
      <w:r w:rsidRPr="00C401B6">
        <w:rPr>
          <w:rFonts w:ascii="Times New Roman" w:hAnsi="Times New Roman" w:cs="Times New Roman"/>
          <w:kern w:val="0"/>
          <w:sz w:val="24"/>
          <w:szCs w:val="24"/>
        </w:rPr>
        <w:t>The conclusions and recommendations from these themes could provide possible solutions</w:t>
      </w:r>
      <w:r w:rsidR="00C323E7" w:rsidRPr="00C401B6">
        <w:rPr>
          <w:rFonts w:ascii="Times New Roman" w:hAnsi="Times New Roman" w:cs="Times New Roman"/>
          <w:kern w:val="0"/>
          <w:sz w:val="24"/>
          <w:szCs w:val="24"/>
        </w:rPr>
        <w:t xml:space="preserve"> to</w:t>
      </w:r>
      <w:r w:rsidRPr="00C401B6">
        <w:rPr>
          <w:rFonts w:ascii="Times New Roman" w:hAnsi="Times New Roman" w:cs="Times New Roman"/>
          <w:kern w:val="0"/>
          <w:sz w:val="24"/>
          <w:szCs w:val="24"/>
        </w:rPr>
        <w:t xml:space="preserve"> mitigate these risks</w:t>
      </w:r>
      <w:r w:rsidR="00C323E7" w:rsidRPr="00C401B6">
        <w:rPr>
          <w:rFonts w:ascii="Times New Roman" w:hAnsi="Times New Roman" w:cs="Times New Roman"/>
          <w:kern w:val="0"/>
          <w:sz w:val="24"/>
          <w:szCs w:val="24"/>
        </w:rPr>
        <w:t xml:space="preserve"> to other firms, particularly those with a </w:t>
      </w:r>
      <w:r w:rsidR="001875C9" w:rsidRPr="00C401B6">
        <w:rPr>
          <w:rFonts w:ascii="Times New Roman" w:hAnsi="Times New Roman" w:cs="Times New Roman"/>
          <w:kern w:val="0"/>
          <w:sz w:val="24"/>
          <w:szCs w:val="24"/>
        </w:rPr>
        <w:t>multi-jurisdictional and decentralised operating model</w:t>
      </w:r>
      <w:r w:rsidR="00C323E7" w:rsidRPr="00C401B6">
        <w:rPr>
          <w:rFonts w:ascii="Times New Roman" w:hAnsi="Times New Roman" w:cs="Times New Roman"/>
          <w:kern w:val="0"/>
          <w:sz w:val="24"/>
          <w:szCs w:val="24"/>
        </w:rPr>
        <w:t xml:space="preserve">. </w:t>
      </w:r>
      <w:r w:rsidR="001875C9">
        <w:rPr>
          <w:rFonts w:ascii="Times New Roman" w:hAnsi="Times New Roman" w:cs="Times New Roman"/>
          <w:kern w:val="0"/>
          <w:sz w:val="24"/>
          <w:szCs w:val="24"/>
        </w:rPr>
        <w:t>Those charged with corporate governance</w:t>
      </w:r>
      <w:r w:rsidR="00C323E7" w:rsidRPr="00C401B6">
        <w:rPr>
          <w:rFonts w:ascii="Times New Roman" w:hAnsi="Times New Roman" w:cs="Times New Roman"/>
          <w:kern w:val="0"/>
          <w:sz w:val="24"/>
          <w:szCs w:val="24"/>
        </w:rPr>
        <w:t xml:space="preserve"> </w:t>
      </w:r>
      <w:r w:rsidR="00C401B6" w:rsidRPr="00C401B6">
        <w:rPr>
          <w:rFonts w:ascii="Times New Roman" w:hAnsi="Times New Roman" w:cs="Times New Roman"/>
          <w:kern w:val="0"/>
          <w:sz w:val="24"/>
          <w:szCs w:val="24"/>
        </w:rPr>
        <w:t>c</w:t>
      </w:r>
      <w:r w:rsidR="001875C9">
        <w:rPr>
          <w:rFonts w:ascii="Times New Roman" w:hAnsi="Times New Roman" w:cs="Times New Roman"/>
          <w:kern w:val="0"/>
          <w:sz w:val="24"/>
          <w:szCs w:val="24"/>
        </w:rPr>
        <w:t>ould</w:t>
      </w:r>
      <w:r w:rsidR="00C401B6" w:rsidRPr="00C401B6">
        <w:rPr>
          <w:rFonts w:ascii="Times New Roman" w:hAnsi="Times New Roman" w:cs="Times New Roman"/>
          <w:kern w:val="0"/>
          <w:sz w:val="24"/>
          <w:szCs w:val="24"/>
        </w:rPr>
        <w:t xml:space="preserve"> </w:t>
      </w:r>
      <w:r w:rsidR="001875C9">
        <w:rPr>
          <w:rFonts w:ascii="Times New Roman" w:hAnsi="Times New Roman" w:cs="Times New Roman"/>
          <w:kern w:val="0"/>
          <w:sz w:val="24"/>
          <w:szCs w:val="24"/>
        </w:rPr>
        <w:t xml:space="preserve">choose to </w:t>
      </w:r>
      <w:r w:rsidR="00C401B6" w:rsidRPr="00C401B6">
        <w:rPr>
          <w:rFonts w:ascii="Times New Roman" w:hAnsi="Times New Roman" w:cs="Times New Roman"/>
          <w:kern w:val="0"/>
          <w:sz w:val="24"/>
          <w:szCs w:val="24"/>
        </w:rPr>
        <w:lastRenderedPageBreak/>
        <w:t>implement</w:t>
      </w:r>
      <w:r w:rsidR="001875C9">
        <w:rPr>
          <w:rFonts w:ascii="Times New Roman" w:hAnsi="Times New Roman" w:cs="Times New Roman"/>
          <w:kern w:val="0"/>
          <w:sz w:val="24"/>
          <w:szCs w:val="24"/>
        </w:rPr>
        <w:t>:</w:t>
      </w:r>
      <w:r w:rsidR="00C401B6" w:rsidRPr="00C401B6">
        <w:rPr>
          <w:rFonts w:ascii="Times New Roman" w:hAnsi="Times New Roman" w:cs="Times New Roman"/>
          <w:kern w:val="0"/>
          <w:sz w:val="24"/>
          <w:szCs w:val="24"/>
        </w:rPr>
        <w:t xml:space="preserve"> (a) </w:t>
      </w:r>
      <w:r w:rsidR="001875C9">
        <w:rPr>
          <w:rFonts w:ascii="Times New Roman" w:hAnsi="Times New Roman" w:cs="Times New Roman"/>
          <w:kern w:val="0"/>
          <w:sz w:val="24"/>
          <w:szCs w:val="24"/>
        </w:rPr>
        <w:t xml:space="preserve">the </w:t>
      </w:r>
      <w:r w:rsidR="00EC5E0B">
        <w:rPr>
          <w:rFonts w:ascii="Times New Roman" w:hAnsi="Times New Roman" w:cs="Times New Roman"/>
          <w:kern w:val="0"/>
          <w:sz w:val="24"/>
          <w:szCs w:val="24"/>
        </w:rPr>
        <w:t>adopt</w:t>
      </w:r>
      <w:r w:rsidR="001875C9">
        <w:rPr>
          <w:rFonts w:ascii="Times New Roman" w:hAnsi="Times New Roman" w:cs="Times New Roman"/>
          <w:kern w:val="0"/>
          <w:sz w:val="24"/>
          <w:szCs w:val="24"/>
        </w:rPr>
        <w:t>ion</w:t>
      </w:r>
      <w:r w:rsidR="00C401B6">
        <w:rPr>
          <w:rFonts w:ascii="Times New Roman" w:hAnsi="Times New Roman" w:cs="Times New Roman"/>
          <w:kern w:val="0"/>
          <w:sz w:val="24"/>
          <w:szCs w:val="24"/>
        </w:rPr>
        <w:t xml:space="preserve"> </w:t>
      </w:r>
      <w:r w:rsidR="001875C9">
        <w:rPr>
          <w:rFonts w:ascii="Times New Roman" w:hAnsi="Times New Roman" w:cs="Times New Roman"/>
          <w:kern w:val="0"/>
          <w:sz w:val="24"/>
          <w:szCs w:val="24"/>
        </w:rPr>
        <w:t xml:space="preserve">of </w:t>
      </w:r>
      <w:r w:rsidR="00C401B6" w:rsidRPr="00C401B6">
        <w:rPr>
          <w:rFonts w:ascii="Times New Roman" w:hAnsi="Times New Roman" w:cs="Times New Roman"/>
          <w:kern w:val="0"/>
          <w:sz w:val="24"/>
          <w:szCs w:val="24"/>
        </w:rPr>
        <w:t xml:space="preserve">DAO infrastructure, (b) </w:t>
      </w:r>
      <w:r w:rsidR="00EC5E0B">
        <w:rPr>
          <w:rFonts w:ascii="Times New Roman" w:hAnsi="Times New Roman" w:cs="Times New Roman"/>
          <w:kern w:val="0"/>
          <w:sz w:val="24"/>
          <w:szCs w:val="24"/>
        </w:rPr>
        <w:t xml:space="preserve">effective </w:t>
      </w:r>
      <w:r w:rsidR="00C401B6" w:rsidRPr="00C401B6">
        <w:rPr>
          <w:rFonts w:ascii="Times New Roman" w:hAnsi="Times New Roman" w:cs="Times New Roman"/>
          <w:kern w:val="0"/>
          <w:sz w:val="24"/>
          <w:szCs w:val="24"/>
        </w:rPr>
        <w:t xml:space="preserve">controls around segregation of duties, </w:t>
      </w:r>
      <w:proofErr w:type="gramStart"/>
      <w:r w:rsidR="00C401B6" w:rsidRPr="00C401B6">
        <w:rPr>
          <w:rFonts w:ascii="Times New Roman" w:hAnsi="Times New Roman" w:cs="Times New Roman"/>
          <w:kern w:val="0"/>
          <w:sz w:val="24"/>
          <w:szCs w:val="24"/>
        </w:rPr>
        <w:t>security</w:t>
      </w:r>
      <w:proofErr w:type="gramEnd"/>
      <w:r w:rsidR="00C401B6" w:rsidRPr="00C401B6">
        <w:rPr>
          <w:rFonts w:ascii="Times New Roman" w:hAnsi="Times New Roman" w:cs="Times New Roman"/>
          <w:kern w:val="0"/>
          <w:sz w:val="24"/>
          <w:szCs w:val="24"/>
        </w:rPr>
        <w:t xml:space="preserve"> and disbursement, (c) independent board </w:t>
      </w:r>
      <w:r w:rsidR="00C401B6">
        <w:rPr>
          <w:rFonts w:ascii="Times New Roman" w:hAnsi="Times New Roman" w:cs="Times New Roman"/>
          <w:kern w:val="0"/>
          <w:sz w:val="24"/>
          <w:szCs w:val="24"/>
        </w:rPr>
        <w:t>oversight</w:t>
      </w:r>
      <w:r w:rsidR="00C401B6" w:rsidRPr="00C401B6">
        <w:rPr>
          <w:rFonts w:ascii="Times New Roman" w:hAnsi="Times New Roman" w:cs="Times New Roman"/>
          <w:kern w:val="0"/>
          <w:sz w:val="24"/>
          <w:szCs w:val="24"/>
        </w:rPr>
        <w:t>, (d) transparency regarding related party transactions,</w:t>
      </w:r>
      <w:r w:rsidR="00EC5E0B">
        <w:rPr>
          <w:rFonts w:ascii="Times New Roman" w:hAnsi="Times New Roman" w:cs="Times New Roman"/>
          <w:kern w:val="0"/>
          <w:sz w:val="24"/>
          <w:szCs w:val="24"/>
        </w:rPr>
        <w:t xml:space="preserve"> use of investor funds,</w:t>
      </w:r>
      <w:r w:rsidR="00C401B6" w:rsidRPr="00C401B6">
        <w:rPr>
          <w:rFonts w:ascii="Times New Roman" w:hAnsi="Times New Roman" w:cs="Times New Roman"/>
          <w:kern w:val="0"/>
          <w:sz w:val="24"/>
          <w:szCs w:val="24"/>
        </w:rPr>
        <w:t xml:space="preserve"> </w:t>
      </w:r>
      <w:r w:rsidR="00C401B6">
        <w:rPr>
          <w:rFonts w:ascii="Times New Roman" w:hAnsi="Times New Roman" w:cs="Times New Roman"/>
          <w:kern w:val="0"/>
          <w:sz w:val="24"/>
          <w:szCs w:val="24"/>
        </w:rPr>
        <w:t xml:space="preserve">proof of </w:t>
      </w:r>
      <w:r w:rsidR="00C401B6" w:rsidRPr="00C401B6">
        <w:rPr>
          <w:rFonts w:ascii="Times New Roman" w:hAnsi="Times New Roman" w:cs="Times New Roman"/>
          <w:kern w:val="0"/>
          <w:sz w:val="24"/>
          <w:szCs w:val="24"/>
        </w:rPr>
        <w:t xml:space="preserve">assets and reserves, </w:t>
      </w:r>
      <w:r w:rsidR="00EC5E0B">
        <w:rPr>
          <w:rFonts w:ascii="Times New Roman" w:hAnsi="Times New Roman" w:cs="Times New Roman"/>
          <w:kern w:val="0"/>
          <w:sz w:val="24"/>
          <w:szCs w:val="24"/>
        </w:rPr>
        <w:t>(f) adequate financial accounting and reporting.</w:t>
      </w:r>
      <w:r w:rsidR="00737433">
        <w:rPr>
          <w:rFonts w:ascii="Times New Roman" w:hAnsi="Times New Roman" w:cs="Times New Roman"/>
          <w:kern w:val="0"/>
          <w:sz w:val="24"/>
          <w:szCs w:val="24"/>
        </w:rPr>
        <w:t xml:space="preserve"> (g) implementation of risk management frameworks.</w:t>
      </w:r>
      <w:r w:rsidR="00EC5E0B">
        <w:rPr>
          <w:rFonts w:ascii="Times New Roman" w:hAnsi="Times New Roman" w:cs="Times New Roman"/>
          <w:kern w:val="0"/>
          <w:sz w:val="24"/>
          <w:szCs w:val="24"/>
        </w:rPr>
        <w:t xml:space="preserve"> Adoption of corporate governance practices such as those </w:t>
      </w:r>
      <w:r w:rsidR="00D50330">
        <w:rPr>
          <w:rFonts w:ascii="Times New Roman" w:hAnsi="Times New Roman" w:cs="Times New Roman"/>
          <w:kern w:val="0"/>
          <w:sz w:val="24"/>
          <w:szCs w:val="24"/>
        </w:rPr>
        <w:t>listed</w:t>
      </w:r>
      <w:r w:rsidR="00EC5E0B">
        <w:rPr>
          <w:rFonts w:ascii="Times New Roman" w:hAnsi="Times New Roman" w:cs="Times New Roman"/>
          <w:kern w:val="0"/>
          <w:sz w:val="24"/>
          <w:szCs w:val="24"/>
        </w:rPr>
        <w:t xml:space="preserve"> above is likely to substantially protect a firm from </w:t>
      </w:r>
      <w:r w:rsidR="00D50330">
        <w:rPr>
          <w:rFonts w:ascii="Times New Roman" w:hAnsi="Times New Roman" w:cs="Times New Roman"/>
          <w:kern w:val="0"/>
          <w:sz w:val="24"/>
          <w:szCs w:val="24"/>
        </w:rPr>
        <w:t xml:space="preserve">malicious and fraudulent actions and </w:t>
      </w:r>
      <w:r w:rsidR="009A3E23">
        <w:rPr>
          <w:rFonts w:ascii="Times New Roman" w:hAnsi="Times New Roman" w:cs="Times New Roman"/>
          <w:kern w:val="0"/>
          <w:sz w:val="24"/>
          <w:szCs w:val="24"/>
        </w:rPr>
        <w:t>aid</w:t>
      </w:r>
      <w:r w:rsidR="001B7AE6">
        <w:rPr>
          <w:rFonts w:ascii="Times New Roman" w:hAnsi="Times New Roman" w:cs="Times New Roman"/>
          <w:kern w:val="0"/>
          <w:sz w:val="24"/>
          <w:szCs w:val="24"/>
        </w:rPr>
        <w:t xml:space="preserve"> business</w:t>
      </w:r>
      <w:r w:rsidR="00D50330">
        <w:rPr>
          <w:rFonts w:ascii="Times New Roman" w:hAnsi="Times New Roman" w:cs="Times New Roman"/>
          <w:kern w:val="0"/>
          <w:sz w:val="24"/>
          <w:szCs w:val="24"/>
        </w:rPr>
        <w:t xml:space="preserve"> continuity. </w:t>
      </w:r>
    </w:p>
    <w:p w14:paraId="0DEC7D9D" w14:textId="77777777" w:rsidR="00CE6F80" w:rsidRDefault="00CE6F80" w:rsidP="00976DD4">
      <w:pPr>
        <w:spacing w:after="0" w:line="480" w:lineRule="auto"/>
        <w:ind w:firstLine="720"/>
        <w:rPr>
          <w:rFonts w:ascii="Times New Roman" w:hAnsi="Times New Roman" w:cs="Times New Roman"/>
          <w:kern w:val="0"/>
          <w:sz w:val="24"/>
          <w:szCs w:val="24"/>
          <w:highlight w:val="yellow"/>
        </w:rPr>
      </w:pPr>
    </w:p>
    <w:p w14:paraId="66687A8E" w14:textId="3E2883D1" w:rsidR="00976DD4" w:rsidRDefault="00976DD4" w:rsidP="00EA29E6">
      <w:pPr>
        <w:spacing w:after="0" w:line="480" w:lineRule="auto"/>
        <w:rPr>
          <w:rFonts w:ascii="Times New Roman" w:hAnsi="Times New Roman" w:cs="Times New Roman"/>
          <w:kern w:val="0"/>
          <w:sz w:val="24"/>
          <w:szCs w:val="24"/>
          <w:highlight w:val="yellow"/>
        </w:rPr>
      </w:pPr>
    </w:p>
    <w:p w14:paraId="049BE1FB" w14:textId="77777777" w:rsidR="003B749E" w:rsidRDefault="003B749E" w:rsidP="00F808B3">
      <w:pPr>
        <w:spacing w:after="0" w:line="480" w:lineRule="auto"/>
        <w:ind w:firstLine="720"/>
        <w:rPr>
          <w:rFonts w:ascii="Times New Roman" w:hAnsi="Times New Roman" w:cs="Times New Roman"/>
          <w:kern w:val="0"/>
          <w:sz w:val="24"/>
          <w:szCs w:val="24"/>
          <w:highlight w:val="yellow"/>
        </w:rPr>
      </w:pPr>
    </w:p>
    <w:p w14:paraId="28D586BB" w14:textId="77777777" w:rsidR="00CE6F80" w:rsidRDefault="00CE6F80" w:rsidP="00F808B3">
      <w:pPr>
        <w:spacing w:after="0" w:line="480" w:lineRule="auto"/>
        <w:ind w:firstLine="720"/>
        <w:rPr>
          <w:rFonts w:ascii="Times New Roman" w:hAnsi="Times New Roman" w:cs="Times New Roman"/>
          <w:kern w:val="0"/>
          <w:sz w:val="24"/>
          <w:szCs w:val="24"/>
          <w:highlight w:val="yellow"/>
        </w:rPr>
      </w:pPr>
    </w:p>
    <w:p w14:paraId="32D50E9A" w14:textId="77777777" w:rsidR="00CE6F80" w:rsidRDefault="00CE6F80" w:rsidP="00F808B3">
      <w:pPr>
        <w:spacing w:after="0" w:line="480" w:lineRule="auto"/>
        <w:ind w:firstLine="720"/>
        <w:rPr>
          <w:rFonts w:ascii="Times New Roman" w:hAnsi="Times New Roman" w:cs="Times New Roman"/>
          <w:kern w:val="0"/>
          <w:sz w:val="24"/>
          <w:szCs w:val="24"/>
          <w:highlight w:val="yellow"/>
        </w:rPr>
      </w:pPr>
    </w:p>
    <w:p w14:paraId="7D57668F" w14:textId="77777777" w:rsidR="0096300C" w:rsidRDefault="0096300C" w:rsidP="00F808B3">
      <w:pPr>
        <w:spacing w:after="0" w:line="480" w:lineRule="auto"/>
        <w:ind w:firstLine="720"/>
        <w:rPr>
          <w:rFonts w:ascii="Times New Roman" w:hAnsi="Times New Roman" w:cs="Times New Roman"/>
          <w:kern w:val="0"/>
          <w:sz w:val="24"/>
          <w:szCs w:val="24"/>
          <w:highlight w:val="yellow"/>
        </w:rPr>
      </w:pPr>
    </w:p>
    <w:p w14:paraId="01B5904D" w14:textId="77777777" w:rsidR="00F808B3" w:rsidRPr="007271B6" w:rsidRDefault="00F808B3" w:rsidP="00F808B3">
      <w:pPr>
        <w:spacing w:after="0" w:line="480" w:lineRule="auto"/>
        <w:rPr>
          <w:kern w:val="0"/>
        </w:rPr>
      </w:pPr>
    </w:p>
    <w:p w14:paraId="648B045E" w14:textId="77777777" w:rsidR="00F808B3" w:rsidRPr="007271B6" w:rsidRDefault="00F808B3" w:rsidP="00F808B3">
      <w:pPr>
        <w:spacing w:after="0" w:line="480" w:lineRule="auto"/>
        <w:ind w:firstLine="720"/>
        <w:rPr>
          <w:rFonts w:ascii="Times New Roman" w:eastAsia="Calibri" w:hAnsi="Times New Roman" w:cs="Times New Roman"/>
          <w:color w:val="222222"/>
          <w:kern w:val="0"/>
          <w:sz w:val="24"/>
          <w:szCs w:val="24"/>
          <w14:ligatures w14:val="none"/>
        </w:rPr>
      </w:pPr>
    </w:p>
    <w:p w14:paraId="0D7F53AA" w14:textId="77777777" w:rsidR="00367085" w:rsidRPr="007271B6" w:rsidRDefault="00F808B3" w:rsidP="00F808B3">
      <w:pPr>
        <w:jc w:val="center"/>
        <w:rPr>
          <w:rFonts w:ascii="Times New Roman" w:eastAsia="Calibri" w:hAnsi="Times New Roman" w:cs="Times New Roman"/>
          <w:color w:val="222222"/>
          <w:kern w:val="0"/>
          <w:sz w:val="24"/>
          <w:szCs w:val="24"/>
          <w14:ligatures w14:val="none"/>
        </w:rPr>
      </w:pPr>
      <w:r w:rsidRPr="007271B6">
        <w:rPr>
          <w:rFonts w:ascii="Times New Roman" w:eastAsia="Calibri" w:hAnsi="Times New Roman" w:cs="Times New Roman"/>
          <w:color w:val="222222"/>
          <w:kern w:val="0"/>
          <w:sz w:val="24"/>
          <w:szCs w:val="24"/>
          <w14:ligatures w14:val="none"/>
        </w:rPr>
        <w:br w:type="page"/>
      </w:r>
    </w:p>
    <w:p w14:paraId="66039B42" w14:textId="3368283E" w:rsidR="00923840" w:rsidRPr="007271B6" w:rsidRDefault="00923840" w:rsidP="00923840">
      <w:pPr>
        <w:pStyle w:val="Heading1"/>
        <w:rPr>
          <w:lang w:val="en-GB"/>
        </w:rPr>
      </w:pPr>
      <w:bookmarkStart w:id="46" w:name="_Toc165667437"/>
      <w:r w:rsidRPr="007271B6">
        <w:rPr>
          <w:lang w:val="en-GB"/>
        </w:rPr>
        <w:lastRenderedPageBreak/>
        <w:t>References</w:t>
      </w:r>
      <w:bookmarkEnd w:id="46"/>
    </w:p>
    <w:p w14:paraId="16D19DD3" w14:textId="337793CC" w:rsidR="00AF3A75" w:rsidRPr="007271B6" w:rsidRDefault="00AF3A75" w:rsidP="001151B8">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Adegbite, E. </w:t>
      </w:r>
      <w:r w:rsidRPr="007271B6">
        <w:rPr>
          <w:rFonts w:ascii="Times New Roman" w:eastAsia="Times New Roman" w:hAnsi="Times New Roman" w:cs="Times New Roman"/>
          <w:i/>
          <w:iCs/>
          <w:kern w:val="0"/>
          <w:sz w:val="24"/>
          <w:szCs w:val="24"/>
          <w14:ligatures w14:val="none"/>
        </w:rPr>
        <w:t>et al.</w:t>
      </w:r>
      <w:r w:rsidRPr="007271B6">
        <w:rPr>
          <w:rFonts w:ascii="Times New Roman" w:eastAsia="Times New Roman" w:hAnsi="Times New Roman" w:cs="Times New Roman"/>
          <w:kern w:val="0"/>
          <w:sz w:val="24"/>
          <w:szCs w:val="24"/>
          <w14:ligatures w14:val="none"/>
        </w:rPr>
        <w:t xml:space="preserve"> (2020) 'Corporate social responsibility strategies in Nigeria: a tinged shareholder model,' </w:t>
      </w:r>
      <w:r w:rsidRPr="007271B6">
        <w:rPr>
          <w:rFonts w:ascii="Times New Roman" w:eastAsia="Times New Roman" w:hAnsi="Times New Roman" w:cs="Times New Roman"/>
          <w:i/>
          <w:iCs/>
          <w:kern w:val="0"/>
          <w:sz w:val="24"/>
          <w:szCs w:val="24"/>
          <w14:ligatures w14:val="none"/>
        </w:rPr>
        <w:t>Corporate Governance</w:t>
      </w:r>
      <w:r w:rsidRPr="007271B6">
        <w:rPr>
          <w:rFonts w:ascii="Times New Roman" w:eastAsia="Times New Roman" w:hAnsi="Times New Roman" w:cs="Times New Roman"/>
          <w:kern w:val="0"/>
          <w:sz w:val="24"/>
          <w:szCs w:val="24"/>
          <w14:ligatures w14:val="none"/>
        </w:rPr>
        <w:t xml:space="preserve">, 20(5), pp. 797–820. </w:t>
      </w:r>
      <w:hyperlink r:id="rId12" w:history="1">
        <w:r w:rsidRPr="007271B6">
          <w:rPr>
            <w:rFonts w:ascii="Times New Roman" w:eastAsia="Times New Roman" w:hAnsi="Times New Roman" w:cs="Times New Roman"/>
            <w:color w:val="0563C1" w:themeColor="hyperlink"/>
            <w:kern w:val="0"/>
            <w:sz w:val="24"/>
            <w:szCs w:val="24"/>
            <w:u w:val="single"/>
            <w14:ligatures w14:val="none"/>
          </w:rPr>
          <w:t>https://doi.org/10.1108/cg-12-2019-0389</w:t>
        </w:r>
      </w:hyperlink>
      <w:r w:rsidRPr="007271B6">
        <w:rPr>
          <w:rFonts w:ascii="Times New Roman" w:eastAsia="Times New Roman" w:hAnsi="Times New Roman" w:cs="Times New Roman"/>
          <w:kern w:val="0"/>
          <w:sz w:val="24"/>
          <w:szCs w:val="24"/>
          <w14:ligatures w14:val="none"/>
        </w:rPr>
        <w:t xml:space="preserve"> </w:t>
      </w:r>
    </w:p>
    <w:p w14:paraId="04D0913F" w14:textId="2200E157" w:rsidR="000D44E1" w:rsidRPr="007271B6" w:rsidRDefault="000D44E1" w:rsidP="000D44E1">
      <w:pPr>
        <w:shd w:val="clear" w:color="auto" w:fill="FFFFFF"/>
        <w:spacing w:after="0" w:line="480" w:lineRule="auto"/>
        <w:ind w:left="720" w:right="75" w:hanging="720"/>
        <w:contextualSpacing/>
        <w:rPr>
          <w:rFonts w:ascii="Times New Roman" w:eastAsia="Times New Roman" w:hAnsi="Times New Roman" w:cs="Times New Roman"/>
          <w:kern w:val="0"/>
          <w:sz w:val="24"/>
          <w:szCs w:val="24"/>
          <w:u w:val="single"/>
          <w14:ligatures w14:val="none"/>
        </w:rPr>
      </w:pPr>
      <w:proofErr w:type="spellStart"/>
      <w:r w:rsidRPr="007271B6">
        <w:rPr>
          <w:rFonts w:ascii="Times New Roman" w:eastAsia="Times New Roman" w:hAnsi="Times New Roman" w:cs="Times New Roman"/>
          <w:kern w:val="0"/>
          <w:sz w:val="24"/>
          <w:szCs w:val="24"/>
          <w14:ligatures w14:val="none"/>
        </w:rPr>
        <w:t>Akyildirim</w:t>
      </w:r>
      <w:proofErr w:type="spellEnd"/>
      <w:r w:rsidRPr="007271B6">
        <w:rPr>
          <w:rFonts w:ascii="Times New Roman" w:eastAsia="Times New Roman" w:hAnsi="Times New Roman" w:cs="Times New Roman"/>
          <w:kern w:val="0"/>
          <w:sz w:val="24"/>
          <w:szCs w:val="24"/>
          <w14:ligatures w14:val="none"/>
        </w:rPr>
        <w:t>, E., Conlon, T., Corbet, S., &amp; Goodell, J. W., 2023. Understanding the FTX exchange collapse: A dynamic connectedness approach. </w:t>
      </w:r>
      <w:r w:rsidRPr="007271B6">
        <w:rPr>
          <w:rFonts w:ascii="Times New Roman" w:eastAsia="Times New Roman" w:hAnsi="Times New Roman" w:cs="Times New Roman"/>
          <w:i/>
          <w:iCs/>
          <w:kern w:val="0"/>
          <w:sz w:val="24"/>
          <w:szCs w:val="24"/>
          <w14:ligatures w14:val="none"/>
        </w:rPr>
        <w:t>SSRN Electronic Journal</w:t>
      </w:r>
      <w:r w:rsidRPr="007271B6">
        <w:rPr>
          <w:rFonts w:ascii="Times New Roman" w:eastAsia="Times New Roman" w:hAnsi="Times New Roman" w:cs="Times New Roman"/>
          <w:kern w:val="0"/>
          <w:sz w:val="24"/>
          <w:szCs w:val="24"/>
          <w14:ligatures w14:val="none"/>
        </w:rPr>
        <w:t>. </w:t>
      </w:r>
      <w:hyperlink r:id="rId13" w:history="1">
        <w:r w:rsidRPr="007271B6">
          <w:rPr>
            <w:rFonts w:ascii="Times New Roman" w:eastAsia="Times New Roman" w:hAnsi="Times New Roman" w:cs="Times New Roman"/>
            <w:color w:val="0563C1" w:themeColor="hyperlink"/>
            <w:kern w:val="0"/>
            <w:sz w:val="24"/>
            <w:szCs w:val="24"/>
            <w:u w:val="single"/>
            <w14:ligatures w14:val="none"/>
          </w:rPr>
          <w:t>https://doi.org/10.2139/ssrn.4318880</w:t>
        </w:r>
      </w:hyperlink>
    </w:p>
    <w:p w14:paraId="308AE2BE" w14:textId="77777777" w:rsidR="004656B2" w:rsidRPr="007271B6" w:rsidRDefault="004656B2" w:rsidP="004656B2">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Alekseenko, A.P. (2023) 'Model Framework for Consumer Protection and Crypto-Exchanges Regulation,' </w:t>
      </w:r>
      <w:r w:rsidRPr="007271B6">
        <w:rPr>
          <w:rFonts w:ascii="Times New Roman" w:eastAsia="Times New Roman" w:hAnsi="Times New Roman" w:cs="Times New Roman"/>
          <w:i/>
          <w:iCs/>
          <w:kern w:val="0"/>
          <w:sz w:val="24"/>
          <w:szCs w:val="24"/>
          <w14:ligatures w14:val="none"/>
        </w:rPr>
        <w:t>Journal of Risk and Financial Management</w:t>
      </w:r>
      <w:r w:rsidRPr="007271B6">
        <w:rPr>
          <w:rFonts w:ascii="Times New Roman" w:eastAsia="Times New Roman" w:hAnsi="Times New Roman" w:cs="Times New Roman"/>
          <w:kern w:val="0"/>
          <w:sz w:val="24"/>
          <w:szCs w:val="24"/>
          <w14:ligatures w14:val="none"/>
        </w:rPr>
        <w:t xml:space="preserve">, 16(7), p. 305. </w:t>
      </w:r>
      <w:hyperlink r:id="rId14" w:history="1">
        <w:r w:rsidRPr="007271B6">
          <w:rPr>
            <w:rFonts w:ascii="Times New Roman" w:eastAsia="Times New Roman" w:hAnsi="Times New Roman" w:cs="Times New Roman"/>
            <w:color w:val="0563C1" w:themeColor="hyperlink"/>
            <w:kern w:val="0"/>
            <w:sz w:val="24"/>
            <w:szCs w:val="24"/>
            <w:u w:val="single"/>
            <w14:ligatures w14:val="none"/>
          </w:rPr>
          <w:t>https://doi.org/10.3390/jrfm16070305</w:t>
        </w:r>
      </w:hyperlink>
      <w:r w:rsidRPr="007271B6">
        <w:rPr>
          <w:rFonts w:ascii="Times New Roman" w:eastAsia="Times New Roman" w:hAnsi="Times New Roman" w:cs="Times New Roman"/>
          <w:kern w:val="0"/>
          <w:sz w:val="24"/>
          <w:szCs w:val="24"/>
          <w14:ligatures w14:val="none"/>
        </w:rPr>
        <w:t xml:space="preserve"> </w:t>
      </w:r>
    </w:p>
    <w:p w14:paraId="5B29607F" w14:textId="77777777" w:rsidR="004656B2" w:rsidRPr="007271B6" w:rsidRDefault="004656B2" w:rsidP="004656B2">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Arner, D.W. </w:t>
      </w:r>
      <w:r w:rsidRPr="007271B6">
        <w:rPr>
          <w:rFonts w:ascii="Times New Roman" w:eastAsia="Times New Roman" w:hAnsi="Times New Roman" w:cs="Times New Roman"/>
          <w:i/>
          <w:iCs/>
          <w:kern w:val="0"/>
          <w:sz w:val="24"/>
          <w:szCs w:val="24"/>
          <w14:ligatures w14:val="none"/>
        </w:rPr>
        <w:t>et al.</w:t>
      </w:r>
      <w:r w:rsidRPr="007271B6">
        <w:rPr>
          <w:rFonts w:ascii="Times New Roman" w:eastAsia="Times New Roman" w:hAnsi="Times New Roman" w:cs="Times New Roman"/>
          <w:kern w:val="0"/>
          <w:sz w:val="24"/>
          <w:szCs w:val="24"/>
          <w14:ligatures w14:val="none"/>
        </w:rPr>
        <w:t xml:space="preserve"> (2023) 'The Financialization of Crypto: Lessons from FTX and the Crypto Winter of 2022-2023,' </w:t>
      </w:r>
      <w:r w:rsidRPr="007271B6">
        <w:rPr>
          <w:rFonts w:ascii="Times New Roman" w:eastAsia="Times New Roman" w:hAnsi="Times New Roman" w:cs="Times New Roman"/>
          <w:i/>
          <w:iCs/>
          <w:kern w:val="0"/>
          <w:sz w:val="24"/>
          <w:szCs w:val="24"/>
          <w14:ligatures w14:val="none"/>
        </w:rPr>
        <w:t>Social Science Research Network</w:t>
      </w:r>
      <w:r w:rsidRPr="007271B6">
        <w:rPr>
          <w:rFonts w:ascii="Times New Roman" w:eastAsia="Times New Roman" w:hAnsi="Times New Roman" w:cs="Times New Roman"/>
          <w:kern w:val="0"/>
          <w:sz w:val="24"/>
          <w:szCs w:val="24"/>
          <w14:ligatures w14:val="none"/>
        </w:rPr>
        <w:t xml:space="preserve"> [Preprint]. </w:t>
      </w:r>
      <w:hyperlink r:id="rId15" w:history="1">
        <w:r w:rsidRPr="007271B6">
          <w:rPr>
            <w:rFonts w:ascii="Times New Roman" w:eastAsia="Times New Roman" w:hAnsi="Times New Roman" w:cs="Times New Roman"/>
            <w:color w:val="0563C1" w:themeColor="hyperlink"/>
            <w:kern w:val="0"/>
            <w:sz w:val="24"/>
            <w:szCs w:val="24"/>
            <w:u w:val="single"/>
            <w14:ligatures w14:val="none"/>
          </w:rPr>
          <w:t>https://doi.org/10.2139/ssrn.4372516</w:t>
        </w:r>
      </w:hyperlink>
      <w:r w:rsidRPr="007271B6">
        <w:rPr>
          <w:rFonts w:ascii="Times New Roman" w:eastAsia="Times New Roman" w:hAnsi="Times New Roman" w:cs="Times New Roman"/>
          <w:kern w:val="0"/>
          <w:sz w:val="24"/>
          <w:szCs w:val="24"/>
          <w14:ligatures w14:val="none"/>
        </w:rPr>
        <w:t xml:space="preserve"> </w:t>
      </w:r>
    </w:p>
    <w:p w14:paraId="753AEF6E" w14:textId="4320090E" w:rsidR="004656B2" w:rsidRPr="007271B6" w:rsidRDefault="004656B2" w:rsidP="004656B2">
      <w:pPr>
        <w:spacing w:after="200" w:line="480" w:lineRule="auto"/>
        <w:ind w:left="720" w:hanging="720"/>
        <w:rPr>
          <w:rFonts w:ascii="Times New Roman" w:eastAsia="Times New Roman" w:hAnsi="Times New Roman" w:cs="Times New Roman"/>
          <w:color w:val="0563C1" w:themeColor="hyperlink"/>
          <w:kern w:val="0"/>
          <w:sz w:val="24"/>
          <w:szCs w:val="24"/>
          <w:u w:val="single"/>
          <w14:ligatures w14:val="none"/>
        </w:rPr>
      </w:pPr>
      <w:r w:rsidRPr="007271B6">
        <w:rPr>
          <w:rFonts w:ascii="Times New Roman" w:hAnsi="Times New Roman" w:cs="Times New Roman"/>
          <w:kern w:val="0"/>
          <w:sz w:val="24"/>
          <w:szCs w:val="24"/>
        </w:rPr>
        <w:t xml:space="preserve">Bloomberg Originals. (2023, October 26) RUIN: Money, Ego, and deception at FTX. YouTube. </w:t>
      </w:r>
      <w:hyperlink r:id="rId16" w:history="1">
        <w:r w:rsidR="001151B8" w:rsidRPr="007271B6">
          <w:rPr>
            <w:rStyle w:val="Hyperlink"/>
            <w:rFonts w:ascii="Times New Roman" w:eastAsia="Times New Roman" w:hAnsi="Times New Roman" w:cs="Times New Roman"/>
            <w:kern w:val="0"/>
            <w:sz w:val="24"/>
            <w:szCs w:val="24"/>
            <w14:ligatures w14:val="none"/>
          </w:rPr>
          <w:t>https://www.youtube.com/watch?v=3QpdU9LS540</w:t>
        </w:r>
      </w:hyperlink>
    </w:p>
    <w:p w14:paraId="4A7BD7DA" w14:textId="16BD8DE3" w:rsidR="001151B8" w:rsidRPr="007271B6" w:rsidRDefault="001151B8" w:rsidP="001151B8">
      <w:pPr>
        <w:spacing w:after="200" w:line="480" w:lineRule="auto"/>
        <w:ind w:left="720" w:hanging="720"/>
        <w:rPr>
          <w:rFonts w:ascii="Times New Roman" w:hAnsi="Times New Roman" w:cs="Times New Roman"/>
          <w:kern w:val="0"/>
          <w:sz w:val="24"/>
          <w:szCs w:val="24"/>
        </w:rPr>
      </w:pPr>
      <w:r w:rsidRPr="007271B6">
        <w:rPr>
          <w:rFonts w:ascii="Times New Roman" w:hAnsi="Times New Roman" w:cs="Times New Roman"/>
          <w:kern w:val="0"/>
          <w:sz w:val="24"/>
          <w:szCs w:val="24"/>
        </w:rPr>
        <w:t xml:space="preserve">CNBC. (2023, October 2) The collapse of FTX: Insiders tell all | CNBC Documentary. Available at: </w:t>
      </w:r>
      <w:r w:rsidRPr="007271B6">
        <w:rPr>
          <w:rFonts w:ascii="Times New Roman" w:eastAsia="Times New Roman" w:hAnsi="Times New Roman" w:cs="Times New Roman"/>
          <w:color w:val="0563C1" w:themeColor="hyperlink"/>
          <w:kern w:val="0"/>
          <w:sz w:val="24"/>
          <w:szCs w:val="24"/>
          <w:u w:val="single"/>
          <w14:ligatures w14:val="none"/>
        </w:rPr>
        <w:t>https://www.youtube.com/watch?v=XqwGt69pDXQ (Accessed: February 08</w:t>
      </w:r>
      <w:proofErr w:type="gramStart"/>
      <w:r w:rsidRPr="007271B6">
        <w:rPr>
          <w:rFonts w:ascii="Times New Roman" w:eastAsia="Times New Roman" w:hAnsi="Times New Roman" w:cs="Times New Roman"/>
          <w:color w:val="0563C1" w:themeColor="hyperlink"/>
          <w:kern w:val="0"/>
          <w:sz w:val="24"/>
          <w:szCs w:val="24"/>
          <w:u w:val="single"/>
          <w14:ligatures w14:val="none"/>
        </w:rPr>
        <w:t xml:space="preserve"> 2024</w:t>
      </w:r>
      <w:proofErr w:type="gramEnd"/>
      <w:r w:rsidRPr="007271B6">
        <w:rPr>
          <w:rFonts w:ascii="Times New Roman" w:eastAsia="Times New Roman" w:hAnsi="Times New Roman" w:cs="Times New Roman"/>
          <w:color w:val="0563C1" w:themeColor="hyperlink"/>
          <w:kern w:val="0"/>
          <w:sz w:val="24"/>
          <w:szCs w:val="24"/>
          <w:u w:val="single"/>
          <w14:ligatures w14:val="none"/>
        </w:rPr>
        <w:t>)</w:t>
      </w:r>
    </w:p>
    <w:p w14:paraId="70D01643" w14:textId="77777777" w:rsidR="004656B2" w:rsidRPr="007271B6" w:rsidRDefault="004656B2" w:rsidP="004656B2">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Conlon, T., Corbet, S. and Hu, Y. (2022) 'The collapse of FTX: The end of cryptocurrency's age of innocence,' </w:t>
      </w:r>
      <w:r w:rsidRPr="007271B6">
        <w:rPr>
          <w:rFonts w:ascii="Times New Roman" w:eastAsia="Times New Roman" w:hAnsi="Times New Roman" w:cs="Times New Roman"/>
          <w:i/>
          <w:iCs/>
          <w:kern w:val="0"/>
          <w:sz w:val="24"/>
          <w:szCs w:val="24"/>
          <w14:ligatures w14:val="none"/>
        </w:rPr>
        <w:t>Social Science Research Network</w:t>
      </w:r>
      <w:r w:rsidRPr="007271B6">
        <w:rPr>
          <w:rFonts w:ascii="Times New Roman" w:eastAsia="Times New Roman" w:hAnsi="Times New Roman" w:cs="Times New Roman"/>
          <w:kern w:val="0"/>
          <w:sz w:val="24"/>
          <w:szCs w:val="24"/>
          <w14:ligatures w14:val="none"/>
        </w:rPr>
        <w:t xml:space="preserve"> [Preprint]. </w:t>
      </w:r>
      <w:hyperlink r:id="rId17" w:history="1">
        <w:r w:rsidRPr="007271B6">
          <w:rPr>
            <w:rFonts w:ascii="Times New Roman" w:eastAsia="Times New Roman" w:hAnsi="Times New Roman" w:cs="Times New Roman"/>
            <w:color w:val="0563C1" w:themeColor="hyperlink"/>
            <w:kern w:val="0"/>
            <w:sz w:val="24"/>
            <w:szCs w:val="24"/>
            <w:u w:val="single"/>
            <w14:ligatures w14:val="none"/>
          </w:rPr>
          <w:t>https://doi.org/10.2139/ssrn.4283333</w:t>
        </w:r>
      </w:hyperlink>
      <w:r w:rsidRPr="007271B6">
        <w:rPr>
          <w:rFonts w:ascii="Times New Roman" w:eastAsia="Times New Roman" w:hAnsi="Times New Roman" w:cs="Times New Roman"/>
          <w:kern w:val="0"/>
          <w:sz w:val="24"/>
          <w:szCs w:val="24"/>
          <w14:ligatures w14:val="none"/>
        </w:rPr>
        <w:t xml:space="preserve"> </w:t>
      </w:r>
    </w:p>
    <w:p w14:paraId="5060DA5A" w14:textId="77777777" w:rsidR="000D44E1" w:rsidRPr="007271B6" w:rsidRDefault="000D44E1" w:rsidP="000D44E1">
      <w:pPr>
        <w:shd w:val="clear" w:color="auto" w:fill="FFFFFF"/>
        <w:spacing w:after="0" w:line="480" w:lineRule="auto"/>
        <w:ind w:left="720" w:right="75" w:hanging="720"/>
        <w:contextualSpacing/>
        <w:rPr>
          <w:rFonts w:ascii="Times New Roman" w:eastAsia="Times New Roman" w:hAnsi="Times New Roman" w:cs="Times New Roman"/>
          <w:kern w:val="0"/>
          <w:sz w:val="24"/>
          <w:szCs w:val="24"/>
          <w:u w:val="single"/>
          <w14:ligatures w14:val="none"/>
        </w:rPr>
      </w:pPr>
      <w:r w:rsidRPr="007271B6">
        <w:rPr>
          <w:rFonts w:ascii="Times New Roman" w:eastAsia="Times New Roman" w:hAnsi="Times New Roman" w:cs="Times New Roman"/>
          <w:kern w:val="0"/>
          <w:sz w:val="24"/>
          <w:szCs w:val="24"/>
          <w14:ligatures w14:val="none"/>
        </w:rPr>
        <w:t>Dai, P., Goodell, J. W., Huynh, L. D., Liu, Z., &amp; Corbet, S., 2023. Understanding the transmission of crash risk between cryptocurrency and equity markets. </w:t>
      </w:r>
      <w:r w:rsidRPr="007271B6">
        <w:rPr>
          <w:rFonts w:ascii="Times New Roman" w:eastAsia="Times New Roman" w:hAnsi="Times New Roman" w:cs="Times New Roman"/>
          <w:i/>
          <w:iCs/>
          <w:kern w:val="0"/>
          <w:sz w:val="24"/>
          <w:szCs w:val="24"/>
          <w14:ligatures w14:val="none"/>
        </w:rPr>
        <w:t>Financial Review</w:t>
      </w:r>
      <w:r w:rsidRPr="007271B6">
        <w:rPr>
          <w:rFonts w:ascii="Times New Roman" w:eastAsia="Times New Roman" w:hAnsi="Times New Roman" w:cs="Times New Roman"/>
          <w:kern w:val="0"/>
          <w:sz w:val="24"/>
          <w:szCs w:val="24"/>
          <w14:ligatures w14:val="none"/>
        </w:rPr>
        <w:t>. </w:t>
      </w:r>
      <w:hyperlink r:id="rId18" w:history="1">
        <w:r w:rsidRPr="007271B6">
          <w:rPr>
            <w:rFonts w:ascii="Times New Roman" w:eastAsia="Times New Roman" w:hAnsi="Times New Roman" w:cs="Times New Roman"/>
            <w:color w:val="0563C1" w:themeColor="hyperlink"/>
            <w:kern w:val="0"/>
            <w:sz w:val="24"/>
            <w:szCs w:val="24"/>
            <w:u w:val="single"/>
            <w14:ligatures w14:val="none"/>
          </w:rPr>
          <w:t>https://doi.org/10.1111/fire.12340</w:t>
        </w:r>
      </w:hyperlink>
    </w:p>
    <w:p w14:paraId="15BB64F9" w14:textId="3A24698E" w:rsidR="00922245" w:rsidRDefault="00922245" w:rsidP="00922245">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lastRenderedPageBreak/>
        <w:t xml:space="preserve">Fu, S. </w:t>
      </w:r>
      <w:r w:rsidRPr="007271B6">
        <w:rPr>
          <w:rFonts w:ascii="Times New Roman" w:eastAsia="Times New Roman" w:hAnsi="Times New Roman" w:cs="Times New Roman"/>
          <w:i/>
          <w:iCs/>
          <w:kern w:val="0"/>
          <w:sz w:val="24"/>
          <w:szCs w:val="24"/>
          <w14:ligatures w14:val="none"/>
        </w:rPr>
        <w:t>et al.</w:t>
      </w:r>
      <w:r w:rsidRPr="007271B6">
        <w:rPr>
          <w:rFonts w:ascii="Times New Roman" w:eastAsia="Times New Roman" w:hAnsi="Times New Roman" w:cs="Times New Roman"/>
          <w:kern w:val="0"/>
          <w:sz w:val="24"/>
          <w:szCs w:val="24"/>
          <w14:ligatures w14:val="none"/>
        </w:rPr>
        <w:t xml:space="preserve"> (2022) 'FTX collapse: a Ponzi story,' </w:t>
      </w:r>
      <w:proofErr w:type="spellStart"/>
      <w:r w:rsidRPr="007271B6">
        <w:rPr>
          <w:rFonts w:ascii="Times New Roman" w:eastAsia="Times New Roman" w:hAnsi="Times New Roman" w:cs="Times New Roman"/>
          <w:i/>
          <w:iCs/>
          <w:kern w:val="0"/>
          <w:sz w:val="24"/>
          <w:szCs w:val="24"/>
          <w14:ligatures w14:val="none"/>
        </w:rPr>
        <w:t>arXiv</w:t>
      </w:r>
      <w:proofErr w:type="spellEnd"/>
      <w:r w:rsidRPr="007271B6">
        <w:rPr>
          <w:rFonts w:ascii="Times New Roman" w:eastAsia="Times New Roman" w:hAnsi="Times New Roman" w:cs="Times New Roman"/>
          <w:i/>
          <w:iCs/>
          <w:kern w:val="0"/>
          <w:sz w:val="24"/>
          <w:szCs w:val="24"/>
          <w14:ligatures w14:val="none"/>
        </w:rPr>
        <w:t xml:space="preserve"> (Cornell University)</w:t>
      </w:r>
      <w:r w:rsidRPr="007271B6">
        <w:rPr>
          <w:rFonts w:ascii="Times New Roman" w:eastAsia="Times New Roman" w:hAnsi="Times New Roman" w:cs="Times New Roman"/>
          <w:kern w:val="0"/>
          <w:sz w:val="24"/>
          <w:szCs w:val="24"/>
          <w14:ligatures w14:val="none"/>
        </w:rPr>
        <w:t xml:space="preserve"> [Preprint]. </w:t>
      </w:r>
      <w:hyperlink r:id="rId19" w:history="1">
        <w:r w:rsidRPr="007271B6">
          <w:rPr>
            <w:rFonts w:ascii="Times New Roman" w:eastAsia="Times New Roman" w:hAnsi="Times New Roman" w:cs="Times New Roman"/>
            <w:color w:val="0563C1" w:themeColor="hyperlink"/>
            <w:kern w:val="0"/>
            <w:sz w:val="24"/>
            <w:szCs w:val="24"/>
            <w:u w:val="single"/>
            <w14:ligatures w14:val="none"/>
          </w:rPr>
          <w:t>https://doi.org/10.48550/arxiv.2212.09436</w:t>
        </w:r>
      </w:hyperlink>
      <w:r w:rsidRPr="007271B6">
        <w:rPr>
          <w:rFonts w:ascii="Times New Roman" w:eastAsia="Times New Roman" w:hAnsi="Times New Roman" w:cs="Times New Roman"/>
          <w:kern w:val="0"/>
          <w:sz w:val="24"/>
          <w:szCs w:val="24"/>
          <w14:ligatures w14:val="none"/>
        </w:rPr>
        <w:t xml:space="preserve"> </w:t>
      </w:r>
    </w:p>
    <w:p w14:paraId="3EDB5D63" w14:textId="696A9C9D" w:rsidR="00D56C6A" w:rsidRPr="00052857" w:rsidRDefault="00D56C6A" w:rsidP="00052857">
      <w:pPr>
        <w:spacing w:after="0" w:line="480" w:lineRule="auto"/>
        <w:ind w:left="720" w:hanging="720"/>
        <w:rPr>
          <w:rFonts w:ascii="Times New Roman" w:eastAsia="Times New Roman" w:hAnsi="Times New Roman" w:cs="Times New Roman"/>
          <w:i/>
          <w:iCs/>
          <w:kern w:val="0"/>
          <w:sz w:val="24"/>
          <w:szCs w:val="24"/>
          <w14:ligatures w14:val="none"/>
        </w:rPr>
      </w:pPr>
      <w:r w:rsidRPr="00D56C6A">
        <w:rPr>
          <w:rFonts w:ascii="Times New Roman" w:eastAsia="Times New Roman" w:hAnsi="Times New Roman" w:cs="Times New Roman"/>
          <w:kern w:val="0"/>
          <w:sz w:val="24"/>
          <w:szCs w:val="24"/>
          <w14:ligatures w14:val="none"/>
        </w:rPr>
        <w:t>The Harvard Law School Forum on Corporate Governance. (2022, February 21). </w:t>
      </w:r>
      <w:r w:rsidRPr="00D56C6A">
        <w:rPr>
          <w:rFonts w:ascii="Times New Roman" w:eastAsia="Times New Roman" w:hAnsi="Times New Roman" w:cs="Times New Roman"/>
          <w:i/>
          <w:iCs/>
          <w:kern w:val="0"/>
          <w:sz w:val="24"/>
          <w:szCs w:val="24"/>
          <w14:ligatures w14:val="none"/>
        </w:rPr>
        <w:t>2022</w:t>
      </w:r>
      <w:r w:rsidR="00052857">
        <w:rPr>
          <w:rFonts w:ascii="Times New Roman" w:eastAsia="Times New Roman" w:hAnsi="Times New Roman" w:cs="Times New Roman"/>
          <w:i/>
          <w:iCs/>
          <w:kern w:val="0"/>
          <w:sz w:val="24"/>
          <w:szCs w:val="24"/>
          <w14:ligatures w14:val="none"/>
        </w:rPr>
        <w:t xml:space="preserve"> </w:t>
      </w:r>
      <w:r w:rsidRPr="00D56C6A">
        <w:rPr>
          <w:rFonts w:ascii="Times New Roman" w:eastAsia="Times New Roman" w:hAnsi="Times New Roman" w:cs="Times New Roman"/>
          <w:kern w:val="0"/>
          <w:sz w:val="24"/>
          <w:szCs w:val="24"/>
          <w14:ligatures w14:val="none"/>
        </w:rPr>
        <w:t>Global and Regional Trends in</w:t>
      </w:r>
      <w:r>
        <w:rPr>
          <w:rFonts w:ascii="Times New Roman" w:eastAsia="Times New Roman" w:hAnsi="Times New Roman" w:cs="Times New Roman"/>
          <w:kern w:val="0"/>
          <w:sz w:val="24"/>
          <w:szCs w:val="24"/>
          <w14:ligatures w14:val="none"/>
        </w:rPr>
        <w:t xml:space="preserve"> Corporate Governance </w:t>
      </w:r>
      <w:hyperlink r:id="rId20" w:history="1">
        <w:r w:rsidRPr="00397CAA">
          <w:rPr>
            <w:rStyle w:val="Hyperlink"/>
            <w:rFonts w:ascii="Times New Roman" w:eastAsia="Times New Roman" w:hAnsi="Times New Roman" w:cs="Times New Roman"/>
            <w:kern w:val="0"/>
            <w:sz w:val="24"/>
            <w:szCs w:val="24"/>
            <w14:ligatures w14:val="none"/>
          </w:rPr>
          <w:t>https://corpgov.law.harvard.edu/2022/02/21/2022-global-and-regional-trends-in-corporate-governance/</w:t>
        </w:r>
      </w:hyperlink>
    </w:p>
    <w:p w14:paraId="29F268B7" w14:textId="208BF56F" w:rsidR="00DA7F09" w:rsidRPr="00DA7F09" w:rsidRDefault="00DA7F09" w:rsidP="00DA7F09">
      <w:pPr>
        <w:spacing w:after="0" w:line="480" w:lineRule="auto"/>
        <w:ind w:left="720" w:hanging="720"/>
        <w:rPr>
          <w:rFonts w:ascii="Times New Roman" w:eastAsia="Times New Roman" w:hAnsi="Times New Roman" w:cs="Times New Roman"/>
          <w:kern w:val="0"/>
          <w:sz w:val="24"/>
          <w:szCs w:val="24"/>
          <w14:ligatures w14:val="none"/>
        </w:rPr>
      </w:pPr>
      <w:r w:rsidRPr="00DA7F09">
        <w:rPr>
          <w:rFonts w:ascii="Times New Roman" w:eastAsia="Times New Roman" w:hAnsi="Times New Roman" w:cs="Times New Roman"/>
          <w:kern w:val="0"/>
          <w:sz w:val="24"/>
          <w:szCs w:val="24"/>
          <w14:ligatures w14:val="none"/>
        </w:rPr>
        <w:t>Hacker, P., 2019. Corporate governance for complex cryptocurrencies? A framework fo</w:t>
      </w:r>
      <w:r>
        <w:rPr>
          <w:rFonts w:ascii="Times New Roman" w:eastAsia="Times New Roman" w:hAnsi="Times New Roman" w:cs="Times New Roman"/>
          <w:kern w:val="0"/>
          <w:sz w:val="24"/>
          <w:szCs w:val="24"/>
          <w14:ligatures w14:val="none"/>
        </w:rPr>
        <w:t xml:space="preserve">r stability and decision making in blockchain-based organizations. </w:t>
      </w:r>
      <w:hyperlink r:id="rId21" w:history="1">
        <w:r w:rsidRPr="00DA7F09">
          <w:rPr>
            <w:rStyle w:val="Hyperlink"/>
            <w:rFonts w:ascii="Times New Roman" w:eastAsia="Calibri" w:hAnsi="Times New Roman" w:cs="Times New Roman"/>
            <w:kern w:val="0"/>
            <w:sz w:val="24"/>
            <w:szCs w:val="24"/>
            <w:shd w:val="clear" w:color="auto" w:fill="FFFFFF"/>
            <w14:ligatures w14:val="none"/>
          </w:rPr>
          <w:t>papers.ssrn.com/sol3/papers.cfm?abstract_id=2998830</w:t>
        </w:r>
      </w:hyperlink>
    </w:p>
    <w:p w14:paraId="26517058" w14:textId="1419E896" w:rsidR="001151B8" w:rsidRPr="007271B6" w:rsidRDefault="001151B8" w:rsidP="001151B8">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Kokorin, I. (2023) 'The anatomy of crypto failures and investor protection under </w:t>
      </w:r>
      <w:proofErr w:type="spellStart"/>
      <w:r w:rsidRPr="007271B6">
        <w:rPr>
          <w:rFonts w:ascii="Times New Roman" w:eastAsia="Times New Roman" w:hAnsi="Times New Roman" w:cs="Times New Roman"/>
          <w:kern w:val="0"/>
          <w:sz w:val="24"/>
          <w:szCs w:val="24"/>
          <w14:ligatures w14:val="none"/>
        </w:rPr>
        <w:t>MiCAR</w:t>
      </w:r>
      <w:proofErr w:type="spellEnd"/>
      <w:r w:rsidRPr="007271B6">
        <w:rPr>
          <w:rFonts w:ascii="Times New Roman" w:eastAsia="Times New Roman" w:hAnsi="Times New Roman" w:cs="Times New Roman"/>
          <w:kern w:val="0"/>
          <w:sz w:val="24"/>
          <w:szCs w:val="24"/>
          <w14:ligatures w14:val="none"/>
        </w:rPr>
        <w:t xml:space="preserve">,' </w:t>
      </w:r>
      <w:r w:rsidRPr="007271B6">
        <w:rPr>
          <w:rFonts w:ascii="Times New Roman" w:eastAsia="Times New Roman" w:hAnsi="Times New Roman" w:cs="Times New Roman"/>
          <w:i/>
          <w:iCs/>
          <w:kern w:val="0"/>
          <w:sz w:val="24"/>
          <w:szCs w:val="24"/>
          <w14:ligatures w14:val="none"/>
        </w:rPr>
        <w:t>Capital Markets Law Journal</w:t>
      </w:r>
      <w:r w:rsidRPr="007271B6">
        <w:rPr>
          <w:rFonts w:ascii="Times New Roman" w:eastAsia="Times New Roman" w:hAnsi="Times New Roman" w:cs="Times New Roman"/>
          <w:kern w:val="0"/>
          <w:sz w:val="24"/>
          <w:szCs w:val="24"/>
          <w14:ligatures w14:val="none"/>
        </w:rPr>
        <w:t xml:space="preserve"> [Preprint]. </w:t>
      </w:r>
      <w:hyperlink r:id="rId22" w:history="1">
        <w:r w:rsidRPr="007271B6">
          <w:rPr>
            <w:rFonts w:ascii="Times New Roman" w:eastAsia="Times New Roman" w:hAnsi="Times New Roman" w:cs="Times New Roman"/>
            <w:color w:val="0563C1" w:themeColor="hyperlink"/>
            <w:kern w:val="0"/>
            <w:sz w:val="24"/>
            <w:szCs w:val="24"/>
            <w:u w:val="single"/>
            <w14:ligatures w14:val="none"/>
          </w:rPr>
          <w:t>https://doi.org/10.1093/cmlj/kmad019</w:t>
        </w:r>
      </w:hyperlink>
      <w:r w:rsidRPr="007271B6">
        <w:rPr>
          <w:rFonts w:ascii="Times New Roman" w:eastAsia="Times New Roman" w:hAnsi="Times New Roman" w:cs="Times New Roman"/>
          <w:kern w:val="0"/>
          <w:sz w:val="24"/>
          <w:szCs w:val="24"/>
          <w14:ligatures w14:val="none"/>
        </w:rPr>
        <w:t xml:space="preserve"> </w:t>
      </w:r>
    </w:p>
    <w:p w14:paraId="34EFFFB0" w14:textId="7630E5C4" w:rsidR="00922245" w:rsidRPr="007271B6" w:rsidRDefault="000D44E1" w:rsidP="00922245">
      <w:pPr>
        <w:shd w:val="clear" w:color="auto" w:fill="FFFFFF"/>
        <w:spacing w:after="0" w:line="480" w:lineRule="auto"/>
        <w:ind w:left="720" w:right="75" w:hanging="720"/>
        <w:contextualSpacing/>
        <w:rPr>
          <w:rFonts w:ascii="Times New Roman" w:eastAsia="Calibri" w:hAnsi="Times New Roman" w:cs="Times New Roman"/>
          <w:kern w:val="0"/>
          <w:sz w:val="24"/>
          <w:szCs w:val="24"/>
          <w:u w:val="single"/>
          <w14:ligatures w14:val="none"/>
        </w:rPr>
      </w:pPr>
      <w:r w:rsidRPr="007271B6">
        <w:rPr>
          <w:rFonts w:ascii="Times New Roman" w:eastAsia="Calibri" w:hAnsi="Times New Roman" w:cs="Times New Roman"/>
          <w:kern w:val="0"/>
          <w:sz w:val="24"/>
          <w:szCs w:val="24"/>
          <w14:ligatures w14:val="none"/>
        </w:rPr>
        <w:t xml:space="preserve">KPMG, 2022. </w:t>
      </w:r>
      <w:r w:rsidRPr="007271B6">
        <w:rPr>
          <w:rFonts w:ascii="Times New Roman" w:eastAsia="Calibri" w:hAnsi="Times New Roman" w:cs="Times New Roman"/>
          <w:i/>
          <w:kern w:val="0"/>
          <w:sz w:val="24"/>
          <w:szCs w:val="24"/>
          <w14:ligatures w14:val="none"/>
        </w:rPr>
        <w:t>The collapse of FTX</w:t>
      </w:r>
      <w:r w:rsidRPr="007271B6">
        <w:rPr>
          <w:rFonts w:ascii="Times New Roman" w:eastAsia="Calibri" w:hAnsi="Times New Roman" w:cs="Times New Roman"/>
          <w:kern w:val="0"/>
          <w:sz w:val="24"/>
          <w:szCs w:val="24"/>
          <w14:ligatures w14:val="none"/>
        </w:rPr>
        <w:t xml:space="preserve">: Lessons and implications for stakeholders in the crypto industry. </w:t>
      </w:r>
      <w:hyperlink r:id="rId23" w:history="1">
        <w:r w:rsidRPr="007271B6">
          <w:rPr>
            <w:rFonts w:ascii="Times New Roman" w:eastAsia="Times New Roman" w:hAnsi="Times New Roman" w:cs="Times New Roman"/>
            <w:color w:val="0563C1" w:themeColor="hyperlink"/>
            <w:kern w:val="0"/>
            <w:sz w:val="24"/>
            <w:szCs w:val="24"/>
            <w:u w:val="single"/>
            <w14:ligatures w14:val="none"/>
          </w:rPr>
          <w:t>https://assets.kpmg.com/content/dam/kpmg/cn/pdf/en/2022/11/the-collapse-of-ftx.pdf</w:t>
        </w:r>
      </w:hyperlink>
    </w:p>
    <w:p w14:paraId="030E92C1" w14:textId="6CD953B6" w:rsidR="000D44E1" w:rsidRPr="007271B6" w:rsidRDefault="000D44E1" w:rsidP="000D44E1">
      <w:pPr>
        <w:shd w:val="clear" w:color="auto" w:fill="FFFFFF"/>
        <w:spacing w:after="0" w:line="480" w:lineRule="auto"/>
        <w:ind w:left="720" w:right="75" w:hanging="720"/>
        <w:contextualSpacing/>
        <w:rPr>
          <w:rFonts w:ascii="Times New Roman" w:eastAsia="Calibri"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Llamas, M., 2023. </w:t>
      </w:r>
      <w:r w:rsidRPr="007271B6">
        <w:rPr>
          <w:rFonts w:ascii="Times New Roman" w:eastAsia="Calibri" w:hAnsi="Times New Roman" w:cs="Times New Roman"/>
          <w:i/>
          <w:kern w:val="0"/>
          <w:sz w:val="24"/>
          <w:szCs w:val="24"/>
          <w14:ligatures w14:val="none"/>
        </w:rPr>
        <w:t>Crypto bankruptcies</w:t>
      </w:r>
      <w:r w:rsidRPr="007271B6">
        <w:rPr>
          <w:rFonts w:ascii="Times New Roman" w:eastAsia="Calibri" w:hAnsi="Times New Roman" w:cs="Times New Roman"/>
          <w:kern w:val="0"/>
          <w:sz w:val="24"/>
          <w:szCs w:val="24"/>
          <w14:ligatures w14:val="none"/>
        </w:rPr>
        <w:t xml:space="preserve">. Consumernotice.org. </w:t>
      </w:r>
      <w:hyperlink r:id="rId24" w:anchor=":~:text=A%20number%20of%20cryptocurrency%20companies,than%20%242%20trillion%20in%202022" w:history="1">
        <w:r w:rsidR="00922245" w:rsidRPr="007271B6">
          <w:rPr>
            <w:rStyle w:val="Hyperlink"/>
            <w:rFonts w:ascii="Times New Roman" w:eastAsia="Calibri" w:hAnsi="Times New Roman" w:cs="Times New Roman"/>
            <w:kern w:val="0"/>
            <w:sz w:val="24"/>
            <w:szCs w:val="24"/>
            <w14:ligatures w14:val="none"/>
          </w:rPr>
          <w:t>https://www.consumernotice.org/legal/crypto-bankruptcies/#:~:text=A%20number%20of%20cryptocurrency%20companies,than%20%242%20trillion%20in%202022</w:t>
        </w:r>
      </w:hyperlink>
      <w:r w:rsidRPr="007271B6">
        <w:rPr>
          <w:rFonts w:ascii="Times New Roman" w:eastAsia="Calibri" w:hAnsi="Times New Roman" w:cs="Times New Roman"/>
          <w:kern w:val="0"/>
          <w:sz w:val="24"/>
          <w:szCs w:val="24"/>
          <w14:ligatures w14:val="none"/>
        </w:rPr>
        <w:t>.</w:t>
      </w:r>
    </w:p>
    <w:p w14:paraId="1F66064D" w14:textId="07D6CC49" w:rsidR="00922245" w:rsidRPr="007271B6" w:rsidRDefault="00922245" w:rsidP="00922245">
      <w:pPr>
        <w:tabs>
          <w:tab w:val="left" w:pos="6310"/>
        </w:tabs>
        <w:spacing w:after="0" w:line="480" w:lineRule="auto"/>
        <w:ind w:left="720" w:hanging="720"/>
        <w:jc w:val="both"/>
        <w:rPr>
          <w:rFonts w:ascii="Times New Roman" w:hAnsi="Times New Roman" w:cs="Times New Roman"/>
          <w:kern w:val="0"/>
          <w:sz w:val="24"/>
          <w:szCs w:val="24"/>
          <w14:ligatures w14:val="none"/>
        </w:rPr>
      </w:pPr>
      <w:r w:rsidRPr="007271B6">
        <w:rPr>
          <w:rFonts w:ascii="Times New Roman" w:hAnsi="Times New Roman" w:cs="Times New Roman"/>
          <w:color w:val="222222"/>
          <w:kern w:val="0"/>
          <w:sz w:val="24"/>
          <w:szCs w:val="24"/>
          <w:shd w:val="clear" w:color="auto" w:fill="FFFFFF"/>
          <w14:ligatures w14:val="none"/>
        </w:rPr>
        <w:t xml:space="preserve">Macey, J.R., 2023. Fraud in a Land of Plenty. Northwestern University Law Review, 118(1), pp.227-262. </w:t>
      </w:r>
      <w:hyperlink r:id="rId25" w:history="1">
        <w:r w:rsidR="0060110A" w:rsidRPr="007271B6">
          <w:rPr>
            <w:rStyle w:val="Hyperlink"/>
            <w:rFonts w:ascii="Times New Roman" w:hAnsi="Times New Roman" w:cs="Times New Roman"/>
            <w:kern w:val="0"/>
            <w:sz w:val="24"/>
            <w:szCs w:val="24"/>
            <w:shd w:val="clear" w:color="auto" w:fill="FFFFFF"/>
            <w14:ligatures w14:val="none"/>
          </w:rPr>
          <w:t>https://openyls.law.yale.edu/bitstream/handle/20.500.13051/18354/FRAUD%20IN%20A%20LAND%20OF%20PLENTY.pdf?sequence=1&amp;isAllowed=y</w:t>
        </w:r>
      </w:hyperlink>
    </w:p>
    <w:p w14:paraId="280C806E" w14:textId="77777777" w:rsidR="00922245" w:rsidRPr="007271B6" w:rsidRDefault="00922245" w:rsidP="00922245">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Manita, R. </w:t>
      </w:r>
      <w:r w:rsidRPr="007271B6">
        <w:rPr>
          <w:rFonts w:ascii="Times New Roman" w:eastAsia="Times New Roman" w:hAnsi="Times New Roman" w:cs="Times New Roman"/>
          <w:i/>
          <w:iCs/>
          <w:kern w:val="0"/>
          <w:sz w:val="24"/>
          <w:szCs w:val="24"/>
          <w14:ligatures w14:val="none"/>
        </w:rPr>
        <w:t>et al.</w:t>
      </w:r>
      <w:r w:rsidRPr="007271B6">
        <w:rPr>
          <w:rFonts w:ascii="Times New Roman" w:eastAsia="Times New Roman" w:hAnsi="Times New Roman" w:cs="Times New Roman"/>
          <w:kern w:val="0"/>
          <w:sz w:val="24"/>
          <w:szCs w:val="24"/>
          <w14:ligatures w14:val="none"/>
        </w:rPr>
        <w:t xml:space="preserve"> (2020) 'The digital transformation of external audit and its impact on corporate governance,' </w:t>
      </w:r>
      <w:r w:rsidRPr="007271B6">
        <w:rPr>
          <w:rFonts w:ascii="Times New Roman" w:eastAsia="Times New Roman" w:hAnsi="Times New Roman" w:cs="Times New Roman"/>
          <w:i/>
          <w:iCs/>
          <w:kern w:val="0"/>
          <w:sz w:val="24"/>
          <w:szCs w:val="24"/>
          <w14:ligatures w14:val="none"/>
        </w:rPr>
        <w:t>Technological Forecasting and Social Change</w:t>
      </w:r>
      <w:r w:rsidRPr="007271B6">
        <w:rPr>
          <w:rFonts w:ascii="Times New Roman" w:eastAsia="Times New Roman" w:hAnsi="Times New Roman" w:cs="Times New Roman"/>
          <w:kern w:val="0"/>
          <w:sz w:val="24"/>
          <w:szCs w:val="24"/>
          <w14:ligatures w14:val="none"/>
        </w:rPr>
        <w:t xml:space="preserve">, 150, p. 119751. </w:t>
      </w:r>
      <w:hyperlink r:id="rId26" w:history="1">
        <w:r w:rsidRPr="007271B6">
          <w:rPr>
            <w:rFonts w:ascii="Times New Roman" w:eastAsia="Times New Roman" w:hAnsi="Times New Roman" w:cs="Times New Roman"/>
            <w:color w:val="0563C1" w:themeColor="hyperlink"/>
            <w:kern w:val="0"/>
            <w:sz w:val="24"/>
            <w:szCs w:val="24"/>
            <w:u w:val="single"/>
            <w14:ligatures w14:val="none"/>
          </w:rPr>
          <w:t>https://doi.org/10.1016/j.techfore.2019.119751</w:t>
        </w:r>
      </w:hyperlink>
      <w:r w:rsidRPr="007271B6">
        <w:rPr>
          <w:rFonts w:ascii="Times New Roman" w:eastAsia="Times New Roman" w:hAnsi="Times New Roman" w:cs="Times New Roman"/>
          <w:kern w:val="0"/>
          <w:sz w:val="24"/>
          <w:szCs w:val="24"/>
          <w14:ligatures w14:val="none"/>
        </w:rPr>
        <w:t xml:space="preserve"> </w:t>
      </w:r>
    </w:p>
    <w:p w14:paraId="02A7C83E" w14:textId="5637B06C" w:rsidR="00922245" w:rsidRPr="007271B6" w:rsidRDefault="00922245" w:rsidP="00922245">
      <w:pPr>
        <w:spacing w:after="0" w:line="480" w:lineRule="auto"/>
        <w:ind w:left="720" w:hanging="720"/>
        <w:rPr>
          <w:rFonts w:ascii="Times New Roman" w:eastAsia="Times New Roman" w:hAnsi="Times New Roman" w:cs="Times New Roman"/>
          <w:kern w:val="0"/>
          <w:sz w:val="24"/>
          <w:szCs w:val="24"/>
          <w14:ligatures w14:val="none"/>
        </w:rPr>
      </w:pPr>
      <w:proofErr w:type="spellStart"/>
      <w:r w:rsidRPr="007271B6">
        <w:rPr>
          <w:rFonts w:ascii="Times New Roman" w:eastAsia="Times New Roman" w:hAnsi="Times New Roman" w:cs="Times New Roman"/>
          <w:kern w:val="0"/>
          <w:sz w:val="24"/>
          <w:szCs w:val="24"/>
          <w14:ligatures w14:val="none"/>
        </w:rPr>
        <w:lastRenderedPageBreak/>
        <w:t>Marchesan</w:t>
      </w:r>
      <w:proofErr w:type="spellEnd"/>
      <w:r w:rsidRPr="007271B6">
        <w:rPr>
          <w:rFonts w:ascii="Times New Roman" w:eastAsia="Times New Roman" w:hAnsi="Times New Roman" w:cs="Times New Roman"/>
          <w:kern w:val="0"/>
          <w:sz w:val="24"/>
          <w:szCs w:val="24"/>
          <w14:ligatures w14:val="none"/>
        </w:rPr>
        <w:t>, S. (2023) Blockchain and cryptocurrencies: industry analysis from an M&amp;A perspective. MA Thesis. Ca’ Foscari University of Venice.</w:t>
      </w:r>
      <w:r w:rsidR="00D148D6" w:rsidRPr="007271B6">
        <w:rPr>
          <w:rFonts w:ascii="Times New Roman" w:eastAsia="Times New Roman" w:hAnsi="Times New Roman" w:cs="Times New Roman"/>
          <w:kern w:val="0"/>
          <w:sz w:val="24"/>
          <w:szCs w:val="24"/>
          <w14:ligatures w14:val="none"/>
        </w:rPr>
        <w:t xml:space="preserve"> </w:t>
      </w:r>
      <w:hyperlink r:id="rId27" w:history="1">
        <w:r w:rsidR="00D148D6" w:rsidRPr="007271B6">
          <w:rPr>
            <w:rStyle w:val="Hyperlink"/>
            <w:rFonts w:ascii="Times New Roman" w:eastAsia="Times New Roman" w:hAnsi="Times New Roman" w:cs="Times New Roman"/>
            <w:kern w:val="0"/>
            <w:sz w:val="24"/>
            <w:szCs w:val="24"/>
            <w14:ligatures w14:val="none"/>
          </w:rPr>
          <w:t>858038-1274102.pdf (unive.it)</w:t>
        </w:r>
      </w:hyperlink>
    </w:p>
    <w:p w14:paraId="10AC8DF4" w14:textId="57FCEC13" w:rsidR="00922245" w:rsidRPr="007271B6" w:rsidRDefault="00922245" w:rsidP="00922245">
      <w:pPr>
        <w:shd w:val="clear" w:color="auto" w:fill="FFFFFF"/>
        <w:spacing w:after="0" w:line="480" w:lineRule="auto"/>
        <w:ind w:left="720" w:right="75" w:hanging="720"/>
        <w:jc w:val="both"/>
        <w:rPr>
          <w:rFonts w:ascii="Times New Roman" w:hAnsi="Times New Roman" w:cs="Times New Roman"/>
          <w:kern w:val="0"/>
          <w:sz w:val="24"/>
          <w:szCs w:val="24"/>
          <w14:ligatures w14:val="none"/>
        </w:rPr>
      </w:pPr>
      <w:r w:rsidRPr="007271B6">
        <w:rPr>
          <w:rFonts w:ascii="Times New Roman" w:hAnsi="Times New Roman" w:cs="Times New Roman"/>
          <w:color w:val="222222"/>
          <w:kern w:val="0"/>
          <w:sz w:val="24"/>
          <w:szCs w:val="24"/>
          <w:shd w:val="clear" w:color="auto" w:fill="FFFFFF"/>
          <w14:ligatures w14:val="none"/>
        </w:rPr>
        <w:t>Pierce, F., (2022). Dynamic Corporate Purpose: Decentralizing the Choice over Director Orientation. </w:t>
      </w:r>
      <w:r w:rsidRPr="007271B6">
        <w:rPr>
          <w:rFonts w:ascii="Times New Roman" w:hAnsi="Times New Roman" w:cs="Times New Roman"/>
          <w:i/>
          <w:iCs/>
          <w:color w:val="222222"/>
          <w:kern w:val="0"/>
          <w:sz w:val="24"/>
          <w:szCs w:val="24"/>
          <w:shd w:val="clear" w:color="auto" w:fill="FFFFFF"/>
          <w14:ligatures w14:val="none"/>
        </w:rPr>
        <w:t>Vand. L. Rev.</w:t>
      </w:r>
      <w:r w:rsidRPr="007271B6">
        <w:rPr>
          <w:rFonts w:ascii="Times New Roman" w:hAnsi="Times New Roman" w:cs="Times New Roman"/>
          <w:color w:val="222222"/>
          <w:kern w:val="0"/>
          <w:sz w:val="24"/>
          <w:szCs w:val="24"/>
          <w:shd w:val="clear" w:color="auto" w:fill="FFFFFF"/>
          <w14:ligatures w14:val="none"/>
        </w:rPr>
        <w:t>, </w:t>
      </w:r>
      <w:r w:rsidRPr="007271B6">
        <w:rPr>
          <w:rFonts w:ascii="Times New Roman" w:hAnsi="Times New Roman" w:cs="Times New Roman"/>
          <w:i/>
          <w:iCs/>
          <w:color w:val="222222"/>
          <w:kern w:val="0"/>
          <w:sz w:val="24"/>
          <w:szCs w:val="24"/>
          <w:shd w:val="clear" w:color="auto" w:fill="FFFFFF"/>
          <w14:ligatures w14:val="none"/>
        </w:rPr>
        <w:t>75</w:t>
      </w:r>
      <w:r w:rsidRPr="007271B6">
        <w:rPr>
          <w:rFonts w:ascii="Times New Roman" w:hAnsi="Times New Roman" w:cs="Times New Roman"/>
          <w:color w:val="222222"/>
          <w:kern w:val="0"/>
          <w:sz w:val="24"/>
          <w:szCs w:val="24"/>
          <w:shd w:val="clear" w:color="auto" w:fill="FFFFFF"/>
          <w14:ligatures w14:val="none"/>
        </w:rPr>
        <w:t xml:space="preserve">, p.325. </w:t>
      </w:r>
      <w:hyperlink r:id="rId28" w:history="1">
        <w:r w:rsidR="00D148D6" w:rsidRPr="007271B6">
          <w:rPr>
            <w:rStyle w:val="Hyperlink"/>
            <w:rFonts w:ascii="Times New Roman" w:hAnsi="Times New Roman" w:cs="Times New Roman"/>
            <w:kern w:val="0"/>
            <w:sz w:val="24"/>
            <w:szCs w:val="24"/>
            <w:shd w:val="clear" w:color="auto" w:fill="FFFFFF"/>
            <w14:ligatures w14:val="none"/>
          </w:rPr>
          <w:t>"Dynamic Corporate Purpose: Decentralizing the Choice over Director Ori" by Fields Pierce (vanderbilt.edu)</w:t>
        </w:r>
      </w:hyperlink>
    </w:p>
    <w:p w14:paraId="46CE8715" w14:textId="77777777" w:rsidR="00922245" w:rsidRPr="007271B6" w:rsidRDefault="00922245" w:rsidP="00922245">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Pilkington, M. (2021) 'Blockchain Technology and the Decentralized Autonomous Organization - A Spinozian Interpretation,' </w:t>
      </w:r>
      <w:r w:rsidRPr="007271B6">
        <w:rPr>
          <w:rFonts w:ascii="Times New Roman" w:eastAsia="Times New Roman" w:hAnsi="Times New Roman" w:cs="Times New Roman"/>
          <w:i/>
          <w:iCs/>
          <w:kern w:val="0"/>
          <w:sz w:val="24"/>
          <w:szCs w:val="24"/>
          <w14:ligatures w14:val="none"/>
        </w:rPr>
        <w:t>Social Science Research Network</w:t>
      </w:r>
      <w:r w:rsidRPr="007271B6">
        <w:rPr>
          <w:rFonts w:ascii="Times New Roman" w:eastAsia="Times New Roman" w:hAnsi="Times New Roman" w:cs="Times New Roman"/>
          <w:kern w:val="0"/>
          <w:sz w:val="24"/>
          <w:szCs w:val="24"/>
          <w14:ligatures w14:val="none"/>
        </w:rPr>
        <w:t xml:space="preserve"> [Preprint]. </w:t>
      </w:r>
      <w:hyperlink r:id="rId29" w:history="1">
        <w:r w:rsidRPr="007271B6">
          <w:rPr>
            <w:rFonts w:ascii="Times New Roman" w:eastAsia="Times New Roman" w:hAnsi="Times New Roman" w:cs="Times New Roman"/>
            <w:color w:val="0563C1" w:themeColor="hyperlink"/>
            <w:kern w:val="0"/>
            <w:sz w:val="24"/>
            <w:szCs w:val="24"/>
            <w:u w:val="single"/>
            <w14:ligatures w14:val="none"/>
          </w:rPr>
          <w:t>https://doi.org/10.2139/ssrn.3963205</w:t>
        </w:r>
      </w:hyperlink>
      <w:r w:rsidRPr="007271B6">
        <w:rPr>
          <w:rFonts w:ascii="Times New Roman" w:eastAsia="Times New Roman" w:hAnsi="Times New Roman" w:cs="Times New Roman"/>
          <w:kern w:val="0"/>
          <w:sz w:val="24"/>
          <w:szCs w:val="24"/>
          <w14:ligatures w14:val="none"/>
        </w:rPr>
        <w:t xml:space="preserve"> </w:t>
      </w:r>
    </w:p>
    <w:p w14:paraId="4854C84E" w14:textId="02FAF613" w:rsidR="00922245" w:rsidRPr="007271B6" w:rsidRDefault="00922245" w:rsidP="00922245">
      <w:pPr>
        <w:shd w:val="clear" w:color="auto" w:fill="FFFFFF"/>
        <w:spacing w:after="0" w:line="480" w:lineRule="auto"/>
        <w:ind w:left="720" w:right="75" w:hanging="720"/>
        <w:contextualSpacing/>
        <w:rPr>
          <w:rFonts w:ascii="Times New Roman" w:eastAsia="Times New Roman" w:hAnsi="Times New Roman" w:cs="Times New Roman"/>
          <w:kern w:val="0"/>
          <w:sz w:val="24"/>
          <w:szCs w:val="24"/>
          <w14:ligatures w14:val="none"/>
        </w:rPr>
      </w:pPr>
      <w:r w:rsidRPr="007271B6">
        <w:rPr>
          <w:rFonts w:ascii="Times New Roman" w:eastAsia="Calibri" w:hAnsi="Times New Roman" w:cs="Times New Roman"/>
          <w:kern w:val="0"/>
          <w:sz w:val="24"/>
          <w:szCs w:val="24"/>
          <w:shd w:val="clear" w:color="auto" w:fill="FFFFFF"/>
          <w14:ligatures w14:val="none"/>
        </w:rPr>
        <w:t xml:space="preserve">Ramasubramanian, D.G., 2023. </w:t>
      </w:r>
      <w:r w:rsidRPr="007271B6">
        <w:rPr>
          <w:rFonts w:ascii="Times New Roman" w:eastAsia="Calibri" w:hAnsi="Times New Roman" w:cs="Times New Roman"/>
          <w:i/>
          <w:kern w:val="0"/>
          <w:sz w:val="24"/>
          <w:szCs w:val="24"/>
          <w:shd w:val="clear" w:color="auto" w:fill="FFFFFF"/>
          <w14:ligatures w14:val="none"/>
        </w:rPr>
        <w:t xml:space="preserve">Corporate governance failures due to </w:t>
      </w:r>
      <w:proofErr w:type="spellStart"/>
      <w:r w:rsidRPr="007271B6">
        <w:rPr>
          <w:rFonts w:ascii="Times New Roman" w:eastAsia="Calibri" w:hAnsi="Times New Roman" w:cs="Times New Roman"/>
          <w:i/>
          <w:kern w:val="0"/>
          <w:sz w:val="24"/>
          <w:szCs w:val="24"/>
          <w:shd w:val="clear" w:color="auto" w:fill="FFFFFF"/>
          <w14:ligatures w14:val="none"/>
        </w:rPr>
        <w:t>behavioral</w:t>
      </w:r>
      <w:proofErr w:type="spellEnd"/>
      <w:r w:rsidRPr="007271B6">
        <w:rPr>
          <w:rFonts w:ascii="Times New Roman" w:eastAsia="Calibri" w:hAnsi="Times New Roman" w:cs="Times New Roman"/>
          <w:i/>
          <w:kern w:val="0"/>
          <w:sz w:val="24"/>
          <w:szCs w:val="24"/>
          <w:shd w:val="clear" w:color="auto" w:fill="FFFFFF"/>
          <w14:ligatures w14:val="none"/>
        </w:rPr>
        <w:t xml:space="preserve"> factors</w:t>
      </w:r>
      <w:r w:rsidRPr="007271B6">
        <w:rPr>
          <w:rFonts w:ascii="Times New Roman" w:eastAsia="Calibri" w:hAnsi="Times New Roman" w:cs="Times New Roman"/>
          <w:kern w:val="0"/>
          <w:sz w:val="24"/>
          <w:szCs w:val="24"/>
          <w:shd w:val="clear" w:color="auto" w:fill="FFFFFF"/>
          <w14:ligatures w14:val="none"/>
        </w:rPr>
        <w:t>. </w:t>
      </w:r>
      <w:r w:rsidRPr="007271B6">
        <w:rPr>
          <w:rFonts w:ascii="Times New Roman" w:eastAsia="Calibri" w:hAnsi="Times New Roman" w:cs="Times New Roman"/>
          <w:iCs/>
          <w:kern w:val="0"/>
          <w:sz w:val="24"/>
          <w:szCs w:val="24"/>
          <w:shd w:val="clear" w:color="auto" w:fill="FFFFFF"/>
          <w14:ligatures w14:val="none"/>
        </w:rPr>
        <w:t>Available at SSRN 4360876</w:t>
      </w:r>
      <w:r w:rsidRPr="007271B6">
        <w:rPr>
          <w:rFonts w:ascii="Times New Roman" w:eastAsia="Calibri" w:hAnsi="Times New Roman" w:cs="Times New Roman"/>
          <w:kern w:val="0"/>
          <w:sz w:val="24"/>
          <w:szCs w:val="24"/>
          <w:shd w:val="clear" w:color="auto" w:fill="FFFFFF"/>
          <w14:ligatures w14:val="none"/>
        </w:rPr>
        <w:t>.</w:t>
      </w:r>
      <w:r w:rsidR="001151B8" w:rsidRPr="007271B6">
        <w:rPr>
          <w:rFonts w:ascii="Times New Roman" w:eastAsia="Calibri" w:hAnsi="Times New Roman" w:cs="Times New Roman"/>
          <w:kern w:val="0"/>
          <w:sz w:val="24"/>
          <w:szCs w:val="24"/>
          <w:shd w:val="clear" w:color="auto" w:fill="FFFFFF"/>
          <w14:ligatures w14:val="none"/>
        </w:rPr>
        <w:t xml:space="preserve"> </w:t>
      </w:r>
      <w:hyperlink r:id="rId30" w:history="1">
        <w:r w:rsidR="001151B8" w:rsidRPr="007271B6">
          <w:rPr>
            <w:rStyle w:val="Hyperlink"/>
            <w:rFonts w:ascii="Times New Roman" w:eastAsia="Calibri" w:hAnsi="Times New Roman" w:cs="Times New Roman"/>
            <w:kern w:val="0"/>
            <w:sz w:val="24"/>
            <w:szCs w:val="24"/>
            <w:shd w:val="clear" w:color="auto" w:fill="FFFFFF"/>
            <w14:ligatures w14:val="none"/>
          </w:rPr>
          <w:t xml:space="preserve">Corporate Governance Failures Due to </w:t>
        </w:r>
        <w:proofErr w:type="spellStart"/>
        <w:r w:rsidR="001151B8" w:rsidRPr="007271B6">
          <w:rPr>
            <w:rStyle w:val="Hyperlink"/>
            <w:rFonts w:ascii="Times New Roman" w:eastAsia="Calibri" w:hAnsi="Times New Roman" w:cs="Times New Roman"/>
            <w:kern w:val="0"/>
            <w:sz w:val="24"/>
            <w:szCs w:val="24"/>
            <w:shd w:val="clear" w:color="auto" w:fill="FFFFFF"/>
            <w14:ligatures w14:val="none"/>
          </w:rPr>
          <w:t>Behavioral</w:t>
        </w:r>
        <w:proofErr w:type="spellEnd"/>
        <w:r w:rsidR="001151B8" w:rsidRPr="007271B6">
          <w:rPr>
            <w:rStyle w:val="Hyperlink"/>
            <w:rFonts w:ascii="Times New Roman" w:eastAsia="Calibri" w:hAnsi="Times New Roman" w:cs="Times New Roman"/>
            <w:kern w:val="0"/>
            <w:sz w:val="24"/>
            <w:szCs w:val="24"/>
            <w:shd w:val="clear" w:color="auto" w:fill="FFFFFF"/>
            <w14:ligatures w14:val="none"/>
          </w:rPr>
          <w:t xml:space="preserve"> Factors by Dr Gopal </w:t>
        </w:r>
        <w:proofErr w:type="gramStart"/>
        <w:r w:rsidR="001151B8" w:rsidRPr="007271B6">
          <w:rPr>
            <w:rStyle w:val="Hyperlink"/>
            <w:rFonts w:ascii="Times New Roman" w:eastAsia="Calibri" w:hAnsi="Times New Roman" w:cs="Times New Roman"/>
            <w:kern w:val="0"/>
            <w:sz w:val="24"/>
            <w:szCs w:val="24"/>
            <w:shd w:val="clear" w:color="auto" w:fill="FFFFFF"/>
            <w14:ligatures w14:val="none"/>
          </w:rPr>
          <w:t>Ramasubramanian :</w:t>
        </w:r>
        <w:proofErr w:type="gramEnd"/>
        <w:r w:rsidR="001151B8" w:rsidRPr="007271B6">
          <w:rPr>
            <w:rStyle w:val="Hyperlink"/>
            <w:rFonts w:ascii="Times New Roman" w:eastAsia="Calibri" w:hAnsi="Times New Roman" w:cs="Times New Roman"/>
            <w:kern w:val="0"/>
            <w:sz w:val="24"/>
            <w:szCs w:val="24"/>
            <w:shd w:val="clear" w:color="auto" w:fill="FFFFFF"/>
            <w14:ligatures w14:val="none"/>
          </w:rPr>
          <w:t>: SSRN</w:t>
        </w:r>
      </w:hyperlink>
    </w:p>
    <w:p w14:paraId="77952A01" w14:textId="77777777" w:rsidR="00922245" w:rsidRPr="007271B6" w:rsidRDefault="00922245" w:rsidP="00922245">
      <w:pPr>
        <w:shd w:val="clear" w:color="auto" w:fill="FFFFFF"/>
        <w:spacing w:after="0" w:line="480" w:lineRule="auto"/>
        <w:ind w:left="720" w:right="75" w:hanging="720"/>
        <w:contextualSpacing/>
        <w:rPr>
          <w:rFonts w:ascii="Times New Roman" w:eastAsia="Times New Roman" w:hAnsi="Times New Roman" w:cs="Times New Roman"/>
          <w:kern w:val="0"/>
          <w:sz w:val="24"/>
          <w:szCs w:val="24"/>
          <w14:ligatures w14:val="none"/>
        </w:rPr>
      </w:pPr>
      <w:r w:rsidRPr="007271B6">
        <w:rPr>
          <w:rFonts w:ascii="Times New Roman" w:eastAsia="Calibri" w:hAnsi="Times New Roman" w:cs="Times New Roman"/>
          <w:kern w:val="0"/>
          <w:sz w:val="24"/>
          <w:szCs w:val="24"/>
          <w14:ligatures w14:val="none"/>
        </w:rPr>
        <w:t xml:space="preserve">Reynolds, S., 2023. </w:t>
      </w:r>
      <w:r w:rsidRPr="007271B6">
        <w:rPr>
          <w:rFonts w:ascii="Times New Roman" w:eastAsia="Calibri" w:hAnsi="Times New Roman" w:cs="Times New Roman"/>
          <w:i/>
          <w:kern w:val="0"/>
          <w:sz w:val="24"/>
          <w:szCs w:val="24"/>
          <w14:ligatures w14:val="none"/>
        </w:rPr>
        <w:t>Alameda was 'Business as usual' before collapse</w:t>
      </w:r>
      <w:r w:rsidRPr="007271B6">
        <w:rPr>
          <w:rFonts w:ascii="Times New Roman" w:eastAsia="Calibri" w:hAnsi="Times New Roman" w:cs="Times New Roman"/>
          <w:kern w:val="0"/>
          <w:sz w:val="24"/>
          <w:szCs w:val="24"/>
          <w14:ligatures w14:val="none"/>
        </w:rPr>
        <w:t xml:space="preserve">: Ex-Engineer. </w:t>
      </w:r>
      <w:hyperlink r:id="rId31" w:history="1">
        <w:r w:rsidRPr="007271B6">
          <w:rPr>
            <w:rFonts w:ascii="Times New Roman" w:eastAsia="Times New Roman" w:hAnsi="Times New Roman" w:cs="Times New Roman"/>
            <w:color w:val="0563C1" w:themeColor="hyperlink"/>
            <w:kern w:val="0"/>
            <w:sz w:val="24"/>
            <w:szCs w:val="24"/>
            <w:u w:val="single"/>
            <w14:ligatures w14:val="none"/>
          </w:rPr>
          <w:t>https://www.coindesk.com/business/2023/10/04/alameda-was-business-as-usual-before-collapse-ex-engineer/</w:t>
        </w:r>
      </w:hyperlink>
    </w:p>
    <w:p w14:paraId="60B37465" w14:textId="57431FB0" w:rsidR="00922245" w:rsidRPr="007271B6" w:rsidRDefault="00922245" w:rsidP="00922245">
      <w:pPr>
        <w:tabs>
          <w:tab w:val="left" w:pos="6310"/>
        </w:tabs>
        <w:spacing w:after="0" w:line="480" w:lineRule="auto"/>
        <w:ind w:left="720" w:hanging="720"/>
        <w:jc w:val="both"/>
        <w:rPr>
          <w:rFonts w:ascii="Times New Roman" w:hAnsi="Times New Roman" w:cs="Times New Roman"/>
          <w:kern w:val="0"/>
          <w:sz w:val="24"/>
          <w:szCs w:val="24"/>
          <w14:ligatures w14:val="none"/>
        </w:rPr>
      </w:pPr>
      <w:r w:rsidRPr="007271B6">
        <w:rPr>
          <w:rFonts w:ascii="Times New Roman" w:hAnsi="Times New Roman" w:cs="Times New Roman"/>
          <w:color w:val="222222"/>
          <w:kern w:val="0"/>
          <w:sz w:val="24"/>
          <w:szCs w:val="24"/>
          <w:shd w:val="clear" w:color="auto" w:fill="FFFFFF"/>
          <w14:ligatures w14:val="none"/>
        </w:rPr>
        <w:t xml:space="preserve">Rogge, M., (2021). Bringing corporate governance down to earth: from culmination outcomes to comprehensive outcomes in shareholder and stakeholder capitalism. </w:t>
      </w:r>
      <w:r w:rsidRPr="007271B6">
        <w:rPr>
          <w:rFonts w:ascii="Times New Roman" w:hAnsi="Times New Roman" w:cs="Times New Roman"/>
          <w:i/>
          <w:iCs/>
          <w:color w:val="222222"/>
          <w:kern w:val="0"/>
          <w:sz w:val="24"/>
          <w:szCs w:val="24"/>
          <w:shd w:val="clear" w:color="auto" w:fill="FFFFFF"/>
          <w14:ligatures w14:val="none"/>
        </w:rPr>
        <w:t xml:space="preserve">Notre Dame JL Ethics &amp; Pub. </w:t>
      </w:r>
      <w:proofErr w:type="spellStart"/>
      <w:r w:rsidRPr="007271B6">
        <w:rPr>
          <w:rFonts w:ascii="Times New Roman" w:hAnsi="Times New Roman" w:cs="Times New Roman"/>
          <w:i/>
          <w:iCs/>
          <w:color w:val="222222"/>
          <w:kern w:val="0"/>
          <w:sz w:val="24"/>
          <w:szCs w:val="24"/>
          <w:shd w:val="clear" w:color="auto" w:fill="FFFFFF"/>
          <w14:ligatures w14:val="none"/>
        </w:rPr>
        <w:t>Pol'y</w:t>
      </w:r>
      <w:proofErr w:type="spellEnd"/>
      <w:r w:rsidRPr="007271B6">
        <w:rPr>
          <w:rFonts w:ascii="Times New Roman" w:hAnsi="Times New Roman" w:cs="Times New Roman"/>
          <w:color w:val="222222"/>
          <w:kern w:val="0"/>
          <w:sz w:val="24"/>
          <w:szCs w:val="24"/>
          <w:shd w:val="clear" w:color="auto" w:fill="FFFFFF"/>
          <w14:ligatures w14:val="none"/>
        </w:rPr>
        <w:t>, </w:t>
      </w:r>
      <w:r w:rsidRPr="007271B6">
        <w:rPr>
          <w:rFonts w:ascii="Times New Roman" w:hAnsi="Times New Roman" w:cs="Times New Roman"/>
          <w:i/>
          <w:iCs/>
          <w:color w:val="222222"/>
          <w:kern w:val="0"/>
          <w:sz w:val="24"/>
          <w:szCs w:val="24"/>
          <w:shd w:val="clear" w:color="auto" w:fill="FFFFFF"/>
          <w14:ligatures w14:val="none"/>
        </w:rPr>
        <w:t>35</w:t>
      </w:r>
      <w:r w:rsidRPr="007271B6">
        <w:rPr>
          <w:rFonts w:ascii="Times New Roman" w:hAnsi="Times New Roman" w:cs="Times New Roman"/>
          <w:color w:val="222222"/>
          <w:kern w:val="0"/>
          <w:sz w:val="24"/>
          <w:szCs w:val="24"/>
          <w:shd w:val="clear" w:color="auto" w:fill="FFFFFF"/>
          <w14:ligatures w14:val="none"/>
        </w:rPr>
        <w:t xml:space="preserve">, p.241. </w:t>
      </w:r>
      <w:hyperlink r:id="rId32" w:history="1">
        <w:r w:rsidR="001151B8" w:rsidRPr="007271B6">
          <w:rPr>
            <w:rStyle w:val="Hyperlink"/>
            <w:rFonts w:ascii="Times New Roman" w:hAnsi="Times New Roman" w:cs="Times New Roman"/>
            <w:kern w:val="0"/>
            <w:sz w:val="24"/>
            <w:szCs w:val="24"/>
            <w:shd w:val="clear" w:color="auto" w:fill="FFFFFF"/>
            <w14:ligatures w14:val="none"/>
          </w:rPr>
          <w:t xml:space="preserve">Bringing Corporate Governance Down to Earth: From Culmination Outcomes to Comprehensive Outcomes in Shareholder and Stakeholder Capitalism by Malcolm </w:t>
        </w:r>
        <w:proofErr w:type="gramStart"/>
        <w:r w:rsidR="001151B8" w:rsidRPr="007271B6">
          <w:rPr>
            <w:rStyle w:val="Hyperlink"/>
            <w:rFonts w:ascii="Times New Roman" w:hAnsi="Times New Roman" w:cs="Times New Roman"/>
            <w:kern w:val="0"/>
            <w:sz w:val="24"/>
            <w:szCs w:val="24"/>
            <w:shd w:val="clear" w:color="auto" w:fill="FFFFFF"/>
            <w14:ligatures w14:val="none"/>
          </w:rPr>
          <w:t>Rogge :</w:t>
        </w:r>
        <w:proofErr w:type="gramEnd"/>
        <w:r w:rsidR="001151B8" w:rsidRPr="007271B6">
          <w:rPr>
            <w:rStyle w:val="Hyperlink"/>
            <w:rFonts w:ascii="Times New Roman" w:hAnsi="Times New Roman" w:cs="Times New Roman"/>
            <w:kern w:val="0"/>
            <w:sz w:val="24"/>
            <w:szCs w:val="24"/>
            <w:shd w:val="clear" w:color="auto" w:fill="FFFFFF"/>
            <w14:ligatures w14:val="none"/>
          </w:rPr>
          <w:t>: SSRN</w:t>
        </w:r>
      </w:hyperlink>
    </w:p>
    <w:p w14:paraId="5F853F2D" w14:textId="77777777" w:rsidR="00922245" w:rsidRPr="007271B6" w:rsidRDefault="00922245" w:rsidP="00922245">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Roundy, P.T. and Bayer, M. (2019) 'To bridge or buffer? A resource dependence theory of nascent entrepreneurial ecosystems,' </w:t>
      </w:r>
      <w:r w:rsidRPr="007271B6">
        <w:rPr>
          <w:rFonts w:ascii="Times New Roman" w:eastAsia="Times New Roman" w:hAnsi="Times New Roman" w:cs="Times New Roman"/>
          <w:i/>
          <w:iCs/>
          <w:kern w:val="0"/>
          <w:sz w:val="24"/>
          <w:szCs w:val="24"/>
          <w14:ligatures w14:val="none"/>
        </w:rPr>
        <w:t>Journal of Entrepreneurship in Emerging Economies</w:t>
      </w:r>
      <w:r w:rsidRPr="007271B6">
        <w:rPr>
          <w:rFonts w:ascii="Times New Roman" w:eastAsia="Times New Roman" w:hAnsi="Times New Roman" w:cs="Times New Roman"/>
          <w:kern w:val="0"/>
          <w:sz w:val="24"/>
          <w:szCs w:val="24"/>
          <w14:ligatures w14:val="none"/>
        </w:rPr>
        <w:t xml:space="preserve">, 11(4), pp. 550–575. </w:t>
      </w:r>
      <w:hyperlink r:id="rId33" w:history="1">
        <w:r w:rsidRPr="007271B6">
          <w:rPr>
            <w:rFonts w:ascii="Times New Roman" w:eastAsia="Times New Roman" w:hAnsi="Times New Roman" w:cs="Times New Roman"/>
            <w:color w:val="0563C1" w:themeColor="hyperlink"/>
            <w:kern w:val="0"/>
            <w:sz w:val="24"/>
            <w:szCs w:val="24"/>
            <w:u w:val="single"/>
            <w14:ligatures w14:val="none"/>
          </w:rPr>
          <w:t>https://doi.org/10.1108/jeee-06-2018-0064</w:t>
        </w:r>
      </w:hyperlink>
      <w:r w:rsidRPr="007271B6">
        <w:rPr>
          <w:rFonts w:ascii="Times New Roman" w:eastAsia="Times New Roman" w:hAnsi="Times New Roman" w:cs="Times New Roman"/>
          <w:kern w:val="0"/>
          <w:sz w:val="24"/>
          <w:szCs w:val="24"/>
          <w14:ligatures w14:val="none"/>
        </w:rPr>
        <w:t xml:space="preserve"> </w:t>
      </w:r>
    </w:p>
    <w:p w14:paraId="7D1B2825" w14:textId="77777777" w:rsidR="00052857" w:rsidRDefault="00052857" w:rsidP="00922245">
      <w:pPr>
        <w:spacing w:after="200" w:line="480" w:lineRule="auto"/>
        <w:ind w:left="720" w:hanging="720"/>
        <w:rPr>
          <w:rFonts w:ascii="Times New Roman" w:hAnsi="Times New Roman" w:cs="Times New Roman"/>
          <w:kern w:val="0"/>
          <w:sz w:val="24"/>
          <w:szCs w:val="24"/>
        </w:rPr>
      </w:pPr>
    </w:p>
    <w:p w14:paraId="216C0CBD" w14:textId="4E786DDA" w:rsidR="00922245" w:rsidRPr="007271B6" w:rsidRDefault="00922245" w:rsidP="00922245">
      <w:pPr>
        <w:spacing w:after="200" w:line="480" w:lineRule="auto"/>
        <w:ind w:left="720" w:hanging="720"/>
        <w:rPr>
          <w:rFonts w:ascii="Times New Roman" w:hAnsi="Times New Roman" w:cs="Times New Roman"/>
          <w:kern w:val="0"/>
          <w:sz w:val="24"/>
          <w:szCs w:val="24"/>
        </w:rPr>
      </w:pPr>
      <w:r w:rsidRPr="007271B6">
        <w:rPr>
          <w:rFonts w:ascii="Times New Roman" w:hAnsi="Times New Roman" w:cs="Times New Roman"/>
          <w:kern w:val="0"/>
          <w:sz w:val="24"/>
          <w:szCs w:val="24"/>
        </w:rPr>
        <w:lastRenderedPageBreak/>
        <w:t>Roy, D., Anand, P. and Chandra, S., 2022. FTX Collapse: The Chronicle and the Implications. </w:t>
      </w:r>
      <w:proofErr w:type="spellStart"/>
      <w:r w:rsidRPr="007271B6">
        <w:rPr>
          <w:rFonts w:ascii="Times New Roman" w:hAnsi="Times New Roman" w:cs="Times New Roman"/>
          <w:i/>
          <w:iCs/>
          <w:kern w:val="0"/>
          <w:sz w:val="24"/>
          <w:szCs w:val="24"/>
        </w:rPr>
        <w:t>Vinimaya</w:t>
      </w:r>
      <w:proofErr w:type="spellEnd"/>
      <w:r w:rsidRPr="007271B6">
        <w:rPr>
          <w:rFonts w:ascii="Times New Roman" w:hAnsi="Times New Roman" w:cs="Times New Roman"/>
          <w:kern w:val="0"/>
          <w:sz w:val="24"/>
          <w:szCs w:val="24"/>
        </w:rPr>
        <w:t>, </w:t>
      </w:r>
      <w:r w:rsidRPr="007271B6">
        <w:rPr>
          <w:rFonts w:ascii="Times New Roman" w:hAnsi="Times New Roman" w:cs="Times New Roman"/>
          <w:i/>
          <w:iCs/>
          <w:kern w:val="0"/>
          <w:sz w:val="24"/>
          <w:szCs w:val="24"/>
        </w:rPr>
        <w:t>43</w:t>
      </w:r>
      <w:r w:rsidRPr="007271B6">
        <w:rPr>
          <w:rFonts w:ascii="Times New Roman" w:hAnsi="Times New Roman" w:cs="Times New Roman"/>
          <w:kern w:val="0"/>
          <w:sz w:val="24"/>
          <w:szCs w:val="24"/>
        </w:rPr>
        <w:t xml:space="preserve">(4), pp.45-51. Available at: </w:t>
      </w:r>
      <w:hyperlink r:id="rId34" w:history="1">
        <w:r w:rsidRPr="007271B6">
          <w:rPr>
            <w:rStyle w:val="Hyperlink"/>
            <w:rFonts w:ascii="Times New Roman" w:hAnsi="Times New Roman" w:cs="Times New Roman"/>
            <w:kern w:val="0"/>
            <w:sz w:val="24"/>
            <w:szCs w:val="24"/>
          </w:rPr>
          <w:t>https://search.proquest.com/openview/425834d5c75a9afff19581f31aff5915/1?pq-origsite=gscholar&amp;cbl=2044398</w:t>
        </w:r>
      </w:hyperlink>
    </w:p>
    <w:p w14:paraId="35011140" w14:textId="501498BD" w:rsidR="00367085" w:rsidRPr="007271B6" w:rsidRDefault="000D44E1" w:rsidP="00922245">
      <w:pPr>
        <w:shd w:val="clear" w:color="auto" w:fill="FFFFFF"/>
        <w:spacing w:after="0" w:line="480" w:lineRule="auto"/>
        <w:ind w:left="720" w:right="75" w:hanging="720"/>
        <w:contextualSpacing/>
        <w:rPr>
          <w:rFonts w:ascii="Times New Roman" w:eastAsia="Calibri"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Saltz, J. S., &amp; Dewar, N., 2019. Data science ethical considerations: A systematic literature review and proposed project framework. </w:t>
      </w:r>
      <w:r w:rsidRPr="007271B6">
        <w:rPr>
          <w:rFonts w:ascii="Times New Roman" w:eastAsia="Times New Roman" w:hAnsi="Times New Roman" w:cs="Times New Roman"/>
          <w:i/>
          <w:iCs/>
          <w:kern w:val="0"/>
          <w:sz w:val="24"/>
          <w:szCs w:val="24"/>
          <w14:ligatures w14:val="none"/>
        </w:rPr>
        <w:t>Ethics and Information Technology</w:t>
      </w:r>
      <w:r w:rsidRPr="007271B6">
        <w:rPr>
          <w:rFonts w:ascii="Times New Roman" w:eastAsia="Times New Roman" w:hAnsi="Times New Roman" w:cs="Times New Roman"/>
          <w:kern w:val="0"/>
          <w:sz w:val="24"/>
          <w:szCs w:val="24"/>
          <w14:ligatures w14:val="none"/>
        </w:rPr>
        <w:t>, </w:t>
      </w:r>
      <w:r w:rsidRPr="007271B6">
        <w:rPr>
          <w:rFonts w:ascii="Times New Roman" w:eastAsia="Times New Roman" w:hAnsi="Times New Roman" w:cs="Times New Roman"/>
          <w:i/>
          <w:iCs/>
          <w:kern w:val="0"/>
          <w:sz w:val="24"/>
          <w:szCs w:val="24"/>
          <w14:ligatures w14:val="none"/>
        </w:rPr>
        <w:t>21</w:t>
      </w:r>
      <w:r w:rsidRPr="007271B6">
        <w:rPr>
          <w:rFonts w:ascii="Times New Roman" w:eastAsia="Times New Roman" w:hAnsi="Times New Roman" w:cs="Times New Roman"/>
          <w:kern w:val="0"/>
          <w:sz w:val="24"/>
          <w:szCs w:val="24"/>
          <w14:ligatures w14:val="none"/>
        </w:rPr>
        <w:t>(3), 197-208. </w:t>
      </w:r>
      <w:hyperlink r:id="rId35" w:history="1">
        <w:r w:rsidRPr="007271B6">
          <w:rPr>
            <w:rFonts w:ascii="Times New Roman" w:eastAsia="Times New Roman" w:hAnsi="Times New Roman" w:cs="Times New Roman"/>
            <w:color w:val="0563C1" w:themeColor="hyperlink"/>
            <w:kern w:val="0"/>
            <w:sz w:val="24"/>
            <w:szCs w:val="24"/>
            <w:u w:val="single"/>
            <w14:ligatures w14:val="none"/>
          </w:rPr>
          <w:t>https://doi.org/10.1007/s10676-019-09502-5</w:t>
        </w:r>
      </w:hyperlink>
    </w:p>
    <w:p w14:paraId="0A4E17D1" w14:textId="77777777" w:rsidR="00F808B3" w:rsidRPr="007271B6" w:rsidRDefault="00F808B3" w:rsidP="00F808B3">
      <w:pPr>
        <w:spacing w:after="0" w:line="480" w:lineRule="auto"/>
        <w:ind w:left="720" w:hanging="720"/>
        <w:rPr>
          <w:rFonts w:ascii="Times New Roman" w:eastAsia="Times New Roman" w:hAnsi="Times New Roman" w:cs="Times New Roman"/>
          <w:kern w:val="0"/>
          <w:sz w:val="24"/>
          <w:szCs w:val="24"/>
          <w14:ligatures w14:val="none"/>
        </w:rPr>
      </w:pPr>
      <w:proofErr w:type="spellStart"/>
      <w:r w:rsidRPr="007271B6">
        <w:rPr>
          <w:rFonts w:ascii="Times New Roman" w:eastAsia="Times New Roman" w:hAnsi="Times New Roman" w:cs="Times New Roman"/>
          <w:kern w:val="0"/>
          <w:sz w:val="24"/>
          <w:szCs w:val="24"/>
          <w14:ligatures w14:val="none"/>
        </w:rPr>
        <w:t>Sensoy</w:t>
      </w:r>
      <w:proofErr w:type="spellEnd"/>
      <w:r w:rsidRPr="007271B6">
        <w:rPr>
          <w:rFonts w:ascii="Times New Roman" w:eastAsia="Times New Roman" w:hAnsi="Times New Roman" w:cs="Times New Roman"/>
          <w:kern w:val="0"/>
          <w:sz w:val="24"/>
          <w:szCs w:val="24"/>
          <w14:ligatures w14:val="none"/>
        </w:rPr>
        <w:t xml:space="preserve">, A. </w:t>
      </w:r>
      <w:r w:rsidRPr="007271B6">
        <w:rPr>
          <w:rFonts w:ascii="Times New Roman" w:eastAsia="Times New Roman" w:hAnsi="Times New Roman" w:cs="Times New Roman"/>
          <w:i/>
          <w:iCs/>
          <w:kern w:val="0"/>
          <w:sz w:val="24"/>
          <w:szCs w:val="24"/>
          <w14:ligatures w14:val="none"/>
        </w:rPr>
        <w:t>et al.</w:t>
      </w:r>
      <w:r w:rsidRPr="007271B6">
        <w:rPr>
          <w:rFonts w:ascii="Times New Roman" w:eastAsia="Times New Roman" w:hAnsi="Times New Roman" w:cs="Times New Roman"/>
          <w:kern w:val="0"/>
          <w:sz w:val="24"/>
          <w:szCs w:val="24"/>
          <w14:ligatures w14:val="none"/>
        </w:rPr>
        <w:t xml:space="preserve"> (2021) 'High-frequency return and volatility spillovers among cryptocurrencies,' </w:t>
      </w:r>
      <w:r w:rsidRPr="007271B6">
        <w:rPr>
          <w:rFonts w:ascii="Times New Roman" w:eastAsia="Times New Roman" w:hAnsi="Times New Roman" w:cs="Times New Roman"/>
          <w:i/>
          <w:iCs/>
          <w:kern w:val="0"/>
          <w:sz w:val="24"/>
          <w:szCs w:val="24"/>
          <w14:ligatures w14:val="none"/>
        </w:rPr>
        <w:t>Applied Economics</w:t>
      </w:r>
      <w:r w:rsidRPr="007271B6">
        <w:rPr>
          <w:rFonts w:ascii="Times New Roman" w:eastAsia="Times New Roman" w:hAnsi="Times New Roman" w:cs="Times New Roman"/>
          <w:kern w:val="0"/>
          <w:sz w:val="24"/>
          <w:szCs w:val="24"/>
          <w14:ligatures w14:val="none"/>
        </w:rPr>
        <w:t xml:space="preserve">, 53(37), pp. 4310–4328. </w:t>
      </w:r>
      <w:hyperlink r:id="rId36" w:history="1">
        <w:r w:rsidRPr="007271B6">
          <w:rPr>
            <w:rFonts w:ascii="Times New Roman" w:eastAsia="Times New Roman" w:hAnsi="Times New Roman" w:cs="Times New Roman"/>
            <w:color w:val="0563C1" w:themeColor="hyperlink"/>
            <w:kern w:val="0"/>
            <w:sz w:val="24"/>
            <w:szCs w:val="24"/>
            <w:u w:val="single"/>
            <w14:ligatures w14:val="none"/>
          </w:rPr>
          <w:t>https://doi.org/10.1080/00036846.2021.1899119</w:t>
        </w:r>
      </w:hyperlink>
      <w:r w:rsidRPr="007271B6">
        <w:rPr>
          <w:rFonts w:ascii="Times New Roman" w:eastAsia="Times New Roman" w:hAnsi="Times New Roman" w:cs="Times New Roman"/>
          <w:kern w:val="0"/>
          <w:sz w:val="24"/>
          <w:szCs w:val="24"/>
          <w14:ligatures w14:val="none"/>
        </w:rPr>
        <w:t xml:space="preserve"> </w:t>
      </w:r>
    </w:p>
    <w:p w14:paraId="70F46498" w14:textId="77777777" w:rsidR="00F808B3" w:rsidRPr="007271B6" w:rsidRDefault="00F808B3" w:rsidP="00F808B3">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Sent, E.-M. and Kroese, A.L.J. (2021) 'Commemorating Oliver Williamson, a founding father of transaction cost economics,' </w:t>
      </w:r>
      <w:r w:rsidRPr="007271B6">
        <w:rPr>
          <w:rFonts w:ascii="Times New Roman" w:eastAsia="Times New Roman" w:hAnsi="Times New Roman" w:cs="Times New Roman"/>
          <w:i/>
          <w:iCs/>
          <w:kern w:val="0"/>
          <w:sz w:val="24"/>
          <w:szCs w:val="24"/>
          <w14:ligatures w14:val="none"/>
        </w:rPr>
        <w:t>Journal of Institutional Economics</w:t>
      </w:r>
      <w:r w:rsidRPr="007271B6">
        <w:rPr>
          <w:rFonts w:ascii="Times New Roman" w:eastAsia="Times New Roman" w:hAnsi="Times New Roman" w:cs="Times New Roman"/>
          <w:kern w:val="0"/>
          <w:sz w:val="24"/>
          <w:szCs w:val="24"/>
          <w14:ligatures w14:val="none"/>
        </w:rPr>
        <w:t xml:space="preserve">, 18(2), pp. 181–193. </w:t>
      </w:r>
      <w:hyperlink r:id="rId37" w:history="1">
        <w:r w:rsidRPr="007271B6">
          <w:rPr>
            <w:rFonts w:ascii="Times New Roman" w:eastAsia="Times New Roman" w:hAnsi="Times New Roman" w:cs="Times New Roman"/>
            <w:color w:val="0563C1" w:themeColor="hyperlink"/>
            <w:kern w:val="0"/>
            <w:sz w:val="24"/>
            <w:szCs w:val="24"/>
            <w:u w:val="single"/>
            <w14:ligatures w14:val="none"/>
          </w:rPr>
          <w:t>https://doi.org/10.1017/s1744137421000606</w:t>
        </w:r>
      </w:hyperlink>
      <w:r w:rsidRPr="007271B6">
        <w:rPr>
          <w:rFonts w:ascii="Times New Roman" w:eastAsia="Times New Roman" w:hAnsi="Times New Roman" w:cs="Times New Roman"/>
          <w:kern w:val="0"/>
          <w:sz w:val="24"/>
          <w:szCs w:val="24"/>
          <w14:ligatures w14:val="none"/>
        </w:rPr>
        <w:t xml:space="preserve"> </w:t>
      </w:r>
    </w:p>
    <w:p w14:paraId="6AC419D8" w14:textId="77777777" w:rsidR="00F808B3" w:rsidRPr="007271B6" w:rsidRDefault="00F808B3" w:rsidP="00F808B3">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Stakeholder Theory (2018) </w:t>
      </w:r>
      <w:r w:rsidRPr="007271B6">
        <w:rPr>
          <w:rFonts w:ascii="Times New Roman" w:eastAsia="Times New Roman" w:hAnsi="Times New Roman" w:cs="Times New Roman"/>
          <w:i/>
          <w:iCs/>
          <w:kern w:val="0"/>
          <w:sz w:val="24"/>
          <w:szCs w:val="24"/>
          <w14:ligatures w14:val="none"/>
        </w:rPr>
        <w:t>About Stakeholder Theory</w:t>
      </w:r>
      <w:r w:rsidRPr="007271B6">
        <w:rPr>
          <w:rFonts w:ascii="Times New Roman" w:eastAsia="Times New Roman" w:hAnsi="Times New Roman" w:cs="Times New Roman"/>
          <w:kern w:val="0"/>
          <w:sz w:val="24"/>
          <w:szCs w:val="24"/>
          <w14:ligatures w14:val="none"/>
        </w:rPr>
        <w:t xml:space="preserve">. </w:t>
      </w:r>
      <w:hyperlink r:id="rId38" w:history="1">
        <w:r w:rsidRPr="007271B6">
          <w:rPr>
            <w:rFonts w:ascii="Times New Roman" w:eastAsia="Times New Roman" w:hAnsi="Times New Roman" w:cs="Times New Roman"/>
            <w:color w:val="0563C1" w:themeColor="hyperlink"/>
            <w:kern w:val="0"/>
            <w:sz w:val="24"/>
            <w:szCs w:val="24"/>
            <w:u w:val="single"/>
            <w14:ligatures w14:val="none"/>
          </w:rPr>
          <w:t>http://stakeholdertheory.org/about/</w:t>
        </w:r>
      </w:hyperlink>
      <w:r w:rsidRPr="007271B6">
        <w:rPr>
          <w:rFonts w:ascii="Times New Roman" w:eastAsia="Times New Roman" w:hAnsi="Times New Roman" w:cs="Times New Roman"/>
          <w:kern w:val="0"/>
          <w:sz w:val="24"/>
          <w:szCs w:val="24"/>
          <w14:ligatures w14:val="none"/>
        </w:rPr>
        <w:t xml:space="preserve"> </w:t>
      </w:r>
    </w:p>
    <w:p w14:paraId="002072C7" w14:textId="77777777" w:rsidR="00F808B3" w:rsidRPr="007271B6" w:rsidRDefault="00F808B3" w:rsidP="00F808B3">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Tekin, </w:t>
      </w:r>
      <w:proofErr w:type="gramStart"/>
      <w:r w:rsidRPr="007271B6">
        <w:rPr>
          <w:rFonts w:ascii="Times New Roman" w:eastAsia="Times New Roman" w:hAnsi="Times New Roman" w:cs="Times New Roman"/>
          <w:kern w:val="0"/>
          <w:sz w:val="24"/>
          <w:szCs w:val="24"/>
          <w14:ligatures w14:val="none"/>
        </w:rPr>
        <w:t>H.</w:t>
      </w:r>
      <w:proofErr w:type="gramEnd"/>
      <w:r w:rsidRPr="007271B6">
        <w:rPr>
          <w:rFonts w:ascii="Times New Roman" w:eastAsia="Times New Roman" w:hAnsi="Times New Roman" w:cs="Times New Roman"/>
          <w:kern w:val="0"/>
          <w:sz w:val="24"/>
          <w:szCs w:val="24"/>
          <w14:ligatures w14:val="none"/>
        </w:rPr>
        <w:t xml:space="preserve"> and Polat, A.Y. (2020) Agency theory: A review in finance. </w:t>
      </w:r>
      <w:r w:rsidRPr="007271B6">
        <w:rPr>
          <w:rFonts w:ascii="Times New Roman" w:eastAsia="Times New Roman" w:hAnsi="Times New Roman" w:cs="Times New Roman"/>
          <w:i/>
          <w:iCs/>
          <w:kern w:val="0"/>
          <w:sz w:val="24"/>
          <w:szCs w:val="24"/>
          <w14:ligatures w14:val="none"/>
        </w:rPr>
        <w:t xml:space="preserve">Anemon </w:t>
      </w:r>
      <w:proofErr w:type="spellStart"/>
      <w:r w:rsidRPr="007271B6">
        <w:rPr>
          <w:rFonts w:ascii="Times New Roman" w:eastAsia="Times New Roman" w:hAnsi="Times New Roman" w:cs="Times New Roman"/>
          <w:i/>
          <w:iCs/>
          <w:kern w:val="0"/>
          <w:sz w:val="24"/>
          <w:szCs w:val="24"/>
          <w14:ligatures w14:val="none"/>
        </w:rPr>
        <w:t>Muş</w:t>
      </w:r>
      <w:proofErr w:type="spellEnd"/>
      <w:r w:rsidRPr="007271B6">
        <w:rPr>
          <w:rFonts w:ascii="Times New Roman" w:eastAsia="Times New Roman" w:hAnsi="Times New Roman" w:cs="Times New Roman"/>
          <w:i/>
          <w:iCs/>
          <w:kern w:val="0"/>
          <w:sz w:val="24"/>
          <w:szCs w:val="24"/>
          <w14:ligatures w14:val="none"/>
        </w:rPr>
        <w:t xml:space="preserve"> Alparslan </w:t>
      </w:r>
      <w:proofErr w:type="spellStart"/>
      <w:r w:rsidRPr="007271B6">
        <w:rPr>
          <w:rFonts w:ascii="Times New Roman" w:eastAsia="Times New Roman" w:hAnsi="Times New Roman" w:cs="Times New Roman"/>
          <w:i/>
          <w:iCs/>
          <w:kern w:val="0"/>
          <w:sz w:val="24"/>
          <w:szCs w:val="24"/>
          <w14:ligatures w14:val="none"/>
        </w:rPr>
        <w:t>Üniversitesi</w:t>
      </w:r>
      <w:proofErr w:type="spellEnd"/>
      <w:r w:rsidRPr="007271B6">
        <w:rPr>
          <w:rFonts w:ascii="Times New Roman" w:eastAsia="Times New Roman" w:hAnsi="Times New Roman" w:cs="Times New Roman"/>
          <w:i/>
          <w:iCs/>
          <w:kern w:val="0"/>
          <w:sz w:val="24"/>
          <w:szCs w:val="24"/>
          <w14:ligatures w14:val="none"/>
        </w:rPr>
        <w:t xml:space="preserve"> </w:t>
      </w:r>
      <w:proofErr w:type="spellStart"/>
      <w:r w:rsidRPr="007271B6">
        <w:rPr>
          <w:rFonts w:ascii="Times New Roman" w:eastAsia="Times New Roman" w:hAnsi="Times New Roman" w:cs="Times New Roman"/>
          <w:i/>
          <w:iCs/>
          <w:kern w:val="0"/>
          <w:sz w:val="24"/>
          <w:szCs w:val="24"/>
          <w14:ligatures w14:val="none"/>
        </w:rPr>
        <w:t>Sosyal</w:t>
      </w:r>
      <w:proofErr w:type="spellEnd"/>
      <w:r w:rsidRPr="007271B6">
        <w:rPr>
          <w:rFonts w:ascii="Times New Roman" w:eastAsia="Times New Roman" w:hAnsi="Times New Roman" w:cs="Times New Roman"/>
          <w:i/>
          <w:iCs/>
          <w:kern w:val="0"/>
          <w:sz w:val="24"/>
          <w:szCs w:val="24"/>
          <w14:ligatures w14:val="none"/>
        </w:rPr>
        <w:t xml:space="preserve"> </w:t>
      </w:r>
      <w:proofErr w:type="spellStart"/>
      <w:r w:rsidRPr="007271B6">
        <w:rPr>
          <w:rFonts w:ascii="Times New Roman" w:eastAsia="Times New Roman" w:hAnsi="Times New Roman" w:cs="Times New Roman"/>
          <w:i/>
          <w:iCs/>
          <w:kern w:val="0"/>
          <w:sz w:val="24"/>
          <w:szCs w:val="24"/>
          <w14:ligatures w14:val="none"/>
        </w:rPr>
        <w:t>Bilimler</w:t>
      </w:r>
      <w:proofErr w:type="spellEnd"/>
      <w:r w:rsidRPr="007271B6">
        <w:rPr>
          <w:rFonts w:ascii="Times New Roman" w:eastAsia="Times New Roman" w:hAnsi="Times New Roman" w:cs="Times New Roman"/>
          <w:i/>
          <w:iCs/>
          <w:kern w:val="0"/>
          <w:sz w:val="24"/>
          <w:szCs w:val="24"/>
          <w14:ligatures w14:val="none"/>
        </w:rPr>
        <w:t xml:space="preserve"> </w:t>
      </w:r>
      <w:proofErr w:type="spellStart"/>
      <w:r w:rsidRPr="007271B6">
        <w:rPr>
          <w:rFonts w:ascii="Times New Roman" w:eastAsia="Times New Roman" w:hAnsi="Times New Roman" w:cs="Times New Roman"/>
          <w:i/>
          <w:iCs/>
          <w:kern w:val="0"/>
          <w:sz w:val="24"/>
          <w:szCs w:val="24"/>
          <w14:ligatures w14:val="none"/>
        </w:rPr>
        <w:t>Dergisi</w:t>
      </w:r>
      <w:proofErr w:type="spellEnd"/>
      <w:r w:rsidRPr="007271B6">
        <w:rPr>
          <w:rFonts w:ascii="Times New Roman" w:eastAsia="Times New Roman" w:hAnsi="Times New Roman" w:cs="Times New Roman"/>
          <w:kern w:val="0"/>
          <w:sz w:val="24"/>
          <w:szCs w:val="24"/>
          <w14:ligatures w14:val="none"/>
        </w:rPr>
        <w:t xml:space="preserve">, 8(4), pp. 1323–1329. </w:t>
      </w:r>
      <w:hyperlink r:id="rId39" w:history="1">
        <w:r w:rsidRPr="007271B6">
          <w:rPr>
            <w:rFonts w:ascii="Times New Roman" w:eastAsia="Times New Roman" w:hAnsi="Times New Roman" w:cs="Times New Roman"/>
            <w:color w:val="0563C1" w:themeColor="hyperlink"/>
            <w:kern w:val="0"/>
            <w:sz w:val="24"/>
            <w:szCs w:val="24"/>
            <w:u w:val="single"/>
            <w14:ligatures w14:val="none"/>
          </w:rPr>
          <w:t>https://doi.org/10.18506/anemon.712351</w:t>
        </w:r>
      </w:hyperlink>
      <w:r w:rsidRPr="007271B6">
        <w:rPr>
          <w:rFonts w:ascii="Times New Roman" w:eastAsia="Times New Roman" w:hAnsi="Times New Roman" w:cs="Times New Roman"/>
          <w:kern w:val="0"/>
          <w:sz w:val="24"/>
          <w:szCs w:val="24"/>
          <w14:ligatures w14:val="none"/>
        </w:rPr>
        <w:t xml:space="preserve"> </w:t>
      </w:r>
    </w:p>
    <w:p w14:paraId="77DFE0C8" w14:textId="77777777" w:rsidR="00F808B3" w:rsidRPr="007271B6" w:rsidRDefault="00F808B3" w:rsidP="00F808B3">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Trautman, L.J. (2022) 'The FTX crypto debacle: largest fraud since Madoff?' </w:t>
      </w:r>
      <w:r w:rsidRPr="007271B6">
        <w:rPr>
          <w:rFonts w:ascii="Times New Roman" w:eastAsia="Times New Roman" w:hAnsi="Times New Roman" w:cs="Times New Roman"/>
          <w:i/>
          <w:iCs/>
          <w:kern w:val="0"/>
          <w:sz w:val="24"/>
          <w:szCs w:val="24"/>
          <w14:ligatures w14:val="none"/>
        </w:rPr>
        <w:t>Social Science Research Network</w:t>
      </w:r>
      <w:r w:rsidRPr="007271B6">
        <w:rPr>
          <w:rFonts w:ascii="Times New Roman" w:eastAsia="Times New Roman" w:hAnsi="Times New Roman" w:cs="Times New Roman"/>
          <w:kern w:val="0"/>
          <w:sz w:val="24"/>
          <w:szCs w:val="24"/>
          <w14:ligatures w14:val="none"/>
        </w:rPr>
        <w:t xml:space="preserve"> [Preprint]. </w:t>
      </w:r>
      <w:hyperlink r:id="rId40" w:history="1">
        <w:r w:rsidRPr="007271B6">
          <w:rPr>
            <w:rFonts w:ascii="Times New Roman" w:eastAsia="Times New Roman" w:hAnsi="Times New Roman" w:cs="Times New Roman"/>
            <w:color w:val="0563C1" w:themeColor="hyperlink"/>
            <w:kern w:val="0"/>
            <w:sz w:val="24"/>
            <w:szCs w:val="24"/>
            <w:u w:val="single"/>
            <w14:ligatures w14:val="none"/>
          </w:rPr>
          <w:t>https://doi.org/10.2139/ssrn.4290093</w:t>
        </w:r>
      </w:hyperlink>
      <w:r w:rsidRPr="007271B6">
        <w:rPr>
          <w:rFonts w:ascii="Times New Roman" w:eastAsia="Times New Roman" w:hAnsi="Times New Roman" w:cs="Times New Roman"/>
          <w:kern w:val="0"/>
          <w:sz w:val="24"/>
          <w:szCs w:val="24"/>
          <w14:ligatures w14:val="none"/>
        </w:rPr>
        <w:t xml:space="preserve"> </w:t>
      </w:r>
    </w:p>
    <w:p w14:paraId="62BF441A" w14:textId="77777777" w:rsidR="00F808B3" w:rsidRPr="007271B6" w:rsidRDefault="00F808B3" w:rsidP="00F808B3">
      <w:pPr>
        <w:spacing w:after="0" w:line="480" w:lineRule="auto"/>
        <w:ind w:left="720" w:hanging="720"/>
        <w:rPr>
          <w:rFonts w:ascii="Times New Roman" w:eastAsia="Times New Roman" w:hAnsi="Times New Roman" w:cs="Times New Roman"/>
          <w:kern w:val="0"/>
          <w:sz w:val="24"/>
          <w:szCs w:val="24"/>
          <w14:ligatures w14:val="none"/>
        </w:rPr>
      </w:pPr>
      <w:r w:rsidRPr="007271B6">
        <w:rPr>
          <w:rFonts w:ascii="Times New Roman" w:eastAsia="Times New Roman" w:hAnsi="Times New Roman" w:cs="Times New Roman"/>
          <w:kern w:val="0"/>
          <w:sz w:val="24"/>
          <w:szCs w:val="24"/>
          <w14:ligatures w14:val="none"/>
        </w:rPr>
        <w:t xml:space="preserve">Vidal-Tomás, D., Briola, A. and Aste, T. (2023) 'FTX's downfall and </w:t>
      </w:r>
      <w:proofErr w:type="spellStart"/>
      <w:r w:rsidRPr="007271B6">
        <w:rPr>
          <w:rFonts w:ascii="Times New Roman" w:eastAsia="Times New Roman" w:hAnsi="Times New Roman" w:cs="Times New Roman"/>
          <w:kern w:val="0"/>
          <w:sz w:val="24"/>
          <w:szCs w:val="24"/>
          <w14:ligatures w14:val="none"/>
        </w:rPr>
        <w:t>Binance's</w:t>
      </w:r>
      <w:proofErr w:type="spellEnd"/>
      <w:r w:rsidRPr="007271B6">
        <w:rPr>
          <w:rFonts w:ascii="Times New Roman" w:eastAsia="Times New Roman" w:hAnsi="Times New Roman" w:cs="Times New Roman"/>
          <w:kern w:val="0"/>
          <w:sz w:val="24"/>
          <w:szCs w:val="24"/>
          <w14:ligatures w14:val="none"/>
        </w:rPr>
        <w:t xml:space="preserve"> consolidation: The fragility of centralized digital finance,' </w:t>
      </w:r>
      <w:proofErr w:type="spellStart"/>
      <w:r w:rsidRPr="007271B6">
        <w:rPr>
          <w:rFonts w:ascii="Times New Roman" w:eastAsia="Times New Roman" w:hAnsi="Times New Roman" w:cs="Times New Roman"/>
          <w:i/>
          <w:iCs/>
          <w:kern w:val="0"/>
          <w:sz w:val="24"/>
          <w:szCs w:val="24"/>
          <w14:ligatures w14:val="none"/>
        </w:rPr>
        <w:t>Physica</w:t>
      </w:r>
      <w:proofErr w:type="spellEnd"/>
      <w:r w:rsidRPr="007271B6">
        <w:rPr>
          <w:rFonts w:ascii="Times New Roman" w:eastAsia="Times New Roman" w:hAnsi="Times New Roman" w:cs="Times New Roman"/>
          <w:i/>
          <w:iCs/>
          <w:kern w:val="0"/>
          <w:sz w:val="24"/>
          <w:szCs w:val="24"/>
          <w14:ligatures w14:val="none"/>
        </w:rPr>
        <w:t xml:space="preserve"> D: Nonlinear Phenomena</w:t>
      </w:r>
      <w:r w:rsidRPr="007271B6">
        <w:rPr>
          <w:rFonts w:ascii="Times New Roman" w:eastAsia="Times New Roman" w:hAnsi="Times New Roman" w:cs="Times New Roman"/>
          <w:kern w:val="0"/>
          <w:sz w:val="24"/>
          <w:szCs w:val="24"/>
          <w14:ligatures w14:val="none"/>
        </w:rPr>
        <w:t xml:space="preserve">, 625, p. 129044. </w:t>
      </w:r>
      <w:hyperlink r:id="rId41" w:history="1">
        <w:r w:rsidRPr="007271B6">
          <w:rPr>
            <w:rFonts w:ascii="Times New Roman" w:eastAsia="Times New Roman" w:hAnsi="Times New Roman" w:cs="Times New Roman"/>
            <w:color w:val="0563C1" w:themeColor="hyperlink"/>
            <w:kern w:val="0"/>
            <w:sz w:val="24"/>
            <w:szCs w:val="24"/>
            <w:u w:val="single"/>
            <w14:ligatures w14:val="none"/>
          </w:rPr>
          <w:t>https://doi.org/10.1016/j.physa.2023.129044</w:t>
        </w:r>
      </w:hyperlink>
      <w:r w:rsidRPr="007271B6">
        <w:rPr>
          <w:rFonts w:ascii="Times New Roman" w:eastAsia="Times New Roman" w:hAnsi="Times New Roman" w:cs="Times New Roman"/>
          <w:kern w:val="0"/>
          <w:sz w:val="24"/>
          <w:szCs w:val="24"/>
          <w14:ligatures w14:val="none"/>
        </w:rPr>
        <w:t xml:space="preserve">. </w:t>
      </w:r>
    </w:p>
    <w:p w14:paraId="52249E41" w14:textId="77777777" w:rsidR="00052857" w:rsidRDefault="00052857" w:rsidP="00922245">
      <w:pPr>
        <w:tabs>
          <w:tab w:val="left" w:pos="6310"/>
        </w:tabs>
        <w:spacing w:after="0" w:line="480" w:lineRule="auto"/>
        <w:ind w:left="720" w:hanging="720"/>
        <w:jc w:val="both"/>
        <w:rPr>
          <w:rFonts w:ascii="Times New Roman" w:hAnsi="Times New Roman" w:cs="Times New Roman"/>
          <w:color w:val="222222"/>
          <w:kern w:val="0"/>
          <w:sz w:val="24"/>
          <w:szCs w:val="24"/>
          <w:shd w:val="clear" w:color="auto" w:fill="FFFFFF"/>
          <w14:ligatures w14:val="none"/>
        </w:rPr>
      </w:pPr>
    </w:p>
    <w:p w14:paraId="37456FC0" w14:textId="77777777" w:rsidR="00052857" w:rsidRDefault="00052857" w:rsidP="00922245">
      <w:pPr>
        <w:tabs>
          <w:tab w:val="left" w:pos="6310"/>
        </w:tabs>
        <w:spacing w:after="0" w:line="480" w:lineRule="auto"/>
        <w:ind w:left="720" w:hanging="720"/>
        <w:jc w:val="both"/>
        <w:rPr>
          <w:rFonts w:ascii="Times New Roman" w:hAnsi="Times New Roman" w:cs="Times New Roman"/>
          <w:color w:val="222222"/>
          <w:kern w:val="0"/>
          <w:sz w:val="24"/>
          <w:szCs w:val="24"/>
          <w:shd w:val="clear" w:color="auto" w:fill="FFFFFF"/>
          <w14:ligatures w14:val="none"/>
        </w:rPr>
      </w:pPr>
    </w:p>
    <w:p w14:paraId="1F315128" w14:textId="61D80505" w:rsidR="00922245" w:rsidRPr="007271B6" w:rsidRDefault="00922245" w:rsidP="00922245">
      <w:pPr>
        <w:tabs>
          <w:tab w:val="left" w:pos="6310"/>
        </w:tabs>
        <w:spacing w:after="0" w:line="480" w:lineRule="auto"/>
        <w:ind w:left="720" w:hanging="720"/>
        <w:jc w:val="both"/>
        <w:rPr>
          <w:rFonts w:ascii="Times New Roman" w:hAnsi="Times New Roman" w:cs="Times New Roman"/>
          <w:kern w:val="0"/>
          <w:sz w:val="24"/>
          <w:szCs w:val="24"/>
          <w14:ligatures w14:val="none"/>
        </w:rPr>
      </w:pPr>
      <w:proofErr w:type="spellStart"/>
      <w:r w:rsidRPr="007271B6">
        <w:rPr>
          <w:rFonts w:ascii="Times New Roman" w:hAnsi="Times New Roman" w:cs="Times New Roman"/>
          <w:color w:val="222222"/>
          <w:kern w:val="0"/>
          <w:sz w:val="24"/>
          <w:szCs w:val="24"/>
          <w:shd w:val="clear" w:color="auto" w:fill="FFFFFF"/>
          <w14:ligatures w14:val="none"/>
        </w:rPr>
        <w:lastRenderedPageBreak/>
        <w:t>Zetzsche</w:t>
      </w:r>
      <w:proofErr w:type="spellEnd"/>
      <w:r w:rsidRPr="007271B6">
        <w:rPr>
          <w:rFonts w:ascii="Times New Roman" w:hAnsi="Times New Roman" w:cs="Times New Roman"/>
          <w:color w:val="222222"/>
          <w:kern w:val="0"/>
          <w:sz w:val="24"/>
          <w:szCs w:val="24"/>
          <w:shd w:val="clear" w:color="auto" w:fill="FFFFFF"/>
          <w14:ligatures w14:val="none"/>
        </w:rPr>
        <w:t xml:space="preserve">, D. A., Buckley, R. P., Arner, D. W., &amp; van Ek, M. (2023). Remaining regulatory challenges in digital finance and </w:t>
      </w:r>
      <w:proofErr w:type="gramStart"/>
      <w:r w:rsidRPr="007271B6">
        <w:rPr>
          <w:rFonts w:ascii="Times New Roman" w:hAnsi="Times New Roman" w:cs="Times New Roman"/>
          <w:color w:val="222222"/>
          <w:kern w:val="0"/>
          <w:sz w:val="24"/>
          <w:szCs w:val="24"/>
          <w:shd w:val="clear" w:color="auto" w:fill="FFFFFF"/>
          <w14:ligatures w14:val="none"/>
        </w:rPr>
        <w:t>crypto-assets</w:t>
      </w:r>
      <w:proofErr w:type="gramEnd"/>
      <w:r w:rsidRPr="007271B6">
        <w:rPr>
          <w:rFonts w:ascii="Times New Roman" w:hAnsi="Times New Roman" w:cs="Times New Roman"/>
          <w:color w:val="222222"/>
          <w:kern w:val="0"/>
          <w:sz w:val="24"/>
          <w:szCs w:val="24"/>
          <w:shd w:val="clear" w:color="auto" w:fill="FFFFFF"/>
          <w14:ligatures w14:val="none"/>
        </w:rPr>
        <w:t xml:space="preserve"> after </w:t>
      </w:r>
      <w:proofErr w:type="spellStart"/>
      <w:r w:rsidRPr="007271B6">
        <w:rPr>
          <w:rFonts w:ascii="Times New Roman" w:hAnsi="Times New Roman" w:cs="Times New Roman"/>
          <w:color w:val="222222"/>
          <w:kern w:val="0"/>
          <w:sz w:val="24"/>
          <w:szCs w:val="24"/>
          <w:shd w:val="clear" w:color="auto" w:fill="FFFFFF"/>
          <w14:ligatures w14:val="none"/>
        </w:rPr>
        <w:t>MiCA</w:t>
      </w:r>
      <w:proofErr w:type="spellEnd"/>
      <w:r w:rsidR="001151B8" w:rsidRPr="007271B6">
        <w:rPr>
          <w:rFonts w:ascii="Times New Roman" w:hAnsi="Times New Roman" w:cs="Times New Roman"/>
          <w:color w:val="222222"/>
          <w:kern w:val="0"/>
          <w:sz w:val="24"/>
          <w:szCs w:val="24"/>
          <w:shd w:val="clear" w:color="auto" w:fill="FFFFFF"/>
          <w14:ligatures w14:val="none"/>
        </w:rPr>
        <w:t xml:space="preserve"> [Preprint]. </w:t>
      </w:r>
      <w:hyperlink r:id="rId42" w:history="1">
        <w:r w:rsidR="001151B8" w:rsidRPr="007271B6">
          <w:rPr>
            <w:rStyle w:val="Hyperlink"/>
            <w:rFonts w:ascii="Times New Roman" w:hAnsi="Times New Roman" w:cs="Times New Roman"/>
            <w:kern w:val="0"/>
            <w:sz w:val="24"/>
            <w:szCs w:val="24"/>
            <w:shd w:val="clear" w:color="auto" w:fill="FFFFFF"/>
            <w14:ligatures w14:val="none"/>
          </w:rPr>
          <w:t xml:space="preserve">Remaining regulatory challenges in digital finance and </w:t>
        </w:r>
        <w:proofErr w:type="gramStart"/>
        <w:r w:rsidR="001151B8" w:rsidRPr="007271B6">
          <w:rPr>
            <w:rStyle w:val="Hyperlink"/>
            <w:rFonts w:ascii="Times New Roman" w:hAnsi="Times New Roman" w:cs="Times New Roman"/>
            <w:kern w:val="0"/>
            <w:sz w:val="24"/>
            <w:szCs w:val="24"/>
            <w:shd w:val="clear" w:color="auto" w:fill="FFFFFF"/>
            <w14:ligatures w14:val="none"/>
          </w:rPr>
          <w:t>crypto-assets</w:t>
        </w:r>
        <w:proofErr w:type="gramEnd"/>
        <w:r w:rsidR="001151B8" w:rsidRPr="007271B6">
          <w:rPr>
            <w:rStyle w:val="Hyperlink"/>
            <w:rFonts w:ascii="Times New Roman" w:hAnsi="Times New Roman" w:cs="Times New Roman"/>
            <w:kern w:val="0"/>
            <w:sz w:val="24"/>
            <w:szCs w:val="24"/>
            <w:shd w:val="clear" w:color="auto" w:fill="FFFFFF"/>
            <w14:ligatures w14:val="none"/>
          </w:rPr>
          <w:t xml:space="preserve"> after </w:t>
        </w:r>
        <w:proofErr w:type="spellStart"/>
        <w:r w:rsidR="001151B8" w:rsidRPr="007271B6">
          <w:rPr>
            <w:rStyle w:val="Hyperlink"/>
            <w:rFonts w:ascii="Times New Roman" w:hAnsi="Times New Roman" w:cs="Times New Roman"/>
            <w:kern w:val="0"/>
            <w:sz w:val="24"/>
            <w:szCs w:val="24"/>
            <w:shd w:val="clear" w:color="auto" w:fill="FFFFFF"/>
            <w14:ligatures w14:val="none"/>
          </w:rPr>
          <w:t>MiCA</w:t>
        </w:r>
        <w:proofErr w:type="spellEnd"/>
        <w:r w:rsidR="001151B8" w:rsidRPr="007271B6">
          <w:rPr>
            <w:rStyle w:val="Hyperlink"/>
            <w:rFonts w:ascii="Times New Roman" w:hAnsi="Times New Roman" w:cs="Times New Roman"/>
            <w:kern w:val="0"/>
            <w:sz w:val="24"/>
            <w:szCs w:val="24"/>
            <w:shd w:val="clear" w:color="auto" w:fill="FFFFFF"/>
            <w14:ligatures w14:val="none"/>
          </w:rPr>
          <w:t xml:space="preserve"> | Think Tank | European Parliament (europa.eu)</w:t>
        </w:r>
      </w:hyperlink>
      <w:r w:rsidRPr="007271B6">
        <w:rPr>
          <w:rFonts w:ascii="Times New Roman" w:hAnsi="Times New Roman" w:cs="Times New Roman"/>
          <w:color w:val="222222"/>
          <w:kern w:val="0"/>
          <w:sz w:val="24"/>
          <w:szCs w:val="24"/>
          <w:shd w:val="clear" w:color="auto" w:fill="FFFFFF"/>
          <w14:ligatures w14:val="none"/>
        </w:rPr>
        <w:t xml:space="preserve"> </w:t>
      </w:r>
    </w:p>
    <w:p w14:paraId="017EF2FC" w14:textId="77777777" w:rsidR="00922245" w:rsidRPr="007271B6" w:rsidRDefault="00922245" w:rsidP="008B2FC1">
      <w:pPr>
        <w:spacing w:after="200" w:line="480" w:lineRule="auto"/>
        <w:ind w:left="720" w:hanging="720"/>
        <w:rPr>
          <w:rFonts w:ascii="Times New Roman" w:hAnsi="Times New Roman" w:cs="Times New Roman"/>
          <w:kern w:val="0"/>
          <w:sz w:val="24"/>
          <w:szCs w:val="24"/>
        </w:rPr>
      </w:pPr>
    </w:p>
    <w:p w14:paraId="7058D614" w14:textId="77777777" w:rsidR="004656B2" w:rsidRPr="007271B6" w:rsidRDefault="004656B2" w:rsidP="008B2FC1">
      <w:pPr>
        <w:pStyle w:val="Heading1"/>
        <w:rPr>
          <w:lang w:val="en-GB"/>
        </w:rPr>
      </w:pPr>
    </w:p>
    <w:p w14:paraId="2F3EBA81" w14:textId="77777777" w:rsidR="00922245" w:rsidRDefault="00922245" w:rsidP="00922245"/>
    <w:p w14:paraId="211F7359" w14:textId="77777777" w:rsidR="00052857" w:rsidRDefault="00052857" w:rsidP="00922245"/>
    <w:p w14:paraId="59A60ED1" w14:textId="77777777" w:rsidR="00052857" w:rsidRDefault="00052857" w:rsidP="00922245"/>
    <w:p w14:paraId="5F09190F" w14:textId="77777777" w:rsidR="00052857" w:rsidRDefault="00052857" w:rsidP="00922245"/>
    <w:p w14:paraId="40C35243" w14:textId="77777777" w:rsidR="00052857" w:rsidRDefault="00052857" w:rsidP="00922245"/>
    <w:p w14:paraId="5F276D47" w14:textId="77777777" w:rsidR="00052857" w:rsidRDefault="00052857" w:rsidP="00922245"/>
    <w:p w14:paraId="0AE9FAF3" w14:textId="77777777" w:rsidR="00052857" w:rsidRDefault="00052857" w:rsidP="00922245"/>
    <w:p w14:paraId="0EF764BF" w14:textId="77777777" w:rsidR="00052857" w:rsidRDefault="00052857" w:rsidP="00922245"/>
    <w:p w14:paraId="7D6517E1" w14:textId="77777777" w:rsidR="00052857" w:rsidRDefault="00052857" w:rsidP="00922245"/>
    <w:p w14:paraId="4F73BEA4" w14:textId="77777777" w:rsidR="00052857" w:rsidRDefault="00052857" w:rsidP="00922245"/>
    <w:p w14:paraId="0C4BB6F5" w14:textId="77777777" w:rsidR="00052857" w:rsidRDefault="00052857" w:rsidP="00922245"/>
    <w:p w14:paraId="04E4178B" w14:textId="77777777" w:rsidR="00052857" w:rsidRDefault="00052857" w:rsidP="00922245"/>
    <w:p w14:paraId="3172B60D" w14:textId="77777777" w:rsidR="00052857" w:rsidRDefault="00052857" w:rsidP="00922245"/>
    <w:p w14:paraId="5487283A" w14:textId="77777777" w:rsidR="00052857" w:rsidRDefault="00052857" w:rsidP="00922245"/>
    <w:p w14:paraId="6C245589" w14:textId="77777777" w:rsidR="00052857" w:rsidRDefault="00052857" w:rsidP="00922245"/>
    <w:p w14:paraId="6DD3A746" w14:textId="77777777" w:rsidR="00052857" w:rsidRDefault="00052857" w:rsidP="00922245"/>
    <w:p w14:paraId="3CDED4DE" w14:textId="77777777" w:rsidR="00052857" w:rsidRDefault="00052857" w:rsidP="00922245"/>
    <w:p w14:paraId="30281700" w14:textId="77777777" w:rsidR="00052857" w:rsidRDefault="00052857" w:rsidP="00922245"/>
    <w:p w14:paraId="4EB74C77" w14:textId="77777777" w:rsidR="00052857" w:rsidRDefault="00052857" w:rsidP="00922245"/>
    <w:p w14:paraId="7D27D6A3" w14:textId="77777777" w:rsidR="00052857" w:rsidRDefault="00052857" w:rsidP="00922245"/>
    <w:p w14:paraId="244EB883" w14:textId="77777777" w:rsidR="00052857" w:rsidRDefault="00052857" w:rsidP="00922245"/>
    <w:p w14:paraId="7CCD940A" w14:textId="77777777" w:rsidR="00052857" w:rsidRDefault="00052857" w:rsidP="00922245"/>
    <w:p w14:paraId="7D05EC64" w14:textId="77777777" w:rsidR="00052857" w:rsidRPr="007271B6" w:rsidRDefault="00052857" w:rsidP="00922245"/>
    <w:p w14:paraId="71DED633" w14:textId="36BB693D" w:rsidR="00F808B3" w:rsidRPr="007271B6" w:rsidRDefault="008B2FC1" w:rsidP="008B2FC1">
      <w:pPr>
        <w:pStyle w:val="Heading1"/>
        <w:rPr>
          <w:lang w:val="en-GB"/>
        </w:rPr>
      </w:pPr>
      <w:bookmarkStart w:id="47" w:name="_Toc165667438"/>
      <w:r w:rsidRPr="007271B6">
        <w:rPr>
          <w:lang w:val="en-GB"/>
        </w:rPr>
        <w:lastRenderedPageBreak/>
        <w:t>Appendix</w:t>
      </w:r>
      <w:bookmarkEnd w:id="47"/>
      <w:r w:rsidRPr="007271B6">
        <w:rPr>
          <w:lang w:val="en-GB"/>
        </w:rPr>
        <w:t xml:space="preserve"> </w:t>
      </w:r>
    </w:p>
    <w:p w14:paraId="0CCC45BC" w14:textId="77777777" w:rsidR="00F808B3" w:rsidRPr="007271B6" w:rsidRDefault="00F808B3" w:rsidP="00F808B3">
      <w:pPr>
        <w:spacing w:after="200" w:line="276" w:lineRule="auto"/>
        <w:jc w:val="center"/>
        <w:rPr>
          <w:rFonts w:ascii="Times New Roman" w:hAnsi="Times New Roman" w:cs="Times New Roman"/>
          <w:kern w:val="0"/>
          <w:sz w:val="24"/>
          <w:szCs w:val="24"/>
        </w:rPr>
      </w:pPr>
      <w:r w:rsidRPr="007271B6">
        <w:rPr>
          <w:rFonts w:ascii="Times New Roman" w:hAnsi="Times New Roman" w:cs="Times New Roman"/>
          <w:kern w:val="0"/>
          <w:sz w:val="24"/>
          <w:szCs w:val="24"/>
        </w:rPr>
        <w:t>Demographic Information of the Respondents</w:t>
      </w:r>
    </w:p>
    <w:p w14:paraId="139C03A8" w14:textId="19E792C6" w:rsidR="00F808B3" w:rsidRPr="007271B6" w:rsidRDefault="00F808B3" w:rsidP="00F808B3">
      <w:pPr>
        <w:spacing w:after="200" w:line="276" w:lineRule="auto"/>
        <w:rPr>
          <w:rFonts w:ascii="Times New Roman" w:hAnsi="Times New Roman" w:cs="Times New Roman"/>
          <w:b/>
          <w:bCs/>
          <w:kern w:val="0"/>
          <w:sz w:val="24"/>
          <w:szCs w:val="24"/>
        </w:rPr>
      </w:pPr>
      <w:r w:rsidRPr="007271B6">
        <w:rPr>
          <w:rFonts w:ascii="Times New Roman" w:hAnsi="Times New Roman" w:cs="Times New Roman"/>
          <w:b/>
          <w:bCs/>
          <w:kern w:val="0"/>
          <w:sz w:val="24"/>
          <w:szCs w:val="24"/>
        </w:rPr>
        <w:t xml:space="preserve">Table </w:t>
      </w:r>
      <w:r w:rsidRPr="007271B6">
        <w:rPr>
          <w:rFonts w:ascii="Times New Roman" w:hAnsi="Times New Roman" w:cs="Times New Roman"/>
          <w:b/>
          <w:bCs/>
          <w:kern w:val="0"/>
          <w:sz w:val="24"/>
          <w:szCs w:val="24"/>
        </w:rPr>
        <w:fldChar w:fldCharType="begin"/>
      </w:r>
      <w:r w:rsidRPr="007271B6">
        <w:rPr>
          <w:rFonts w:ascii="Times New Roman" w:hAnsi="Times New Roman" w:cs="Times New Roman"/>
          <w:b/>
          <w:bCs/>
          <w:kern w:val="0"/>
          <w:sz w:val="24"/>
          <w:szCs w:val="24"/>
        </w:rPr>
        <w:instrText xml:space="preserve"> SEQ Table \* ARABIC </w:instrText>
      </w:r>
      <w:r w:rsidRPr="007271B6">
        <w:rPr>
          <w:rFonts w:ascii="Times New Roman" w:hAnsi="Times New Roman" w:cs="Times New Roman"/>
          <w:b/>
          <w:bCs/>
          <w:kern w:val="0"/>
          <w:sz w:val="24"/>
          <w:szCs w:val="24"/>
        </w:rPr>
        <w:fldChar w:fldCharType="separate"/>
      </w:r>
      <w:r w:rsidR="00DC4CD1" w:rsidRPr="007271B6">
        <w:rPr>
          <w:rFonts w:ascii="Times New Roman" w:hAnsi="Times New Roman" w:cs="Times New Roman"/>
          <w:b/>
          <w:bCs/>
          <w:noProof/>
          <w:kern w:val="0"/>
          <w:sz w:val="24"/>
          <w:szCs w:val="24"/>
        </w:rPr>
        <w:t>1</w:t>
      </w:r>
      <w:r w:rsidRPr="007271B6">
        <w:rPr>
          <w:rFonts w:ascii="Times New Roman" w:hAnsi="Times New Roman" w:cs="Times New Roman"/>
          <w:b/>
          <w:bCs/>
          <w:kern w:val="0"/>
          <w:sz w:val="24"/>
          <w:szCs w:val="24"/>
        </w:rPr>
        <w:fldChar w:fldCharType="end"/>
      </w:r>
      <w:r w:rsidRPr="007271B6">
        <w:rPr>
          <w:rFonts w:ascii="Times New Roman" w:hAnsi="Times New Roman" w:cs="Times New Roman"/>
          <w:b/>
          <w:bCs/>
          <w:kern w:val="0"/>
          <w:sz w:val="24"/>
          <w:szCs w:val="24"/>
        </w:rPr>
        <w:t>:</w:t>
      </w:r>
      <w:r w:rsidRPr="007271B6">
        <w:rPr>
          <w:rFonts w:ascii="Times New Roman" w:hAnsi="Times New Roman" w:cs="Times New Roman"/>
          <w:i/>
          <w:iCs/>
          <w:kern w:val="0"/>
          <w:sz w:val="24"/>
          <w:szCs w:val="24"/>
        </w:rPr>
        <w:t xml:space="preserve"> Respondents from Bloomberg Originals and CNBC interviews</w:t>
      </w:r>
    </w:p>
    <w:tbl>
      <w:tblPr>
        <w:tblStyle w:val="TableGrid"/>
        <w:tblW w:w="0" w:type="auto"/>
        <w:tblLook w:val="04A0" w:firstRow="1" w:lastRow="0" w:firstColumn="1" w:lastColumn="0" w:noHBand="0" w:noVBand="1"/>
      </w:tblPr>
      <w:tblGrid>
        <w:gridCol w:w="1351"/>
        <w:gridCol w:w="1787"/>
        <w:gridCol w:w="2310"/>
        <w:gridCol w:w="1094"/>
        <w:gridCol w:w="871"/>
        <w:gridCol w:w="1603"/>
      </w:tblGrid>
      <w:tr w:rsidR="00F808B3" w:rsidRPr="007271B6" w14:paraId="117C0004" w14:textId="77777777" w:rsidTr="00D175E7">
        <w:tc>
          <w:tcPr>
            <w:tcW w:w="1350" w:type="dxa"/>
          </w:tcPr>
          <w:p w14:paraId="63450D02"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Respondent No.</w:t>
            </w:r>
          </w:p>
        </w:tc>
        <w:tc>
          <w:tcPr>
            <w:tcW w:w="2057" w:type="dxa"/>
          </w:tcPr>
          <w:p w14:paraId="6B1102C8"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Name</w:t>
            </w:r>
          </w:p>
        </w:tc>
        <w:tc>
          <w:tcPr>
            <w:tcW w:w="2310" w:type="dxa"/>
          </w:tcPr>
          <w:p w14:paraId="06A49291"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Position/Employment</w:t>
            </w:r>
          </w:p>
        </w:tc>
        <w:tc>
          <w:tcPr>
            <w:tcW w:w="1211" w:type="dxa"/>
          </w:tcPr>
          <w:p w14:paraId="72978B55"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Gender</w:t>
            </w:r>
          </w:p>
        </w:tc>
        <w:tc>
          <w:tcPr>
            <w:tcW w:w="1045" w:type="dxa"/>
          </w:tcPr>
          <w:p w14:paraId="3AC920BC"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Age</w:t>
            </w:r>
          </w:p>
        </w:tc>
        <w:tc>
          <w:tcPr>
            <w:tcW w:w="1603" w:type="dxa"/>
          </w:tcPr>
          <w:p w14:paraId="50F992A7"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Education</w:t>
            </w:r>
          </w:p>
        </w:tc>
      </w:tr>
      <w:tr w:rsidR="00F808B3" w:rsidRPr="007271B6" w14:paraId="400E44DF" w14:textId="77777777" w:rsidTr="00D175E7">
        <w:tc>
          <w:tcPr>
            <w:tcW w:w="1350" w:type="dxa"/>
          </w:tcPr>
          <w:p w14:paraId="5D1949C8" w14:textId="0E0B7CA3"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1</w:t>
            </w:r>
          </w:p>
        </w:tc>
        <w:tc>
          <w:tcPr>
            <w:tcW w:w="2057" w:type="dxa"/>
          </w:tcPr>
          <w:p w14:paraId="2E305D91"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Sam Bankman-Fried</w:t>
            </w:r>
          </w:p>
        </w:tc>
        <w:tc>
          <w:tcPr>
            <w:tcW w:w="2310" w:type="dxa"/>
          </w:tcPr>
          <w:p w14:paraId="10824A56"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CEO FTX</w:t>
            </w:r>
          </w:p>
        </w:tc>
        <w:tc>
          <w:tcPr>
            <w:tcW w:w="1211" w:type="dxa"/>
          </w:tcPr>
          <w:p w14:paraId="716A83BB"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Male</w:t>
            </w:r>
          </w:p>
        </w:tc>
        <w:tc>
          <w:tcPr>
            <w:tcW w:w="1045" w:type="dxa"/>
          </w:tcPr>
          <w:p w14:paraId="1E4C8982"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31</w:t>
            </w:r>
          </w:p>
        </w:tc>
        <w:tc>
          <w:tcPr>
            <w:tcW w:w="1603" w:type="dxa"/>
          </w:tcPr>
          <w:p w14:paraId="7943FB58"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University Graduate</w:t>
            </w:r>
          </w:p>
        </w:tc>
      </w:tr>
      <w:tr w:rsidR="00F808B3" w:rsidRPr="007271B6" w14:paraId="4F4026BE" w14:textId="77777777" w:rsidTr="00D175E7">
        <w:tc>
          <w:tcPr>
            <w:tcW w:w="1350" w:type="dxa"/>
          </w:tcPr>
          <w:p w14:paraId="7E74FA0C" w14:textId="7E9B637D"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2</w:t>
            </w:r>
          </w:p>
        </w:tc>
        <w:tc>
          <w:tcPr>
            <w:tcW w:w="2057" w:type="dxa"/>
          </w:tcPr>
          <w:p w14:paraId="68A992CC" w14:textId="4458AB95"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 xml:space="preserve">Gary </w:t>
            </w:r>
            <w:r w:rsidR="00F808B3" w:rsidRPr="007271B6">
              <w:rPr>
                <w:rFonts w:ascii="Times New Roman" w:hAnsi="Times New Roman" w:cs="Times New Roman"/>
                <w:sz w:val="24"/>
                <w:szCs w:val="24"/>
                <w:lang w:val="en-GB"/>
              </w:rPr>
              <w:t>Wang</w:t>
            </w:r>
          </w:p>
        </w:tc>
        <w:tc>
          <w:tcPr>
            <w:tcW w:w="2310" w:type="dxa"/>
          </w:tcPr>
          <w:p w14:paraId="4C718070" w14:textId="2688CA3D"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 xml:space="preserve">FTX </w:t>
            </w:r>
            <w:r w:rsidR="00FC3E65" w:rsidRPr="007271B6">
              <w:rPr>
                <w:rFonts w:ascii="Times New Roman" w:hAnsi="Times New Roman" w:cs="Times New Roman"/>
                <w:sz w:val="24"/>
                <w:szCs w:val="24"/>
                <w:lang w:val="en-GB"/>
              </w:rPr>
              <w:t>Director of E</w:t>
            </w:r>
            <w:r w:rsidRPr="007271B6">
              <w:rPr>
                <w:rFonts w:ascii="Times New Roman" w:hAnsi="Times New Roman" w:cs="Times New Roman"/>
                <w:sz w:val="24"/>
                <w:szCs w:val="24"/>
                <w:lang w:val="en-GB"/>
              </w:rPr>
              <w:t>ngineer</w:t>
            </w:r>
            <w:r w:rsidR="00FC3E65" w:rsidRPr="007271B6">
              <w:rPr>
                <w:rFonts w:ascii="Times New Roman" w:hAnsi="Times New Roman" w:cs="Times New Roman"/>
                <w:sz w:val="24"/>
                <w:szCs w:val="24"/>
                <w:lang w:val="en-GB"/>
              </w:rPr>
              <w:t>ing</w:t>
            </w:r>
          </w:p>
        </w:tc>
        <w:tc>
          <w:tcPr>
            <w:tcW w:w="1211" w:type="dxa"/>
          </w:tcPr>
          <w:p w14:paraId="39592AD8"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Male</w:t>
            </w:r>
          </w:p>
        </w:tc>
        <w:tc>
          <w:tcPr>
            <w:tcW w:w="1045" w:type="dxa"/>
          </w:tcPr>
          <w:p w14:paraId="2CCD785C" w14:textId="28276A1E"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31</w:t>
            </w:r>
          </w:p>
        </w:tc>
        <w:tc>
          <w:tcPr>
            <w:tcW w:w="1603" w:type="dxa"/>
          </w:tcPr>
          <w:p w14:paraId="618F3DBB" w14:textId="3FBBBD4B"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Massachusetts Institute of Technology Graduate</w:t>
            </w:r>
          </w:p>
        </w:tc>
      </w:tr>
      <w:tr w:rsidR="00F808B3" w:rsidRPr="007271B6" w14:paraId="0507E822" w14:textId="77777777" w:rsidTr="00D175E7">
        <w:tc>
          <w:tcPr>
            <w:tcW w:w="1350" w:type="dxa"/>
          </w:tcPr>
          <w:p w14:paraId="6B1B31DE" w14:textId="27D2CACD"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3</w:t>
            </w:r>
          </w:p>
        </w:tc>
        <w:tc>
          <w:tcPr>
            <w:tcW w:w="2057" w:type="dxa"/>
          </w:tcPr>
          <w:p w14:paraId="0D55129A"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Caroline Ellison</w:t>
            </w:r>
          </w:p>
        </w:tc>
        <w:tc>
          <w:tcPr>
            <w:tcW w:w="2310" w:type="dxa"/>
          </w:tcPr>
          <w:p w14:paraId="13B768A7"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CEO Alameda Research</w:t>
            </w:r>
          </w:p>
        </w:tc>
        <w:tc>
          <w:tcPr>
            <w:tcW w:w="1211" w:type="dxa"/>
          </w:tcPr>
          <w:p w14:paraId="7E3685D0"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Female</w:t>
            </w:r>
          </w:p>
        </w:tc>
        <w:tc>
          <w:tcPr>
            <w:tcW w:w="1045" w:type="dxa"/>
          </w:tcPr>
          <w:p w14:paraId="0CB870C8"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29</w:t>
            </w:r>
          </w:p>
        </w:tc>
        <w:tc>
          <w:tcPr>
            <w:tcW w:w="1603" w:type="dxa"/>
          </w:tcPr>
          <w:p w14:paraId="1ACB51A5"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Stanford University Graduate</w:t>
            </w:r>
          </w:p>
        </w:tc>
      </w:tr>
      <w:tr w:rsidR="00F808B3" w:rsidRPr="007271B6" w14:paraId="22437435" w14:textId="77777777" w:rsidTr="00D175E7">
        <w:tc>
          <w:tcPr>
            <w:tcW w:w="1350" w:type="dxa"/>
          </w:tcPr>
          <w:p w14:paraId="1B6114E1" w14:textId="0A415DFD"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4</w:t>
            </w:r>
          </w:p>
        </w:tc>
        <w:tc>
          <w:tcPr>
            <w:tcW w:w="2057" w:type="dxa"/>
          </w:tcPr>
          <w:p w14:paraId="766ABBE0"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Brett Harrison</w:t>
            </w:r>
          </w:p>
        </w:tc>
        <w:tc>
          <w:tcPr>
            <w:tcW w:w="2310" w:type="dxa"/>
          </w:tcPr>
          <w:p w14:paraId="77B66CCB" w14:textId="151B6FC9"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FTX US exec</w:t>
            </w:r>
            <w:r w:rsidR="0099165B" w:rsidRPr="007271B6">
              <w:rPr>
                <w:rFonts w:ascii="Times New Roman" w:hAnsi="Times New Roman" w:cs="Times New Roman"/>
                <w:sz w:val="24"/>
                <w:szCs w:val="24"/>
                <w:lang w:val="en-GB"/>
              </w:rPr>
              <w:t>utive</w:t>
            </w:r>
          </w:p>
        </w:tc>
        <w:tc>
          <w:tcPr>
            <w:tcW w:w="1211" w:type="dxa"/>
          </w:tcPr>
          <w:p w14:paraId="2C78A1A8"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Male</w:t>
            </w:r>
          </w:p>
        </w:tc>
        <w:tc>
          <w:tcPr>
            <w:tcW w:w="1045" w:type="dxa"/>
          </w:tcPr>
          <w:p w14:paraId="2ADE71E4"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35</w:t>
            </w:r>
          </w:p>
        </w:tc>
        <w:tc>
          <w:tcPr>
            <w:tcW w:w="1603" w:type="dxa"/>
          </w:tcPr>
          <w:p w14:paraId="32C3F2B9"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Harvard University Graduate</w:t>
            </w:r>
          </w:p>
        </w:tc>
      </w:tr>
      <w:tr w:rsidR="00F808B3" w:rsidRPr="007271B6" w14:paraId="55D66E77" w14:textId="77777777" w:rsidTr="00D175E7">
        <w:tc>
          <w:tcPr>
            <w:tcW w:w="1350" w:type="dxa"/>
          </w:tcPr>
          <w:p w14:paraId="10CDD64B" w14:textId="33B33F86"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5</w:t>
            </w:r>
          </w:p>
        </w:tc>
        <w:tc>
          <w:tcPr>
            <w:tcW w:w="2057" w:type="dxa"/>
          </w:tcPr>
          <w:p w14:paraId="43A2C833"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John J. Ray III</w:t>
            </w:r>
          </w:p>
        </w:tc>
        <w:tc>
          <w:tcPr>
            <w:tcW w:w="2310" w:type="dxa"/>
          </w:tcPr>
          <w:p w14:paraId="56E714E8"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Interim FTX CEO</w:t>
            </w:r>
          </w:p>
        </w:tc>
        <w:tc>
          <w:tcPr>
            <w:tcW w:w="1211" w:type="dxa"/>
          </w:tcPr>
          <w:p w14:paraId="7A19F3F3"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Male</w:t>
            </w:r>
          </w:p>
        </w:tc>
        <w:tc>
          <w:tcPr>
            <w:tcW w:w="1045" w:type="dxa"/>
          </w:tcPr>
          <w:p w14:paraId="50B0B227"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65</w:t>
            </w:r>
          </w:p>
        </w:tc>
        <w:tc>
          <w:tcPr>
            <w:tcW w:w="1603" w:type="dxa"/>
          </w:tcPr>
          <w:p w14:paraId="25AF6C32"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The University of Massachusetts Graduate</w:t>
            </w:r>
          </w:p>
        </w:tc>
      </w:tr>
      <w:tr w:rsidR="00F808B3" w:rsidRPr="007271B6" w14:paraId="60093603" w14:textId="77777777" w:rsidTr="00D175E7">
        <w:tc>
          <w:tcPr>
            <w:tcW w:w="1350" w:type="dxa"/>
          </w:tcPr>
          <w:p w14:paraId="1E589CD4" w14:textId="457A2635"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6</w:t>
            </w:r>
          </w:p>
        </w:tc>
        <w:tc>
          <w:tcPr>
            <w:tcW w:w="2057" w:type="dxa"/>
          </w:tcPr>
          <w:p w14:paraId="48854370"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John Reed Stark</w:t>
            </w:r>
          </w:p>
        </w:tc>
        <w:tc>
          <w:tcPr>
            <w:tcW w:w="2310" w:type="dxa"/>
          </w:tcPr>
          <w:p w14:paraId="3B78F209" w14:textId="0D1B7E1F"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John Reed Stark Consulting LLC</w:t>
            </w:r>
          </w:p>
        </w:tc>
        <w:tc>
          <w:tcPr>
            <w:tcW w:w="1211" w:type="dxa"/>
          </w:tcPr>
          <w:p w14:paraId="29EA0EA6"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Male</w:t>
            </w:r>
          </w:p>
        </w:tc>
        <w:tc>
          <w:tcPr>
            <w:tcW w:w="1045" w:type="dxa"/>
          </w:tcPr>
          <w:p w14:paraId="1340C5CF"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60</w:t>
            </w:r>
          </w:p>
        </w:tc>
        <w:tc>
          <w:tcPr>
            <w:tcW w:w="1603" w:type="dxa"/>
          </w:tcPr>
          <w:p w14:paraId="36F13EF6"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Duke University School of Law Graduate</w:t>
            </w:r>
          </w:p>
        </w:tc>
      </w:tr>
      <w:tr w:rsidR="00F808B3" w:rsidRPr="007271B6" w14:paraId="063A74F5" w14:textId="77777777" w:rsidTr="00D175E7">
        <w:tc>
          <w:tcPr>
            <w:tcW w:w="1350" w:type="dxa"/>
          </w:tcPr>
          <w:p w14:paraId="5C69F857" w14:textId="1C5A0388"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7</w:t>
            </w:r>
          </w:p>
        </w:tc>
        <w:tc>
          <w:tcPr>
            <w:tcW w:w="2057" w:type="dxa"/>
          </w:tcPr>
          <w:p w14:paraId="686906FB"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 xml:space="preserve">Max </w:t>
            </w:r>
            <w:proofErr w:type="spellStart"/>
            <w:r w:rsidRPr="007271B6">
              <w:rPr>
                <w:rFonts w:ascii="Times New Roman" w:hAnsi="Times New Roman" w:cs="Times New Roman"/>
                <w:sz w:val="24"/>
                <w:szCs w:val="24"/>
                <w:lang w:val="en-GB"/>
              </w:rPr>
              <w:t>Chafkin</w:t>
            </w:r>
            <w:proofErr w:type="spellEnd"/>
          </w:p>
        </w:tc>
        <w:tc>
          <w:tcPr>
            <w:tcW w:w="2310" w:type="dxa"/>
          </w:tcPr>
          <w:p w14:paraId="203DC22C"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Senior Reporter, Bloomberg Businessweek</w:t>
            </w:r>
          </w:p>
        </w:tc>
        <w:tc>
          <w:tcPr>
            <w:tcW w:w="1211" w:type="dxa"/>
          </w:tcPr>
          <w:p w14:paraId="7C4ED68A"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Male</w:t>
            </w:r>
          </w:p>
        </w:tc>
        <w:tc>
          <w:tcPr>
            <w:tcW w:w="1045" w:type="dxa"/>
          </w:tcPr>
          <w:p w14:paraId="7789740D"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40</w:t>
            </w:r>
          </w:p>
        </w:tc>
        <w:tc>
          <w:tcPr>
            <w:tcW w:w="1603" w:type="dxa"/>
          </w:tcPr>
          <w:p w14:paraId="6F3603BE"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Yale University Graduate</w:t>
            </w:r>
          </w:p>
        </w:tc>
      </w:tr>
      <w:tr w:rsidR="00F808B3" w:rsidRPr="007271B6" w14:paraId="170DA842" w14:textId="77777777" w:rsidTr="00D175E7">
        <w:tc>
          <w:tcPr>
            <w:tcW w:w="1350" w:type="dxa"/>
          </w:tcPr>
          <w:p w14:paraId="0BA581E5" w14:textId="5586B252" w:rsidR="00F808B3" w:rsidRPr="007271B6" w:rsidRDefault="00FC3E65"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8</w:t>
            </w:r>
          </w:p>
        </w:tc>
        <w:tc>
          <w:tcPr>
            <w:tcW w:w="2057" w:type="dxa"/>
          </w:tcPr>
          <w:p w14:paraId="6774EC15"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Anonymous</w:t>
            </w:r>
          </w:p>
        </w:tc>
        <w:tc>
          <w:tcPr>
            <w:tcW w:w="2310" w:type="dxa"/>
          </w:tcPr>
          <w:p w14:paraId="0B91BCD2"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Technology Investor/Venture capitalist</w:t>
            </w:r>
          </w:p>
        </w:tc>
        <w:tc>
          <w:tcPr>
            <w:tcW w:w="1211" w:type="dxa"/>
          </w:tcPr>
          <w:p w14:paraId="710579EF"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Male</w:t>
            </w:r>
          </w:p>
        </w:tc>
        <w:tc>
          <w:tcPr>
            <w:tcW w:w="1045" w:type="dxa"/>
          </w:tcPr>
          <w:p w14:paraId="7A23C81F"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25+</w:t>
            </w:r>
          </w:p>
        </w:tc>
        <w:tc>
          <w:tcPr>
            <w:tcW w:w="1603" w:type="dxa"/>
          </w:tcPr>
          <w:p w14:paraId="49C148AB" w14:textId="77777777" w:rsidR="00F808B3" w:rsidRPr="007271B6" w:rsidRDefault="00F808B3" w:rsidP="00F808B3">
            <w:pPr>
              <w:spacing w:after="200" w:line="276" w:lineRule="auto"/>
              <w:rPr>
                <w:rFonts w:ascii="Times New Roman" w:hAnsi="Times New Roman" w:cs="Times New Roman"/>
                <w:sz w:val="24"/>
                <w:szCs w:val="24"/>
                <w:lang w:val="en-GB"/>
              </w:rPr>
            </w:pPr>
            <w:r w:rsidRPr="007271B6">
              <w:rPr>
                <w:rFonts w:ascii="Times New Roman" w:hAnsi="Times New Roman" w:cs="Times New Roman"/>
                <w:sz w:val="24"/>
                <w:szCs w:val="24"/>
                <w:lang w:val="en-GB"/>
              </w:rPr>
              <w:t>?</w:t>
            </w:r>
          </w:p>
        </w:tc>
      </w:tr>
    </w:tbl>
    <w:p w14:paraId="01FCA12E" w14:textId="77777777" w:rsidR="00F808B3" w:rsidRPr="007271B6" w:rsidRDefault="00F808B3" w:rsidP="00F808B3">
      <w:pPr>
        <w:spacing w:after="200" w:line="276" w:lineRule="auto"/>
        <w:rPr>
          <w:rFonts w:ascii="Times New Roman" w:hAnsi="Times New Roman" w:cs="Times New Roman"/>
          <w:kern w:val="0"/>
          <w:sz w:val="24"/>
          <w:szCs w:val="24"/>
        </w:rPr>
      </w:pPr>
    </w:p>
    <w:p w14:paraId="53C013D6" w14:textId="77777777" w:rsidR="00F808B3" w:rsidRPr="007271B6" w:rsidRDefault="00F808B3" w:rsidP="00F808B3">
      <w:pPr>
        <w:spacing w:after="200" w:line="276" w:lineRule="auto"/>
        <w:rPr>
          <w:kern w:val="0"/>
        </w:rPr>
      </w:pPr>
    </w:p>
    <w:p w14:paraId="1311D71A" w14:textId="77777777" w:rsidR="00F808B3" w:rsidRPr="007271B6" w:rsidRDefault="00F808B3" w:rsidP="00F808B3"/>
    <w:sectPr w:rsidR="00F808B3" w:rsidRPr="007271B6" w:rsidSect="00A036E5">
      <w:footerReference w:type="even" r:id="rId43"/>
      <w:foot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F9E40" w14:textId="77777777" w:rsidR="00846984" w:rsidRDefault="00846984" w:rsidP="00A036E5">
      <w:pPr>
        <w:spacing w:after="0" w:line="240" w:lineRule="auto"/>
      </w:pPr>
      <w:r>
        <w:separator/>
      </w:r>
    </w:p>
  </w:endnote>
  <w:endnote w:type="continuationSeparator" w:id="0">
    <w:p w14:paraId="1A19BD10" w14:textId="77777777" w:rsidR="00846984" w:rsidRDefault="00846984" w:rsidP="00A03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573DB" w14:textId="77777777" w:rsidR="00846984" w:rsidRDefault="00846984" w:rsidP="00A036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3C57C6D" w14:textId="77777777" w:rsidR="00846984" w:rsidRDefault="008469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A9204" w14:textId="77777777" w:rsidR="00846984" w:rsidRDefault="00846984" w:rsidP="00A036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2F2A">
      <w:rPr>
        <w:rStyle w:val="PageNumber"/>
        <w:noProof/>
      </w:rPr>
      <w:t>41</w:t>
    </w:r>
    <w:r>
      <w:rPr>
        <w:rStyle w:val="PageNumber"/>
      </w:rPr>
      <w:fldChar w:fldCharType="end"/>
    </w:r>
  </w:p>
  <w:p w14:paraId="6120BFCA" w14:textId="77777777" w:rsidR="00846984" w:rsidRDefault="00846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1A638" w14:textId="77777777" w:rsidR="00846984" w:rsidRDefault="00846984" w:rsidP="00A036E5">
      <w:pPr>
        <w:spacing w:after="0" w:line="240" w:lineRule="auto"/>
      </w:pPr>
      <w:r>
        <w:separator/>
      </w:r>
    </w:p>
  </w:footnote>
  <w:footnote w:type="continuationSeparator" w:id="0">
    <w:p w14:paraId="6B13C49C" w14:textId="77777777" w:rsidR="00846984" w:rsidRDefault="00846984" w:rsidP="00A03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C10CC"/>
    <w:multiLevelType w:val="hybridMultilevel"/>
    <w:tmpl w:val="5EDA6EC6"/>
    <w:lvl w:ilvl="0" w:tplc="342CDF7E">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236C2144"/>
    <w:multiLevelType w:val="hybridMultilevel"/>
    <w:tmpl w:val="DBD88A84"/>
    <w:lvl w:ilvl="0" w:tplc="2FEA7182">
      <w:start w:val="1"/>
      <w:numFmt w:val="bullet"/>
      <w:lvlText w:val=""/>
      <w:lvlJc w:val="left"/>
      <w:pPr>
        <w:ind w:left="720" w:hanging="360"/>
      </w:pPr>
      <w:rPr>
        <w:rFonts w:ascii="Symbol" w:hAnsi="Symbol" w:hint="default"/>
      </w:rPr>
    </w:lvl>
    <w:lvl w:ilvl="1" w:tplc="21147834" w:tentative="1">
      <w:start w:val="1"/>
      <w:numFmt w:val="bullet"/>
      <w:lvlText w:val="o"/>
      <w:lvlJc w:val="left"/>
      <w:pPr>
        <w:ind w:left="1440" w:hanging="360"/>
      </w:pPr>
      <w:rPr>
        <w:rFonts w:ascii="Courier New" w:hAnsi="Courier New" w:cs="Courier New" w:hint="default"/>
      </w:rPr>
    </w:lvl>
    <w:lvl w:ilvl="2" w:tplc="09147DC2" w:tentative="1">
      <w:start w:val="1"/>
      <w:numFmt w:val="bullet"/>
      <w:lvlText w:val=""/>
      <w:lvlJc w:val="left"/>
      <w:pPr>
        <w:ind w:left="2160" w:hanging="360"/>
      </w:pPr>
      <w:rPr>
        <w:rFonts w:ascii="Wingdings" w:hAnsi="Wingdings" w:hint="default"/>
      </w:rPr>
    </w:lvl>
    <w:lvl w:ilvl="3" w:tplc="1F6A7CFC" w:tentative="1">
      <w:start w:val="1"/>
      <w:numFmt w:val="bullet"/>
      <w:lvlText w:val=""/>
      <w:lvlJc w:val="left"/>
      <w:pPr>
        <w:ind w:left="2880" w:hanging="360"/>
      </w:pPr>
      <w:rPr>
        <w:rFonts w:ascii="Symbol" w:hAnsi="Symbol" w:hint="default"/>
      </w:rPr>
    </w:lvl>
    <w:lvl w:ilvl="4" w:tplc="3336E8BA" w:tentative="1">
      <w:start w:val="1"/>
      <w:numFmt w:val="bullet"/>
      <w:lvlText w:val="o"/>
      <w:lvlJc w:val="left"/>
      <w:pPr>
        <w:ind w:left="3600" w:hanging="360"/>
      </w:pPr>
      <w:rPr>
        <w:rFonts w:ascii="Courier New" w:hAnsi="Courier New" w:cs="Courier New" w:hint="default"/>
      </w:rPr>
    </w:lvl>
    <w:lvl w:ilvl="5" w:tplc="C9AED72C" w:tentative="1">
      <w:start w:val="1"/>
      <w:numFmt w:val="bullet"/>
      <w:lvlText w:val=""/>
      <w:lvlJc w:val="left"/>
      <w:pPr>
        <w:ind w:left="4320" w:hanging="360"/>
      </w:pPr>
      <w:rPr>
        <w:rFonts w:ascii="Wingdings" w:hAnsi="Wingdings" w:hint="default"/>
      </w:rPr>
    </w:lvl>
    <w:lvl w:ilvl="6" w:tplc="6798CA96" w:tentative="1">
      <w:start w:val="1"/>
      <w:numFmt w:val="bullet"/>
      <w:lvlText w:val=""/>
      <w:lvlJc w:val="left"/>
      <w:pPr>
        <w:ind w:left="5040" w:hanging="360"/>
      </w:pPr>
      <w:rPr>
        <w:rFonts w:ascii="Symbol" w:hAnsi="Symbol" w:hint="default"/>
      </w:rPr>
    </w:lvl>
    <w:lvl w:ilvl="7" w:tplc="84902FF2" w:tentative="1">
      <w:start w:val="1"/>
      <w:numFmt w:val="bullet"/>
      <w:lvlText w:val="o"/>
      <w:lvlJc w:val="left"/>
      <w:pPr>
        <w:ind w:left="5760" w:hanging="360"/>
      </w:pPr>
      <w:rPr>
        <w:rFonts w:ascii="Courier New" w:hAnsi="Courier New" w:cs="Courier New" w:hint="default"/>
      </w:rPr>
    </w:lvl>
    <w:lvl w:ilvl="8" w:tplc="CF4E9C70" w:tentative="1">
      <w:start w:val="1"/>
      <w:numFmt w:val="bullet"/>
      <w:lvlText w:val=""/>
      <w:lvlJc w:val="left"/>
      <w:pPr>
        <w:ind w:left="6480" w:hanging="360"/>
      </w:pPr>
      <w:rPr>
        <w:rFonts w:ascii="Wingdings" w:hAnsi="Wingdings" w:hint="default"/>
      </w:rPr>
    </w:lvl>
  </w:abstractNum>
  <w:abstractNum w:abstractNumId="2" w15:restartNumberingAfterBreak="0">
    <w:nsid w:val="41F462A8"/>
    <w:multiLevelType w:val="hybridMultilevel"/>
    <w:tmpl w:val="331AC340"/>
    <w:lvl w:ilvl="0" w:tplc="1EFE759E">
      <w:start w:val="1"/>
      <w:numFmt w:val="bullet"/>
      <w:lvlText w:val=""/>
      <w:lvlJc w:val="left"/>
      <w:pPr>
        <w:ind w:left="720" w:hanging="360"/>
      </w:pPr>
      <w:rPr>
        <w:rFonts w:ascii="Symbol" w:hAnsi="Symbol" w:hint="default"/>
      </w:rPr>
    </w:lvl>
    <w:lvl w:ilvl="1" w:tplc="BD00554E" w:tentative="1">
      <w:start w:val="1"/>
      <w:numFmt w:val="bullet"/>
      <w:lvlText w:val="o"/>
      <w:lvlJc w:val="left"/>
      <w:pPr>
        <w:ind w:left="1440" w:hanging="360"/>
      </w:pPr>
      <w:rPr>
        <w:rFonts w:ascii="Courier New" w:hAnsi="Courier New" w:cs="Courier New" w:hint="default"/>
      </w:rPr>
    </w:lvl>
    <w:lvl w:ilvl="2" w:tplc="1E0AAD6A" w:tentative="1">
      <w:start w:val="1"/>
      <w:numFmt w:val="bullet"/>
      <w:lvlText w:val=""/>
      <w:lvlJc w:val="left"/>
      <w:pPr>
        <w:ind w:left="2160" w:hanging="360"/>
      </w:pPr>
      <w:rPr>
        <w:rFonts w:ascii="Wingdings" w:hAnsi="Wingdings" w:hint="default"/>
      </w:rPr>
    </w:lvl>
    <w:lvl w:ilvl="3" w:tplc="690EA402" w:tentative="1">
      <w:start w:val="1"/>
      <w:numFmt w:val="bullet"/>
      <w:lvlText w:val=""/>
      <w:lvlJc w:val="left"/>
      <w:pPr>
        <w:ind w:left="2880" w:hanging="360"/>
      </w:pPr>
      <w:rPr>
        <w:rFonts w:ascii="Symbol" w:hAnsi="Symbol" w:hint="default"/>
      </w:rPr>
    </w:lvl>
    <w:lvl w:ilvl="4" w:tplc="8D522C58" w:tentative="1">
      <w:start w:val="1"/>
      <w:numFmt w:val="bullet"/>
      <w:lvlText w:val="o"/>
      <w:lvlJc w:val="left"/>
      <w:pPr>
        <w:ind w:left="3600" w:hanging="360"/>
      </w:pPr>
      <w:rPr>
        <w:rFonts w:ascii="Courier New" w:hAnsi="Courier New" w:cs="Courier New" w:hint="default"/>
      </w:rPr>
    </w:lvl>
    <w:lvl w:ilvl="5" w:tplc="7C822786" w:tentative="1">
      <w:start w:val="1"/>
      <w:numFmt w:val="bullet"/>
      <w:lvlText w:val=""/>
      <w:lvlJc w:val="left"/>
      <w:pPr>
        <w:ind w:left="4320" w:hanging="360"/>
      </w:pPr>
      <w:rPr>
        <w:rFonts w:ascii="Wingdings" w:hAnsi="Wingdings" w:hint="default"/>
      </w:rPr>
    </w:lvl>
    <w:lvl w:ilvl="6" w:tplc="ABECF166" w:tentative="1">
      <w:start w:val="1"/>
      <w:numFmt w:val="bullet"/>
      <w:lvlText w:val=""/>
      <w:lvlJc w:val="left"/>
      <w:pPr>
        <w:ind w:left="5040" w:hanging="360"/>
      </w:pPr>
      <w:rPr>
        <w:rFonts w:ascii="Symbol" w:hAnsi="Symbol" w:hint="default"/>
      </w:rPr>
    </w:lvl>
    <w:lvl w:ilvl="7" w:tplc="5D502D64" w:tentative="1">
      <w:start w:val="1"/>
      <w:numFmt w:val="bullet"/>
      <w:lvlText w:val="o"/>
      <w:lvlJc w:val="left"/>
      <w:pPr>
        <w:ind w:left="5760" w:hanging="360"/>
      </w:pPr>
      <w:rPr>
        <w:rFonts w:ascii="Courier New" w:hAnsi="Courier New" w:cs="Courier New" w:hint="default"/>
      </w:rPr>
    </w:lvl>
    <w:lvl w:ilvl="8" w:tplc="BAB67228" w:tentative="1">
      <w:start w:val="1"/>
      <w:numFmt w:val="bullet"/>
      <w:lvlText w:val=""/>
      <w:lvlJc w:val="left"/>
      <w:pPr>
        <w:ind w:left="6480" w:hanging="360"/>
      </w:pPr>
      <w:rPr>
        <w:rFonts w:ascii="Wingdings" w:hAnsi="Wingdings" w:hint="default"/>
      </w:rPr>
    </w:lvl>
  </w:abstractNum>
  <w:abstractNum w:abstractNumId="3" w15:restartNumberingAfterBreak="0">
    <w:nsid w:val="720D2B9D"/>
    <w:multiLevelType w:val="hybridMultilevel"/>
    <w:tmpl w:val="F7C2634E"/>
    <w:lvl w:ilvl="0" w:tplc="B59476DA">
      <w:start w:val="201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1212224">
    <w:abstractNumId w:val="3"/>
  </w:num>
  <w:num w:numId="2" w16cid:durableId="863901130">
    <w:abstractNumId w:val="0"/>
  </w:num>
  <w:num w:numId="3" w16cid:durableId="966474182">
    <w:abstractNumId w:val="2"/>
  </w:num>
  <w:num w:numId="4" w16cid:durableId="1607349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8B3"/>
    <w:rsid w:val="00023E9E"/>
    <w:rsid w:val="0002761D"/>
    <w:rsid w:val="00052857"/>
    <w:rsid w:val="00053F16"/>
    <w:rsid w:val="000552DA"/>
    <w:rsid w:val="00082C04"/>
    <w:rsid w:val="00093854"/>
    <w:rsid w:val="000C2F2A"/>
    <w:rsid w:val="000D2E30"/>
    <w:rsid w:val="000D44E1"/>
    <w:rsid w:val="001144BD"/>
    <w:rsid w:val="001151B8"/>
    <w:rsid w:val="0012120C"/>
    <w:rsid w:val="00171415"/>
    <w:rsid w:val="001807C2"/>
    <w:rsid w:val="001875C9"/>
    <w:rsid w:val="001A7E04"/>
    <w:rsid w:val="001B7AE6"/>
    <w:rsid w:val="001C0E2D"/>
    <w:rsid w:val="00217A79"/>
    <w:rsid w:val="0023752E"/>
    <w:rsid w:val="002770D2"/>
    <w:rsid w:val="00291CEA"/>
    <w:rsid w:val="002D193D"/>
    <w:rsid w:val="00306861"/>
    <w:rsid w:val="003103C8"/>
    <w:rsid w:val="00322FC3"/>
    <w:rsid w:val="00331B03"/>
    <w:rsid w:val="003451A3"/>
    <w:rsid w:val="00367085"/>
    <w:rsid w:val="00381B2A"/>
    <w:rsid w:val="003A73E3"/>
    <w:rsid w:val="003A7B3E"/>
    <w:rsid w:val="003B749E"/>
    <w:rsid w:val="003F0977"/>
    <w:rsid w:val="003F546F"/>
    <w:rsid w:val="00443FD9"/>
    <w:rsid w:val="004656B2"/>
    <w:rsid w:val="004909ED"/>
    <w:rsid w:val="004A627F"/>
    <w:rsid w:val="004D2D1A"/>
    <w:rsid w:val="004F3A5E"/>
    <w:rsid w:val="00522F09"/>
    <w:rsid w:val="00523414"/>
    <w:rsid w:val="00577C73"/>
    <w:rsid w:val="005C74BB"/>
    <w:rsid w:val="005D5440"/>
    <w:rsid w:val="005E3A82"/>
    <w:rsid w:val="005E6483"/>
    <w:rsid w:val="005F2845"/>
    <w:rsid w:val="005F34DF"/>
    <w:rsid w:val="005F6A60"/>
    <w:rsid w:val="0060110A"/>
    <w:rsid w:val="00603030"/>
    <w:rsid w:val="006045BD"/>
    <w:rsid w:val="006162E4"/>
    <w:rsid w:val="00617288"/>
    <w:rsid w:val="00662610"/>
    <w:rsid w:val="006646B9"/>
    <w:rsid w:val="00682532"/>
    <w:rsid w:val="00692079"/>
    <w:rsid w:val="00694C71"/>
    <w:rsid w:val="006955F9"/>
    <w:rsid w:val="006A1DEA"/>
    <w:rsid w:val="006A7490"/>
    <w:rsid w:val="006B6162"/>
    <w:rsid w:val="006C34C8"/>
    <w:rsid w:val="006D36E5"/>
    <w:rsid w:val="006D43D0"/>
    <w:rsid w:val="00722F58"/>
    <w:rsid w:val="007271B6"/>
    <w:rsid w:val="00737433"/>
    <w:rsid w:val="00747CA7"/>
    <w:rsid w:val="007525FB"/>
    <w:rsid w:val="007556E3"/>
    <w:rsid w:val="007926E5"/>
    <w:rsid w:val="007A3E63"/>
    <w:rsid w:val="007C2E48"/>
    <w:rsid w:val="007E2B94"/>
    <w:rsid w:val="00802E71"/>
    <w:rsid w:val="00824280"/>
    <w:rsid w:val="00826BD1"/>
    <w:rsid w:val="00835A1E"/>
    <w:rsid w:val="00841022"/>
    <w:rsid w:val="00844385"/>
    <w:rsid w:val="00845CA6"/>
    <w:rsid w:val="00846984"/>
    <w:rsid w:val="00874CB0"/>
    <w:rsid w:val="008A701E"/>
    <w:rsid w:val="008B107C"/>
    <w:rsid w:val="008B2FC1"/>
    <w:rsid w:val="008B78CD"/>
    <w:rsid w:val="008C3460"/>
    <w:rsid w:val="008D7E61"/>
    <w:rsid w:val="008E52A0"/>
    <w:rsid w:val="008F6541"/>
    <w:rsid w:val="00905781"/>
    <w:rsid w:val="00905A2A"/>
    <w:rsid w:val="00907CCB"/>
    <w:rsid w:val="00907DFE"/>
    <w:rsid w:val="00922245"/>
    <w:rsid w:val="00923840"/>
    <w:rsid w:val="0092386A"/>
    <w:rsid w:val="009309B6"/>
    <w:rsid w:val="0094394C"/>
    <w:rsid w:val="00951CCD"/>
    <w:rsid w:val="00954EF4"/>
    <w:rsid w:val="009607CC"/>
    <w:rsid w:val="0096300C"/>
    <w:rsid w:val="00976DD4"/>
    <w:rsid w:val="0099165B"/>
    <w:rsid w:val="009A3078"/>
    <w:rsid w:val="009A3E23"/>
    <w:rsid w:val="009A78BB"/>
    <w:rsid w:val="009D227F"/>
    <w:rsid w:val="009F1355"/>
    <w:rsid w:val="009F25F6"/>
    <w:rsid w:val="00A036E5"/>
    <w:rsid w:val="00A212CB"/>
    <w:rsid w:val="00A37152"/>
    <w:rsid w:val="00A426FE"/>
    <w:rsid w:val="00A67639"/>
    <w:rsid w:val="00AD1828"/>
    <w:rsid w:val="00AE0709"/>
    <w:rsid w:val="00AE2333"/>
    <w:rsid w:val="00AF3A75"/>
    <w:rsid w:val="00AF6F4A"/>
    <w:rsid w:val="00B06243"/>
    <w:rsid w:val="00B41A43"/>
    <w:rsid w:val="00B74058"/>
    <w:rsid w:val="00BB3D3A"/>
    <w:rsid w:val="00BD6C76"/>
    <w:rsid w:val="00BE2E0A"/>
    <w:rsid w:val="00C203C3"/>
    <w:rsid w:val="00C20D33"/>
    <w:rsid w:val="00C23237"/>
    <w:rsid w:val="00C323E7"/>
    <w:rsid w:val="00C401B6"/>
    <w:rsid w:val="00C546E9"/>
    <w:rsid w:val="00C7124F"/>
    <w:rsid w:val="00C87C4D"/>
    <w:rsid w:val="00C95DBF"/>
    <w:rsid w:val="00CB12E1"/>
    <w:rsid w:val="00CB630F"/>
    <w:rsid w:val="00CC06AB"/>
    <w:rsid w:val="00CE6F80"/>
    <w:rsid w:val="00D148D6"/>
    <w:rsid w:val="00D175E7"/>
    <w:rsid w:val="00D2044B"/>
    <w:rsid w:val="00D3797B"/>
    <w:rsid w:val="00D42C75"/>
    <w:rsid w:val="00D47E24"/>
    <w:rsid w:val="00D50330"/>
    <w:rsid w:val="00D56C6A"/>
    <w:rsid w:val="00D957E3"/>
    <w:rsid w:val="00D97307"/>
    <w:rsid w:val="00DA7F09"/>
    <w:rsid w:val="00DC43E0"/>
    <w:rsid w:val="00DC4CD1"/>
    <w:rsid w:val="00DE58C6"/>
    <w:rsid w:val="00DF1D63"/>
    <w:rsid w:val="00DF38AE"/>
    <w:rsid w:val="00E2020B"/>
    <w:rsid w:val="00E2610A"/>
    <w:rsid w:val="00E26192"/>
    <w:rsid w:val="00E270F2"/>
    <w:rsid w:val="00E27D9A"/>
    <w:rsid w:val="00E329BF"/>
    <w:rsid w:val="00E358B9"/>
    <w:rsid w:val="00E42523"/>
    <w:rsid w:val="00E42D88"/>
    <w:rsid w:val="00E527E5"/>
    <w:rsid w:val="00E554C7"/>
    <w:rsid w:val="00E615ED"/>
    <w:rsid w:val="00E7748F"/>
    <w:rsid w:val="00E910DB"/>
    <w:rsid w:val="00E92396"/>
    <w:rsid w:val="00E96608"/>
    <w:rsid w:val="00EA29E6"/>
    <w:rsid w:val="00EC5E0B"/>
    <w:rsid w:val="00F00C27"/>
    <w:rsid w:val="00F01DFE"/>
    <w:rsid w:val="00F30629"/>
    <w:rsid w:val="00F51E48"/>
    <w:rsid w:val="00F57341"/>
    <w:rsid w:val="00F72EE1"/>
    <w:rsid w:val="00F808B3"/>
    <w:rsid w:val="00F82DA3"/>
    <w:rsid w:val="00F85FD4"/>
    <w:rsid w:val="00FA464E"/>
    <w:rsid w:val="00FC3E65"/>
    <w:rsid w:val="00FC55DF"/>
    <w:rsid w:val="00FD238A"/>
    <w:rsid w:val="00FF6F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99B7DD"/>
  <w15:docId w15:val="{16AB16CC-A16F-4A2B-8DF2-B88CB6DC2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8B3"/>
  </w:style>
  <w:style w:type="paragraph" w:styleId="Heading1">
    <w:name w:val="heading 1"/>
    <w:basedOn w:val="Normal"/>
    <w:next w:val="Normal"/>
    <w:link w:val="Heading1Char"/>
    <w:uiPriority w:val="9"/>
    <w:qFormat/>
    <w:rsid w:val="004909ED"/>
    <w:pPr>
      <w:spacing w:after="0" w:line="480" w:lineRule="auto"/>
      <w:contextualSpacing/>
      <w:jc w:val="center"/>
      <w:outlineLvl w:val="0"/>
    </w:pPr>
    <w:rPr>
      <w:rFonts w:ascii="Times New Roman" w:eastAsia="Calibri" w:hAnsi="Times New Roman" w:cs="Times New Roman"/>
      <w:b/>
      <w:kern w:val="0"/>
      <w:sz w:val="24"/>
      <w:szCs w:val="24"/>
      <w:lang w:val="en-US"/>
      <w14:ligatures w14:val="none"/>
    </w:rPr>
  </w:style>
  <w:style w:type="paragraph" w:styleId="Heading2">
    <w:name w:val="heading 2"/>
    <w:basedOn w:val="Normal"/>
    <w:next w:val="Normal"/>
    <w:link w:val="Heading2Char"/>
    <w:uiPriority w:val="9"/>
    <w:unhideWhenUsed/>
    <w:qFormat/>
    <w:rsid w:val="008B2FC1"/>
    <w:pPr>
      <w:outlineLvl w:val="1"/>
    </w:pPr>
    <w:rPr>
      <w:rFonts w:ascii="Times New Roman" w:hAnsi="Times New Roman" w:cs="Times New Roman"/>
      <w:b/>
      <w:kern w:val="0"/>
      <w:sz w:val="24"/>
      <w:szCs w:val="24"/>
      <w14:ligatures w14:val="none"/>
    </w:rPr>
  </w:style>
  <w:style w:type="paragraph" w:styleId="Heading3">
    <w:name w:val="heading 3"/>
    <w:basedOn w:val="Normal"/>
    <w:next w:val="Normal"/>
    <w:link w:val="Heading3Char"/>
    <w:uiPriority w:val="9"/>
    <w:unhideWhenUsed/>
    <w:qFormat/>
    <w:rsid w:val="008B2FC1"/>
    <w:pPr>
      <w:ind w:firstLine="720"/>
      <w:outlineLvl w:val="2"/>
    </w:pPr>
    <w:rPr>
      <w:rFonts w:ascii="Times New Roman" w:hAnsi="Times New Roman" w:cs="Times New Roman"/>
      <w:b/>
      <w:i/>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08B3"/>
    <w:pPr>
      <w:spacing w:after="0" w:line="240" w:lineRule="auto"/>
    </w:pPr>
    <w:rPr>
      <w:kern w:val="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175E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175E7"/>
    <w:rPr>
      <w:rFonts w:ascii="Lucida Grande" w:hAnsi="Lucida Grande" w:cs="Lucida Grande"/>
      <w:sz w:val="18"/>
      <w:szCs w:val="18"/>
    </w:rPr>
  </w:style>
  <w:style w:type="character" w:customStyle="1" w:styleId="Heading1Char">
    <w:name w:val="Heading 1 Char"/>
    <w:basedOn w:val="DefaultParagraphFont"/>
    <w:link w:val="Heading1"/>
    <w:uiPriority w:val="9"/>
    <w:rsid w:val="004909ED"/>
    <w:rPr>
      <w:rFonts w:ascii="Times New Roman" w:eastAsia="Calibri" w:hAnsi="Times New Roman" w:cs="Times New Roman"/>
      <w:b/>
      <w:kern w:val="0"/>
      <w:sz w:val="24"/>
      <w:szCs w:val="24"/>
      <w:lang w:val="en-US"/>
      <w14:ligatures w14:val="none"/>
    </w:rPr>
  </w:style>
  <w:style w:type="character" w:customStyle="1" w:styleId="Heading2Char">
    <w:name w:val="Heading 2 Char"/>
    <w:basedOn w:val="DefaultParagraphFont"/>
    <w:link w:val="Heading2"/>
    <w:uiPriority w:val="9"/>
    <w:rsid w:val="008B2FC1"/>
    <w:rPr>
      <w:rFonts w:ascii="Times New Roman" w:hAnsi="Times New Roman" w:cs="Times New Roman"/>
      <w:b/>
      <w:kern w:val="0"/>
      <w:sz w:val="24"/>
      <w:szCs w:val="24"/>
      <w14:ligatures w14:val="none"/>
    </w:rPr>
  </w:style>
  <w:style w:type="character" w:customStyle="1" w:styleId="Heading3Char">
    <w:name w:val="Heading 3 Char"/>
    <w:basedOn w:val="DefaultParagraphFont"/>
    <w:link w:val="Heading3"/>
    <w:uiPriority w:val="9"/>
    <w:rsid w:val="008B2FC1"/>
    <w:rPr>
      <w:rFonts w:ascii="Times New Roman" w:hAnsi="Times New Roman" w:cs="Times New Roman"/>
      <w:b/>
      <w:i/>
      <w:kern w:val="0"/>
      <w:sz w:val="24"/>
      <w:szCs w:val="24"/>
      <w14:ligatures w14:val="none"/>
    </w:rPr>
  </w:style>
  <w:style w:type="paragraph" w:styleId="TOC1">
    <w:name w:val="toc 1"/>
    <w:basedOn w:val="Normal"/>
    <w:next w:val="Normal"/>
    <w:autoRedefine/>
    <w:uiPriority w:val="39"/>
    <w:unhideWhenUsed/>
    <w:rsid w:val="00923840"/>
  </w:style>
  <w:style w:type="paragraph" w:styleId="TOC2">
    <w:name w:val="toc 2"/>
    <w:basedOn w:val="Normal"/>
    <w:next w:val="Normal"/>
    <w:autoRedefine/>
    <w:uiPriority w:val="39"/>
    <w:unhideWhenUsed/>
    <w:rsid w:val="00923840"/>
    <w:pPr>
      <w:ind w:left="220"/>
    </w:pPr>
  </w:style>
  <w:style w:type="paragraph" w:styleId="TOC3">
    <w:name w:val="toc 3"/>
    <w:basedOn w:val="Normal"/>
    <w:next w:val="Normal"/>
    <w:autoRedefine/>
    <w:uiPriority w:val="39"/>
    <w:unhideWhenUsed/>
    <w:rsid w:val="00923840"/>
    <w:pPr>
      <w:ind w:left="440"/>
    </w:pPr>
  </w:style>
  <w:style w:type="paragraph" w:styleId="TOC4">
    <w:name w:val="toc 4"/>
    <w:basedOn w:val="Normal"/>
    <w:next w:val="Normal"/>
    <w:autoRedefine/>
    <w:uiPriority w:val="39"/>
    <w:unhideWhenUsed/>
    <w:rsid w:val="00923840"/>
    <w:pPr>
      <w:ind w:left="660"/>
    </w:pPr>
  </w:style>
  <w:style w:type="paragraph" w:styleId="TOC5">
    <w:name w:val="toc 5"/>
    <w:basedOn w:val="Normal"/>
    <w:next w:val="Normal"/>
    <w:autoRedefine/>
    <w:uiPriority w:val="39"/>
    <w:unhideWhenUsed/>
    <w:rsid w:val="00923840"/>
    <w:pPr>
      <w:ind w:left="880"/>
    </w:pPr>
  </w:style>
  <w:style w:type="paragraph" w:styleId="TOC6">
    <w:name w:val="toc 6"/>
    <w:basedOn w:val="Normal"/>
    <w:next w:val="Normal"/>
    <w:autoRedefine/>
    <w:uiPriority w:val="39"/>
    <w:unhideWhenUsed/>
    <w:rsid w:val="00923840"/>
    <w:pPr>
      <w:ind w:left="1100"/>
    </w:pPr>
  </w:style>
  <w:style w:type="paragraph" w:styleId="TOC7">
    <w:name w:val="toc 7"/>
    <w:basedOn w:val="Normal"/>
    <w:next w:val="Normal"/>
    <w:autoRedefine/>
    <w:uiPriority w:val="39"/>
    <w:unhideWhenUsed/>
    <w:rsid w:val="00923840"/>
    <w:pPr>
      <w:ind w:left="1320"/>
    </w:pPr>
  </w:style>
  <w:style w:type="paragraph" w:styleId="TOC8">
    <w:name w:val="toc 8"/>
    <w:basedOn w:val="Normal"/>
    <w:next w:val="Normal"/>
    <w:autoRedefine/>
    <w:uiPriority w:val="39"/>
    <w:unhideWhenUsed/>
    <w:rsid w:val="00923840"/>
    <w:pPr>
      <w:ind w:left="1540"/>
    </w:pPr>
  </w:style>
  <w:style w:type="paragraph" w:styleId="TOC9">
    <w:name w:val="toc 9"/>
    <w:basedOn w:val="Normal"/>
    <w:next w:val="Normal"/>
    <w:autoRedefine/>
    <w:uiPriority w:val="39"/>
    <w:unhideWhenUsed/>
    <w:rsid w:val="00923840"/>
    <w:pPr>
      <w:ind w:left="1760"/>
    </w:pPr>
  </w:style>
  <w:style w:type="paragraph" w:styleId="Header">
    <w:name w:val="header"/>
    <w:basedOn w:val="Normal"/>
    <w:link w:val="HeaderChar"/>
    <w:uiPriority w:val="99"/>
    <w:unhideWhenUsed/>
    <w:rsid w:val="00A036E5"/>
    <w:pPr>
      <w:tabs>
        <w:tab w:val="center" w:pos="4320"/>
        <w:tab w:val="right" w:pos="8640"/>
      </w:tabs>
      <w:spacing w:after="0" w:line="240" w:lineRule="auto"/>
    </w:pPr>
  </w:style>
  <w:style w:type="character" w:customStyle="1" w:styleId="HeaderChar">
    <w:name w:val="Header Char"/>
    <w:basedOn w:val="DefaultParagraphFont"/>
    <w:link w:val="Header"/>
    <w:uiPriority w:val="99"/>
    <w:rsid w:val="00A036E5"/>
  </w:style>
  <w:style w:type="paragraph" w:styleId="Footer">
    <w:name w:val="footer"/>
    <w:basedOn w:val="Normal"/>
    <w:link w:val="FooterChar"/>
    <w:uiPriority w:val="99"/>
    <w:unhideWhenUsed/>
    <w:rsid w:val="00A036E5"/>
    <w:pPr>
      <w:tabs>
        <w:tab w:val="center" w:pos="4320"/>
        <w:tab w:val="right" w:pos="8640"/>
      </w:tabs>
      <w:spacing w:after="0" w:line="240" w:lineRule="auto"/>
    </w:pPr>
  </w:style>
  <w:style w:type="character" w:customStyle="1" w:styleId="FooterChar">
    <w:name w:val="Footer Char"/>
    <w:basedOn w:val="DefaultParagraphFont"/>
    <w:link w:val="Footer"/>
    <w:uiPriority w:val="99"/>
    <w:rsid w:val="00A036E5"/>
  </w:style>
  <w:style w:type="character" w:styleId="PageNumber">
    <w:name w:val="page number"/>
    <w:basedOn w:val="DefaultParagraphFont"/>
    <w:uiPriority w:val="99"/>
    <w:semiHidden/>
    <w:unhideWhenUsed/>
    <w:rsid w:val="00A036E5"/>
  </w:style>
  <w:style w:type="character" w:styleId="CommentReference">
    <w:name w:val="annotation reference"/>
    <w:basedOn w:val="DefaultParagraphFont"/>
    <w:uiPriority w:val="99"/>
    <w:semiHidden/>
    <w:unhideWhenUsed/>
    <w:rsid w:val="00A036E5"/>
    <w:rPr>
      <w:sz w:val="18"/>
      <w:szCs w:val="18"/>
    </w:rPr>
  </w:style>
  <w:style w:type="paragraph" w:styleId="CommentText">
    <w:name w:val="annotation text"/>
    <w:basedOn w:val="Normal"/>
    <w:link w:val="CommentTextChar"/>
    <w:uiPriority w:val="99"/>
    <w:unhideWhenUsed/>
    <w:rsid w:val="00A036E5"/>
    <w:pPr>
      <w:spacing w:line="240" w:lineRule="auto"/>
    </w:pPr>
    <w:rPr>
      <w:sz w:val="24"/>
      <w:szCs w:val="24"/>
    </w:rPr>
  </w:style>
  <w:style w:type="character" w:customStyle="1" w:styleId="CommentTextChar">
    <w:name w:val="Comment Text Char"/>
    <w:basedOn w:val="DefaultParagraphFont"/>
    <w:link w:val="CommentText"/>
    <w:uiPriority w:val="99"/>
    <w:rsid w:val="00A036E5"/>
    <w:rPr>
      <w:sz w:val="24"/>
      <w:szCs w:val="24"/>
    </w:rPr>
  </w:style>
  <w:style w:type="paragraph" w:styleId="CommentSubject">
    <w:name w:val="annotation subject"/>
    <w:basedOn w:val="CommentText"/>
    <w:next w:val="CommentText"/>
    <w:link w:val="CommentSubjectChar"/>
    <w:uiPriority w:val="99"/>
    <w:semiHidden/>
    <w:unhideWhenUsed/>
    <w:rsid w:val="00A036E5"/>
    <w:rPr>
      <w:b/>
      <w:bCs/>
      <w:sz w:val="20"/>
      <w:szCs w:val="20"/>
    </w:rPr>
  </w:style>
  <w:style w:type="character" w:customStyle="1" w:styleId="CommentSubjectChar">
    <w:name w:val="Comment Subject Char"/>
    <w:basedOn w:val="CommentTextChar"/>
    <w:link w:val="CommentSubject"/>
    <w:uiPriority w:val="99"/>
    <w:semiHidden/>
    <w:rsid w:val="00A036E5"/>
    <w:rPr>
      <w:b/>
      <w:bCs/>
      <w:sz w:val="20"/>
      <w:szCs w:val="20"/>
    </w:rPr>
  </w:style>
  <w:style w:type="character" w:styleId="Hyperlink">
    <w:name w:val="Hyperlink"/>
    <w:basedOn w:val="DefaultParagraphFont"/>
    <w:uiPriority w:val="99"/>
    <w:unhideWhenUsed/>
    <w:rsid w:val="00922245"/>
    <w:rPr>
      <w:color w:val="0563C1" w:themeColor="hyperlink"/>
      <w:u w:val="single"/>
    </w:rPr>
  </w:style>
  <w:style w:type="character" w:styleId="UnresolvedMention">
    <w:name w:val="Unresolved Mention"/>
    <w:basedOn w:val="DefaultParagraphFont"/>
    <w:uiPriority w:val="99"/>
    <w:semiHidden/>
    <w:unhideWhenUsed/>
    <w:rsid w:val="00922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doi.org/10.2139/ssrn.4318880" TargetMode="External"/><Relationship Id="rId18" Type="http://schemas.openxmlformats.org/officeDocument/2006/relationships/hyperlink" Target="https://doi.org/10.1111/fire.12340" TargetMode="External"/><Relationship Id="rId26" Type="http://schemas.openxmlformats.org/officeDocument/2006/relationships/hyperlink" Target="https://doi.org/10.1016/j.techfore.2019.119751" TargetMode="External"/><Relationship Id="rId39" Type="http://schemas.openxmlformats.org/officeDocument/2006/relationships/hyperlink" Target="https://doi.org/10.18506/anemon.712351" TargetMode="External"/><Relationship Id="rId3" Type="http://schemas.openxmlformats.org/officeDocument/2006/relationships/settings" Target="settings.xml"/><Relationship Id="rId21" Type="http://schemas.openxmlformats.org/officeDocument/2006/relationships/hyperlink" Target="https://papers.ssrn.com/sol3/papers.cfm?abstract_id=2998830" TargetMode="External"/><Relationship Id="rId34" Type="http://schemas.openxmlformats.org/officeDocument/2006/relationships/hyperlink" Target="https://search.proquest.com/openview/425834d5c75a9afff19581f31aff5915/1?pq-origsite=gscholar&amp;cbl=2044398" TargetMode="External"/><Relationship Id="rId42" Type="http://schemas.openxmlformats.org/officeDocument/2006/relationships/hyperlink" Target="https://www.europarl.europa.eu/thinktank/en/document/IPOL_STU(2023)740083" TargetMode="External"/><Relationship Id="rId7" Type="http://schemas.openxmlformats.org/officeDocument/2006/relationships/diagramData" Target="diagrams/data1.xml"/><Relationship Id="rId12" Type="http://schemas.openxmlformats.org/officeDocument/2006/relationships/hyperlink" Target="https://doi.org/10.1108/cg-12-2019-0389" TargetMode="External"/><Relationship Id="rId17" Type="http://schemas.openxmlformats.org/officeDocument/2006/relationships/hyperlink" Target="https://doi.org/10.2139/ssrn.4283333" TargetMode="External"/><Relationship Id="rId25" Type="http://schemas.openxmlformats.org/officeDocument/2006/relationships/hyperlink" Target="https://openyls.law.yale.edu/bitstream/handle/20.500.13051/18354/FRAUD%20IN%20A%20LAND%20OF%20PLENTY.pdf?sequence=1&amp;isAllowed=y" TargetMode="External"/><Relationship Id="rId33" Type="http://schemas.openxmlformats.org/officeDocument/2006/relationships/hyperlink" Target="https://doi.org/10.1108/jeee-06-2018-0064" TargetMode="External"/><Relationship Id="rId38" Type="http://schemas.openxmlformats.org/officeDocument/2006/relationships/hyperlink" Target="http://stakeholdertheory.org/about/"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3QpdU9LS540" TargetMode="External"/><Relationship Id="rId20" Type="http://schemas.openxmlformats.org/officeDocument/2006/relationships/hyperlink" Target="https://corpgov.law.harvard.edu/2022/02/21/2022-global-and-regional-trends-in-corporate-governance/" TargetMode="External"/><Relationship Id="rId29" Type="http://schemas.openxmlformats.org/officeDocument/2006/relationships/hyperlink" Target="https://doi.org/10.2139/ssrn.3963205" TargetMode="External"/><Relationship Id="rId41" Type="http://schemas.openxmlformats.org/officeDocument/2006/relationships/hyperlink" Target="https://doi.org/10.1016/j.physa.2023.129044"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www.consumernotice.org/legal/crypto-bankruptcies/" TargetMode="External"/><Relationship Id="rId32" Type="http://schemas.openxmlformats.org/officeDocument/2006/relationships/hyperlink" Target="https://papers.ssrn.com/sol3/papers.cfm?abstract_id=3572765" TargetMode="External"/><Relationship Id="rId37" Type="http://schemas.openxmlformats.org/officeDocument/2006/relationships/hyperlink" Target="https://doi.org/10.1017/s1744137421000606" TargetMode="External"/><Relationship Id="rId40" Type="http://schemas.openxmlformats.org/officeDocument/2006/relationships/hyperlink" Target="https://doi.org/10.2139/ssrn.4290093"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2139/ssrn.4372516" TargetMode="External"/><Relationship Id="rId23" Type="http://schemas.openxmlformats.org/officeDocument/2006/relationships/hyperlink" Target="https://assets.kpmg.com/content/dam/kpmg/cn/pdf/en/2022/11/the-collapse-of-ftx.pdf" TargetMode="External"/><Relationship Id="rId28" Type="http://schemas.openxmlformats.org/officeDocument/2006/relationships/hyperlink" Target="https://scholarship.law.vanderbilt.edu/vlr/vol75/iss1/6/" TargetMode="External"/><Relationship Id="rId36" Type="http://schemas.openxmlformats.org/officeDocument/2006/relationships/hyperlink" Target="https://doi.org/10.1080/00036846.2021.1899119" TargetMode="External"/><Relationship Id="rId10" Type="http://schemas.openxmlformats.org/officeDocument/2006/relationships/diagramColors" Target="diagrams/colors1.xml"/><Relationship Id="rId19" Type="http://schemas.openxmlformats.org/officeDocument/2006/relationships/hyperlink" Target="https://doi.org/10.48550/arxiv.2212.09436" TargetMode="External"/><Relationship Id="rId31" Type="http://schemas.openxmlformats.org/officeDocument/2006/relationships/hyperlink" Target="https://www.coindesk.com/business/2023/10/04/alameda-was-business-as-usual-before-collapse-ex-engineer/"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doi.org/10.3390/jrfm16070305" TargetMode="External"/><Relationship Id="rId22" Type="http://schemas.openxmlformats.org/officeDocument/2006/relationships/hyperlink" Target="https://doi.org/10.1093/cmlj/kmad019" TargetMode="External"/><Relationship Id="rId27" Type="http://schemas.openxmlformats.org/officeDocument/2006/relationships/hyperlink" Target="http://dspace.unive.it/bitstream/handle/10579/23547/858038-1274102.pdf?sequence=2" TargetMode="External"/><Relationship Id="rId30" Type="http://schemas.openxmlformats.org/officeDocument/2006/relationships/hyperlink" Target="https://papers.ssrn.com/sol3/papers.cfm?abstract_id=4360876" TargetMode="External"/><Relationship Id="rId35" Type="http://schemas.openxmlformats.org/officeDocument/2006/relationships/hyperlink" Target="https://doi.org/10.1007/s10676-019-09502-5" TargetMode="External"/><Relationship Id="rId43"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C6EC5B-7FDB-48B9-9B62-395BA7F730F8}" type="doc">
      <dgm:prSet loTypeId="urn:microsoft.com/office/officeart/2005/8/layout/hierarchy2" loCatId="hierarchy" qsTypeId="urn:microsoft.com/office/officeart/2005/8/quickstyle/simple3" qsCatId="simple" csTypeId="urn:microsoft.com/office/officeart/2005/8/colors/accent1_2" csCatId="accent1" phldr="1"/>
      <dgm:spPr/>
      <dgm:t>
        <a:bodyPr/>
        <a:lstStyle/>
        <a:p>
          <a:endParaRPr lang="x-none"/>
        </a:p>
      </dgm:t>
    </dgm:pt>
    <dgm:pt modelId="{89A12213-B262-4894-ABF7-3AF93A3CED7E}">
      <dgm:prSet phldrT="[Text]"/>
      <dgm:spPr>
        <a:xfrm>
          <a:off x="3725" y="2656441"/>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Corporate governance failure</a:t>
          </a:r>
          <a:endParaRPr lang="x-none">
            <a:solidFill>
              <a:sysClr val="windowText" lastClr="000000"/>
            </a:solidFill>
            <a:latin typeface="Calibri" panose="020F0502020204030204"/>
            <a:ea typeface="+mn-ea"/>
            <a:cs typeface="+mn-cs"/>
          </a:endParaRPr>
        </a:p>
      </dgm:t>
    </dgm:pt>
    <dgm:pt modelId="{8B750605-5BD9-43CF-87D8-1CB486539940}" type="parTrans" cxnId="{A0202459-0D83-473E-9F94-278EABBAFB34}">
      <dgm:prSet/>
      <dgm:spPr/>
      <dgm:t>
        <a:bodyPr/>
        <a:lstStyle/>
        <a:p>
          <a:endParaRPr lang="x-none"/>
        </a:p>
      </dgm:t>
    </dgm:pt>
    <dgm:pt modelId="{BBB03D00-7C98-46CE-A011-E65E7E013C31}" type="sibTrans" cxnId="{A0202459-0D83-473E-9F94-278EABBAFB34}">
      <dgm:prSet/>
      <dgm:spPr/>
      <dgm:t>
        <a:bodyPr/>
        <a:lstStyle/>
        <a:p>
          <a:endParaRPr lang="x-none"/>
        </a:p>
      </dgm:t>
    </dgm:pt>
    <dgm:pt modelId="{B9220782-FB01-4E1F-96D4-E83246FF793D}">
      <dgm:prSet phldrT="[Text]"/>
      <dgm:spPr>
        <a:xfrm>
          <a:off x="1620383" y="1660464"/>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Absence of Governance</a:t>
          </a:r>
          <a:endParaRPr lang="x-none">
            <a:solidFill>
              <a:sysClr val="windowText" lastClr="000000"/>
            </a:solidFill>
            <a:latin typeface="Calibri" panose="020F0502020204030204"/>
            <a:ea typeface="+mn-ea"/>
            <a:cs typeface="+mn-cs"/>
          </a:endParaRPr>
        </a:p>
      </dgm:t>
    </dgm:pt>
    <dgm:pt modelId="{EE468AAC-F984-4B1A-9C40-FBFB089918B2}" type="parTrans" cxnId="{EBED3D9A-BDAC-4F6B-A4BD-9509E90C6059}">
      <dgm:prSet/>
      <dgm:spPr>
        <a:xfrm rot="17692822">
          <a:off x="840496" y="2438319"/>
          <a:ext cx="1097872" cy="17644"/>
        </a:xfrm>
        <a:custGeom>
          <a:avLst/>
          <a:gdLst/>
          <a:ahLst/>
          <a:cxnLst/>
          <a:rect l="0" t="0" r="0" b="0"/>
          <a:pathLst>
            <a:path>
              <a:moveTo>
                <a:pt x="0" y="8822"/>
              </a:moveTo>
              <a:lnTo>
                <a:pt x="1097872" y="882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A49337F0-14BE-4D76-9288-4720BA0A7D10}" type="sibTrans" cxnId="{EBED3D9A-BDAC-4F6B-A4BD-9509E90C6059}">
      <dgm:prSet/>
      <dgm:spPr/>
      <dgm:t>
        <a:bodyPr/>
        <a:lstStyle/>
        <a:p>
          <a:endParaRPr lang="x-none"/>
        </a:p>
      </dgm:t>
    </dgm:pt>
    <dgm:pt modelId="{A289B8C2-A0B8-4BED-B621-ACF1BB4F8E6D}">
      <dgm:prSet phldrT="[Text]"/>
      <dgm:spPr>
        <a:xfrm>
          <a:off x="3237041" y="996479"/>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Poor separation of responsibilities</a:t>
          </a:r>
          <a:endParaRPr lang="x-none">
            <a:solidFill>
              <a:sysClr val="windowText" lastClr="000000"/>
            </a:solidFill>
            <a:latin typeface="Calibri" panose="020F0502020204030204"/>
            <a:ea typeface="+mn-ea"/>
            <a:cs typeface="+mn-cs"/>
          </a:endParaRPr>
        </a:p>
      </dgm:t>
    </dgm:pt>
    <dgm:pt modelId="{DA4DF74F-AADF-49E1-BAD5-87F03C44B7E5}" type="parTrans" cxnId="{177F9B8B-F8ED-4CB1-977A-E556BB020682}">
      <dgm:prSet/>
      <dgm:spPr>
        <a:xfrm rot="18289469">
          <a:off x="2601667" y="1608339"/>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471A160D-D2EF-4441-ABF8-FE9C265EA2E7}" type="sibTrans" cxnId="{177F9B8B-F8ED-4CB1-977A-E556BB020682}">
      <dgm:prSet/>
      <dgm:spPr/>
      <dgm:t>
        <a:bodyPr/>
        <a:lstStyle/>
        <a:p>
          <a:endParaRPr lang="x-none"/>
        </a:p>
      </dgm:t>
    </dgm:pt>
    <dgm:pt modelId="{F2706584-BB1F-4B28-9531-2F5DBAF9A9FD}">
      <dgm:prSet phldrT="[Text]"/>
      <dgm:spPr>
        <a:xfrm>
          <a:off x="3237041" y="1660464"/>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lack of transparency &amp; Board Oversight</a:t>
          </a:r>
          <a:endParaRPr lang="x-none">
            <a:solidFill>
              <a:sysClr val="windowText" lastClr="000000"/>
            </a:solidFill>
            <a:latin typeface="Calibri" panose="020F0502020204030204"/>
            <a:ea typeface="+mn-ea"/>
            <a:cs typeface="+mn-cs"/>
          </a:endParaRPr>
        </a:p>
      </dgm:t>
    </dgm:pt>
    <dgm:pt modelId="{79AB40FB-D794-4EB4-B275-082FD4346614}" type="parTrans" cxnId="{788B4994-1B6C-4BF9-BFE4-2812D07023F0}">
      <dgm:prSet/>
      <dgm:spPr>
        <a:xfrm>
          <a:off x="2775138" y="1940331"/>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46CAA27C-7D6B-46B7-AE2A-D866BD405AB8}" type="sibTrans" cxnId="{788B4994-1B6C-4BF9-BFE4-2812D07023F0}">
      <dgm:prSet/>
      <dgm:spPr/>
      <dgm:t>
        <a:bodyPr/>
        <a:lstStyle/>
        <a:p>
          <a:endParaRPr lang="x-none"/>
        </a:p>
      </dgm:t>
    </dgm:pt>
    <dgm:pt modelId="{CD53E4E5-B012-4F3D-96D7-FF410E675AA6}">
      <dgm:prSet phldrT="[Text]"/>
      <dgm:spPr>
        <a:xfrm>
          <a:off x="1620383" y="431640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Absence of Policy Commitments</a:t>
          </a:r>
          <a:endParaRPr lang="x-none">
            <a:solidFill>
              <a:sysClr val="windowText" lastClr="000000"/>
            </a:solidFill>
            <a:latin typeface="Calibri" panose="020F0502020204030204"/>
            <a:ea typeface="+mn-ea"/>
            <a:cs typeface="+mn-cs"/>
          </a:endParaRPr>
        </a:p>
      </dgm:t>
    </dgm:pt>
    <dgm:pt modelId="{7D6F463E-89FA-48F3-B6DA-3F251D57C4C3}" type="parTrans" cxnId="{A7100D82-CF83-4C6C-A29D-4AE63C450259}">
      <dgm:prSet/>
      <dgm:spPr>
        <a:xfrm rot="4467012">
          <a:off x="527918" y="3766288"/>
          <a:ext cx="1723027" cy="17644"/>
        </a:xfrm>
        <a:custGeom>
          <a:avLst/>
          <a:gdLst/>
          <a:ahLst/>
          <a:cxnLst/>
          <a:rect l="0" t="0" r="0" b="0"/>
          <a:pathLst>
            <a:path>
              <a:moveTo>
                <a:pt x="0" y="8822"/>
              </a:moveTo>
              <a:lnTo>
                <a:pt x="1723027" y="8822"/>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304D1A47-16F1-4C4C-AFFF-BCABD497E362}" type="sibTrans" cxnId="{A7100D82-CF83-4C6C-A29D-4AE63C450259}">
      <dgm:prSet/>
      <dgm:spPr/>
      <dgm:t>
        <a:bodyPr/>
        <a:lstStyle/>
        <a:p>
          <a:endParaRPr lang="x-none"/>
        </a:p>
      </dgm:t>
    </dgm:pt>
    <dgm:pt modelId="{7B445386-08AA-4BB1-82E9-CAC38C1043F3}">
      <dgm:prSet phldrT="[Text]"/>
      <dgm:spPr>
        <a:xfrm>
          <a:off x="3237041" y="3652417"/>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Unethical practices</a:t>
          </a:r>
          <a:endParaRPr lang="x-none">
            <a:solidFill>
              <a:sysClr val="windowText" lastClr="000000"/>
            </a:solidFill>
            <a:latin typeface="Calibri" panose="020F0502020204030204"/>
            <a:ea typeface="+mn-ea"/>
            <a:cs typeface="+mn-cs"/>
          </a:endParaRPr>
        </a:p>
      </dgm:t>
    </dgm:pt>
    <dgm:pt modelId="{794BAE86-8BF9-43F0-9F0B-291FB0402146}" type="parTrans" cxnId="{DBED2D9A-382C-4E59-BE89-D1A2B2CA0515}">
      <dgm:prSet/>
      <dgm:spPr>
        <a:xfrm rot="18289469">
          <a:off x="2601667" y="4264276"/>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92F9ECFE-605A-46CC-B007-A9A99E6330CF}" type="sibTrans" cxnId="{DBED2D9A-382C-4E59-BE89-D1A2B2CA0515}">
      <dgm:prSet/>
      <dgm:spPr/>
      <dgm:t>
        <a:bodyPr/>
        <a:lstStyle/>
        <a:p>
          <a:endParaRPr lang="x-none"/>
        </a:p>
      </dgm:t>
    </dgm:pt>
    <dgm:pt modelId="{6DA95FE2-A59E-43F7-BBE7-502F28573476}">
      <dgm:prSet/>
      <dgm:spPr>
        <a:xfrm>
          <a:off x="3237041" y="2324448"/>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lack of decision making processes</a:t>
          </a:r>
          <a:endParaRPr lang="x-none">
            <a:solidFill>
              <a:sysClr val="windowText" lastClr="000000"/>
            </a:solidFill>
            <a:latin typeface="Calibri" panose="020F0502020204030204"/>
            <a:ea typeface="+mn-ea"/>
            <a:cs typeface="+mn-cs"/>
          </a:endParaRPr>
        </a:p>
      </dgm:t>
    </dgm:pt>
    <dgm:pt modelId="{71B9A327-7746-49D7-BB63-C9C77713B080}" type="parTrans" cxnId="{251D0E5A-DADF-4AAD-AF6F-695C8FE32479}">
      <dgm:prSet/>
      <dgm:spPr>
        <a:xfrm rot="3310531">
          <a:off x="2601667" y="2272323"/>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411E0E9E-08B5-46BC-8348-4018A7B0458F}" type="sibTrans" cxnId="{251D0E5A-DADF-4AAD-AF6F-695C8FE32479}">
      <dgm:prSet/>
      <dgm:spPr/>
      <dgm:t>
        <a:bodyPr/>
        <a:lstStyle/>
        <a:p>
          <a:endParaRPr lang="x-none"/>
        </a:p>
      </dgm:t>
    </dgm:pt>
    <dgm:pt modelId="{B01655A4-4EA9-4EE7-AAD7-AE828D767377}">
      <dgm:prSet/>
      <dgm:spPr>
        <a:xfrm>
          <a:off x="4853698" y="132847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Corporate governance practices</a:t>
          </a:r>
          <a:endParaRPr lang="x-none">
            <a:solidFill>
              <a:sysClr val="windowText" lastClr="000000"/>
            </a:solidFill>
            <a:latin typeface="Calibri" panose="020F0502020204030204"/>
            <a:ea typeface="+mn-ea"/>
            <a:cs typeface="+mn-cs"/>
          </a:endParaRPr>
        </a:p>
      </dgm:t>
    </dgm:pt>
    <dgm:pt modelId="{F429059C-8AD7-449F-9661-4193874B74B0}" type="parTrans" cxnId="{8331C8D9-2264-4F4F-B840-017FA6000BEA}">
      <dgm:prSet/>
      <dgm:spPr>
        <a:xfrm rot="2142401">
          <a:off x="4338330" y="1442342"/>
          <a:ext cx="568834" cy="17644"/>
        </a:xfrm>
        <a:custGeom>
          <a:avLst/>
          <a:gdLst/>
          <a:ahLst/>
          <a:cxnLst/>
          <a:rect l="0" t="0" r="0" b="0"/>
          <a:pathLst>
            <a:path>
              <a:moveTo>
                <a:pt x="0" y="8822"/>
              </a:moveTo>
              <a:lnTo>
                <a:pt x="568834"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999A8965-2F34-4D35-8F3E-BCF40C8549E6}" type="sibTrans" cxnId="{8331C8D9-2264-4F4F-B840-017FA6000BEA}">
      <dgm:prSet/>
      <dgm:spPr/>
      <dgm:t>
        <a:bodyPr/>
        <a:lstStyle/>
        <a:p>
          <a:endParaRPr lang="x-none"/>
        </a:p>
      </dgm:t>
    </dgm:pt>
    <dgm:pt modelId="{CD2DBD36-8456-4856-B815-45003630F4D0}">
      <dgm:prSet/>
      <dgm:spPr>
        <a:xfrm>
          <a:off x="3237041" y="431640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Conflict of interest</a:t>
          </a:r>
          <a:endParaRPr lang="x-none">
            <a:solidFill>
              <a:sysClr val="windowText" lastClr="000000"/>
            </a:solidFill>
            <a:latin typeface="Calibri" panose="020F0502020204030204"/>
            <a:ea typeface="+mn-ea"/>
            <a:cs typeface="+mn-cs"/>
          </a:endParaRPr>
        </a:p>
      </dgm:t>
    </dgm:pt>
    <dgm:pt modelId="{43D4AFE0-2087-479E-A699-6539485D7B1D}" type="parTrans" cxnId="{77B2D0BF-B1B5-4737-AB20-7A8FB5F6463F}">
      <dgm:prSet/>
      <dgm:spPr>
        <a:xfrm>
          <a:off x="2775138" y="4596269"/>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99C800C7-BD42-40A8-B445-E49DD64BC26C}" type="sibTrans" cxnId="{77B2D0BF-B1B5-4737-AB20-7A8FB5F6463F}">
      <dgm:prSet/>
      <dgm:spPr/>
      <dgm:t>
        <a:bodyPr/>
        <a:lstStyle/>
        <a:p>
          <a:endParaRPr lang="x-none"/>
        </a:p>
      </dgm:t>
    </dgm:pt>
    <dgm:pt modelId="{1C9A914B-282D-4C1E-8D95-462F251D317A}">
      <dgm:prSet/>
      <dgm:spPr>
        <a:xfrm>
          <a:off x="3237041" y="4980386"/>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Poor organisational set up</a:t>
          </a:r>
          <a:endParaRPr lang="x-none">
            <a:solidFill>
              <a:sysClr val="windowText" lastClr="000000"/>
            </a:solidFill>
            <a:latin typeface="Calibri" panose="020F0502020204030204"/>
            <a:ea typeface="+mn-ea"/>
            <a:cs typeface="+mn-cs"/>
          </a:endParaRPr>
        </a:p>
      </dgm:t>
    </dgm:pt>
    <dgm:pt modelId="{E743029B-31EA-44C7-BD5A-18EA8088BF71}" type="parTrans" cxnId="{8AEEEDF7-F9E5-4081-84ED-D6188B6D3B21}">
      <dgm:prSet/>
      <dgm:spPr>
        <a:xfrm rot="3310531">
          <a:off x="2601667" y="4928261"/>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2F42CBA4-336B-4BDB-8A12-C566DF66B6E1}" type="sibTrans" cxnId="{8AEEEDF7-F9E5-4081-84ED-D6188B6D3B21}">
      <dgm:prSet/>
      <dgm:spPr/>
      <dgm:t>
        <a:bodyPr/>
        <a:lstStyle/>
        <a:p>
          <a:endParaRPr lang="x-none"/>
        </a:p>
      </dgm:t>
    </dgm:pt>
    <dgm:pt modelId="{AECA2096-C5D6-40E8-AAC7-56DE69E1AD24}">
      <dgm:prSet/>
      <dgm:spPr>
        <a:xfrm>
          <a:off x="4853698" y="431640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a:solidFill>
                <a:sysClr val="windowText" lastClr="000000"/>
              </a:solidFill>
              <a:latin typeface="Calibri" panose="020F0502020204030204"/>
              <a:ea typeface="+mn-ea"/>
              <a:cs typeface="+mn-cs"/>
            </a:rPr>
            <a:t>Company issues</a:t>
          </a:r>
          <a:endParaRPr lang="x-none">
            <a:solidFill>
              <a:sysClr val="windowText" lastClr="000000"/>
            </a:solidFill>
            <a:latin typeface="Calibri" panose="020F0502020204030204"/>
            <a:ea typeface="+mn-ea"/>
            <a:cs typeface="+mn-cs"/>
          </a:endParaRPr>
        </a:p>
      </dgm:t>
    </dgm:pt>
    <dgm:pt modelId="{0D18BB16-8CFC-474D-B9BF-A65051505526}" type="parTrans" cxnId="{6195B1DC-3BD1-419B-B53B-97D754A71B16}">
      <dgm:prSet/>
      <dgm:spPr>
        <a:xfrm>
          <a:off x="4391796" y="4596269"/>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05C2B482-DF0E-447C-A460-DF5D7121404C}" type="sibTrans" cxnId="{6195B1DC-3BD1-419B-B53B-97D754A71B16}">
      <dgm:prSet/>
      <dgm:spPr/>
      <dgm:t>
        <a:bodyPr/>
        <a:lstStyle/>
        <a:p>
          <a:endParaRPr lang="x-none"/>
        </a:p>
      </dgm:t>
    </dgm:pt>
    <dgm:pt modelId="{54989C5B-77D0-4582-9135-2B71C1391232}">
      <dgm:prSet/>
      <dgm:spPr>
        <a:xfrm>
          <a:off x="3237041" y="2988433"/>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Absence of regulatory body</a:t>
          </a:r>
          <a:endParaRPr lang="x-none">
            <a:solidFill>
              <a:sysClr val="windowText" lastClr="000000"/>
            </a:solidFill>
            <a:latin typeface="Calibri" panose="020F0502020204030204"/>
            <a:ea typeface="+mn-ea"/>
            <a:cs typeface="+mn-cs"/>
          </a:endParaRPr>
        </a:p>
      </dgm:t>
    </dgm:pt>
    <dgm:pt modelId="{E5D1ABF5-A6A6-4E43-9750-C127F0CB3E5F}" type="parTrans" cxnId="{77279058-D474-42C9-8E6C-6E9D7FA7E22B}">
      <dgm:prSet/>
      <dgm:spPr>
        <a:xfrm rot="4249260">
          <a:off x="2303086" y="2604315"/>
          <a:ext cx="1406006" cy="17644"/>
        </a:xfrm>
        <a:custGeom>
          <a:avLst/>
          <a:gdLst/>
          <a:ahLst/>
          <a:cxnLst/>
          <a:rect l="0" t="0" r="0" b="0"/>
          <a:pathLst>
            <a:path>
              <a:moveTo>
                <a:pt x="0" y="8822"/>
              </a:moveTo>
              <a:lnTo>
                <a:pt x="1406006"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9B3F8760-0FAE-46CC-88A2-A9BCA4A96BEB}" type="sibTrans" cxnId="{77279058-D474-42C9-8E6C-6E9D7FA7E22B}">
      <dgm:prSet/>
      <dgm:spPr/>
      <dgm:t>
        <a:bodyPr/>
        <a:lstStyle/>
        <a:p>
          <a:endParaRPr lang="x-none"/>
        </a:p>
      </dgm:t>
    </dgm:pt>
    <dgm:pt modelId="{56283E62-7574-4539-8C62-F406038BB999}">
      <dgm:prSet/>
      <dgm:spPr>
        <a:xfrm>
          <a:off x="4853698" y="2988433"/>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US">
              <a:solidFill>
                <a:sysClr val="windowText" lastClr="000000"/>
              </a:solidFill>
              <a:latin typeface="Calibri" panose="020F0502020204030204"/>
              <a:ea typeface="+mn-ea"/>
              <a:cs typeface="+mn-cs"/>
            </a:rPr>
            <a:t>Regulations</a:t>
          </a:r>
          <a:endParaRPr lang="x-none">
            <a:solidFill>
              <a:sysClr val="windowText" lastClr="000000"/>
            </a:solidFill>
            <a:latin typeface="Calibri" panose="020F0502020204030204"/>
            <a:ea typeface="+mn-ea"/>
            <a:cs typeface="+mn-cs"/>
          </a:endParaRPr>
        </a:p>
      </dgm:t>
    </dgm:pt>
    <dgm:pt modelId="{3DE61909-8E27-45BD-91E4-D834621B2711}" type="parTrans" cxnId="{7B62A2F9-C672-476D-AB9C-3468948FF0A2}">
      <dgm:prSet/>
      <dgm:spPr>
        <a:xfrm>
          <a:off x="4391796" y="3268300"/>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BE8F21C5-96F0-48FF-939D-3A2EB5B67DBD}" type="sibTrans" cxnId="{7B62A2F9-C672-476D-AB9C-3468948FF0A2}">
      <dgm:prSet/>
      <dgm:spPr/>
      <dgm:t>
        <a:bodyPr/>
        <a:lstStyle/>
        <a:p>
          <a:endParaRPr lang="x-none"/>
        </a:p>
      </dgm:t>
    </dgm:pt>
    <dgm:pt modelId="{5B65ED6E-C8B1-4338-87C7-9090432C19FC}">
      <dgm:prSet/>
      <dgm:spPr>
        <a:xfrm>
          <a:off x="4853698" y="664487"/>
          <a:ext cx="1154755" cy="577377"/>
        </a:xfrm>
        <a:prstGeom prst="roundRect">
          <a:avLst>
            <a:gd name="adj" fmla="val 10000"/>
          </a:avLst>
        </a:prstGeom>
        <a:noFill/>
        <a:ln>
          <a:noFill/>
        </a:ln>
        <a:effectLst/>
        <a:scene3d>
          <a:camera prst="orthographicFront"/>
          <a:lightRig rig="flat" dir="t"/>
        </a:scene3d>
        <a:sp3d prstMaterial="dkEdge">
          <a:bevelT w="8200" h="38100"/>
        </a:sp3d>
      </dgm:spPr>
      <dgm:t>
        <a:bodyPr/>
        <a:lstStyle/>
        <a:p>
          <a:pPr>
            <a:buNone/>
          </a:pPr>
          <a:r>
            <a:rPr lang="en-US" i="1">
              <a:solidFill>
                <a:sysClr val="windowText" lastClr="000000"/>
              </a:solidFill>
              <a:latin typeface="Calibri" panose="020F0502020204030204"/>
              <a:ea typeface="+mn-ea"/>
              <a:cs typeface="+mn-cs"/>
            </a:rPr>
            <a:t>Initial codes named</a:t>
          </a:r>
          <a:endParaRPr lang="x-none" i="1">
            <a:solidFill>
              <a:sysClr val="windowText" lastClr="000000"/>
            </a:solidFill>
            <a:latin typeface="Calibri" panose="020F0502020204030204"/>
            <a:ea typeface="+mn-ea"/>
            <a:cs typeface="+mn-cs"/>
          </a:endParaRPr>
        </a:p>
      </dgm:t>
    </dgm:pt>
    <dgm:pt modelId="{A1CE74CC-3DBC-49B6-8AB9-7F981F82A98A}" type="parTrans" cxnId="{8FDB5628-CB8D-4B1D-9C60-6042FD586A8A}">
      <dgm:prSet/>
      <dgm:spPr>
        <a:xfrm rot="19457599">
          <a:off x="4338330" y="1110350"/>
          <a:ext cx="568834" cy="17644"/>
        </a:xfrm>
        <a:custGeom>
          <a:avLst/>
          <a:gdLst/>
          <a:ahLst/>
          <a:cxnLst/>
          <a:rect l="0" t="0" r="0" b="0"/>
          <a:pathLst>
            <a:path>
              <a:moveTo>
                <a:pt x="0" y="8822"/>
              </a:moveTo>
              <a:lnTo>
                <a:pt x="568834" y="8822"/>
              </a:lnTo>
            </a:path>
          </a:pathLst>
        </a:custGeom>
        <a:noFill/>
        <a:ln w="12700" cap="flat" cmpd="sng" algn="ctr">
          <a:no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86ADC232-41B7-4129-8495-85F121B15F45}" type="sibTrans" cxnId="{8FDB5628-CB8D-4B1D-9C60-6042FD586A8A}">
      <dgm:prSet/>
      <dgm:spPr/>
      <dgm:t>
        <a:bodyPr/>
        <a:lstStyle/>
        <a:p>
          <a:endParaRPr lang="x-none"/>
        </a:p>
      </dgm:t>
    </dgm:pt>
    <dgm:pt modelId="{C812B28B-573C-4AB9-B51B-8D3D5373F8B6}">
      <dgm:prSet/>
      <dgm:spPr>
        <a:xfrm>
          <a:off x="3237041" y="332495"/>
          <a:ext cx="1154755" cy="577377"/>
        </a:xfrm>
        <a:prstGeom prst="roundRect">
          <a:avLst>
            <a:gd name="adj" fmla="val 10000"/>
          </a:avLst>
        </a:prstGeom>
        <a:noFill/>
        <a:ln>
          <a:noFill/>
        </a:ln>
        <a:effectLst/>
        <a:scene3d>
          <a:camera prst="orthographicFront"/>
          <a:lightRig rig="flat" dir="t"/>
        </a:scene3d>
        <a:sp3d prstMaterial="dkEdge">
          <a:bevelT w="8200" h="38100"/>
        </a:sp3d>
      </dgm:spPr>
      <dgm:t>
        <a:bodyPr/>
        <a:lstStyle/>
        <a:p>
          <a:pPr>
            <a:buNone/>
          </a:pPr>
          <a:r>
            <a:rPr lang="en-US" i="1">
              <a:solidFill>
                <a:sysClr val="windowText" lastClr="000000"/>
              </a:solidFill>
              <a:latin typeface="Calibri" panose="020F0502020204030204"/>
              <a:ea typeface="+mn-ea"/>
              <a:cs typeface="+mn-cs"/>
            </a:rPr>
            <a:t>Expanded codes applied</a:t>
          </a:r>
          <a:endParaRPr lang="x-none" i="1">
            <a:solidFill>
              <a:sysClr val="windowText" lastClr="000000"/>
            </a:solidFill>
            <a:latin typeface="Calibri" panose="020F0502020204030204"/>
            <a:ea typeface="+mn-ea"/>
            <a:cs typeface="+mn-cs"/>
          </a:endParaRPr>
        </a:p>
      </dgm:t>
    </dgm:pt>
    <dgm:pt modelId="{E38CE7BD-C84C-456C-8236-C21CF7A4783E}" type="parTrans" cxnId="{CC54983C-C393-4926-ADA8-592CE4AD2F58}">
      <dgm:prSet/>
      <dgm:spPr>
        <a:xfrm rot="17350740">
          <a:off x="2303086" y="1276346"/>
          <a:ext cx="1406006" cy="17644"/>
        </a:xfrm>
        <a:custGeom>
          <a:avLst/>
          <a:gdLst/>
          <a:ahLst/>
          <a:cxnLst/>
          <a:rect l="0" t="0" r="0" b="0"/>
          <a:pathLst>
            <a:path>
              <a:moveTo>
                <a:pt x="0" y="8822"/>
              </a:moveTo>
              <a:lnTo>
                <a:pt x="1406006" y="8822"/>
              </a:lnTo>
            </a:path>
          </a:pathLst>
        </a:custGeom>
        <a:noFill/>
        <a:ln w="12700" cap="flat" cmpd="sng" algn="ctr">
          <a:no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D24369ED-6FA3-449A-8A3B-4DF323FF4692}" type="sibTrans" cxnId="{CC54983C-C393-4926-ADA8-592CE4AD2F58}">
      <dgm:prSet/>
      <dgm:spPr/>
      <dgm:t>
        <a:bodyPr/>
        <a:lstStyle/>
        <a:p>
          <a:endParaRPr lang="x-none"/>
        </a:p>
      </dgm:t>
    </dgm:pt>
    <dgm:pt modelId="{73BDFE98-08D7-411E-9889-2751A0360C11}">
      <dgm:prSet/>
      <dgm:spPr>
        <a:xfrm>
          <a:off x="1620383" y="996479"/>
          <a:ext cx="1154755" cy="577377"/>
        </a:xfrm>
        <a:prstGeom prst="roundRect">
          <a:avLst>
            <a:gd name="adj" fmla="val 10000"/>
          </a:avLst>
        </a:prstGeom>
        <a:noFill/>
        <a:ln>
          <a:noFill/>
        </a:ln>
        <a:effectLst/>
        <a:scene3d>
          <a:camera prst="orthographicFront"/>
          <a:lightRig rig="flat" dir="t"/>
        </a:scene3d>
        <a:sp3d prstMaterial="dkEdge">
          <a:bevelT w="8200" h="38100"/>
        </a:sp3d>
      </dgm:spPr>
      <dgm:t>
        <a:bodyPr/>
        <a:lstStyle/>
        <a:p>
          <a:pPr>
            <a:buNone/>
          </a:pPr>
          <a:r>
            <a:rPr lang="en-US" i="1">
              <a:solidFill>
                <a:sysClr val="windowText" lastClr="000000"/>
              </a:solidFill>
              <a:latin typeface="Calibri" panose="020F0502020204030204"/>
              <a:ea typeface="+mn-ea"/>
              <a:cs typeface="+mn-cs"/>
            </a:rPr>
            <a:t>Final categorisation</a:t>
          </a:r>
          <a:endParaRPr lang="x-none" i="1">
            <a:solidFill>
              <a:sysClr val="windowText" lastClr="000000"/>
            </a:solidFill>
            <a:latin typeface="Calibri" panose="020F0502020204030204"/>
            <a:ea typeface="+mn-ea"/>
            <a:cs typeface="+mn-cs"/>
          </a:endParaRPr>
        </a:p>
      </dgm:t>
    </dgm:pt>
    <dgm:pt modelId="{38E5363A-FDCF-43A0-850C-9096564CA646}" type="parTrans" cxnId="{597151F3-02B1-4A64-8458-506ED941D54A}">
      <dgm:prSet/>
      <dgm:spPr>
        <a:xfrm rot="17132988">
          <a:off x="527918" y="2106327"/>
          <a:ext cx="1723027" cy="17644"/>
        </a:xfrm>
        <a:custGeom>
          <a:avLst/>
          <a:gdLst/>
          <a:ahLst/>
          <a:cxnLst/>
          <a:rect l="0" t="0" r="0" b="0"/>
          <a:pathLst>
            <a:path>
              <a:moveTo>
                <a:pt x="0" y="8822"/>
              </a:moveTo>
              <a:lnTo>
                <a:pt x="1723027" y="8822"/>
              </a:lnTo>
            </a:path>
          </a:pathLst>
        </a:custGeom>
        <a:noFill/>
        <a:ln w="12700" cap="flat" cmpd="sng" algn="ctr">
          <a:noFill/>
          <a:prstDash val="solid"/>
          <a:miter lim="800000"/>
        </a:ln>
        <a:effectLst/>
      </dgm:spPr>
      <dgm:t>
        <a:bodyPr/>
        <a:lstStyle/>
        <a:p>
          <a:pPr>
            <a:buNone/>
          </a:pPr>
          <a:endParaRPr lang="x-none">
            <a:solidFill>
              <a:sysClr val="windowText" lastClr="000000">
                <a:hueOff val="0"/>
                <a:satOff val="0"/>
                <a:lumOff val="0"/>
                <a:alphaOff val="0"/>
              </a:sysClr>
            </a:solidFill>
            <a:latin typeface="Calibri" panose="020F0502020204030204"/>
            <a:ea typeface="+mn-ea"/>
            <a:cs typeface="+mn-cs"/>
          </a:endParaRPr>
        </a:p>
      </dgm:t>
    </dgm:pt>
    <dgm:pt modelId="{0FAE1307-8505-40A4-A1E4-4774B947C658}" type="sibTrans" cxnId="{597151F3-02B1-4A64-8458-506ED941D54A}">
      <dgm:prSet/>
      <dgm:spPr/>
      <dgm:t>
        <a:bodyPr/>
        <a:lstStyle/>
        <a:p>
          <a:endParaRPr lang="x-none"/>
        </a:p>
      </dgm:t>
    </dgm:pt>
    <dgm:pt modelId="{BE481C91-96D0-4F4D-8702-216A122C27C4}">
      <dgm:prSet>
        <dgm:style>
          <a:lnRef idx="0">
            <a:scrgbClr r="0" g="0" b="0"/>
          </a:lnRef>
          <a:fillRef idx="0">
            <a:scrgbClr r="0" g="0" b="0"/>
          </a:fillRef>
          <a:effectRef idx="0">
            <a:scrgbClr r="0" g="0" b="0"/>
          </a:effectRef>
          <a:fontRef idx="minor">
            <a:schemeClr val="dk1"/>
          </a:fontRef>
        </dgm:style>
      </dgm:prSet>
      <dgm:spPr>
        <a:xfrm>
          <a:off x="3725" y="1992456"/>
          <a:ext cx="1154755" cy="577377"/>
        </a:xfrm>
        <a:prstGeom prst="roundRect">
          <a:avLst>
            <a:gd name="adj" fmla="val 10000"/>
          </a:avLst>
        </a:prstGeom>
        <a:noFill/>
        <a:ln>
          <a:noFill/>
        </a:ln>
        <a:effectLst/>
        <a:scene3d>
          <a:camera prst="orthographicFront"/>
          <a:lightRig rig="flat" dir="t"/>
        </a:scene3d>
        <a:sp3d/>
      </dgm:spPr>
      <dgm:t>
        <a:bodyPr/>
        <a:lstStyle/>
        <a:p>
          <a:pPr>
            <a:buNone/>
          </a:pPr>
          <a:r>
            <a:rPr lang="en-US" i="1">
              <a:solidFill>
                <a:sysClr val="windowText" lastClr="000000"/>
              </a:solidFill>
              <a:latin typeface="Calibri" panose="020F0502020204030204"/>
              <a:ea typeface="+mn-ea"/>
              <a:cs typeface="+mn-cs"/>
            </a:rPr>
            <a:t>Theme described</a:t>
          </a:r>
          <a:endParaRPr lang="x-none" i="1">
            <a:solidFill>
              <a:sysClr val="windowText" lastClr="000000"/>
            </a:solidFill>
            <a:latin typeface="Calibri" panose="020F0502020204030204"/>
            <a:ea typeface="+mn-ea"/>
            <a:cs typeface="+mn-cs"/>
          </a:endParaRPr>
        </a:p>
      </dgm:t>
    </dgm:pt>
    <dgm:pt modelId="{9CE17B4E-9A8F-4E6B-B58A-E88F5950A72A}" type="sibTrans" cxnId="{8E02428D-E63A-4280-AF7B-62C7F9300C41}">
      <dgm:prSet/>
      <dgm:spPr/>
      <dgm:t>
        <a:bodyPr/>
        <a:lstStyle/>
        <a:p>
          <a:endParaRPr lang="x-none"/>
        </a:p>
      </dgm:t>
    </dgm:pt>
    <dgm:pt modelId="{5B3DA0C2-6E84-429A-985E-6345B2880E53}" type="parTrans" cxnId="{8E02428D-E63A-4280-AF7B-62C7F9300C41}">
      <dgm:prSet/>
      <dgm:spPr/>
      <dgm:t>
        <a:bodyPr/>
        <a:lstStyle/>
        <a:p>
          <a:endParaRPr lang="x-none"/>
        </a:p>
      </dgm:t>
    </dgm:pt>
    <dgm:pt modelId="{16B69848-E7E9-4359-86B5-14BE73B23955}" type="pres">
      <dgm:prSet presAssocID="{B0C6EC5B-7FDB-48B9-9B62-395BA7F730F8}" presName="diagram" presStyleCnt="0">
        <dgm:presLayoutVars>
          <dgm:chPref val="1"/>
          <dgm:dir/>
          <dgm:animOne val="branch"/>
          <dgm:animLvl val="lvl"/>
          <dgm:resizeHandles val="exact"/>
        </dgm:presLayoutVars>
      </dgm:prSet>
      <dgm:spPr/>
    </dgm:pt>
    <dgm:pt modelId="{CD17B51C-908E-4DAA-8AC0-EAE01C44EB51}" type="pres">
      <dgm:prSet presAssocID="{BE481C91-96D0-4F4D-8702-216A122C27C4}" presName="root1" presStyleCnt="0"/>
      <dgm:spPr/>
    </dgm:pt>
    <dgm:pt modelId="{56CA30D0-3AA2-465F-B1CB-D9DF2445D55B}" type="pres">
      <dgm:prSet presAssocID="{BE481C91-96D0-4F4D-8702-216A122C27C4}" presName="LevelOneTextNode" presStyleLbl="node0" presStyleIdx="0" presStyleCnt="2">
        <dgm:presLayoutVars>
          <dgm:chPref val="3"/>
        </dgm:presLayoutVars>
      </dgm:prSet>
      <dgm:spPr/>
    </dgm:pt>
    <dgm:pt modelId="{6EEBB983-4696-4EFD-A809-6A2A5C36E989}" type="pres">
      <dgm:prSet presAssocID="{BE481C91-96D0-4F4D-8702-216A122C27C4}" presName="level2hierChild" presStyleCnt="0"/>
      <dgm:spPr/>
    </dgm:pt>
    <dgm:pt modelId="{A85ACB72-9EBB-4382-AE41-FB1D2DA37788}" type="pres">
      <dgm:prSet presAssocID="{89A12213-B262-4894-ABF7-3AF93A3CED7E}" presName="root1" presStyleCnt="0"/>
      <dgm:spPr/>
    </dgm:pt>
    <dgm:pt modelId="{E0DB5C4D-9BB1-4178-9C5D-4B89B8C0C0E4}" type="pres">
      <dgm:prSet presAssocID="{89A12213-B262-4894-ABF7-3AF93A3CED7E}" presName="LevelOneTextNode" presStyleLbl="node0" presStyleIdx="1" presStyleCnt="2">
        <dgm:presLayoutVars>
          <dgm:chPref val="3"/>
        </dgm:presLayoutVars>
      </dgm:prSet>
      <dgm:spPr/>
    </dgm:pt>
    <dgm:pt modelId="{6A05AC34-9BFA-40C1-AF68-386E825489E3}" type="pres">
      <dgm:prSet presAssocID="{89A12213-B262-4894-ABF7-3AF93A3CED7E}" presName="level2hierChild" presStyleCnt="0"/>
      <dgm:spPr/>
    </dgm:pt>
    <dgm:pt modelId="{940D479A-87C4-41E1-AC18-AE86E194580E}" type="pres">
      <dgm:prSet presAssocID="{38E5363A-FDCF-43A0-850C-9096564CA646}" presName="conn2-1" presStyleLbl="parChTrans1D2" presStyleIdx="0" presStyleCnt="3"/>
      <dgm:spPr/>
    </dgm:pt>
    <dgm:pt modelId="{39BBA9C3-CC8F-4CAD-AD27-DAEDED35880F}" type="pres">
      <dgm:prSet presAssocID="{38E5363A-FDCF-43A0-850C-9096564CA646}" presName="connTx" presStyleLbl="parChTrans1D2" presStyleIdx="0" presStyleCnt="3"/>
      <dgm:spPr/>
    </dgm:pt>
    <dgm:pt modelId="{293F043B-D1DF-49A4-8790-B56FD27D86CB}" type="pres">
      <dgm:prSet presAssocID="{73BDFE98-08D7-411E-9889-2751A0360C11}" presName="root2" presStyleCnt="0"/>
      <dgm:spPr/>
    </dgm:pt>
    <dgm:pt modelId="{F28A68E2-FFC5-4AF7-874A-DA4082EF6BCD}" type="pres">
      <dgm:prSet presAssocID="{73BDFE98-08D7-411E-9889-2751A0360C11}" presName="LevelTwoTextNode" presStyleLbl="node2" presStyleIdx="0" presStyleCnt="3">
        <dgm:presLayoutVars>
          <dgm:chPref val="3"/>
        </dgm:presLayoutVars>
      </dgm:prSet>
      <dgm:spPr/>
    </dgm:pt>
    <dgm:pt modelId="{0FD0C113-443A-4926-9F8B-F20CDABFA3C8}" type="pres">
      <dgm:prSet presAssocID="{73BDFE98-08D7-411E-9889-2751A0360C11}" presName="level3hierChild" presStyleCnt="0"/>
      <dgm:spPr/>
    </dgm:pt>
    <dgm:pt modelId="{A6A7BD2A-A205-429B-B5B2-53E80DB7127C}" type="pres">
      <dgm:prSet presAssocID="{EE468AAC-F984-4B1A-9C40-FBFB089918B2}" presName="conn2-1" presStyleLbl="parChTrans1D2" presStyleIdx="1" presStyleCnt="3"/>
      <dgm:spPr/>
    </dgm:pt>
    <dgm:pt modelId="{DEBEA84F-EC9C-47CE-A5F6-F7A457B18054}" type="pres">
      <dgm:prSet presAssocID="{EE468AAC-F984-4B1A-9C40-FBFB089918B2}" presName="connTx" presStyleLbl="parChTrans1D2" presStyleIdx="1" presStyleCnt="3"/>
      <dgm:spPr/>
    </dgm:pt>
    <dgm:pt modelId="{8551BB45-FFBD-4942-9F2F-2076B974C3E7}" type="pres">
      <dgm:prSet presAssocID="{B9220782-FB01-4E1F-96D4-E83246FF793D}" presName="root2" presStyleCnt="0"/>
      <dgm:spPr/>
    </dgm:pt>
    <dgm:pt modelId="{9B9CBDF1-9D86-4AF7-81BE-F3ADDF993432}" type="pres">
      <dgm:prSet presAssocID="{B9220782-FB01-4E1F-96D4-E83246FF793D}" presName="LevelTwoTextNode" presStyleLbl="node2" presStyleIdx="1" presStyleCnt="3">
        <dgm:presLayoutVars>
          <dgm:chPref val="3"/>
        </dgm:presLayoutVars>
      </dgm:prSet>
      <dgm:spPr/>
    </dgm:pt>
    <dgm:pt modelId="{F4491AB4-60CC-4C9B-9501-AFE72379EB37}" type="pres">
      <dgm:prSet presAssocID="{B9220782-FB01-4E1F-96D4-E83246FF793D}" presName="level3hierChild" presStyleCnt="0"/>
      <dgm:spPr/>
    </dgm:pt>
    <dgm:pt modelId="{BC4A6E2C-F5DD-44D7-97BC-1052C287B15B}" type="pres">
      <dgm:prSet presAssocID="{E38CE7BD-C84C-456C-8236-C21CF7A4783E}" presName="conn2-1" presStyleLbl="parChTrans1D3" presStyleIdx="0" presStyleCnt="8"/>
      <dgm:spPr/>
    </dgm:pt>
    <dgm:pt modelId="{651F77EB-5434-4481-BFAD-5910D4BADA84}" type="pres">
      <dgm:prSet presAssocID="{E38CE7BD-C84C-456C-8236-C21CF7A4783E}" presName="connTx" presStyleLbl="parChTrans1D3" presStyleIdx="0" presStyleCnt="8"/>
      <dgm:spPr/>
    </dgm:pt>
    <dgm:pt modelId="{3D93A9F3-0ABD-4544-8B25-6FDC5CD1423D}" type="pres">
      <dgm:prSet presAssocID="{C812B28B-573C-4AB9-B51B-8D3D5373F8B6}" presName="root2" presStyleCnt="0"/>
      <dgm:spPr/>
    </dgm:pt>
    <dgm:pt modelId="{99288FA1-4691-4426-BB53-2177155DAD7F}" type="pres">
      <dgm:prSet presAssocID="{C812B28B-573C-4AB9-B51B-8D3D5373F8B6}" presName="LevelTwoTextNode" presStyleLbl="node3" presStyleIdx="0" presStyleCnt="8">
        <dgm:presLayoutVars>
          <dgm:chPref val="3"/>
        </dgm:presLayoutVars>
      </dgm:prSet>
      <dgm:spPr/>
    </dgm:pt>
    <dgm:pt modelId="{3D11F41F-30B9-4047-9204-B537B8A2F2BB}" type="pres">
      <dgm:prSet presAssocID="{C812B28B-573C-4AB9-B51B-8D3D5373F8B6}" presName="level3hierChild" presStyleCnt="0"/>
      <dgm:spPr/>
    </dgm:pt>
    <dgm:pt modelId="{72F0C623-2CA7-4980-B514-A1ADD45C2B2F}" type="pres">
      <dgm:prSet presAssocID="{DA4DF74F-AADF-49E1-BAD5-87F03C44B7E5}" presName="conn2-1" presStyleLbl="parChTrans1D3" presStyleIdx="1" presStyleCnt="8"/>
      <dgm:spPr/>
    </dgm:pt>
    <dgm:pt modelId="{9CF72BF0-F4DB-4D74-B6E9-07254B6E827F}" type="pres">
      <dgm:prSet presAssocID="{DA4DF74F-AADF-49E1-BAD5-87F03C44B7E5}" presName="connTx" presStyleLbl="parChTrans1D3" presStyleIdx="1" presStyleCnt="8"/>
      <dgm:spPr/>
    </dgm:pt>
    <dgm:pt modelId="{2A5C0CDD-DACA-4F0D-92ED-B771A9A8619A}" type="pres">
      <dgm:prSet presAssocID="{A289B8C2-A0B8-4BED-B621-ACF1BB4F8E6D}" presName="root2" presStyleCnt="0"/>
      <dgm:spPr/>
    </dgm:pt>
    <dgm:pt modelId="{BABC3423-48DB-40F9-AEDA-EBA90976ACA5}" type="pres">
      <dgm:prSet presAssocID="{A289B8C2-A0B8-4BED-B621-ACF1BB4F8E6D}" presName="LevelTwoTextNode" presStyleLbl="node3" presStyleIdx="1" presStyleCnt="8">
        <dgm:presLayoutVars>
          <dgm:chPref val="3"/>
        </dgm:presLayoutVars>
      </dgm:prSet>
      <dgm:spPr/>
    </dgm:pt>
    <dgm:pt modelId="{1AE00073-5CC1-4C42-A72C-290371D63681}" type="pres">
      <dgm:prSet presAssocID="{A289B8C2-A0B8-4BED-B621-ACF1BB4F8E6D}" presName="level3hierChild" presStyleCnt="0"/>
      <dgm:spPr/>
    </dgm:pt>
    <dgm:pt modelId="{F074CC00-4F00-483B-8779-B20F1F711603}" type="pres">
      <dgm:prSet presAssocID="{A1CE74CC-3DBC-49B6-8AB9-7F981F82A98A}" presName="conn2-1" presStyleLbl="parChTrans1D4" presStyleIdx="0" presStyleCnt="4"/>
      <dgm:spPr/>
    </dgm:pt>
    <dgm:pt modelId="{F3C6865E-D224-4AA7-AEAB-A6E2D23612E9}" type="pres">
      <dgm:prSet presAssocID="{A1CE74CC-3DBC-49B6-8AB9-7F981F82A98A}" presName="connTx" presStyleLbl="parChTrans1D4" presStyleIdx="0" presStyleCnt="4"/>
      <dgm:spPr/>
    </dgm:pt>
    <dgm:pt modelId="{A15D3050-DF75-4CDE-B53F-452573F722E6}" type="pres">
      <dgm:prSet presAssocID="{5B65ED6E-C8B1-4338-87C7-9090432C19FC}" presName="root2" presStyleCnt="0"/>
      <dgm:spPr/>
    </dgm:pt>
    <dgm:pt modelId="{B899F2D9-7957-4C79-9837-BAC26526396A}" type="pres">
      <dgm:prSet presAssocID="{5B65ED6E-C8B1-4338-87C7-9090432C19FC}" presName="LevelTwoTextNode" presStyleLbl="node4" presStyleIdx="0" presStyleCnt="4">
        <dgm:presLayoutVars>
          <dgm:chPref val="3"/>
        </dgm:presLayoutVars>
      </dgm:prSet>
      <dgm:spPr/>
    </dgm:pt>
    <dgm:pt modelId="{826428D0-6967-448F-9085-D8DF54BA51BA}" type="pres">
      <dgm:prSet presAssocID="{5B65ED6E-C8B1-4338-87C7-9090432C19FC}" presName="level3hierChild" presStyleCnt="0"/>
      <dgm:spPr/>
    </dgm:pt>
    <dgm:pt modelId="{6B7B41CD-73F8-4EDD-9784-D3A470536440}" type="pres">
      <dgm:prSet presAssocID="{F429059C-8AD7-449F-9661-4193874B74B0}" presName="conn2-1" presStyleLbl="parChTrans1D4" presStyleIdx="1" presStyleCnt="4"/>
      <dgm:spPr/>
    </dgm:pt>
    <dgm:pt modelId="{63A70A40-C376-418C-B9BA-0FEE96AEA289}" type="pres">
      <dgm:prSet presAssocID="{F429059C-8AD7-449F-9661-4193874B74B0}" presName="connTx" presStyleLbl="parChTrans1D4" presStyleIdx="1" presStyleCnt="4"/>
      <dgm:spPr/>
    </dgm:pt>
    <dgm:pt modelId="{BD2AA9B5-7540-4C6D-81C8-0CB706644DDE}" type="pres">
      <dgm:prSet presAssocID="{B01655A4-4EA9-4EE7-AAD7-AE828D767377}" presName="root2" presStyleCnt="0"/>
      <dgm:spPr/>
    </dgm:pt>
    <dgm:pt modelId="{B3490752-86D6-4F14-A75A-95519E50FAB7}" type="pres">
      <dgm:prSet presAssocID="{B01655A4-4EA9-4EE7-AAD7-AE828D767377}" presName="LevelTwoTextNode" presStyleLbl="node4" presStyleIdx="1" presStyleCnt="4">
        <dgm:presLayoutVars>
          <dgm:chPref val="3"/>
        </dgm:presLayoutVars>
      </dgm:prSet>
      <dgm:spPr/>
    </dgm:pt>
    <dgm:pt modelId="{B1055180-2CDF-4B0B-8633-0F3B8746B106}" type="pres">
      <dgm:prSet presAssocID="{B01655A4-4EA9-4EE7-AAD7-AE828D767377}" presName="level3hierChild" presStyleCnt="0"/>
      <dgm:spPr/>
    </dgm:pt>
    <dgm:pt modelId="{D41CA4A8-BCB3-44C1-883C-2D1BFAE2DB7C}" type="pres">
      <dgm:prSet presAssocID="{79AB40FB-D794-4EB4-B275-082FD4346614}" presName="conn2-1" presStyleLbl="parChTrans1D3" presStyleIdx="2" presStyleCnt="8"/>
      <dgm:spPr/>
    </dgm:pt>
    <dgm:pt modelId="{8D5D5255-1F10-4888-AE68-33B7B7B659FC}" type="pres">
      <dgm:prSet presAssocID="{79AB40FB-D794-4EB4-B275-082FD4346614}" presName="connTx" presStyleLbl="parChTrans1D3" presStyleIdx="2" presStyleCnt="8"/>
      <dgm:spPr/>
    </dgm:pt>
    <dgm:pt modelId="{8DD76FDE-1036-4AFA-90A4-4ACE610F6AB0}" type="pres">
      <dgm:prSet presAssocID="{F2706584-BB1F-4B28-9531-2F5DBAF9A9FD}" presName="root2" presStyleCnt="0"/>
      <dgm:spPr/>
    </dgm:pt>
    <dgm:pt modelId="{55B5D840-B833-4E00-891E-AC73BD3016F4}" type="pres">
      <dgm:prSet presAssocID="{F2706584-BB1F-4B28-9531-2F5DBAF9A9FD}" presName="LevelTwoTextNode" presStyleLbl="node3" presStyleIdx="2" presStyleCnt="8">
        <dgm:presLayoutVars>
          <dgm:chPref val="3"/>
        </dgm:presLayoutVars>
      </dgm:prSet>
      <dgm:spPr/>
    </dgm:pt>
    <dgm:pt modelId="{C4A9FE04-E9A2-4197-B769-FFC0405E757C}" type="pres">
      <dgm:prSet presAssocID="{F2706584-BB1F-4B28-9531-2F5DBAF9A9FD}" presName="level3hierChild" presStyleCnt="0"/>
      <dgm:spPr/>
    </dgm:pt>
    <dgm:pt modelId="{00DA276B-E9FD-4223-BF11-EB0F3CF0C65A}" type="pres">
      <dgm:prSet presAssocID="{71B9A327-7746-49D7-BB63-C9C77713B080}" presName="conn2-1" presStyleLbl="parChTrans1D3" presStyleIdx="3" presStyleCnt="8"/>
      <dgm:spPr/>
    </dgm:pt>
    <dgm:pt modelId="{5D42D9FF-99EC-46E6-A99C-AD80216C3443}" type="pres">
      <dgm:prSet presAssocID="{71B9A327-7746-49D7-BB63-C9C77713B080}" presName="connTx" presStyleLbl="parChTrans1D3" presStyleIdx="3" presStyleCnt="8"/>
      <dgm:spPr/>
    </dgm:pt>
    <dgm:pt modelId="{38939C9B-76A7-447F-86CA-3B74B5292283}" type="pres">
      <dgm:prSet presAssocID="{6DA95FE2-A59E-43F7-BBE7-502F28573476}" presName="root2" presStyleCnt="0"/>
      <dgm:spPr/>
    </dgm:pt>
    <dgm:pt modelId="{A8922CBF-F0E7-40EB-8592-2BA3EA32AD13}" type="pres">
      <dgm:prSet presAssocID="{6DA95FE2-A59E-43F7-BBE7-502F28573476}" presName="LevelTwoTextNode" presStyleLbl="node3" presStyleIdx="3" presStyleCnt="8">
        <dgm:presLayoutVars>
          <dgm:chPref val="3"/>
        </dgm:presLayoutVars>
      </dgm:prSet>
      <dgm:spPr/>
    </dgm:pt>
    <dgm:pt modelId="{042DEDC4-27BA-44FE-8F5D-8E505DA8331C}" type="pres">
      <dgm:prSet presAssocID="{6DA95FE2-A59E-43F7-BBE7-502F28573476}" presName="level3hierChild" presStyleCnt="0"/>
      <dgm:spPr/>
    </dgm:pt>
    <dgm:pt modelId="{0C318193-B546-4317-BBC6-3A0A84D6666B}" type="pres">
      <dgm:prSet presAssocID="{E5D1ABF5-A6A6-4E43-9750-C127F0CB3E5F}" presName="conn2-1" presStyleLbl="parChTrans1D3" presStyleIdx="4" presStyleCnt="8"/>
      <dgm:spPr/>
    </dgm:pt>
    <dgm:pt modelId="{3BC1AC91-F49F-4E8D-A846-728A6D267B89}" type="pres">
      <dgm:prSet presAssocID="{E5D1ABF5-A6A6-4E43-9750-C127F0CB3E5F}" presName="connTx" presStyleLbl="parChTrans1D3" presStyleIdx="4" presStyleCnt="8"/>
      <dgm:spPr/>
    </dgm:pt>
    <dgm:pt modelId="{4428F7FA-1F93-4D2C-93D7-4152E9737F80}" type="pres">
      <dgm:prSet presAssocID="{54989C5B-77D0-4582-9135-2B71C1391232}" presName="root2" presStyleCnt="0"/>
      <dgm:spPr/>
    </dgm:pt>
    <dgm:pt modelId="{CAD87EB1-56A3-4CA2-A554-55F4C117DCD1}" type="pres">
      <dgm:prSet presAssocID="{54989C5B-77D0-4582-9135-2B71C1391232}" presName="LevelTwoTextNode" presStyleLbl="node3" presStyleIdx="4" presStyleCnt="8">
        <dgm:presLayoutVars>
          <dgm:chPref val="3"/>
        </dgm:presLayoutVars>
      </dgm:prSet>
      <dgm:spPr/>
    </dgm:pt>
    <dgm:pt modelId="{0AD34178-6DE4-4979-BA80-1656CD51F16E}" type="pres">
      <dgm:prSet presAssocID="{54989C5B-77D0-4582-9135-2B71C1391232}" presName="level3hierChild" presStyleCnt="0"/>
      <dgm:spPr/>
    </dgm:pt>
    <dgm:pt modelId="{3DA76114-FB8B-405A-BA20-6AA7343ADA29}" type="pres">
      <dgm:prSet presAssocID="{3DE61909-8E27-45BD-91E4-D834621B2711}" presName="conn2-1" presStyleLbl="parChTrans1D4" presStyleIdx="2" presStyleCnt="4"/>
      <dgm:spPr/>
    </dgm:pt>
    <dgm:pt modelId="{E86D3A18-6D5A-4855-AEE5-4A94DE772A51}" type="pres">
      <dgm:prSet presAssocID="{3DE61909-8E27-45BD-91E4-D834621B2711}" presName="connTx" presStyleLbl="parChTrans1D4" presStyleIdx="2" presStyleCnt="4"/>
      <dgm:spPr/>
    </dgm:pt>
    <dgm:pt modelId="{5F59009D-BF68-45D4-9FC7-87A85B5B3998}" type="pres">
      <dgm:prSet presAssocID="{56283E62-7574-4539-8C62-F406038BB999}" presName="root2" presStyleCnt="0"/>
      <dgm:spPr/>
    </dgm:pt>
    <dgm:pt modelId="{10DE85A1-358C-4A09-8362-439226BF97A9}" type="pres">
      <dgm:prSet presAssocID="{56283E62-7574-4539-8C62-F406038BB999}" presName="LevelTwoTextNode" presStyleLbl="node4" presStyleIdx="2" presStyleCnt="4">
        <dgm:presLayoutVars>
          <dgm:chPref val="3"/>
        </dgm:presLayoutVars>
      </dgm:prSet>
      <dgm:spPr/>
    </dgm:pt>
    <dgm:pt modelId="{C275C2CB-B8FE-42D8-816D-2282D4BD1F0D}" type="pres">
      <dgm:prSet presAssocID="{56283E62-7574-4539-8C62-F406038BB999}" presName="level3hierChild" presStyleCnt="0"/>
      <dgm:spPr/>
    </dgm:pt>
    <dgm:pt modelId="{6533728F-A91F-4060-8806-FB21ABC4821D}" type="pres">
      <dgm:prSet presAssocID="{7D6F463E-89FA-48F3-B6DA-3F251D57C4C3}" presName="conn2-1" presStyleLbl="parChTrans1D2" presStyleIdx="2" presStyleCnt="3"/>
      <dgm:spPr/>
    </dgm:pt>
    <dgm:pt modelId="{FDE16A21-919C-41E5-A8B9-6645C9B4876F}" type="pres">
      <dgm:prSet presAssocID="{7D6F463E-89FA-48F3-B6DA-3F251D57C4C3}" presName="connTx" presStyleLbl="parChTrans1D2" presStyleIdx="2" presStyleCnt="3"/>
      <dgm:spPr/>
    </dgm:pt>
    <dgm:pt modelId="{F26F926D-FBC8-44FE-8FEA-1F81A3DCEB5D}" type="pres">
      <dgm:prSet presAssocID="{CD53E4E5-B012-4F3D-96D7-FF410E675AA6}" presName="root2" presStyleCnt="0"/>
      <dgm:spPr/>
    </dgm:pt>
    <dgm:pt modelId="{327F8B60-8E8E-4C0F-9F1C-C322C11F5EBD}" type="pres">
      <dgm:prSet presAssocID="{CD53E4E5-B012-4F3D-96D7-FF410E675AA6}" presName="LevelTwoTextNode" presStyleLbl="node2" presStyleIdx="2" presStyleCnt="3">
        <dgm:presLayoutVars>
          <dgm:chPref val="3"/>
        </dgm:presLayoutVars>
      </dgm:prSet>
      <dgm:spPr/>
    </dgm:pt>
    <dgm:pt modelId="{A0D3DAF3-AB21-4764-9BB3-748D6A833F24}" type="pres">
      <dgm:prSet presAssocID="{CD53E4E5-B012-4F3D-96D7-FF410E675AA6}" presName="level3hierChild" presStyleCnt="0"/>
      <dgm:spPr/>
    </dgm:pt>
    <dgm:pt modelId="{F91EBE53-5013-4A8A-92A3-8D6EC112D4C6}" type="pres">
      <dgm:prSet presAssocID="{794BAE86-8BF9-43F0-9F0B-291FB0402146}" presName="conn2-1" presStyleLbl="parChTrans1D3" presStyleIdx="5" presStyleCnt="8"/>
      <dgm:spPr/>
    </dgm:pt>
    <dgm:pt modelId="{A60E0886-8CCE-4FAF-9C79-55675C8A3942}" type="pres">
      <dgm:prSet presAssocID="{794BAE86-8BF9-43F0-9F0B-291FB0402146}" presName="connTx" presStyleLbl="parChTrans1D3" presStyleIdx="5" presStyleCnt="8"/>
      <dgm:spPr/>
    </dgm:pt>
    <dgm:pt modelId="{D6D0A2FA-B4DE-43E3-99CD-82AF1A06FEB7}" type="pres">
      <dgm:prSet presAssocID="{7B445386-08AA-4BB1-82E9-CAC38C1043F3}" presName="root2" presStyleCnt="0"/>
      <dgm:spPr/>
    </dgm:pt>
    <dgm:pt modelId="{B7EC867B-5991-4EB9-A70C-B52B51589822}" type="pres">
      <dgm:prSet presAssocID="{7B445386-08AA-4BB1-82E9-CAC38C1043F3}" presName="LevelTwoTextNode" presStyleLbl="node3" presStyleIdx="5" presStyleCnt="8">
        <dgm:presLayoutVars>
          <dgm:chPref val="3"/>
        </dgm:presLayoutVars>
      </dgm:prSet>
      <dgm:spPr/>
    </dgm:pt>
    <dgm:pt modelId="{A6373F67-7040-4CF5-8C20-27B227113C7F}" type="pres">
      <dgm:prSet presAssocID="{7B445386-08AA-4BB1-82E9-CAC38C1043F3}" presName="level3hierChild" presStyleCnt="0"/>
      <dgm:spPr/>
    </dgm:pt>
    <dgm:pt modelId="{3A179C53-A1B4-418B-A67E-A2199F4FCFD9}" type="pres">
      <dgm:prSet presAssocID="{43D4AFE0-2087-479E-A699-6539485D7B1D}" presName="conn2-1" presStyleLbl="parChTrans1D3" presStyleIdx="6" presStyleCnt="8"/>
      <dgm:spPr/>
    </dgm:pt>
    <dgm:pt modelId="{53C4F697-5F8F-4221-8339-AAA3A922766C}" type="pres">
      <dgm:prSet presAssocID="{43D4AFE0-2087-479E-A699-6539485D7B1D}" presName="connTx" presStyleLbl="parChTrans1D3" presStyleIdx="6" presStyleCnt="8"/>
      <dgm:spPr/>
    </dgm:pt>
    <dgm:pt modelId="{9D018697-1048-46F8-BCC5-C66DB96273A8}" type="pres">
      <dgm:prSet presAssocID="{CD2DBD36-8456-4856-B815-45003630F4D0}" presName="root2" presStyleCnt="0"/>
      <dgm:spPr/>
    </dgm:pt>
    <dgm:pt modelId="{FD590A21-0469-4CEC-86E6-8729469E1DEB}" type="pres">
      <dgm:prSet presAssocID="{CD2DBD36-8456-4856-B815-45003630F4D0}" presName="LevelTwoTextNode" presStyleLbl="node3" presStyleIdx="6" presStyleCnt="8">
        <dgm:presLayoutVars>
          <dgm:chPref val="3"/>
        </dgm:presLayoutVars>
      </dgm:prSet>
      <dgm:spPr/>
    </dgm:pt>
    <dgm:pt modelId="{18E5C9DE-19CB-4DE1-842B-82C338793467}" type="pres">
      <dgm:prSet presAssocID="{CD2DBD36-8456-4856-B815-45003630F4D0}" presName="level3hierChild" presStyleCnt="0"/>
      <dgm:spPr/>
    </dgm:pt>
    <dgm:pt modelId="{A4C1A16B-D6BF-40CD-8E20-74BBE3C7F0B9}" type="pres">
      <dgm:prSet presAssocID="{0D18BB16-8CFC-474D-B9BF-A65051505526}" presName="conn2-1" presStyleLbl="parChTrans1D4" presStyleIdx="3" presStyleCnt="4"/>
      <dgm:spPr/>
    </dgm:pt>
    <dgm:pt modelId="{E5DD952D-9D94-472D-9262-14AFE8D74BCC}" type="pres">
      <dgm:prSet presAssocID="{0D18BB16-8CFC-474D-B9BF-A65051505526}" presName="connTx" presStyleLbl="parChTrans1D4" presStyleIdx="3" presStyleCnt="4"/>
      <dgm:spPr/>
    </dgm:pt>
    <dgm:pt modelId="{46BC7538-D3A6-4FCB-A12E-F6D243B2DBF3}" type="pres">
      <dgm:prSet presAssocID="{AECA2096-C5D6-40E8-AAC7-56DE69E1AD24}" presName="root2" presStyleCnt="0"/>
      <dgm:spPr/>
    </dgm:pt>
    <dgm:pt modelId="{E2D8712A-3412-4EA0-9586-88A291FD988D}" type="pres">
      <dgm:prSet presAssocID="{AECA2096-C5D6-40E8-AAC7-56DE69E1AD24}" presName="LevelTwoTextNode" presStyleLbl="node4" presStyleIdx="3" presStyleCnt="4">
        <dgm:presLayoutVars>
          <dgm:chPref val="3"/>
        </dgm:presLayoutVars>
      </dgm:prSet>
      <dgm:spPr/>
    </dgm:pt>
    <dgm:pt modelId="{18D4F18E-57C1-4C70-8B38-689E0EAF211A}" type="pres">
      <dgm:prSet presAssocID="{AECA2096-C5D6-40E8-AAC7-56DE69E1AD24}" presName="level3hierChild" presStyleCnt="0"/>
      <dgm:spPr/>
    </dgm:pt>
    <dgm:pt modelId="{0B8740F0-03C2-4CD8-BDB8-1C9CC3B0F550}" type="pres">
      <dgm:prSet presAssocID="{E743029B-31EA-44C7-BD5A-18EA8088BF71}" presName="conn2-1" presStyleLbl="parChTrans1D3" presStyleIdx="7" presStyleCnt="8"/>
      <dgm:spPr/>
    </dgm:pt>
    <dgm:pt modelId="{7B4368D6-D35E-4105-BB2B-5D14755F5B54}" type="pres">
      <dgm:prSet presAssocID="{E743029B-31EA-44C7-BD5A-18EA8088BF71}" presName="connTx" presStyleLbl="parChTrans1D3" presStyleIdx="7" presStyleCnt="8"/>
      <dgm:spPr/>
    </dgm:pt>
    <dgm:pt modelId="{1EC60F82-DC3E-4924-B2D6-E18DDFD4C7AF}" type="pres">
      <dgm:prSet presAssocID="{1C9A914B-282D-4C1E-8D95-462F251D317A}" presName="root2" presStyleCnt="0"/>
      <dgm:spPr/>
    </dgm:pt>
    <dgm:pt modelId="{3A3FC53C-81EE-4678-BBD9-81D3B2EC30D4}" type="pres">
      <dgm:prSet presAssocID="{1C9A914B-282D-4C1E-8D95-462F251D317A}" presName="LevelTwoTextNode" presStyleLbl="node3" presStyleIdx="7" presStyleCnt="8">
        <dgm:presLayoutVars>
          <dgm:chPref val="3"/>
        </dgm:presLayoutVars>
      </dgm:prSet>
      <dgm:spPr/>
    </dgm:pt>
    <dgm:pt modelId="{96D7C9A8-6E60-485E-93B6-0E52C759262E}" type="pres">
      <dgm:prSet presAssocID="{1C9A914B-282D-4C1E-8D95-462F251D317A}" presName="level3hierChild" presStyleCnt="0"/>
      <dgm:spPr/>
    </dgm:pt>
  </dgm:ptLst>
  <dgm:cxnLst>
    <dgm:cxn modelId="{03E8D200-C64A-41DF-BDF7-E2FF18E5AF40}" type="presOf" srcId="{43D4AFE0-2087-479E-A699-6539485D7B1D}" destId="{53C4F697-5F8F-4221-8339-AAA3A922766C}" srcOrd="1" destOrd="0" presId="urn:microsoft.com/office/officeart/2005/8/layout/hierarchy2"/>
    <dgm:cxn modelId="{7CB98906-B04F-44CD-9A52-BB3151B223DF}" type="presOf" srcId="{3DE61909-8E27-45BD-91E4-D834621B2711}" destId="{E86D3A18-6D5A-4855-AEE5-4A94DE772A51}" srcOrd="1" destOrd="0" presId="urn:microsoft.com/office/officeart/2005/8/layout/hierarchy2"/>
    <dgm:cxn modelId="{B55A1E07-230C-4DDC-990B-3B5E07C6F735}" type="presOf" srcId="{DA4DF74F-AADF-49E1-BAD5-87F03C44B7E5}" destId="{72F0C623-2CA7-4980-B514-A1ADD45C2B2F}" srcOrd="0" destOrd="0" presId="urn:microsoft.com/office/officeart/2005/8/layout/hierarchy2"/>
    <dgm:cxn modelId="{28FDCF08-E091-4185-BF7C-3CA66512D2F9}" type="presOf" srcId="{0D18BB16-8CFC-474D-B9BF-A65051505526}" destId="{E5DD952D-9D94-472D-9262-14AFE8D74BCC}" srcOrd="1" destOrd="0" presId="urn:microsoft.com/office/officeart/2005/8/layout/hierarchy2"/>
    <dgm:cxn modelId="{B4FBB40F-687B-4760-BCFE-6EE2F933FC0D}" type="presOf" srcId="{56283E62-7574-4539-8C62-F406038BB999}" destId="{10DE85A1-358C-4A09-8362-439226BF97A9}" srcOrd="0" destOrd="0" presId="urn:microsoft.com/office/officeart/2005/8/layout/hierarchy2"/>
    <dgm:cxn modelId="{1A0ECF12-1374-459D-855C-29CDFB398811}" type="presOf" srcId="{F2706584-BB1F-4B28-9531-2F5DBAF9A9FD}" destId="{55B5D840-B833-4E00-891E-AC73BD3016F4}" srcOrd="0" destOrd="0" presId="urn:microsoft.com/office/officeart/2005/8/layout/hierarchy2"/>
    <dgm:cxn modelId="{CB9AAC1A-A39B-4B7D-BB4B-AC06AEEA65CD}" type="presOf" srcId="{38E5363A-FDCF-43A0-850C-9096564CA646}" destId="{39BBA9C3-CC8F-4CAD-AD27-DAEDED35880F}" srcOrd="1" destOrd="0" presId="urn:microsoft.com/office/officeart/2005/8/layout/hierarchy2"/>
    <dgm:cxn modelId="{67ADB01E-77F9-4F0A-A5D0-3D97871319FE}" type="presOf" srcId="{79AB40FB-D794-4EB4-B275-082FD4346614}" destId="{8D5D5255-1F10-4888-AE68-33B7B7B659FC}" srcOrd="1" destOrd="0" presId="urn:microsoft.com/office/officeart/2005/8/layout/hierarchy2"/>
    <dgm:cxn modelId="{4AA17422-A92F-407F-93D7-52188A24A0A8}" type="presOf" srcId="{38E5363A-FDCF-43A0-850C-9096564CA646}" destId="{940D479A-87C4-41E1-AC18-AE86E194580E}" srcOrd="0" destOrd="0" presId="urn:microsoft.com/office/officeart/2005/8/layout/hierarchy2"/>
    <dgm:cxn modelId="{8FDB5628-CB8D-4B1D-9C60-6042FD586A8A}" srcId="{A289B8C2-A0B8-4BED-B621-ACF1BB4F8E6D}" destId="{5B65ED6E-C8B1-4338-87C7-9090432C19FC}" srcOrd="0" destOrd="0" parTransId="{A1CE74CC-3DBC-49B6-8AB9-7F981F82A98A}" sibTransId="{86ADC232-41B7-4129-8495-85F121B15F45}"/>
    <dgm:cxn modelId="{E9B55A2A-EB77-4E26-B70E-EACE7854F17D}" type="presOf" srcId="{7D6F463E-89FA-48F3-B6DA-3F251D57C4C3}" destId="{FDE16A21-919C-41E5-A8B9-6645C9B4876F}" srcOrd="1" destOrd="0" presId="urn:microsoft.com/office/officeart/2005/8/layout/hierarchy2"/>
    <dgm:cxn modelId="{C48A2A2D-E6F0-4232-9101-FCCB70C96698}" type="presOf" srcId="{89A12213-B262-4894-ABF7-3AF93A3CED7E}" destId="{E0DB5C4D-9BB1-4178-9C5D-4B89B8C0C0E4}" srcOrd="0" destOrd="0" presId="urn:microsoft.com/office/officeart/2005/8/layout/hierarchy2"/>
    <dgm:cxn modelId="{33471334-9195-4392-8657-09CF5D375425}" type="presOf" srcId="{F429059C-8AD7-449F-9661-4193874B74B0}" destId="{6B7B41CD-73F8-4EDD-9784-D3A470536440}" srcOrd="0" destOrd="0" presId="urn:microsoft.com/office/officeart/2005/8/layout/hierarchy2"/>
    <dgm:cxn modelId="{CC54983C-C393-4926-ADA8-592CE4AD2F58}" srcId="{B9220782-FB01-4E1F-96D4-E83246FF793D}" destId="{C812B28B-573C-4AB9-B51B-8D3D5373F8B6}" srcOrd="0" destOrd="0" parTransId="{E38CE7BD-C84C-456C-8236-C21CF7A4783E}" sibTransId="{D24369ED-6FA3-449A-8A3B-4DF323FF4692}"/>
    <dgm:cxn modelId="{36CB0340-E0BC-443F-AEE3-7CED382526B0}" type="presOf" srcId="{E5D1ABF5-A6A6-4E43-9750-C127F0CB3E5F}" destId="{0C318193-B546-4317-BBC6-3A0A84D6666B}" srcOrd="0" destOrd="0" presId="urn:microsoft.com/office/officeart/2005/8/layout/hierarchy2"/>
    <dgm:cxn modelId="{1E80DC5C-548A-40C8-B476-4A1D924F7818}" type="presOf" srcId="{79AB40FB-D794-4EB4-B275-082FD4346614}" destId="{D41CA4A8-BCB3-44C1-883C-2D1BFAE2DB7C}" srcOrd="0" destOrd="0" presId="urn:microsoft.com/office/officeart/2005/8/layout/hierarchy2"/>
    <dgm:cxn modelId="{5E469B5F-17E6-4C85-9B22-94A91214B083}" type="presOf" srcId="{71B9A327-7746-49D7-BB63-C9C77713B080}" destId="{00DA276B-E9FD-4223-BF11-EB0F3CF0C65A}" srcOrd="0" destOrd="0" presId="urn:microsoft.com/office/officeart/2005/8/layout/hierarchy2"/>
    <dgm:cxn modelId="{74020D49-8B21-4586-BD81-24C39D9CA4B4}" type="presOf" srcId="{E38CE7BD-C84C-456C-8236-C21CF7A4783E}" destId="{BC4A6E2C-F5DD-44D7-97BC-1052C287B15B}" srcOrd="0" destOrd="0" presId="urn:microsoft.com/office/officeart/2005/8/layout/hierarchy2"/>
    <dgm:cxn modelId="{8E288E6B-9205-41E4-A7D7-423305724A64}" type="presOf" srcId="{A1CE74CC-3DBC-49B6-8AB9-7F981F82A98A}" destId="{F074CC00-4F00-483B-8779-B20F1F711603}" srcOrd="0" destOrd="0" presId="urn:microsoft.com/office/officeart/2005/8/layout/hierarchy2"/>
    <dgm:cxn modelId="{766E994B-D87F-44AB-918B-B6979BEB5710}" type="presOf" srcId="{7D6F463E-89FA-48F3-B6DA-3F251D57C4C3}" destId="{6533728F-A91F-4060-8806-FB21ABC4821D}" srcOrd="0" destOrd="0" presId="urn:microsoft.com/office/officeart/2005/8/layout/hierarchy2"/>
    <dgm:cxn modelId="{8B7D9E6C-E5A0-4EB1-A666-C12704A64BF0}" type="presOf" srcId="{AECA2096-C5D6-40E8-AAC7-56DE69E1AD24}" destId="{E2D8712A-3412-4EA0-9586-88A291FD988D}" srcOrd="0" destOrd="0" presId="urn:microsoft.com/office/officeart/2005/8/layout/hierarchy2"/>
    <dgm:cxn modelId="{42E4956D-8EC5-47CB-8372-55C89696CCDD}" type="presOf" srcId="{EE468AAC-F984-4B1A-9C40-FBFB089918B2}" destId="{A6A7BD2A-A205-429B-B5B2-53E80DB7127C}" srcOrd="0" destOrd="0" presId="urn:microsoft.com/office/officeart/2005/8/layout/hierarchy2"/>
    <dgm:cxn modelId="{9616D94D-17F5-456B-ADB7-E1B3AE413AD0}" type="presOf" srcId="{E5D1ABF5-A6A6-4E43-9750-C127F0CB3E5F}" destId="{3BC1AC91-F49F-4E8D-A846-728A6D267B89}" srcOrd="1" destOrd="0" presId="urn:microsoft.com/office/officeart/2005/8/layout/hierarchy2"/>
    <dgm:cxn modelId="{F6433B6F-884B-4337-832A-BB93CFA0823E}" type="presOf" srcId="{E38CE7BD-C84C-456C-8236-C21CF7A4783E}" destId="{651F77EB-5434-4481-BFAD-5910D4BADA84}" srcOrd="1" destOrd="0" presId="urn:microsoft.com/office/officeart/2005/8/layout/hierarchy2"/>
    <dgm:cxn modelId="{7EA8E472-F2C2-4478-AE05-76F21AF8588D}" type="presOf" srcId="{73BDFE98-08D7-411E-9889-2751A0360C11}" destId="{F28A68E2-FFC5-4AF7-874A-DA4082EF6BCD}" srcOrd="0" destOrd="0" presId="urn:microsoft.com/office/officeart/2005/8/layout/hierarchy2"/>
    <dgm:cxn modelId="{0FD12375-4158-4545-A823-1532153235C2}" type="presOf" srcId="{B01655A4-4EA9-4EE7-AAD7-AE828D767377}" destId="{B3490752-86D6-4F14-A75A-95519E50FAB7}" srcOrd="0" destOrd="0" presId="urn:microsoft.com/office/officeart/2005/8/layout/hierarchy2"/>
    <dgm:cxn modelId="{77279058-D474-42C9-8E6C-6E9D7FA7E22B}" srcId="{B9220782-FB01-4E1F-96D4-E83246FF793D}" destId="{54989C5B-77D0-4582-9135-2B71C1391232}" srcOrd="4" destOrd="0" parTransId="{E5D1ABF5-A6A6-4E43-9750-C127F0CB3E5F}" sibTransId="{9B3F8760-0FAE-46CC-88A2-A9BCA4A96BEB}"/>
    <dgm:cxn modelId="{A0202459-0D83-473E-9F94-278EABBAFB34}" srcId="{B0C6EC5B-7FDB-48B9-9B62-395BA7F730F8}" destId="{89A12213-B262-4894-ABF7-3AF93A3CED7E}" srcOrd="1" destOrd="0" parTransId="{8B750605-5BD9-43CF-87D8-1CB486539940}" sibTransId="{BBB03D00-7C98-46CE-A011-E65E7E013C31}"/>
    <dgm:cxn modelId="{251D0E5A-DADF-4AAD-AF6F-695C8FE32479}" srcId="{B9220782-FB01-4E1F-96D4-E83246FF793D}" destId="{6DA95FE2-A59E-43F7-BBE7-502F28573476}" srcOrd="3" destOrd="0" parTransId="{71B9A327-7746-49D7-BB63-C9C77713B080}" sibTransId="{411E0E9E-08B5-46BC-8348-4018A7B0458F}"/>
    <dgm:cxn modelId="{BF601A7A-A3BF-4ED0-9CA8-3F05EFE8C7AC}" type="presOf" srcId="{A1CE74CC-3DBC-49B6-8AB9-7F981F82A98A}" destId="{F3C6865E-D224-4AA7-AEAB-A6E2D23612E9}" srcOrd="1" destOrd="0" presId="urn:microsoft.com/office/officeart/2005/8/layout/hierarchy2"/>
    <dgm:cxn modelId="{6FD1415A-7087-401E-88A1-7EE673D12BDC}" type="presOf" srcId="{794BAE86-8BF9-43F0-9F0B-291FB0402146}" destId="{A60E0886-8CCE-4FAF-9C79-55675C8A3942}" srcOrd="1" destOrd="0" presId="urn:microsoft.com/office/officeart/2005/8/layout/hierarchy2"/>
    <dgm:cxn modelId="{A7100D82-CF83-4C6C-A29D-4AE63C450259}" srcId="{89A12213-B262-4894-ABF7-3AF93A3CED7E}" destId="{CD53E4E5-B012-4F3D-96D7-FF410E675AA6}" srcOrd="2" destOrd="0" parTransId="{7D6F463E-89FA-48F3-B6DA-3F251D57C4C3}" sibTransId="{304D1A47-16F1-4C4C-AFFF-BCABD497E362}"/>
    <dgm:cxn modelId="{4C36AE85-3B16-4C71-B8B2-3F05E33FB671}" type="presOf" srcId="{CD53E4E5-B012-4F3D-96D7-FF410E675AA6}" destId="{327F8B60-8E8E-4C0F-9F1C-C322C11F5EBD}" srcOrd="0" destOrd="0" presId="urn:microsoft.com/office/officeart/2005/8/layout/hierarchy2"/>
    <dgm:cxn modelId="{4D0B4588-3127-4639-AAB3-DCA488D226D5}" type="presOf" srcId="{E743029B-31EA-44C7-BD5A-18EA8088BF71}" destId="{7B4368D6-D35E-4105-BB2B-5D14755F5B54}" srcOrd="1" destOrd="0" presId="urn:microsoft.com/office/officeart/2005/8/layout/hierarchy2"/>
    <dgm:cxn modelId="{4B0E748B-1321-4FE9-8DE8-F94924037877}" type="presOf" srcId="{DA4DF74F-AADF-49E1-BAD5-87F03C44B7E5}" destId="{9CF72BF0-F4DB-4D74-B6E9-07254B6E827F}" srcOrd="1" destOrd="0" presId="urn:microsoft.com/office/officeart/2005/8/layout/hierarchy2"/>
    <dgm:cxn modelId="{177F9B8B-F8ED-4CB1-977A-E556BB020682}" srcId="{B9220782-FB01-4E1F-96D4-E83246FF793D}" destId="{A289B8C2-A0B8-4BED-B621-ACF1BB4F8E6D}" srcOrd="1" destOrd="0" parTransId="{DA4DF74F-AADF-49E1-BAD5-87F03C44B7E5}" sibTransId="{471A160D-D2EF-4441-ABF8-FE9C265EA2E7}"/>
    <dgm:cxn modelId="{8E02428D-E63A-4280-AF7B-62C7F9300C41}" srcId="{B0C6EC5B-7FDB-48B9-9B62-395BA7F730F8}" destId="{BE481C91-96D0-4F4D-8702-216A122C27C4}" srcOrd="0" destOrd="0" parTransId="{5B3DA0C2-6E84-429A-985E-6345B2880E53}" sibTransId="{9CE17B4E-9A8F-4E6B-B58A-E88F5950A72A}"/>
    <dgm:cxn modelId="{788B4994-1B6C-4BF9-BFE4-2812D07023F0}" srcId="{B9220782-FB01-4E1F-96D4-E83246FF793D}" destId="{F2706584-BB1F-4B28-9531-2F5DBAF9A9FD}" srcOrd="2" destOrd="0" parTransId="{79AB40FB-D794-4EB4-B275-082FD4346614}" sibTransId="{46CAA27C-7D6B-46B7-AE2A-D866BD405AB8}"/>
    <dgm:cxn modelId="{DBED2D9A-382C-4E59-BE89-D1A2B2CA0515}" srcId="{CD53E4E5-B012-4F3D-96D7-FF410E675AA6}" destId="{7B445386-08AA-4BB1-82E9-CAC38C1043F3}" srcOrd="0" destOrd="0" parTransId="{794BAE86-8BF9-43F0-9F0B-291FB0402146}" sibTransId="{92F9ECFE-605A-46CC-B007-A9A99E6330CF}"/>
    <dgm:cxn modelId="{EBED3D9A-BDAC-4F6B-A4BD-9509E90C6059}" srcId="{89A12213-B262-4894-ABF7-3AF93A3CED7E}" destId="{B9220782-FB01-4E1F-96D4-E83246FF793D}" srcOrd="1" destOrd="0" parTransId="{EE468AAC-F984-4B1A-9C40-FBFB089918B2}" sibTransId="{A49337F0-14BE-4D76-9288-4720BA0A7D10}"/>
    <dgm:cxn modelId="{0047799A-1B3F-465B-AED8-2463E2806045}" type="presOf" srcId="{1C9A914B-282D-4C1E-8D95-462F251D317A}" destId="{3A3FC53C-81EE-4678-BBD9-81D3B2EC30D4}" srcOrd="0" destOrd="0" presId="urn:microsoft.com/office/officeart/2005/8/layout/hierarchy2"/>
    <dgm:cxn modelId="{0B38789D-DDBE-414F-8352-5F6EF765A841}" type="presOf" srcId="{0D18BB16-8CFC-474D-B9BF-A65051505526}" destId="{A4C1A16B-D6BF-40CD-8E20-74BBE3C7F0B9}" srcOrd="0" destOrd="0" presId="urn:microsoft.com/office/officeart/2005/8/layout/hierarchy2"/>
    <dgm:cxn modelId="{7BC794A0-F3C5-487F-B1F2-FC7C405AFE53}" type="presOf" srcId="{B0C6EC5B-7FDB-48B9-9B62-395BA7F730F8}" destId="{16B69848-E7E9-4359-86B5-14BE73B23955}" srcOrd="0" destOrd="0" presId="urn:microsoft.com/office/officeart/2005/8/layout/hierarchy2"/>
    <dgm:cxn modelId="{D037C5AB-1B00-47D7-ACA7-9CEBFB35E555}" type="presOf" srcId="{794BAE86-8BF9-43F0-9F0B-291FB0402146}" destId="{F91EBE53-5013-4A8A-92A3-8D6EC112D4C6}" srcOrd="0" destOrd="0" presId="urn:microsoft.com/office/officeart/2005/8/layout/hierarchy2"/>
    <dgm:cxn modelId="{02CA1FB0-7585-4AF4-AEC3-508E9D94F0A1}" type="presOf" srcId="{E743029B-31EA-44C7-BD5A-18EA8088BF71}" destId="{0B8740F0-03C2-4CD8-BDB8-1C9CC3B0F550}" srcOrd="0" destOrd="0" presId="urn:microsoft.com/office/officeart/2005/8/layout/hierarchy2"/>
    <dgm:cxn modelId="{6D1395B4-C17F-4BBA-8382-45CB53BB554C}" type="presOf" srcId="{6DA95FE2-A59E-43F7-BBE7-502F28573476}" destId="{A8922CBF-F0E7-40EB-8592-2BA3EA32AD13}" srcOrd="0" destOrd="0" presId="urn:microsoft.com/office/officeart/2005/8/layout/hierarchy2"/>
    <dgm:cxn modelId="{300500B5-390B-468C-A2D1-5EF8C2A052D3}" type="presOf" srcId="{CD2DBD36-8456-4856-B815-45003630F4D0}" destId="{FD590A21-0469-4CEC-86E6-8729469E1DEB}" srcOrd="0" destOrd="0" presId="urn:microsoft.com/office/officeart/2005/8/layout/hierarchy2"/>
    <dgm:cxn modelId="{58F94DBA-510D-42D6-9CE7-217AB1BCD740}" type="presOf" srcId="{3DE61909-8E27-45BD-91E4-D834621B2711}" destId="{3DA76114-FB8B-405A-BA20-6AA7343ADA29}" srcOrd="0" destOrd="0" presId="urn:microsoft.com/office/officeart/2005/8/layout/hierarchy2"/>
    <dgm:cxn modelId="{CC9F06BF-5077-44E6-ADCC-D129CF09C70C}" type="presOf" srcId="{54989C5B-77D0-4582-9135-2B71C1391232}" destId="{CAD87EB1-56A3-4CA2-A554-55F4C117DCD1}" srcOrd="0" destOrd="0" presId="urn:microsoft.com/office/officeart/2005/8/layout/hierarchy2"/>
    <dgm:cxn modelId="{7408BFBF-C681-4F44-A1D1-922930A5235E}" type="presOf" srcId="{C812B28B-573C-4AB9-B51B-8D3D5373F8B6}" destId="{99288FA1-4691-4426-BB53-2177155DAD7F}" srcOrd="0" destOrd="0" presId="urn:microsoft.com/office/officeart/2005/8/layout/hierarchy2"/>
    <dgm:cxn modelId="{77B2D0BF-B1B5-4737-AB20-7A8FB5F6463F}" srcId="{CD53E4E5-B012-4F3D-96D7-FF410E675AA6}" destId="{CD2DBD36-8456-4856-B815-45003630F4D0}" srcOrd="1" destOrd="0" parTransId="{43D4AFE0-2087-479E-A699-6539485D7B1D}" sibTransId="{99C800C7-BD42-40A8-B445-E49DD64BC26C}"/>
    <dgm:cxn modelId="{5A2914CC-EEBF-4E26-A30C-5B2C7AC13E41}" type="presOf" srcId="{43D4AFE0-2087-479E-A699-6539485D7B1D}" destId="{3A179C53-A1B4-418B-A67E-A2199F4FCFD9}" srcOrd="0" destOrd="0" presId="urn:microsoft.com/office/officeart/2005/8/layout/hierarchy2"/>
    <dgm:cxn modelId="{FC806CD9-0363-4BAD-A567-72433E4F62DD}" type="presOf" srcId="{A289B8C2-A0B8-4BED-B621-ACF1BB4F8E6D}" destId="{BABC3423-48DB-40F9-AEDA-EBA90976ACA5}" srcOrd="0" destOrd="0" presId="urn:microsoft.com/office/officeart/2005/8/layout/hierarchy2"/>
    <dgm:cxn modelId="{8331C8D9-2264-4F4F-B840-017FA6000BEA}" srcId="{A289B8C2-A0B8-4BED-B621-ACF1BB4F8E6D}" destId="{B01655A4-4EA9-4EE7-AAD7-AE828D767377}" srcOrd="1" destOrd="0" parTransId="{F429059C-8AD7-449F-9661-4193874B74B0}" sibTransId="{999A8965-2F34-4D35-8F3E-BCF40C8549E6}"/>
    <dgm:cxn modelId="{6195B1DC-3BD1-419B-B53B-97D754A71B16}" srcId="{CD2DBD36-8456-4856-B815-45003630F4D0}" destId="{AECA2096-C5D6-40E8-AAC7-56DE69E1AD24}" srcOrd="0" destOrd="0" parTransId="{0D18BB16-8CFC-474D-B9BF-A65051505526}" sibTransId="{05C2B482-DF0E-447C-A460-DF5D7121404C}"/>
    <dgm:cxn modelId="{20CA06EE-71BB-4430-99A4-EC389E9A0BCF}" type="presOf" srcId="{5B65ED6E-C8B1-4338-87C7-9090432C19FC}" destId="{B899F2D9-7957-4C79-9837-BAC26526396A}" srcOrd="0" destOrd="0" presId="urn:microsoft.com/office/officeart/2005/8/layout/hierarchy2"/>
    <dgm:cxn modelId="{7B5ED7EE-75DC-47B8-9458-3AD1E738A660}" type="presOf" srcId="{BE481C91-96D0-4F4D-8702-216A122C27C4}" destId="{56CA30D0-3AA2-465F-B1CB-D9DF2445D55B}" srcOrd="0" destOrd="0" presId="urn:microsoft.com/office/officeart/2005/8/layout/hierarchy2"/>
    <dgm:cxn modelId="{597151F3-02B1-4A64-8458-506ED941D54A}" srcId="{89A12213-B262-4894-ABF7-3AF93A3CED7E}" destId="{73BDFE98-08D7-411E-9889-2751A0360C11}" srcOrd="0" destOrd="0" parTransId="{38E5363A-FDCF-43A0-850C-9096564CA646}" sibTransId="{0FAE1307-8505-40A4-A1E4-4774B947C658}"/>
    <dgm:cxn modelId="{616D35F5-B37B-405F-8ED3-CB2FEA19E8C1}" type="presOf" srcId="{EE468AAC-F984-4B1A-9C40-FBFB089918B2}" destId="{DEBEA84F-EC9C-47CE-A5F6-F7A457B18054}" srcOrd="1" destOrd="0" presId="urn:microsoft.com/office/officeart/2005/8/layout/hierarchy2"/>
    <dgm:cxn modelId="{33FFB1F7-A10E-4FAA-A1DD-DDC52FC6E10B}" type="presOf" srcId="{B9220782-FB01-4E1F-96D4-E83246FF793D}" destId="{9B9CBDF1-9D86-4AF7-81BE-F3ADDF993432}" srcOrd="0" destOrd="0" presId="urn:microsoft.com/office/officeart/2005/8/layout/hierarchy2"/>
    <dgm:cxn modelId="{8AEEEDF7-F9E5-4081-84ED-D6188B6D3B21}" srcId="{CD53E4E5-B012-4F3D-96D7-FF410E675AA6}" destId="{1C9A914B-282D-4C1E-8D95-462F251D317A}" srcOrd="2" destOrd="0" parTransId="{E743029B-31EA-44C7-BD5A-18EA8088BF71}" sibTransId="{2F42CBA4-336B-4BDB-8A12-C566DF66B6E1}"/>
    <dgm:cxn modelId="{7B62A2F9-C672-476D-AB9C-3468948FF0A2}" srcId="{54989C5B-77D0-4582-9135-2B71C1391232}" destId="{56283E62-7574-4539-8C62-F406038BB999}" srcOrd="0" destOrd="0" parTransId="{3DE61909-8E27-45BD-91E4-D834621B2711}" sibTransId="{BE8F21C5-96F0-48FF-939D-3A2EB5B67DBD}"/>
    <dgm:cxn modelId="{676413FD-EEB7-4F39-9547-021C25A193A9}" type="presOf" srcId="{7B445386-08AA-4BB1-82E9-CAC38C1043F3}" destId="{B7EC867B-5991-4EB9-A70C-B52B51589822}" srcOrd="0" destOrd="0" presId="urn:microsoft.com/office/officeart/2005/8/layout/hierarchy2"/>
    <dgm:cxn modelId="{419254FE-1E1F-40DE-8FC3-0ABCB1945321}" type="presOf" srcId="{71B9A327-7746-49D7-BB63-C9C77713B080}" destId="{5D42D9FF-99EC-46E6-A99C-AD80216C3443}" srcOrd="1" destOrd="0" presId="urn:microsoft.com/office/officeart/2005/8/layout/hierarchy2"/>
    <dgm:cxn modelId="{2A2CBEFF-F231-446C-8DB4-A59B4A9154D7}" type="presOf" srcId="{F429059C-8AD7-449F-9661-4193874B74B0}" destId="{63A70A40-C376-418C-B9BA-0FEE96AEA289}" srcOrd="1" destOrd="0" presId="urn:microsoft.com/office/officeart/2005/8/layout/hierarchy2"/>
    <dgm:cxn modelId="{70C08E3A-E505-4191-A847-45A9DABB5AF2}" type="presParOf" srcId="{16B69848-E7E9-4359-86B5-14BE73B23955}" destId="{CD17B51C-908E-4DAA-8AC0-EAE01C44EB51}" srcOrd="0" destOrd="0" presId="urn:microsoft.com/office/officeart/2005/8/layout/hierarchy2"/>
    <dgm:cxn modelId="{D352D688-2B77-4260-B0AE-477FAED739DF}" type="presParOf" srcId="{CD17B51C-908E-4DAA-8AC0-EAE01C44EB51}" destId="{56CA30D0-3AA2-465F-B1CB-D9DF2445D55B}" srcOrd="0" destOrd="0" presId="urn:microsoft.com/office/officeart/2005/8/layout/hierarchy2"/>
    <dgm:cxn modelId="{7646C870-5D33-49C9-B65C-1D9AA9569DEE}" type="presParOf" srcId="{CD17B51C-908E-4DAA-8AC0-EAE01C44EB51}" destId="{6EEBB983-4696-4EFD-A809-6A2A5C36E989}" srcOrd="1" destOrd="0" presId="urn:microsoft.com/office/officeart/2005/8/layout/hierarchy2"/>
    <dgm:cxn modelId="{22482F09-935E-4C25-89DE-39FB05B93AF7}" type="presParOf" srcId="{16B69848-E7E9-4359-86B5-14BE73B23955}" destId="{A85ACB72-9EBB-4382-AE41-FB1D2DA37788}" srcOrd="1" destOrd="0" presId="urn:microsoft.com/office/officeart/2005/8/layout/hierarchy2"/>
    <dgm:cxn modelId="{C0AABB56-5AB7-4F20-93CA-59A70C05C972}" type="presParOf" srcId="{A85ACB72-9EBB-4382-AE41-FB1D2DA37788}" destId="{E0DB5C4D-9BB1-4178-9C5D-4B89B8C0C0E4}" srcOrd="0" destOrd="0" presId="urn:microsoft.com/office/officeart/2005/8/layout/hierarchy2"/>
    <dgm:cxn modelId="{BC7578AB-160E-4666-8845-F63E71166314}" type="presParOf" srcId="{A85ACB72-9EBB-4382-AE41-FB1D2DA37788}" destId="{6A05AC34-9BFA-40C1-AF68-386E825489E3}" srcOrd="1" destOrd="0" presId="urn:microsoft.com/office/officeart/2005/8/layout/hierarchy2"/>
    <dgm:cxn modelId="{F1DE0979-491E-42A9-8970-F86E29D15007}" type="presParOf" srcId="{6A05AC34-9BFA-40C1-AF68-386E825489E3}" destId="{940D479A-87C4-41E1-AC18-AE86E194580E}" srcOrd="0" destOrd="0" presId="urn:microsoft.com/office/officeart/2005/8/layout/hierarchy2"/>
    <dgm:cxn modelId="{D5EB41FE-574D-4C25-9426-4E108684CA5B}" type="presParOf" srcId="{940D479A-87C4-41E1-AC18-AE86E194580E}" destId="{39BBA9C3-CC8F-4CAD-AD27-DAEDED35880F}" srcOrd="0" destOrd="0" presId="urn:microsoft.com/office/officeart/2005/8/layout/hierarchy2"/>
    <dgm:cxn modelId="{6C2F990E-0278-47A0-8919-3A424D6F6CC8}" type="presParOf" srcId="{6A05AC34-9BFA-40C1-AF68-386E825489E3}" destId="{293F043B-D1DF-49A4-8790-B56FD27D86CB}" srcOrd="1" destOrd="0" presId="urn:microsoft.com/office/officeart/2005/8/layout/hierarchy2"/>
    <dgm:cxn modelId="{953489F2-DD2D-479E-9194-389466748E84}" type="presParOf" srcId="{293F043B-D1DF-49A4-8790-B56FD27D86CB}" destId="{F28A68E2-FFC5-4AF7-874A-DA4082EF6BCD}" srcOrd="0" destOrd="0" presId="urn:microsoft.com/office/officeart/2005/8/layout/hierarchy2"/>
    <dgm:cxn modelId="{A1EC7725-DBB8-42CA-88F1-D961850092A9}" type="presParOf" srcId="{293F043B-D1DF-49A4-8790-B56FD27D86CB}" destId="{0FD0C113-443A-4926-9F8B-F20CDABFA3C8}" srcOrd="1" destOrd="0" presId="urn:microsoft.com/office/officeart/2005/8/layout/hierarchy2"/>
    <dgm:cxn modelId="{6FC65E30-3FB8-4CEF-BE19-C0A2BA0EE670}" type="presParOf" srcId="{6A05AC34-9BFA-40C1-AF68-386E825489E3}" destId="{A6A7BD2A-A205-429B-B5B2-53E80DB7127C}" srcOrd="2" destOrd="0" presId="urn:microsoft.com/office/officeart/2005/8/layout/hierarchy2"/>
    <dgm:cxn modelId="{C7C04C13-FCD4-4F2C-A4EB-858B13E51594}" type="presParOf" srcId="{A6A7BD2A-A205-429B-B5B2-53E80DB7127C}" destId="{DEBEA84F-EC9C-47CE-A5F6-F7A457B18054}" srcOrd="0" destOrd="0" presId="urn:microsoft.com/office/officeart/2005/8/layout/hierarchy2"/>
    <dgm:cxn modelId="{06F37D0C-68C7-4BAF-9CB9-7A9EFD1CBE5E}" type="presParOf" srcId="{6A05AC34-9BFA-40C1-AF68-386E825489E3}" destId="{8551BB45-FFBD-4942-9F2F-2076B974C3E7}" srcOrd="3" destOrd="0" presId="urn:microsoft.com/office/officeart/2005/8/layout/hierarchy2"/>
    <dgm:cxn modelId="{FBB9E480-39FA-49BE-8643-D0E0DD4AC8B9}" type="presParOf" srcId="{8551BB45-FFBD-4942-9F2F-2076B974C3E7}" destId="{9B9CBDF1-9D86-4AF7-81BE-F3ADDF993432}" srcOrd="0" destOrd="0" presId="urn:microsoft.com/office/officeart/2005/8/layout/hierarchy2"/>
    <dgm:cxn modelId="{600F7847-3976-48EB-BE4D-B550CA5482A6}" type="presParOf" srcId="{8551BB45-FFBD-4942-9F2F-2076B974C3E7}" destId="{F4491AB4-60CC-4C9B-9501-AFE72379EB37}" srcOrd="1" destOrd="0" presId="urn:microsoft.com/office/officeart/2005/8/layout/hierarchy2"/>
    <dgm:cxn modelId="{EA8E42BF-6427-4A1F-B0BC-11B0B7133699}" type="presParOf" srcId="{F4491AB4-60CC-4C9B-9501-AFE72379EB37}" destId="{BC4A6E2C-F5DD-44D7-97BC-1052C287B15B}" srcOrd="0" destOrd="0" presId="urn:microsoft.com/office/officeart/2005/8/layout/hierarchy2"/>
    <dgm:cxn modelId="{D3DE4269-5BF7-47E8-98DC-CFEA42F20C97}" type="presParOf" srcId="{BC4A6E2C-F5DD-44D7-97BC-1052C287B15B}" destId="{651F77EB-5434-4481-BFAD-5910D4BADA84}" srcOrd="0" destOrd="0" presId="urn:microsoft.com/office/officeart/2005/8/layout/hierarchy2"/>
    <dgm:cxn modelId="{D876E9FD-507D-4B8A-A0C2-7DF9D8701E82}" type="presParOf" srcId="{F4491AB4-60CC-4C9B-9501-AFE72379EB37}" destId="{3D93A9F3-0ABD-4544-8B25-6FDC5CD1423D}" srcOrd="1" destOrd="0" presId="urn:microsoft.com/office/officeart/2005/8/layout/hierarchy2"/>
    <dgm:cxn modelId="{457DF91E-324A-4593-BC34-0315FAB4F43D}" type="presParOf" srcId="{3D93A9F3-0ABD-4544-8B25-6FDC5CD1423D}" destId="{99288FA1-4691-4426-BB53-2177155DAD7F}" srcOrd="0" destOrd="0" presId="urn:microsoft.com/office/officeart/2005/8/layout/hierarchy2"/>
    <dgm:cxn modelId="{9B475988-38FD-4B28-B2B4-A6895E1EDAEF}" type="presParOf" srcId="{3D93A9F3-0ABD-4544-8B25-6FDC5CD1423D}" destId="{3D11F41F-30B9-4047-9204-B537B8A2F2BB}" srcOrd="1" destOrd="0" presId="urn:microsoft.com/office/officeart/2005/8/layout/hierarchy2"/>
    <dgm:cxn modelId="{8A37634A-EA2D-4E63-9384-D905B99DAD8F}" type="presParOf" srcId="{F4491AB4-60CC-4C9B-9501-AFE72379EB37}" destId="{72F0C623-2CA7-4980-B514-A1ADD45C2B2F}" srcOrd="2" destOrd="0" presId="urn:microsoft.com/office/officeart/2005/8/layout/hierarchy2"/>
    <dgm:cxn modelId="{0B947F5F-80B3-497B-B29A-74A73E054E0B}" type="presParOf" srcId="{72F0C623-2CA7-4980-B514-A1ADD45C2B2F}" destId="{9CF72BF0-F4DB-4D74-B6E9-07254B6E827F}" srcOrd="0" destOrd="0" presId="urn:microsoft.com/office/officeart/2005/8/layout/hierarchy2"/>
    <dgm:cxn modelId="{A6A9F38D-91AF-4ED7-8BE4-EA08B4D61F28}" type="presParOf" srcId="{F4491AB4-60CC-4C9B-9501-AFE72379EB37}" destId="{2A5C0CDD-DACA-4F0D-92ED-B771A9A8619A}" srcOrd="3" destOrd="0" presId="urn:microsoft.com/office/officeart/2005/8/layout/hierarchy2"/>
    <dgm:cxn modelId="{9101C6BB-FDB8-4FB8-B54C-436237734170}" type="presParOf" srcId="{2A5C0CDD-DACA-4F0D-92ED-B771A9A8619A}" destId="{BABC3423-48DB-40F9-AEDA-EBA90976ACA5}" srcOrd="0" destOrd="0" presId="urn:microsoft.com/office/officeart/2005/8/layout/hierarchy2"/>
    <dgm:cxn modelId="{1FC3E3E0-F587-4C36-963D-91ABC3E0C4C6}" type="presParOf" srcId="{2A5C0CDD-DACA-4F0D-92ED-B771A9A8619A}" destId="{1AE00073-5CC1-4C42-A72C-290371D63681}" srcOrd="1" destOrd="0" presId="urn:microsoft.com/office/officeart/2005/8/layout/hierarchy2"/>
    <dgm:cxn modelId="{F7BF37BB-33A7-4783-8803-FD2A4AD939CF}" type="presParOf" srcId="{1AE00073-5CC1-4C42-A72C-290371D63681}" destId="{F074CC00-4F00-483B-8779-B20F1F711603}" srcOrd="0" destOrd="0" presId="urn:microsoft.com/office/officeart/2005/8/layout/hierarchy2"/>
    <dgm:cxn modelId="{05DAA6F4-2E8A-47F7-9548-DAB566B9C5F4}" type="presParOf" srcId="{F074CC00-4F00-483B-8779-B20F1F711603}" destId="{F3C6865E-D224-4AA7-AEAB-A6E2D23612E9}" srcOrd="0" destOrd="0" presId="urn:microsoft.com/office/officeart/2005/8/layout/hierarchy2"/>
    <dgm:cxn modelId="{64721736-7322-4A40-8F32-B1E7A34E05BF}" type="presParOf" srcId="{1AE00073-5CC1-4C42-A72C-290371D63681}" destId="{A15D3050-DF75-4CDE-B53F-452573F722E6}" srcOrd="1" destOrd="0" presId="urn:microsoft.com/office/officeart/2005/8/layout/hierarchy2"/>
    <dgm:cxn modelId="{AF9B1165-80B1-4CB6-A559-A72CAA41B720}" type="presParOf" srcId="{A15D3050-DF75-4CDE-B53F-452573F722E6}" destId="{B899F2D9-7957-4C79-9837-BAC26526396A}" srcOrd="0" destOrd="0" presId="urn:microsoft.com/office/officeart/2005/8/layout/hierarchy2"/>
    <dgm:cxn modelId="{C7A55C00-51BF-495C-98F4-70F3AC1C42AB}" type="presParOf" srcId="{A15D3050-DF75-4CDE-B53F-452573F722E6}" destId="{826428D0-6967-448F-9085-D8DF54BA51BA}" srcOrd="1" destOrd="0" presId="urn:microsoft.com/office/officeart/2005/8/layout/hierarchy2"/>
    <dgm:cxn modelId="{2811890C-318A-4D5B-89BA-BB6B7B830B68}" type="presParOf" srcId="{1AE00073-5CC1-4C42-A72C-290371D63681}" destId="{6B7B41CD-73F8-4EDD-9784-D3A470536440}" srcOrd="2" destOrd="0" presId="urn:microsoft.com/office/officeart/2005/8/layout/hierarchy2"/>
    <dgm:cxn modelId="{2F15CFA5-AFB1-41DB-ABF0-96C14EAB07E2}" type="presParOf" srcId="{6B7B41CD-73F8-4EDD-9784-D3A470536440}" destId="{63A70A40-C376-418C-B9BA-0FEE96AEA289}" srcOrd="0" destOrd="0" presId="urn:microsoft.com/office/officeart/2005/8/layout/hierarchy2"/>
    <dgm:cxn modelId="{B2FEA4B3-9E99-48E1-8546-8838864B3E23}" type="presParOf" srcId="{1AE00073-5CC1-4C42-A72C-290371D63681}" destId="{BD2AA9B5-7540-4C6D-81C8-0CB706644DDE}" srcOrd="3" destOrd="0" presId="urn:microsoft.com/office/officeart/2005/8/layout/hierarchy2"/>
    <dgm:cxn modelId="{635249E7-9F24-4BDD-A511-8F5F5CEFD526}" type="presParOf" srcId="{BD2AA9B5-7540-4C6D-81C8-0CB706644DDE}" destId="{B3490752-86D6-4F14-A75A-95519E50FAB7}" srcOrd="0" destOrd="0" presId="urn:microsoft.com/office/officeart/2005/8/layout/hierarchy2"/>
    <dgm:cxn modelId="{D122DD5E-8B79-4698-88D5-6F910A92D9B7}" type="presParOf" srcId="{BD2AA9B5-7540-4C6D-81C8-0CB706644DDE}" destId="{B1055180-2CDF-4B0B-8633-0F3B8746B106}" srcOrd="1" destOrd="0" presId="urn:microsoft.com/office/officeart/2005/8/layout/hierarchy2"/>
    <dgm:cxn modelId="{596C387A-09E9-45F1-B829-4E7BE628C8C6}" type="presParOf" srcId="{F4491AB4-60CC-4C9B-9501-AFE72379EB37}" destId="{D41CA4A8-BCB3-44C1-883C-2D1BFAE2DB7C}" srcOrd="4" destOrd="0" presId="urn:microsoft.com/office/officeart/2005/8/layout/hierarchy2"/>
    <dgm:cxn modelId="{642CF8C3-5769-4A38-B7E3-B40F4EADD868}" type="presParOf" srcId="{D41CA4A8-BCB3-44C1-883C-2D1BFAE2DB7C}" destId="{8D5D5255-1F10-4888-AE68-33B7B7B659FC}" srcOrd="0" destOrd="0" presId="urn:microsoft.com/office/officeart/2005/8/layout/hierarchy2"/>
    <dgm:cxn modelId="{9A490BB7-A775-4B7F-841B-B13E45D14BF2}" type="presParOf" srcId="{F4491AB4-60CC-4C9B-9501-AFE72379EB37}" destId="{8DD76FDE-1036-4AFA-90A4-4ACE610F6AB0}" srcOrd="5" destOrd="0" presId="urn:microsoft.com/office/officeart/2005/8/layout/hierarchy2"/>
    <dgm:cxn modelId="{2F51E277-1EE0-4746-A4A5-41412308D220}" type="presParOf" srcId="{8DD76FDE-1036-4AFA-90A4-4ACE610F6AB0}" destId="{55B5D840-B833-4E00-891E-AC73BD3016F4}" srcOrd="0" destOrd="0" presId="urn:microsoft.com/office/officeart/2005/8/layout/hierarchy2"/>
    <dgm:cxn modelId="{01AE8C6E-6760-42A2-9CD5-AA5012B33041}" type="presParOf" srcId="{8DD76FDE-1036-4AFA-90A4-4ACE610F6AB0}" destId="{C4A9FE04-E9A2-4197-B769-FFC0405E757C}" srcOrd="1" destOrd="0" presId="urn:microsoft.com/office/officeart/2005/8/layout/hierarchy2"/>
    <dgm:cxn modelId="{E6D5F6B4-C9AB-4FDB-94DC-79F421CDC3A2}" type="presParOf" srcId="{F4491AB4-60CC-4C9B-9501-AFE72379EB37}" destId="{00DA276B-E9FD-4223-BF11-EB0F3CF0C65A}" srcOrd="6" destOrd="0" presId="urn:microsoft.com/office/officeart/2005/8/layout/hierarchy2"/>
    <dgm:cxn modelId="{CCD99572-4A38-4159-9987-5C8CFBCD6B05}" type="presParOf" srcId="{00DA276B-E9FD-4223-BF11-EB0F3CF0C65A}" destId="{5D42D9FF-99EC-46E6-A99C-AD80216C3443}" srcOrd="0" destOrd="0" presId="urn:microsoft.com/office/officeart/2005/8/layout/hierarchy2"/>
    <dgm:cxn modelId="{BDB41382-575B-41F9-B74A-771E8FA88655}" type="presParOf" srcId="{F4491AB4-60CC-4C9B-9501-AFE72379EB37}" destId="{38939C9B-76A7-447F-86CA-3B74B5292283}" srcOrd="7" destOrd="0" presId="urn:microsoft.com/office/officeart/2005/8/layout/hierarchy2"/>
    <dgm:cxn modelId="{47F75BAD-BA35-449D-844F-B6873C9A9CD9}" type="presParOf" srcId="{38939C9B-76A7-447F-86CA-3B74B5292283}" destId="{A8922CBF-F0E7-40EB-8592-2BA3EA32AD13}" srcOrd="0" destOrd="0" presId="urn:microsoft.com/office/officeart/2005/8/layout/hierarchy2"/>
    <dgm:cxn modelId="{829FC589-31A9-4609-838F-85A7CC129549}" type="presParOf" srcId="{38939C9B-76A7-447F-86CA-3B74B5292283}" destId="{042DEDC4-27BA-44FE-8F5D-8E505DA8331C}" srcOrd="1" destOrd="0" presId="urn:microsoft.com/office/officeart/2005/8/layout/hierarchy2"/>
    <dgm:cxn modelId="{5F1744F1-D2FF-4445-B14E-1E17E6A45009}" type="presParOf" srcId="{F4491AB4-60CC-4C9B-9501-AFE72379EB37}" destId="{0C318193-B546-4317-BBC6-3A0A84D6666B}" srcOrd="8" destOrd="0" presId="urn:microsoft.com/office/officeart/2005/8/layout/hierarchy2"/>
    <dgm:cxn modelId="{D2CAF858-84CD-4D54-8678-C33BE1ABFAFC}" type="presParOf" srcId="{0C318193-B546-4317-BBC6-3A0A84D6666B}" destId="{3BC1AC91-F49F-4E8D-A846-728A6D267B89}" srcOrd="0" destOrd="0" presId="urn:microsoft.com/office/officeart/2005/8/layout/hierarchy2"/>
    <dgm:cxn modelId="{5F65BE10-6888-4FB3-AA4B-63DB7A79B897}" type="presParOf" srcId="{F4491AB4-60CC-4C9B-9501-AFE72379EB37}" destId="{4428F7FA-1F93-4D2C-93D7-4152E9737F80}" srcOrd="9" destOrd="0" presId="urn:microsoft.com/office/officeart/2005/8/layout/hierarchy2"/>
    <dgm:cxn modelId="{7C4B6B5A-3278-410E-9C6C-49EE5BB4BA60}" type="presParOf" srcId="{4428F7FA-1F93-4D2C-93D7-4152E9737F80}" destId="{CAD87EB1-56A3-4CA2-A554-55F4C117DCD1}" srcOrd="0" destOrd="0" presId="urn:microsoft.com/office/officeart/2005/8/layout/hierarchy2"/>
    <dgm:cxn modelId="{545A11CC-5D98-4312-B2CB-A2349819C82E}" type="presParOf" srcId="{4428F7FA-1F93-4D2C-93D7-4152E9737F80}" destId="{0AD34178-6DE4-4979-BA80-1656CD51F16E}" srcOrd="1" destOrd="0" presId="urn:microsoft.com/office/officeart/2005/8/layout/hierarchy2"/>
    <dgm:cxn modelId="{875456E3-809C-4A3D-9E2B-7E8192D3A635}" type="presParOf" srcId="{0AD34178-6DE4-4979-BA80-1656CD51F16E}" destId="{3DA76114-FB8B-405A-BA20-6AA7343ADA29}" srcOrd="0" destOrd="0" presId="urn:microsoft.com/office/officeart/2005/8/layout/hierarchy2"/>
    <dgm:cxn modelId="{E2ACBF86-0D7E-4987-A977-94F83C4E2595}" type="presParOf" srcId="{3DA76114-FB8B-405A-BA20-6AA7343ADA29}" destId="{E86D3A18-6D5A-4855-AEE5-4A94DE772A51}" srcOrd="0" destOrd="0" presId="urn:microsoft.com/office/officeart/2005/8/layout/hierarchy2"/>
    <dgm:cxn modelId="{1244C2EB-DA0F-426D-90C1-10FE36CF5AD9}" type="presParOf" srcId="{0AD34178-6DE4-4979-BA80-1656CD51F16E}" destId="{5F59009D-BF68-45D4-9FC7-87A85B5B3998}" srcOrd="1" destOrd="0" presId="urn:microsoft.com/office/officeart/2005/8/layout/hierarchy2"/>
    <dgm:cxn modelId="{E544D0C3-67CB-42C9-8611-E097F5245F2A}" type="presParOf" srcId="{5F59009D-BF68-45D4-9FC7-87A85B5B3998}" destId="{10DE85A1-358C-4A09-8362-439226BF97A9}" srcOrd="0" destOrd="0" presId="urn:microsoft.com/office/officeart/2005/8/layout/hierarchy2"/>
    <dgm:cxn modelId="{277DE923-1551-4079-9A58-3CDB7DA3D2E8}" type="presParOf" srcId="{5F59009D-BF68-45D4-9FC7-87A85B5B3998}" destId="{C275C2CB-B8FE-42D8-816D-2282D4BD1F0D}" srcOrd="1" destOrd="0" presId="urn:microsoft.com/office/officeart/2005/8/layout/hierarchy2"/>
    <dgm:cxn modelId="{E79413EF-BFCE-4CF2-AF56-8B63F6CFBB17}" type="presParOf" srcId="{6A05AC34-9BFA-40C1-AF68-386E825489E3}" destId="{6533728F-A91F-4060-8806-FB21ABC4821D}" srcOrd="4" destOrd="0" presId="urn:microsoft.com/office/officeart/2005/8/layout/hierarchy2"/>
    <dgm:cxn modelId="{8E9114CD-2249-48D5-AD19-45598C1762CF}" type="presParOf" srcId="{6533728F-A91F-4060-8806-FB21ABC4821D}" destId="{FDE16A21-919C-41E5-A8B9-6645C9B4876F}" srcOrd="0" destOrd="0" presId="urn:microsoft.com/office/officeart/2005/8/layout/hierarchy2"/>
    <dgm:cxn modelId="{D473FF85-DE96-49C2-8AC4-C9805DC9DD8B}" type="presParOf" srcId="{6A05AC34-9BFA-40C1-AF68-386E825489E3}" destId="{F26F926D-FBC8-44FE-8FEA-1F81A3DCEB5D}" srcOrd="5" destOrd="0" presId="urn:microsoft.com/office/officeart/2005/8/layout/hierarchy2"/>
    <dgm:cxn modelId="{18F0A3B3-782F-490B-A161-CC2F35CC85AE}" type="presParOf" srcId="{F26F926D-FBC8-44FE-8FEA-1F81A3DCEB5D}" destId="{327F8B60-8E8E-4C0F-9F1C-C322C11F5EBD}" srcOrd="0" destOrd="0" presId="urn:microsoft.com/office/officeart/2005/8/layout/hierarchy2"/>
    <dgm:cxn modelId="{ADA3C20D-9AEC-43A6-B20A-7E2EE50224B5}" type="presParOf" srcId="{F26F926D-FBC8-44FE-8FEA-1F81A3DCEB5D}" destId="{A0D3DAF3-AB21-4764-9BB3-748D6A833F24}" srcOrd="1" destOrd="0" presId="urn:microsoft.com/office/officeart/2005/8/layout/hierarchy2"/>
    <dgm:cxn modelId="{AA684DD5-1414-42FC-B63F-B02159A5D6BE}" type="presParOf" srcId="{A0D3DAF3-AB21-4764-9BB3-748D6A833F24}" destId="{F91EBE53-5013-4A8A-92A3-8D6EC112D4C6}" srcOrd="0" destOrd="0" presId="urn:microsoft.com/office/officeart/2005/8/layout/hierarchy2"/>
    <dgm:cxn modelId="{9E31D6F9-7DDB-49B1-BC2D-60D2A422D378}" type="presParOf" srcId="{F91EBE53-5013-4A8A-92A3-8D6EC112D4C6}" destId="{A60E0886-8CCE-4FAF-9C79-55675C8A3942}" srcOrd="0" destOrd="0" presId="urn:microsoft.com/office/officeart/2005/8/layout/hierarchy2"/>
    <dgm:cxn modelId="{592A80C0-FEE1-4F3B-B89B-25AD4721E636}" type="presParOf" srcId="{A0D3DAF3-AB21-4764-9BB3-748D6A833F24}" destId="{D6D0A2FA-B4DE-43E3-99CD-82AF1A06FEB7}" srcOrd="1" destOrd="0" presId="urn:microsoft.com/office/officeart/2005/8/layout/hierarchy2"/>
    <dgm:cxn modelId="{07A6A417-6A87-42E0-BB2E-D75A0CEE8007}" type="presParOf" srcId="{D6D0A2FA-B4DE-43E3-99CD-82AF1A06FEB7}" destId="{B7EC867B-5991-4EB9-A70C-B52B51589822}" srcOrd="0" destOrd="0" presId="urn:microsoft.com/office/officeart/2005/8/layout/hierarchy2"/>
    <dgm:cxn modelId="{DB2B3A72-9CC7-4E02-AF80-F3E47655D7D7}" type="presParOf" srcId="{D6D0A2FA-B4DE-43E3-99CD-82AF1A06FEB7}" destId="{A6373F67-7040-4CF5-8C20-27B227113C7F}" srcOrd="1" destOrd="0" presId="urn:microsoft.com/office/officeart/2005/8/layout/hierarchy2"/>
    <dgm:cxn modelId="{30260100-B638-4180-9537-D5AF7B9C636F}" type="presParOf" srcId="{A0D3DAF3-AB21-4764-9BB3-748D6A833F24}" destId="{3A179C53-A1B4-418B-A67E-A2199F4FCFD9}" srcOrd="2" destOrd="0" presId="urn:microsoft.com/office/officeart/2005/8/layout/hierarchy2"/>
    <dgm:cxn modelId="{B4384037-5D10-480C-A14F-3F2F92555968}" type="presParOf" srcId="{3A179C53-A1B4-418B-A67E-A2199F4FCFD9}" destId="{53C4F697-5F8F-4221-8339-AAA3A922766C}" srcOrd="0" destOrd="0" presId="urn:microsoft.com/office/officeart/2005/8/layout/hierarchy2"/>
    <dgm:cxn modelId="{F428D68E-EE36-4C2C-B4BF-16CE1B8AD954}" type="presParOf" srcId="{A0D3DAF3-AB21-4764-9BB3-748D6A833F24}" destId="{9D018697-1048-46F8-BCC5-C66DB96273A8}" srcOrd="3" destOrd="0" presId="urn:microsoft.com/office/officeart/2005/8/layout/hierarchy2"/>
    <dgm:cxn modelId="{BBFCB32B-A2B7-4C16-AF7D-78558A8D97DD}" type="presParOf" srcId="{9D018697-1048-46F8-BCC5-C66DB96273A8}" destId="{FD590A21-0469-4CEC-86E6-8729469E1DEB}" srcOrd="0" destOrd="0" presId="urn:microsoft.com/office/officeart/2005/8/layout/hierarchy2"/>
    <dgm:cxn modelId="{6981BCF5-6F1C-43C3-AC2D-D0659FF67A1E}" type="presParOf" srcId="{9D018697-1048-46F8-BCC5-C66DB96273A8}" destId="{18E5C9DE-19CB-4DE1-842B-82C338793467}" srcOrd="1" destOrd="0" presId="urn:microsoft.com/office/officeart/2005/8/layout/hierarchy2"/>
    <dgm:cxn modelId="{245305CD-D704-4D43-ABCF-52C034C2DCC1}" type="presParOf" srcId="{18E5C9DE-19CB-4DE1-842B-82C338793467}" destId="{A4C1A16B-D6BF-40CD-8E20-74BBE3C7F0B9}" srcOrd="0" destOrd="0" presId="urn:microsoft.com/office/officeart/2005/8/layout/hierarchy2"/>
    <dgm:cxn modelId="{9749BA18-2AA8-4DB1-AD7B-9A256221F97C}" type="presParOf" srcId="{A4C1A16B-D6BF-40CD-8E20-74BBE3C7F0B9}" destId="{E5DD952D-9D94-472D-9262-14AFE8D74BCC}" srcOrd="0" destOrd="0" presId="urn:microsoft.com/office/officeart/2005/8/layout/hierarchy2"/>
    <dgm:cxn modelId="{FF57E473-A02D-4C12-94C6-188667CF0F75}" type="presParOf" srcId="{18E5C9DE-19CB-4DE1-842B-82C338793467}" destId="{46BC7538-D3A6-4FCB-A12E-F6D243B2DBF3}" srcOrd="1" destOrd="0" presId="urn:microsoft.com/office/officeart/2005/8/layout/hierarchy2"/>
    <dgm:cxn modelId="{2809AE67-2786-449D-BA69-377DB938F404}" type="presParOf" srcId="{46BC7538-D3A6-4FCB-A12E-F6D243B2DBF3}" destId="{E2D8712A-3412-4EA0-9586-88A291FD988D}" srcOrd="0" destOrd="0" presId="urn:microsoft.com/office/officeart/2005/8/layout/hierarchy2"/>
    <dgm:cxn modelId="{E43C1CCC-7C5D-4BFD-8EEA-19AC36F15B7F}" type="presParOf" srcId="{46BC7538-D3A6-4FCB-A12E-F6D243B2DBF3}" destId="{18D4F18E-57C1-4C70-8B38-689E0EAF211A}" srcOrd="1" destOrd="0" presId="urn:microsoft.com/office/officeart/2005/8/layout/hierarchy2"/>
    <dgm:cxn modelId="{65A213AC-5496-4216-BEDF-F35A536A88A4}" type="presParOf" srcId="{A0D3DAF3-AB21-4764-9BB3-748D6A833F24}" destId="{0B8740F0-03C2-4CD8-BDB8-1C9CC3B0F550}" srcOrd="4" destOrd="0" presId="urn:microsoft.com/office/officeart/2005/8/layout/hierarchy2"/>
    <dgm:cxn modelId="{A39B2E02-ABEF-402D-B98E-FDE0563C256B}" type="presParOf" srcId="{0B8740F0-03C2-4CD8-BDB8-1C9CC3B0F550}" destId="{7B4368D6-D35E-4105-BB2B-5D14755F5B54}" srcOrd="0" destOrd="0" presId="urn:microsoft.com/office/officeart/2005/8/layout/hierarchy2"/>
    <dgm:cxn modelId="{A36D7636-FAD7-4B35-9CD4-5B7B509E80E8}" type="presParOf" srcId="{A0D3DAF3-AB21-4764-9BB3-748D6A833F24}" destId="{1EC60F82-DC3E-4924-B2D6-E18DDFD4C7AF}" srcOrd="5" destOrd="0" presId="urn:microsoft.com/office/officeart/2005/8/layout/hierarchy2"/>
    <dgm:cxn modelId="{A794A582-A93A-4F3E-9681-F550B1AC115E}" type="presParOf" srcId="{1EC60F82-DC3E-4924-B2D6-E18DDFD4C7AF}" destId="{3A3FC53C-81EE-4678-BBD9-81D3B2EC30D4}" srcOrd="0" destOrd="0" presId="urn:microsoft.com/office/officeart/2005/8/layout/hierarchy2"/>
    <dgm:cxn modelId="{2669B862-5B19-491D-9383-01C4B13DC225}" type="presParOf" srcId="{1EC60F82-DC3E-4924-B2D6-E18DDFD4C7AF}" destId="{96D7C9A8-6E60-485E-93B6-0E52C759262E}" srcOrd="1" destOrd="0" presId="urn:microsoft.com/office/officeart/2005/8/layout/hierarchy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CA30D0-3AA2-465F-B1CB-D9DF2445D55B}">
      <dsp:nvSpPr>
        <dsp:cNvPr id="0" name=""/>
        <dsp:cNvSpPr/>
      </dsp:nvSpPr>
      <dsp:spPr>
        <a:xfrm>
          <a:off x="3725" y="1992456"/>
          <a:ext cx="1154755" cy="577377"/>
        </a:xfrm>
        <a:prstGeom prst="roundRect">
          <a:avLst>
            <a:gd name="adj" fmla="val 10000"/>
          </a:avLst>
        </a:prstGeom>
        <a:noFill/>
        <a:ln>
          <a:noFill/>
        </a:ln>
        <a:effectLst/>
        <a:scene3d>
          <a:camera prst="orthographicFront"/>
          <a:lightRig rig="flat" dir="t"/>
        </a:scene3d>
        <a:sp3d/>
      </dsp:spPr>
      <dsp:style>
        <a:lnRef idx="0">
          <a:scrgbClr r="0" g="0" b="0"/>
        </a:lnRef>
        <a:fillRef idx="0">
          <a:scrgbClr r="0" g="0" b="0"/>
        </a:fillRef>
        <a:effectRef idx="0">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i="1" kern="1200">
              <a:solidFill>
                <a:sysClr val="windowText" lastClr="000000"/>
              </a:solidFill>
              <a:latin typeface="Calibri" panose="020F0502020204030204"/>
              <a:ea typeface="+mn-ea"/>
              <a:cs typeface="+mn-cs"/>
            </a:rPr>
            <a:t>Theme described</a:t>
          </a:r>
          <a:endParaRPr lang="x-none" sz="1200" i="1" kern="1200">
            <a:solidFill>
              <a:sysClr val="windowText" lastClr="000000"/>
            </a:solidFill>
            <a:latin typeface="Calibri" panose="020F0502020204030204"/>
            <a:ea typeface="+mn-ea"/>
            <a:cs typeface="+mn-cs"/>
          </a:endParaRPr>
        </a:p>
      </dsp:txBody>
      <dsp:txXfrm>
        <a:off x="20636" y="2009367"/>
        <a:ext cx="1120933" cy="543555"/>
      </dsp:txXfrm>
    </dsp:sp>
    <dsp:sp modelId="{E0DB5C4D-9BB1-4178-9C5D-4B89B8C0C0E4}">
      <dsp:nvSpPr>
        <dsp:cNvPr id="0" name=""/>
        <dsp:cNvSpPr/>
      </dsp:nvSpPr>
      <dsp:spPr>
        <a:xfrm>
          <a:off x="3725" y="2656441"/>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Corporate governance failure</a:t>
          </a:r>
          <a:endParaRPr lang="x-none" sz="1200" kern="1200">
            <a:solidFill>
              <a:sysClr val="windowText" lastClr="000000"/>
            </a:solidFill>
            <a:latin typeface="Calibri" panose="020F0502020204030204"/>
            <a:ea typeface="+mn-ea"/>
            <a:cs typeface="+mn-cs"/>
          </a:endParaRPr>
        </a:p>
      </dsp:txBody>
      <dsp:txXfrm>
        <a:off x="20636" y="2673352"/>
        <a:ext cx="1120933" cy="543555"/>
      </dsp:txXfrm>
    </dsp:sp>
    <dsp:sp modelId="{940D479A-87C4-41E1-AC18-AE86E194580E}">
      <dsp:nvSpPr>
        <dsp:cNvPr id="0" name=""/>
        <dsp:cNvSpPr/>
      </dsp:nvSpPr>
      <dsp:spPr>
        <a:xfrm rot="17132988">
          <a:off x="527918" y="2106327"/>
          <a:ext cx="1723027" cy="17644"/>
        </a:xfrm>
        <a:custGeom>
          <a:avLst/>
          <a:gdLst/>
          <a:ahLst/>
          <a:cxnLst/>
          <a:rect l="0" t="0" r="0" b="0"/>
          <a:pathLst>
            <a:path>
              <a:moveTo>
                <a:pt x="0" y="8822"/>
              </a:moveTo>
              <a:lnTo>
                <a:pt x="1723027" y="882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1336385" y="2145100"/>
        <a:ext cx="0" cy="0"/>
      </dsp:txXfrm>
    </dsp:sp>
    <dsp:sp modelId="{F28A68E2-FFC5-4AF7-874A-DA4082EF6BCD}">
      <dsp:nvSpPr>
        <dsp:cNvPr id="0" name=""/>
        <dsp:cNvSpPr/>
      </dsp:nvSpPr>
      <dsp:spPr>
        <a:xfrm>
          <a:off x="1620383" y="996479"/>
          <a:ext cx="1154755" cy="577377"/>
        </a:xfrm>
        <a:prstGeom prst="roundRect">
          <a:avLst>
            <a:gd name="adj" fmla="val 10000"/>
          </a:avLst>
        </a:prstGeom>
        <a:no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i="1" kern="1200">
              <a:solidFill>
                <a:sysClr val="windowText" lastClr="000000"/>
              </a:solidFill>
              <a:latin typeface="Calibri" panose="020F0502020204030204"/>
              <a:ea typeface="+mn-ea"/>
              <a:cs typeface="+mn-cs"/>
            </a:rPr>
            <a:t>Final categorisation</a:t>
          </a:r>
          <a:endParaRPr lang="x-none" sz="1200" i="1" kern="1200">
            <a:solidFill>
              <a:sysClr val="windowText" lastClr="000000"/>
            </a:solidFill>
            <a:latin typeface="Calibri" panose="020F0502020204030204"/>
            <a:ea typeface="+mn-ea"/>
            <a:cs typeface="+mn-cs"/>
          </a:endParaRPr>
        </a:p>
      </dsp:txBody>
      <dsp:txXfrm>
        <a:off x="1637294" y="1013390"/>
        <a:ext cx="1120933" cy="543555"/>
      </dsp:txXfrm>
    </dsp:sp>
    <dsp:sp modelId="{A6A7BD2A-A205-429B-B5B2-53E80DB7127C}">
      <dsp:nvSpPr>
        <dsp:cNvPr id="0" name=""/>
        <dsp:cNvSpPr/>
      </dsp:nvSpPr>
      <dsp:spPr>
        <a:xfrm rot="17692822">
          <a:off x="840496" y="2438319"/>
          <a:ext cx="1097872" cy="17644"/>
        </a:xfrm>
        <a:custGeom>
          <a:avLst/>
          <a:gdLst/>
          <a:ahLst/>
          <a:cxnLst/>
          <a:rect l="0" t="0" r="0" b="0"/>
          <a:pathLst>
            <a:path>
              <a:moveTo>
                <a:pt x="0" y="8822"/>
              </a:moveTo>
              <a:lnTo>
                <a:pt x="1097872" y="882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1352985" y="2460492"/>
        <a:ext cx="0" cy="0"/>
      </dsp:txXfrm>
    </dsp:sp>
    <dsp:sp modelId="{9B9CBDF1-9D86-4AF7-81BE-F3ADDF993432}">
      <dsp:nvSpPr>
        <dsp:cNvPr id="0" name=""/>
        <dsp:cNvSpPr/>
      </dsp:nvSpPr>
      <dsp:spPr>
        <a:xfrm>
          <a:off x="1620383" y="1660464"/>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Absence of Governance</a:t>
          </a:r>
          <a:endParaRPr lang="x-none" sz="1200" kern="1200">
            <a:solidFill>
              <a:sysClr val="windowText" lastClr="000000"/>
            </a:solidFill>
            <a:latin typeface="Calibri" panose="020F0502020204030204"/>
            <a:ea typeface="+mn-ea"/>
            <a:cs typeface="+mn-cs"/>
          </a:endParaRPr>
        </a:p>
      </dsp:txBody>
      <dsp:txXfrm>
        <a:off x="1637294" y="1677375"/>
        <a:ext cx="1120933" cy="543555"/>
      </dsp:txXfrm>
    </dsp:sp>
    <dsp:sp modelId="{BC4A6E2C-F5DD-44D7-97BC-1052C287B15B}">
      <dsp:nvSpPr>
        <dsp:cNvPr id="0" name=""/>
        <dsp:cNvSpPr/>
      </dsp:nvSpPr>
      <dsp:spPr>
        <a:xfrm rot="17350740">
          <a:off x="2303086" y="1276346"/>
          <a:ext cx="1406006" cy="17644"/>
        </a:xfrm>
        <a:custGeom>
          <a:avLst/>
          <a:gdLst/>
          <a:ahLst/>
          <a:cxnLst/>
          <a:rect l="0" t="0" r="0" b="0"/>
          <a:pathLst>
            <a:path>
              <a:moveTo>
                <a:pt x="0" y="8822"/>
              </a:moveTo>
              <a:lnTo>
                <a:pt x="1406006" y="882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2961342" y="1306820"/>
        <a:ext cx="0" cy="0"/>
      </dsp:txXfrm>
    </dsp:sp>
    <dsp:sp modelId="{99288FA1-4691-4426-BB53-2177155DAD7F}">
      <dsp:nvSpPr>
        <dsp:cNvPr id="0" name=""/>
        <dsp:cNvSpPr/>
      </dsp:nvSpPr>
      <dsp:spPr>
        <a:xfrm>
          <a:off x="3237041" y="332495"/>
          <a:ext cx="1154755" cy="577377"/>
        </a:xfrm>
        <a:prstGeom prst="roundRect">
          <a:avLst>
            <a:gd name="adj" fmla="val 10000"/>
          </a:avLst>
        </a:prstGeom>
        <a:no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i="1" kern="1200">
              <a:solidFill>
                <a:sysClr val="windowText" lastClr="000000"/>
              </a:solidFill>
              <a:latin typeface="Calibri" panose="020F0502020204030204"/>
              <a:ea typeface="+mn-ea"/>
              <a:cs typeface="+mn-cs"/>
            </a:rPr>
            <a:t>Expanded codes applied</a:t>
          </a:r>
          <a:endParaRPr lang="x-none" sz="1200" i="1" kern="1200">
            <a:solidFill>
              <a:sysClr val="windowText" lastClr="000000"/>
            </a:solidFill>
            <a:latin typeface="Calibri" panose="020F0502020204030204"/>
            <a:ea typeface="+mn-ea"/>
            <a:cs typeface="+mn-cs"/>
          </a:endParaRPr>
        </a:p>
      </dsp:txBody>
      <dsp:txXfrm>
        <a:off x="3253952" y="349406"/>
        <a:ext cx="1120933" cy="543555"/>
      </dsp:txXfrm>
    </dsp:sp>
    <dsp:sp modelId="{72F0C623-2CA7-4980-B514-A1ADD45C2B2F}">
      <dsp:nvSpPr>
        <dsp:cNvPr id="0" name=""/>
        <dsp:cNvSpPr/>
      </dsp:nvSpPr>
      <dsp:spPr>
        <a:xfrm rot="18289469">
          <a:off x="2601667" y="1608339"/>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2977942" y="1622212"/>
        <a:ext cx="0" cy="0"/>
      </dsp:txXfrm>
    </dsp:sp>
    <dsp:sp modelId="{BABC3423-48DB-40F9-AEDA-EBA90976ACA5}">
      <dsp:nvSpPr>
        <dsp:cNvPr id="0" name=""/>
        <dsp:cNvSpPr/>
      </dsp:nvSpPr>
      <dsp:spPr>
        <a:xfrm>
          <a:off x="3237041" y="996479"/>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Poor separation of responsibilities</a:t>
          </a:r>
          <a:endParaRPr lang="x-none" sz="1200" kern="1200">
            <a:solidFill>
              <a:sysClr val="windowText" lastClr="000000"/>
            </a:solidFill>
            <a:latin typeface="Calibri" panose="020F0502020204030204"/>
            <a:ea typeface="+mn-ea"/>
            <a:cs typeface="+mn-cs"/>
          </a:endParaRPr>
        </a:p>
      </dsp:txBody>
      <dsp:txXfrm>
        <a:off x="3253952" y="1013390"/>
        <a:ext cx="1120933" cy="543555"/>
      </dsp:txXfrm>
    </dsp:sp>
    <dsp:sp modelId="{F074CC00-4F00-483B-8779-B20F1F711603}">
      <dsp:nvSpPr>
        <dsp:cNvPr id="0" name=""/>
        <dsp:cNvSpPr/>
      </dsp:nvSpPr>
      <dsp:spPr>
        <a:xfrm rot="19457599">
          <a:off x="4338330" y="1110350"/>
          <a:ext cx="568834" cy="17644"/>
        </a:xfrm>
        <a:custGeom>
          <a:avLst/>
          <a:gdLst/>
          <a:ahLst/>
          <a:cxnLst/>
          <a:rect l="0" t="0" r="0" b="0"/>
          <a:pathLst>
            <a:path>
              <a:moveTo>
                <a:pt x="0" y="8822"/>
              </a:moveTo>
              <a:lnTo>
                <a:pt x="568834" y="882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4602900" y="1115924"/>
        <a:ext cx="0" cy="0"/>
      </dsp:txXfrm>
    </dsp:sp>
    <dsp:sp modelId="{B899F2D9-7957-4C79-9837-BAC26526396A}">
      <dsp:nvSpPr>
        <dsp:cNvPr id="0" name=""/>
        <dsp:cNvSpPr/>
      </dsp:nvSpPr>
      <dsp:spPr>
        <a:xfrm>
          <a:off x="4853698" y="664487"/>
          <a:ext cx="1154755" cy="577377"/>
        </a:xfrm>
        <a:prstGeom prst="roundRect">
          <a:avLst>
            <a:gd name="adj" fmla="val 10000"/>
          </a:avLst>
        </a:prstGeom>
        <a:no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i="1" kern="1200">
              <a:solidFill>
                <a:sysClr val="windowText" lastClr="000000"/>
              </a:solidFill>
              <a:latin typeface="Calibri" panose="020F0502020204030204"/>
              <a:ea typeface="+mn-ea"/>
              <a:cs typeface="+mn-cs"/>
            </a:rPr>
            <a:t>Initial codes named</a:t>
          </a:r>
          <a:endParaRPr lang="x-none" sz="1200" i="1" kern="1200">
            <a:solidFill>
              <a:sysClr val="windowText" lastClr="000000"/>
            </a:solidFill>
            <a:latin typeface="Calibri" panose="020F0502020204030204"/>
            <a:ea typeface="+mn-ea"/>
            <a:cs typeface="+mn-cs"/>
          </a:endParaRPr>
        </a:p>
      </dsp:txBody>
      <dsp:txXfrm>
        <a:off x="4870609" y="681398"/>
        <a:ext cx="1120933" cy="543555"/>
      </dsp:txXfrm>
    </dsp:sp>
    <dsp:sp modelId="{6B7B41CD-73F8-4EDD-9784-D3A470536440}">
      <dsp:nvSpPr>
        <dsp:cNvPr id="0" name=""/>
        <dsp:cNvSpPr/>
      </dsp:nvSpPr>
      <dsp:spPr>
        <a:xfrm rot="2142401">
          <a:off x="4338330" y="1442342"/>
          <a:ext cx="568834" cy="17644"/>
        </a:xfrm>
        <a:custGeom>
          <a:avLst/>
          <a:gdLst/>
          <a:ahLst/>
          <a:cxnLst/>
          <a:rect l="0" t="0" r="0" b="0"/>
          <a:pathLst>
            <a:path>
              <a:moveTo>
                <a:pt x="0" y="8822"/>
              </a:moveTo>
              <a:lnTo>
                <a:pt x="568834"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4619499" y="1431318"/>
        <a:ext cx="0" cy="0"/>
      </dsp:txXfrm>
    </dsp:sp>
    <dsp:sp modelId="{B3490752-86D6-4F14-A75A-95519E50FAB7}">
      <dsp:nvSpPr>
        <dsp:cNvPr id="0" name=""/>
        <dsp:cNvSpPr/>
      </dsp:nvSpPr>
      <dsp:spPr>
        <a:xfrm>
          <a:off x="4853698" y="132847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Corporate governance practices</a:t>
          </a:r>
          <a:endParaRPr lang="x-none" sz="1200" kern="1200">
            <a:solidFill>
              <a:sysClr val="windowText" lastClr="000000"/>
            </a:solidFill>
            <a:latin typeface="Calibri" panose="020F0502020204030204"/>
            <a:ea typeface="+mn-ea"/>
            <a:cs typeface="+mn-cs"/>
          </a:endParaRPr>
        </a:p>
      </dsp:txBody>
      <dsp:txXfrm>
        <a:off x="4870609" y="1345383"/>
        <a:ext cx="1120933" cy="543555"/>
      </dsp:txXfrm>
    </dsp:sp>
    <dsp:sp modelId="{D41CA4A8-BCB3-44C1-883C-2D1BFAE2DB7C}">
      <dsp:nvSpPr>
        <dsp:cNvPr id="0" name=""/>
        <dsp:cNvSpPr/>
      </dsp:nvSpPr>
      <dsp:spPr>
        <a:xfrm>
          <a:off x="2775138" y="1940331"/>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2994542" y="1937605"/>
        <a:ext cx="0" cy="0"/>
      </dsp:txXfrm>
    </dsp:sp>
    <dsp:sp modelId="{55B5D840-B833-4E00-891E-AC73BD3016F4}">
      <dsp:nvSpPr>
        <dsp:cNvPr id="0" name=""/>
        <dsp:cNvSpPr/>
      </dsp:nvSpPr>
      <dsp:spPr>
        <a:xfrm>
          <a:off x="3237041" y="1660464"/>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lack of transparency &amp; Board Oversight</a:t>
          </a:r>
          <a:endParaRPr lang="x-none" sz="1200" kern="1200">
            <a:solidFill>
              <a:sysClr val="windowText" lastClr="000000"/>
            </a:solidFill>
            <a:latin typeface="Calibri" panose="020F0502020204030204"/>
            <a:ea typeface="+mn-ea"/>
            <a:cs typeface="+mn-cs"/>
          </a:endParaRPr>
        </a:p>
      </dsp:txBody>
      <dsp:txXfrm>
        <a:off x="3253952" y="1677375"/>
        <a:ext cx="1120933" cy="543555"/>
      </dsp:txXfrm>
    </dsp:sp>
    <dsp:sp modelId="{00DA276B-E9FD-4223-BF11-EB0F3CF0C65A}">
      <dsp:nvSpPr>
        <dsp:cNvPr id="0" name=""/>
        <dsp:cNvSpPr/>
      </dsp:nvSpPr>
      <dsp:spPr>
        <a:xfrm rot="3310531">
          <a:off x="2601667" y="2272323"/>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3011141" y="2252998"/>
        <a:ext cx="0" cy="0"/>
      </dsp:txXfrm>
    </dsp:sp>
    <dsp:sp modelId="{A8922CBF-F0E7-40EB-8592-2BA3EA32AD13}">
      <dsp:nvSpPr>
        <dsp:cNvPr id="0" name=""/>
        <dsp:cNvSpPr/>
      </dsp:nvSpPr>
      <dsp:spPr>
        <a:xfrm>
          <a:off x="3237041" y="2324448"/>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lack of decision making processes</a:t>
          </a:r>
          <a:endParaRPr lang="x-none" sz="1200" kern="1200">
            <a:solidFill>
              <a:sysClr val="windowText" lastClr="000000"/>
            </a:solidFill>
            <a:latin typeface="Calibri" panose="020F0502020204030204"/>
            <a:ea typeface="+mn-ea"/>
            <a:cs typeface="+mn-cs"/>
          </a:endParaRPr>
        </a:p>
      </dsp:txBody>
      <dsp:txXfrm>
        <a:off x="3253952" y="2341359"/>
        <a:ext cx="1120933" cy="543555"/>
      </dsp:txXfrm>
    </dsp:sp>
    <dsp:sp modelId="{0C318193-B546-4317-BBC6-3A0A84D6666B}">
      <dsp:nvSpPr>
        <dsp:cNvPr id="0" name=""/>
        <dsp:cNvSpPr/>
      </dsp:nvSpPr>
      <dsp:spPr>
        <a:xfrm rot="4249260">
          <a:off x="2303086" y="2604315"/>
          <a:ext cx="1406006" cy="17644"/>
        </a:xfrm>
        <a:custGeom>
          <a:avLst/>
          <a:gdLst/>
          <a:ahLst/>
          <a:cxnLst/>
          <a:rect l="0" t="0" r="0" b="0"/>
          <a:pathLst>
            <a:path>
              <a:moveTo>
                <a:pt x="0" y="8822"/>
              </a:moveTo>
              <a:lnTo>
                <a:pt x="1406006"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3027741" y="2568390"/>
        <a:ext cx="0" cy="0"/>
      </dsp:txXfrm>
    </dsp:sp>
    <dsp:sp modelId="{CAD87EB1-56A3-4CA2-A554-55F4C117DCD1}">
      <dsp:nvSpPr>
        <dsp:cNvPr id="0" name=""/>
        <dsp:cNvSpPr/>
      </dsp:nvSpPr>
      <dsp:spPr>
        <a:xfrm>
          <a:off x="3237041" y="2988433"/>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Absence of regulatory body</a:t>
          </a:r>
          <a:endParaRPr lang="x-none" sz="1200" kern="1200">
            <a:solidFill>
              <a:sysClr val="windowText" lastClr="000000"/>
            </a:solidFill>
            <a:latin typeface="Calibri" panose="020F0502020204030204"/>
            <a:ea typeface="+mn-ea"/>
            <a:cs typeface="+mn-cs"/>
          </a:endParaRPr>
        </a:p>
      </dsp:txBody>
      <dsp:txXfrm>
        <a:off x="3253952" y="3005344"/>
        <a:ext cx="1120933" cy="543555"/>
      </dsp:txXfrm>
    </dsp:sp>
    <dsp:sp modelId="{3DA76114-FB8B-405A-BA20-6AA7343ADA29}">
      <dsp:nvSpPr>
        <dsp:cNvPr id="0" name=""/>
        <dsp:cNvSpPr/>
      </dsp:nvSpPr>
      <dsp:spPr>
        <a:xfrm>
          <a:off x="4391796" y="3268300"/>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4611200" y="3265574"/>
        <a:ext cx="0" cy="0"/>
      </dsp:txXfrm>
    </dsp:sp>
    <dsp:sp modelId="{10DE85A1-358C-4A09-8362-439226BF97A9}">
      <dsp:nvSpPr>
        <dsp:cNvPr id="0" name=""/>
        <dsp:cNvSpPr/>
      </dsp:nvSpPr>
      <dsp:spPr>
        <a:xfrm>
          <a:off x="4853698" y="2988433"/>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Regulations</a:t>
          </a:r>
          <a:endParaRPr lang="x-none" sz="1200" kern="1200">
            <a:solidFill>
              <a:sysClr val="windowText" lastClr="000000"/>
            </a:solidFill>
            <a:latin typeface="Calibri" panose="020F0502020204030204"/>
            <a:ea typeface="+mn-ea"/>
            <a:cs typeface="+mn-cs"/>
          </a:endParaRPr>
        </a:p>
      </dsp:txBody>
      <dsp:txXfrm>
        <a:off x="4870609" y="3005344"/>
        <a:ext cx="1120933" cy="543555"/>
      </dsp:txXfrm>
    </dsp:sp>
    <dsp:sp modelId="{6533728F-A91F-4060-8806-FB21ABC4821D}">
      <dsp:nvSpPr>
        <dsp:cNvPr id="0" name=""/>
        <dsp:cNvSpPr/>
      </dsp:nvSpPr>
      <dsp:spPr>
        <a:xfrm rot="4467012">
          <a:off x="527918" y="3766288"/>
          <a:ext cx="1723027" cy="17644"/>
        </a:xfrm>
        <a:custGeom>
          <a:avLst/>
          <a:gdLst/>
          <a:ahLst/>
          <a:cxnLst/>
          <a:rect l="0" t="0" r="0" b="0"/>
          <a:pathLst>
            <a:path>
              <a:moveTo>
                <a:pt x="0" y="8822"/>
              </a:moveTo>
              <a:lnTo>
                <a:pt x="1723027" y="882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1419383" y="3722063"/>
        <a:ext cx="0" cy="0"/>
      </dsp:txXfrm>
    </dsp:sp>
    <dsp:sp modelId="{327F8B60-8E8E-4C0F-9F1C-C322C11F5EBD}">
      <dsp:nvSpPr>
        <dsp:cNvPr id="0" name=""/>
        <dsp:cNvSpPr/>
      </dsp:nvSpPr>
      <dsp:spPr>
        <a:xfrm>
          <a:off x="1620383" y="431640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Absence of Policy Commitments</a:t>
          </a:r>
          <a:endParaRPr lang="x-none" sz="1200" kern="1200">
            <a:solidFill>
              <a:sysClr val="windowText" lastClr="000000"/>
            </a:solidFill>
            <a:latin typeface="Calibri" panose="020F0502020204030204"/>
            <a:ea typeface="+mn-ea"/>
            <a:cs typeface="+mn-cs"/>
          </a:endParaRPr>
        </a:p>
      </dsp:txBody>
      <dsp:txXfrm>
        <a:off x="1637294" y="4333313"/>
        <a:ext cx="1120933" cy="543555"/>
      </dsp:txXfrm>
    </dsp:sp>
    <dsp:sp modelId="{F91EBE53-5013-4A8A-92A3-8D6EC112D4C6}">
      <dsp:nvSpPr>
        <dsp:cNvPr id="0" name=""/>
        <dsp:cNvSpPr/>
      </dsp:nvSpPr>
      <dsp:spPr>
        <a:xfrm rot="18289469">
          <a:off x="2601667" y="4264276"/>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2977942" y="4278150"/>
        <a:ext cx="0" cy="0"/>
      </dsp:txXfrm>
    </dsp:sp>
    <dsp:sp modelId="{B7EC867B-5991-4EB9-A70C-B52B51589822}">
      <dsp:nvSpPr>
        <dsp:cNvPr id="0" name=""/>
        <dsp:cNvSpPr/>
      </dsp:nvSpPr>
      <dsp:spPr>
        <a:xfrm>
          <a:off x="3237041" y="3652417"/>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Unethical practices</a:t>
          </a:r>
          <a:endParaRPr lang="x-none" sz="1200" kern="1200">
            <a:solidFill>
              <a:sysClr val="windowText" lastClr="000000"/>
            </a:solidFill>
            <a:latin typeface="Calibri" panose="020F0502020204030204"/>
            <a:ea typeface="+mn-ea"/>
            <a:cs typeface="+mn-cs"/>
          </a:endParaRPr>
        </a:p>
      </dsp:txBody>
      <dsp:txXfrm>
        <a:off x="3253952" y="3669328"/>
        <a:ext cx="1120933" cy="543555"/>
      </dsp:txXfrm>
    </dsp:sp>
    <dsp:sp modelId="{3A179C53-A1B4-418B-A67E-A2199F4FCFD9}">
      <dsp:nvSpPr>
        <dsp:cNvPr id="0" name=""/>
        <dsp:cNvSpPr/>
      </dsp:nvSpPr>
      <dsp:spPr>
        <a:xfrm>
          <a:off x="2775138" y="4596269"/>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2994542" y="4593543"/>
        <a:ext cx="0" cy="0"/>
      </dsp:txXfrm>
    </dsp:sp>
    <dsp:sp modelId="{FD590A21-0469-4CEC-86E6-8729469E1DEB}">
      <dsp:nvSpPr>
        <dsp:cNvPr id="0" name=""/>
        <dsp:cNvSpPr/>
      </dsp:nvSpPr>
      <dsp:spPr>
        <a:xfrm>
          <a:off x="3237041" y="431640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Conflict of interest</a:t>
          </a:r>
          <a:endParaRPr lang="x-none" sz="1200" kern="1200">
            <a:solidFill>
              <a:sysClr val="windowText" lastClr="000000"/>
            </a:solidFill>
            <a:latin typeface="Calibri" panose="020F0502020204030204"/>
            <a:ea typeface="+mn-ea"/>
            <a:cs typeface="+mn-cs"/>
          </a:endParaRPr>
        </a:p>
      </dsp:txBody>
      <dsp:txXfrm>
        <a:off x="3253952" y="4333313"/>
        <a:ext cx="1120933" cy="543555"/>
      </dsp:txXfrm>
    </dsp:sp>
    <dsp:sp modelId="{A4C1A16B-D6BF-40CD-8E20-74BBE3C7F0B9}">
      <dsp:nvSpPr>
        <dsp:cNvPr id="0" name=""/>
        <dsp:cNvSpPr/>
      </dsp:nvSpPr>
      <dsp:spPr>
        <a:xfrm>
          <a:off x="4391796" y="4596269"/>
          <a:ext cx="461902" cy="17644"/>
        </a:xfrm>
        <a:custGeom>
          <a:avLst/>
          <a:gdLst/>
          <a:ahLst/>
          <a:cxnLst/>
          <a:rect l="0" t="0" r="0" b="0"/>
          <a:pathLst>
            <a:path>
              <a:moveTo>
                <a:pt x="0" y="8822"/>
              </a:moveTo>
              <a:lnTo>
                <a:pt x="461902"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4611200" y="4593543"/>
        <a:ext cx="0" cy="0"/>
      </dsp:txXfrm>
    </dsp:sp>
    <dsp:sp modelId="{E2D8712A-3412-4EA0-9586-88A291FD988D}">
      <dsp:nvSpPr>
        <dsp:cNvPr id="0" name=""/>
        <dsp:cNvSpPr/>
      </dsp:nvSpPr>
      <dsp:spPr>
        <a:xfrm>
          <a:off x="4853698" y="4316402"/>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alibri" panose="020F0502020204030204"/>
              <a:ea typeface="+mn-ea"/>
              <a:cs typeface="+mn-cs"/>
            </a:rPr>
            <a:t>Company issues</a:t>
          </a:r>
          <a:endParaRPr lang="x-none" sz="1200" kern="1200">
            <a:solidFill>
              <a:sysClr val="windowText" lastClr="000000"/>
            </a:solidFill>
            <a:latin typeface="Calibri" panose="020F0502020204030204"/>
            <a:ea typeface="+mn-ea"/>
            <a:cs typeface="+mn-cs"/>
          </a:endParaRPr>
        </a:p>
      </dsp:txBody>
      <dsp:txXfrm>
        <a:off x="4870609" y="4333313"/>
        <a:ext cx="1120933" cy="543555"/>
      </dsp:txXfrm>
    </dsp:sp>
    <dsp:sp modelId="{0B8740F0-03C2-4CD8-BDB8-1C9CC3B0F550}">
      <dsp:nvSpPr>
        <dsp:cNvPr id="0" name=""/>
        <dsp:cNvSpPr/>
      </dsp:nvSpPr>
      <dsp:spPr>
        <a:xfrm rot="3310531">
          <a:off x="2601667" y="4928261"/>
          <a:ext cx="808844" cy="17644"/>
        </a:xfrm>
        <a:custGeom>
          <a:avLst/>
          <a:gdLst/>
          <a:ahLst/>
          <a:cxnLst/>
          <a:rect l="0" t="0" r="0" b="0"/>
          <a:pathLst>
            <a:path>
              <a:moveTo>
                <a:pt x="0" y="8822"/>
              </a:moveTo>
              <a:lnTo>
                <a:pt x="808844" y="88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x-none" sz="500" kern="1200">
            <a:solidFill>
              <a:sysClr val="windowText" lastClr="000000">
                <a:hueOff val="0"/>
                <a:satOff val="0"/>
                <a:lumOff val="0"/>
                <a:alphaOff val="0"/>
              </a:sysClr>
            </a:solidFill>
            <a:latin typeface="Calibri" panose="020F0502020204030204"/>
            <a:ea typeface="+mn-ea"/>
            <a:cs typeface="+mn-cs"/>
          </a:endParaRPr>
        </a:p>
      </dsp:txBody>
      <dsp:txXfrm>
        <a:off x="3011141" y="4908936"/>
        <a:ext cx="0" cy="0"/>
      </dsp:txXfrm>
    </dsp:sp>
    <dsp:sp modelId="{3A3FC53C-81EE-4678-BBD9-81D3B2EC30D4}">
      <dsp:nvSpPr>
        <dsp:cNvPr id="0" name=""/>
        <dsp:cNvSpPr/>
      </dsp:nvSpPr>
      <dsp:spPr>
        <a:xfrm>
          <a:off x="3237041" y="4980386"/>
          <a:ext cx="1154755" cy="577377"/>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panose="020F0502020204030204"/>
              <a:ea typeface="+mn-ea"/>
              <a:cs typeface="+mn-cs"/>
            </a:rPr>
            <a:t>Poor organisational set up</a:t>
          </a:r>
          <a:endParaRPr lang="x-none" sz="1200" kern="1200">
            <a:solidFill>
              <a:sysClr val="windowText" lastClr="000000"/>
            </a:solidFill>
            <a:latin typeface="Calibri" panose="020F0502020204030204"/>
            <a:ea typeface="+mn-ea"/>
            <a:cs typeface="+mn-cs"/>
          </a:endParaRPr>
        </a:p>
      </dsp:txBody>
      <dsp:txXfrm>
        <a:off x="3253952" y="4997297"/>
        <a:ext cx="1120933" cy="54355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66</Pages>
  <Words>17943</Words>
  <Characters>102280</Characters>
  <Application>Microsoft Office Word</Application>
  <DocSecurity>0</DocSecurity>
  <Lines>852</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Fisher</dc:creator>
  <cp:keywords/>
  <dc:description/>
  <cp:lastModifiedBy>Adam Fisher</cp:lastModifiedBy>
  <cp:revision>3</cp:revision>
  <cp:lastPrinted>2024-05-01T16:24:00Z</cp:lastPrinted>
  <dcterms:created xsi:type="dcterms:W3CDTF">2024-05-03T21:20:00Z</dcterms:created>
  <dcterms:modified xsi:type="dcterms:W3CDTF">2024-05-03T21:23:00Z</dcterms:modified>
</cp:coreProperties>
</file>