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F2F82" w14:textId="563DAFB7" w:rsidR="008A178A" w:rsidRDefault="72AA4E23" w:rsidP="78D3B1AA">
      <w:pPr>
        <w:pStyle w:val="Heading2"/>
        <w:spacing w:before="150" w:after="75"/>
        <w:jc w:val="center"/>
        <w:rPr>
          <w:rFonts w:ascii="Arial" w:eastAsia="Arial" w:hAnsi="Arial" w:cs="Arial"/>
          <w:b/>
          <w:bCs/>
          <w:color w:val="003087"/>
          <w:sz w:val="30"/>
          <w:szCs w:val="30"/>
        </w:rPr>
      </w:pPr>
      <w:proofErr w:type="spellStart"/>
      <w:r w:rsidRPr="78D3B1AA">
        <w:rPr>
          <w:rFonts w:ascii="Arial" w:eastAsia="Arial" w:hAnsi="Arial" w:cs="Arial"/>
          <w:b/>
          <w:bCs/>
          <w:color w:val="003087"/>
          <w:sz w:val="30"/>
          <w:szCs w:val="30"/>
        </w:rPr>
        <w:t>Prifysgol</w:t>
      </w:r>
      <w:proofErr w:type="spellEnd"/>
      <w:r w:rsidRPr="78D3B1AA">
        <w:rPr>
          <w:rFonts w:ascii="Arial" w:eastAsia="Arial" w:hAnsi="Arial" w:cs="Arial"/>
          <w:b/>
          <w:bCs/>
          <w:color w:val="003087"/>
          <w:sz w:val="30"/>
          <w:szCs w:val="30"/>
        </w:rPr>
        <w:t xml:space="preserve"> </w:t>
      </w:r>
      <w:proofErr w:type="spellStart"/>
      <w:r w:rsidRPr="78D3B1AA">
        <w:rPr>
          <w:rFonts w:ascii="Arial" w:eastAsia="Arial" w:hAnsi="Arial" w:cs="Arial"/>
          <w:b/>
          <w:bCs/>
          <w:color w:val="003087"/>
          <w:sz w:val="30"/>
          <w:szCs w:val="30"/>
        </w:rPr>
        <w:t>Cymru</w:t>
      </w:r>
      <w:proofErr w:type="spellEnd"/>
      <w:r w:rsidRPr="78D3B1AA">
        <w:rPr>
          <w:rFonts w:ascii="Arial" w:eastAsia="Arial" w:hAnsi="Arial" w:cs="Arial"/>
          <w:b/>
          <w:bCs/>
          <w:color w:val="003087"/>
          <w:sz w:val="30"/>
          <w:szCs w:val="30"/>
        </w:rPr>
        <w:t xml:space="preserve"> Y </w:t>
      </w:r>
      <w:proofErr w:type="spellStart"/>
      <w:r w:rsidRPr="78D3B1AA">
        <w:rPr>
          <w:rFonts w:ascii="Arial" w:eastAsia="Arial" w:hAnsi="Arial" w:cs="Arial"/>
          <w:b/>
          <w:bCs/>
          <w:color w:val="003087"/>
          <w:sz w:val="30"/>
          <w:szCs w:val="30"/>
        </w:rPr>
        <w:t>Drindod</w:t>
      </w:r>
      <w:proofErr w:type="spellEnd"/>
      <w:r w:rsidRPr="78D3B1AA">
        <w:rPr>
          <w:rFonts w:ascii="Arial" w:eastAsia="Arial" w:hAnsi="Arial" w:cs="Arial"/>
          <w:b/>
          <w:bCs/>
          <w:color w:val="003087"/>
          <w:sz w:val="30"/>
          <w:szCs w:val="30"/>
        </w:rPr>
        <w:t xml:space="preserve"> </w:t>
      </w:r>
      <w:proofErr w:type="spellStart"/>
      <w:r w:rsidRPr="78D3B1AA">
        <w:rPr>
          <w:rFonts w:ascii="Arial" w:eastAsia="Arial" w:hAnsi="Arial" w:cs="Arial"/>
          <w:b/>
          <w:bCs/>
          <w:color w:val="003087"/>
          <w:sz w:val="30"/>
          <w:szCs w:val="30"/>
        </w:rPr>
        <w:t>Dewi</w:t>
      </w:r>
      <w:proofErr w:type="spellEnd"/>
      <w:r w:rsidRPr="78D3B1AA">
        <w:rPr>
          <w:rFonts w:ascii="Arial" w:eastAsia="Arial" w:hAnsi="Arial" w:cs="Arial"/>
          <w:b/>
          <w:bCs/>
          <w:color w:val="003087"/>
          <w:sz w:val="30"/>
          <w:szCs w:val="30"/>
        </w:rPr>
        <w:t xml:space="preserve"> </w:t>
      </w:r>
      <w:proofErr w:type="spellStart"/>
      <w:r w:rsidRPr="78D3B1AA">
        <w:rPr>
          <w:rFonts w:ascii="Arial" w:eastAsia="Arial" w:hAnsi="Arial" w:cs="Arial"/>
          <w:b/>
          <w:bCs/>
          <w:color w:val="003087"/>
          <w:sz w:val="30"/>
          <w:szCs w:val="30"/>
        </w:rPr>
        <w:t>Sant</w:t>
      </w:r>
      <w:proofErr w:type="spellEnd"/>
    </w:p>
    <w:p w14:paraId="1BDF3E5E" w14:textId="1B8F00C4" w:rsidR="008A178A" w:rsidRDefault="72AA4E23" w:rsidP="78D3B1AA">
      <w:pPr>
        <w:pStyle w:val="Heading2"/>
        <w:spacing w:before="0" w:after="0"/>
        <w:jc w:val="center"/>
        <w:rPr>
          <w:rFonts w:ascii="Arial" w:eastAsia="Arial" w:hAnsi="Arial" w:cs="Arial"/>
          <w:b/>
          <w:bCs/>
          <w:color w:val="003087"/>
          <w:sz w:val="36"/>
          <w:szCs w:val="36"/>
        </w:rPr>
      </w:pPr>
      <w:r w:rsidRPr="78D3B1AA">
        <w:rPr>
          <w:rFonts w:ascii="Arial" w:eastAsia="Arial" w:hAnsi="Arial" w:cs="Arial"/>
          <w:b/>
          <w:bCs/>
          <w:color w:val="003087"/>
          <w:sz w:val="36"/>
          <w:szCs w:val="36"/>
        </w:rPr>
        <w:t>University of Wales Trinity Saint David</w:t>
      </w:r>
    </w:p>
    <w:p w14:paraId="52714628" w14:textId="2E1C6D33" w:rsidR="008A178A" w:rsidRDefault="008A178A" w:rsidP="78D3B1AA">
      <w:pPr>
        <w:rPr>
          <w:rFonts w:ascii="Arial" w:eastAsia="Arial" w:hAnsi="Arial" w:cs="Arial"/>
        </w:rPr>
      </w:pPr>
    </w:p>
    <w:p w14:paraId="5776A36F" w14:textId="760B5F9E" w:rsidR="008A178A" w:rsidRDefault="008A178A" w:rsidP="78D3B1AA">
      <w:pPr>
        <w:spacing w:after="0"/>
        <w:ind w:left="900" w:right="900"/>
        <w:jc w:val="center"/>
        <w:rPr>
          <w:rFonts w:ascii="Arial" w:eastAsia="Arial" w:hAnsi="Arial" w:cs="Arial"/>
          <w:b/>
          <w:bCs/>
          <w:color w:val="0053A6"/>
          <w:sz w:val="27"/>
          <w:szCs w:val="27"/>
        </w:rPr>
      </w:pPr>
    </w:p>
    <w:p w14:paraId="50DAE58B" w14:textId="4E320826" w:rsidR="008A178A" w:rsidRDefault="72AA4E23" w:rsidP="78D3B1AA">
      <w:pPr>
        <w:spacing w:after="0"/>
        <w:ind w:left="900" w:right="900"/>
        <w:jc w:val="center"/>
        <w:rPr>
          <w:rFonts w:ascii="Arial" w:eastAsia="Arial" w:hAnsi="Arial" w:cs="Arial"/>
          <w:color w:val="0053A6"/>
          <w:sz w:val="27"/>
          <w:szCs w:val="27"/>
        </w:rPr>
      </w:pPr>
      <w:proofErr w:type="spellStart"/>
      <w:r w:rsidRPr="78D3B1AA">
        <w:rPr>
          <w:rFonts w:ascii="Arial" w:eastAsia="Arial" w:hAnsi="Arial" w:cs="Arial"/>
          <w:b/>
          <w:bCs/>
          <w:color w:val="0053A6"/>
          <w:sz w:val="27"/>
          <w:szCs w:val="27"/>
        </w:rPr>
        <w:t>Programme</w:t>
      </w:r>
      <w:proofErr w:type="spellEnd"/>
      <w:r w:rsidRPr="78D3B1AA">
        <w:rPr>
          <w:rFonts w:ascii="Arial" w:eastAsia="Arial" w:hAnsi="Arial" w:cs="Arial"/>
          <w:b/>
          <w:bCs/>
          <w:color w:val="0053A6"/>
          <w:sz w:val="27"/>
          <w:szCs w:val="27"/>
        </w:rPr>
        <w:t>:</w:t>
      </w:r>
      <w:r w:rsidRPr="78D3B1AA">
        <w:rPr>
          <w:rFonts w:ascii="Arial" w:eastAsia="Arial" w:hAnsi="Arial" w:cs="Arial"/>
          <w:color w:val="0053A6"/>
          <w:sz w:val="27"/>
          <w:szCs w:val="27"/>
        </w:rPr>
        <w:t xml:space="preserve"> Master of Business Administration</w:t>
      </w:r>
    </w:p>
    <w:p w14:paraId="1B8FE153" w14:textId="5F0E60B2" w:rsidR="008A178A" w:rsidRDefault="72AA4E23" w:rsidP="78D3B1AA">
      <w:pPr>
        <w:spacing w:after="0"/>
        <w:ind w:left="900" w:right="900"/>
        <w:jc w:val="center"/>
        <w:rPr>
          <w:rFonts w:ascii="Arial" w:eastAsia="Arial" w:hAnsi="Arial" w:cs="Arial"/>
          <w:color w:val="0053A6"/>
          <w:sz w:val="27"/>
          <w:szCs w:val="27"/>
        </w:rPr>
      </w:pPr>
      <w:r w:rsidRPr="78D3B1AA">
        <w:rPr>
          <w:rFonts w:ascii="Arial" w:eastAsia="Arial" w:hAnsi="Arial" w:cs="Arial"/>
          <w:b/>
          <w:bCs/>
          <w:color w:val="0053A6"/>
          <w:sz w:val="27"/>
          <w:szCs w:val="27"/>
        </w:rPr>
        <w:t>Module:</w:t>
      </w:r>
      <w:r w:rsidRPr="78D3B1AA">
        <w:rPr>
          <w:rFonts w:ascii="Arial" w:eastAsia="Arial" w:hAnsi="Arial" w:cs="Arial"/>
          <w:color w:val="0053A6"/>
          <w:sz w:val="27"/>
          <w:szCs w:val="27"/>
        </w:rPr>
        <w:t xml:space="preserve"> Human Capital Management (LCMB7023)</w:t>
      </w:r>
    </w:p>
    <w:p w14:paraId="2E2AAD81" w14:textId="14E0FBEA" w:rsidR="008A178A" w:rsidRDefault="72AA4E23" w:rsidP="78D3B1AA">
      <w:pPr>
        <w:spacing w:after="0"/>
        <w:ind w:left="900" w:right="900"/>
        <w:jc w:val="center"/>
        <w:rPr>
          <w:rFonts w:ascii="Arial" w:eastAsia="Arial" w:hAnsi="Arial" w:cs="Arial"/>
          <w:color w:val="0053A6"/>
          <w:sz w:val="27"/>
          <w:szCs w:val="27"/>
        </w:rPr>
      </w:pPr>
      <w:r w:rsidRPr="78D3B1AA">
        <w:rPr>
          <w:rFonts w:ascii="Arial" w:eastAsia="Arial" w:hAnsi="Arial" w:cs="Arial"/>
          <w:color w:val="0053A6"/>
          <w:sz w:val="27"/>
          <w:szCs w:val="27"/>
        </w:rPr>
        <w:t>Assessment Component 1: Individual Report</w:t>
      </w:r>
    </w:p>
    <w:p w14:paraId="4D9363BA" w14:textId="69E60CE9" w:rsidR="008A178A" w:rsidRDefault="008A178A" w:rsidP="78D3B1AA">
      <w:pPr>
        <w:spacing w:after="0"/>
        <w:ind w:left="900" w:right="900"/>
        <w:jc w:val="center"/>
        <w:rPr>
          <w:rFonts w:ascii="Arial" w:eastAsia="Arial" w:hAnsi="Arial" w:cs="Arial"/>
          <w:color w:val="0053A6"/>
          <w:sz w:val="27"/>
          <w:szCs w:val="27"/>
        </w:rPr>
      </w:pPr>
    </w:p>
    <w:p w14:paraId="1C733A83" w14:textId="120C3063" w:rsidR="008A178A" w:rsidRDefault="008A178A" w:rsidP="78D3B1AA">
      <w:pPr>
        <w:pStyle w:val="Heading1"/>
        <w:spacing w:before="0" w:after="0"/>
        <w:jc w:val="center"/>
        <w:rPr>
          <w:rFonts w:ascii="Arial" w:eastAsia="Arial" w:hAnsi="Arial" w:cs="Arial"/>
          <w:b/>
          <w:bCs/>
          <w:color w:val="003087"/>
          <w:sz w:val="33"/>
          <w:szCs w:val="33"/>
        </w:rPr>
      </w:pPr>
    </w:p>
    <w:p w14:paraId="435388C6" w14:textId="435E4A3A" w:rsidR="008A178A" w:rsidRDefault="72AA4E23" w:rsidP="78D3B1AA">
      <w:pPr>
        <w:pStyle w:val="Heading1"/>
        <w:spacing w:before="0" w:after="0"/>
        <w:jc w:val="center"/>
        <w:rPr>
          <w:rFonts w:ascii="Arial" w:eastAsia="Arial" w:hAnsi="Arial" w:cs="Arial"/>
          <w:b/>
          <w:bCs/>
          <w:color w:val="003087"/>
          <w:sz w:val="33"/>
          <w:szCs w:val="33"/>
        </w:rPr>
      </w:pPr>
      <w:r w:rsidRPr="78D3B1AA">
        <w:rPr>
          <w:rFonts w:ascii="Arial" w:eastAsia="Arial" w:hAnsi="Arial" w:cs="Arial"/>
          <w:b/>
          <w:bCs/>
          <w:color w:val="003087"/>
          <w:sz w:val="33"/>
          <w:szCs w:val="33"/>
        </w:rPr>
        <w:t xml:space="preserve">The Influence of National and International </w:t>
      </w:r>
      <w:proofErr w:type="spellStart"/>
      <w:r w:rsidRPr="78D3B1AA">
        <w:rPr>
          <w:rFonts w:ascii="Arial" w:eastAsia="Arial" w:hAnsi="Arial" w:cs="Arial"/>
          <w:b/>
          <w:bCs/>
          <w:color w:val="003087"/>
          <w:sz w:val="33"/>
          <w:szCs w:val="33"/>
        </w:rPr>
        <w:t>Labour</w:t>
      </w:r>
      <w:proofErr w:type="spellEnd"/>
      <w:r w:rsidRPr="78D3B1AA">
        <w:rPr>
          <w:rFonts w:ascii="Arial" w:eastAsia="Arial" w:hAnsi="Arial" w:cs="Arial"/>
          <w:b/>
          <w:bCs/>
          <w:color w:val="003087"/>
          <w:sz w:val="33"/>
          <w:szCs w:val="33"/>
        </w:rPr>
        <w:t xml:space="preserve"> Markets on HRM and IHRM Strategies: A Critical Analysis and Personal Reflection</w:t>
      </w:r>
    </w:p>
    <w:p w14:paraId="1D880EDF" w14:textId="0BAE958F" w:rsidR="008A178A" w:rsidRDefault="008A178A" w:rsidP="78D3B1AA">
      <w:pPr>
        <w:rPr>
          <w:rFonts w:ascii="Arial" w:eastAsia="Arial" w:hAnsi="Arial" w:cs="Arial"/>
        </w:rPr>
      </w:pPr>
    </w:p>
    <w:p w14:paraId="0E0D9F4E" w14:textId="60467128" w:rsidR="008A178A" w:rsidRDefault="008A178A" w:rsidP="78D3B1AA">
      <w:pPr>
        <w:rPr>
          <w:rFonts w:ascii="Arial" w:eastAsia="Arial" w:hAnsi="Arial" w:cs="Arial"/>
        </w:rPr>
      </w:pPr>
    </w:p>
    <w:p w14:paraId="4479CC96" w14:textId="3009DE72" w:rsidR="008A178A" w:rsidRDefault="008A178A" w:rsidP="78D3B1AA">
      <w:pPr>
        <w:rPr>
          <w:rFonts w:ascii="Arial" w:eastAsia="Arial" w:hAnsi="Arial" w:cs="Arial"/>
        </w:rPr>
      </w:pPr>
    </w:p>
    <w:tbl>
      <w:tblPr>
        <w:tblW w:w="0" w:type="auto"/>
        <w:tblLayout w:type="fixed"/>
        <w:tblLook w:val="06A0" w:firstRow="1" w:lastRow="0" w:firstColumn="1" w:lastColumn="0" w:noHBand="1" w:noVBand="1"/>
      </w:tblPr>
      <w:tblGrid>
        <w:gridCol w:w="3000"/>
        <w:gridCol w:w="3900"/>
      </w:tblGrid>
      <w:tr w:rsidR="78D3B1AA" w14:paraId="36BE1EB9" w14:textId="77777777" w:rsidTr="78D3B1AA">
        <w:trPr>
          <w:trHeight w:val="300"/>
        </w:trPr>
        <w:tc>
          <w:tcPr>
            <w:tcW w:w="3000" w:type="dxa"/>
            <w:tcMar>
              <w:top w:w="150" w:type="dxa"/>
              <w:left w:w="225" w:type="dxa"/>
              <w:bottom w:w="150" w:type="dxa"/>
              <w:right w:w="225" w:type="dxa"/>
            </w:tcMar>
          </w:tcPr>
          <w:p w14:paraId="0D41EA1B" w14:textId="1D9E578D" w:rsidR="78D3B1AA" w:rsidRDefault="78D3B1AA" w:rsidP="78D3B1AA">
            <w:pPr>
              <w:spacing w:after="0"/>
              <w:rPr>
                <w:rFonts w:ascii="Arial" w:eastAsia="Arial" w:hAnsi="Arial" w:cs="Arial"/>
                <w:b/>
                <w:bCs/>
                <w:color w:val="003087"/>
              </w:rPr>
            </w:pPr>
            <w:r w:rsidRPr="78D3B1AA">
              <w:rPr>
                <w:rFonts w:ascii="Arial" w:eastAsia="Arial" w:hAnsi="Arial" w:cs="Arial"/>
                <w:b/>
                <w:bCs/>
                <w:color w:val="003087"/>
              </w:rPr>
              <w:t>Student Name:</w:t>
            </w:r>
          </w:p>
        </w:tc>
        <w:tc>
          <w:tcPr>
            <w:tcW w:w="3900" w:type="dxa"/>
            <w:tcMar>
              <w:top w:w="150" w:type="dxa"/>
              <w:left w:w="225" w:type="dxa"/>
              <w:bottom w:w="150" w:type="dxa"/>
              <w:right w:w="225" w:type="dxa"/>
            </w:tcMar>
          </w:tcPr>
          <w:p w14:paraId="0E9AE397" w14:textId="6B981BF6" w:rsidR="78D3B1AA" w:rsidRDefault="00D37EBD" w:rsidP="78D3B1AA">
            <w:pPr>
              <w:spacing w:after="0"/>
              <w:rPr>
                <w:rFonts w:ascii="Arial" w:eastAsia="Arial" w:hAnsi="Arial" w:cs="Arial"/>
                <w:color w:val="333333"/>
              </w:rPr>
            </w:pPr>
            <w:r>
              <w:rPr>
                <w:rFonts w:ascii="Arial" w:eastAsia="Arial" w:hAnsi="Arial" w:cs="Arial"/>
                <w:color w:val="333333"/>
              </w:rPr>
              <w:t xml:space="preserve">Jahangir </w:t>
            </w:r>
            <w:proofErr w:type="spellStart"/>
            <w:r>
              <w:rPr>
                <w:rFonts w:ascii="Arial" w:eastAsia="Arial" w:hAnsi="Arial" w:cs="Arial"/>
                <w:color w:val="333333"/>
              </w:rPr>
              <w:t>khalaj</w:t>
            </w:r>
            <w:proofErr w:type="spellEnd"/>
            <w:r>
              <w:rPr>
                <w:rFonts w:ascii="Arial" w:eastAsia="Arial" w:hAnsi="Arial" w:cs="Arial"/>
                <w:color w:val="333333"/>
              </w:rPr>
              <w:t xml:space="preserve"> </w:t>
            </w:r>
            <w:proofErr w:type="spellStart"/>
            <w:r>
              <w:rPr>
                <w:rFonts w:ascii="Arial" w:eastAsia="Arial" w:hAnsi="Arial" w:cs="Arial"/>
                <w:color w:val="333333"/>
              </w:rPr>
              <w:t>savojbolagh</w:t>
            </w:r>
            <w:proofErr w:type="spellEnd"/>
            <w:r>
              <w:rPr>
                <w:rFonts w:ascii="Arial" w:eastAsia="Arial" w:hAnsi="Arial" w:cs="Arial"/>
                <w:color w:val="333333"/>
              </w:rPr>
              <w:t xml:space="preserve"> </w:t>
            </w:r>
          </w:p>
        </w:tc>
      </w:tr>
      <w:tr w:rsidR="78D3B1AA" w14:paraId="50B5974B" w14:textId="77777777" w:rsidTr="78D3B1AA">
        <w:trPr>
          <w:trHeight w:val="300"/>
        </w:trPr>
        <w:tc>
          <w:tcPr>
            <w:tcW w:w="3000" w:type="dxa"/>
            <w:tcMar>
              <w:top w:w="150" w:type="dxa"/>
              <w:left w:w="225" w:type="dxa"/>
              <w:bottom w:w="150" w:type="dxa"/>
              <w:right w:w="225" w:type="dxa"/>
            </w:tcMar>
          </w:tcPr>
          <w:p w14:paraId="321A30B1" w14:textId="223E1768" w:rsidR="78D3B1AA" w:rsidRDefault="78D3B1AA" w:rsidP="78D3B1AA">
            <w:pPr>
              <w:spacing w:after="0"/>
              <w:rPr>
                <w:rFonts w:ascii="Arial" w:eastAsia="Arial" w:hAnsi="Arial" w:cs="Arial"/>
                <w:b/>
                <w:bCs/>
                <w:color w:val="003087"/>
              </w:rPr>
            </w:pPr>
            <w:r w:rsidRPr="78D3B1AA">
              <w:rPr>
                <w:rFonts w:ascii="Arial" w:eastAsia="Arial" w:hAnsi="Arial" w:cs="Arial"/>
                <w:b/>
                <w:bCs/>
                <w:color w:val="003087"/>
              </w:rPr>
              <w:t>Student ID Number:</w:t>
            </w:r>
          </w:p>
        </w:tc>
        <w:tc>
          <w:tcPr>
            <w:tcW w:w="3900" w:type="dxa"/>
            <w:tcMar>
              <w:top w:w="150" w:type="dxa"/>
              <w:left w:w="225" w:type="dxa"/>
              <w:bottom w:w="150" w:type="dxa"/>
              <w:right w:w="225" w:type="dxa"/>
            </w:tcMar>
          </w:tcPr>
          <w:p w14:paraId="18F11117" w14:textId="77777777" w:rsidR="78D3B1AA" w:rsidRDefault="00D37EBD" w:rsidP="78D3B1AA">
            <w:pPr>
              <w:spacing w:after="0"/>
              <w:rPr>
                <w:rFonts w:ascii="Arial" w:eastAsia="Arial" w:hAnsi="Arial" w:cs="Arial"/>
                <w:color w:val="333333"/>
              </w:rPr>
            </w:pPr>
            <w:r>
              <w:rPr>
                <w:rFonts w:ascii="Arial" w:eastAsia="Arial" w:hAnsi="Arial" w:cs="Arial"/>
                <w:color w:val="333333"/>
              </w:rPr>
              <w:t>2109914</w:t>
            </w:r>
          </w:p>
          <w:p w14:paraId="116CF6D9" w14:textId="4934DE53" w:rsidR="009B3FF3" w:rsidRDefault="009B3FF3" w:rsidP="78D3B1AA">
            <w:pPr>
              <w:spacing w:after="0"/>
              <w:rPr>
                <w:rFonts w:ascii="Arial" w:eastAsia="Arial" w:hAnsi="Arial" w:cs="Arial"/>
                <w:color w:val="333333"/>
              </w:rPr>
            </w:pPr>
          </w:p>
        </w:tc>
      </w:tr>
      <w:tr w:rsidR="78D3B1AA" w14:paraId="5981EDFD" w14:textId="77777777" w:rsidTr="78D3B1AA">
        <w:trPr>
          <w:trHeight w:val="300"/>
        </w:trPr>
        <w:tc>
          <w:tcPr>
            <w:tcW w:w="3000" w:type="dxa"/>
            <w:tcMar>
              <w:top w:w="150" w:type="dxa"/>
              <w:left w:w="225" w:type="dxa"/>
              <w:bottom w:w="150" w:type="dxa"/>
              <w:right w:w="225" w:type="dxa"/>
            </w:tcMar>
          </w:tcPr>
          <w:p w14:paraId="1E8AF798" w14:textId="26956FC2" w:rsidR="78D3B1AA" w:rsidRDefault="78D3B1AA" w:rsidP="78D3B1AA">
            <w:pPr>
              <w:spacing w:after="0"/>
              <w:rPr>
                <w:rFonts w:ascii="Arial" w:eastAsia="Arial" w:hAnsi="Arial" w:cs="Arial"/>
                <w:b/>
                <w:bCs/>
                <w:color w:val="003087"/>
              </w:rPr>
            </w:pPr>
            <w:r w:rsidRPr="78D3B1AA">
              <w:rPr>
                <w:rFonts w:ascii="Arial" w:eastAsia="Arial" w:hAnsi="Arial" w:cs="Arial"/>
                <w:b/>
                <w:bCs/>
                <w:color w:val="003087"/>
              </w:rPr>
              <w:t>Lecturer:</w:t>
            </w:r>
          </w:p>
        </w:tc>
        <w:tc>
          <w:tcPr>
            <w:tcW w:w="3900" w:type="dxa"/>
            <w:tcMar>
              <w:top w:w="150" w:type="dxa"/>
              <w:left w:w="225" w:type="dxa"/>
              <w:bottom w:w="150" w:type="dxa"/>
              <w:right w:w="225" w:type="dxa"/>
            </w:tcMar>
          </w:tcPr>
          <w:p w14:paraId="31F4D6F0" w14:textId="49F170AC" w:rsidR="78D3B1AA" w:rsidRDefault="78D3B1AA" w:rsidP="78D3B1AA">
            <w:pPr>
              <w:spacing w:after="0"/>
              <w:rPr>
                <w:rFonts w:ascii="Arial" w:eastAsia="Arial" w:hAnsi="Arial" w:cs="Arial"/>
                <w:color w:val="333333"/>
              </w:rPr>
            </w:pPr>
            <w:proofErr w:type="spellStart"/>
            <w:r w:rsidRPr="78D3B1AA">
              <w:rPr>
                <w:rFonts w:ascii="Arial" w:eastAsia="Arial" w:hAnsi="Arial" w:cs="Arial"/>
                <w:color w:val="333333"/>
              </w:rPr>
              <w:t>Ejike</w:t>
            </w:r>
            <w:proofErr w:type="spellEnd"/>
            <w:r w:rsidRPr="78D3B1AA">
              <w:rPr>
                <w:rFonts w:ascii="Arial" w:eastAsia="Arial" w:hAnsi="Arial" w:cs="Arial"/>
                <w:color w:val="333333"/>
              </w:rPr>
              <w:t xml:space="preserve"> </w:t>
            </w:r>
            <w:proofErr w:type="spellStart"/>
            <w:r w:rsidRPr="78D3B1AA">
              <w:rPr>
                <w:rFonts w:ascii="Arial" w:eastAsia="Arial" w:hAnsi="Arial" w:cs="Arial"/>
                <w:color w:val="333333"/>
              </w:rPr>
              <w:t>Udeogu</w:t>
            </w:r>
            <w:proofErr w:type="spellEnd"/>
            <w:r w:rsidRPr="78D3B1AA">
              <w:rPr>
                <w:rFonts w:ascii="Arial" w:eastAsia="Arial" w:hAnsi="Arial" w:cs="Arial"/>
                <w:color w:val="333333"/>
              </w:rPr>
              <w:t xml:space="preserve"> (Birmingham)</w:t>
            </w:r>
          </w:p>
        </w:tc>
      </w:tr>
      <w:tr w:rsidR="78D3B1AA" w14:paraId="01BBBE54" w14:textId="77777777" w:rsidTr="78D3B1AA">
        <w:trPr>
          <w:trHeight w:val="300"/>
        </w:trPr>
        <w:tc>
          <w:tcPr>
            <w:tcW w:w="3000" w:type="dxa"/>
            <w:tcMar>
              <w:top w:w="150" w:type="dxa"/>
              <w:left w:w="225" w:type="dxa"/>
              <w:bottom w:w="150" w:type="dxa"/>
              <w:right w:w="225" w:type="dxa"/>
            </w:tcMar>
          </w:tcPr>
          <w:p w14:paraId="08365A3C" w14:textId="74B1A269" w:rsidR="78D3B1AA" w:rsidRDefault="78D3B1AA" w:rsidP="78D3B1AA">
            <w:pPr>
              <w:spacing w:after="0"/>
              <w:rPr>
                <w:rFonts w:ascii="Arial" w:eastAsia="Arial" w:hAnsi="Arial" w:cs="Arial"/>
                <w:b/>
                <w:bCs/>
                <w:color w:val="003087"/>
              </w:rPr>
            </w:pPr>
            <w:r w:rsidRPr="78D3B1AA">
              <w:rPr>
                <w:rFonts w:ascii="Arial" w:eastAsia="Arial" w:hAnsi="Arial" w:cs="Arial"/>
                <w:b/>
                <w:bCs/>
                <w:color w:val="003087"/>
              </w:rPr>
              <w:t>Word Count:</w:t>
            </w:r>
          </w:p>
        </w:tc>
        <w:tc>
          <w:tcPr>
            <w:tcW w:w="3900" w:type="dxa"/>
            <w:tcMar>
              <w:top w:w="150" w:type="dxa"/>
              <w:left w:w="225" w:type="dxa"/>
              <w:bottom w:w="150" w:type="dxa"/>
              <w:right w:w="225" w:type="dxa"/>
            </w:tcMar>
          </w:tcPr>
          <w:p w14:paraId="72914928" w14:textId="34F5442F" w:rsidR="78D3B1AA" w:rsidRDefault="78D3B1AA" w:rsidP="78D3B1AA">
            <w:pPr>
              <w:spacing w:after="0"/>
              <w:rPr>
                <w:rFonts w:ascii="Arial" w:eastAsia="Arial" w:hAnsi="Arial" w:cs="Arial"/>
                <w:color w:val="333333"/>
              </w:rPr>
            </w:pPr>
            <w:r w:rsidRPr="78D3B1AA">
              <w:rPr>
                <w:rFonts w:ascii="Arial" w:eastAsia="Arial" w:hAnsi="Arial" w:cs="Arial"/>
                <w:color w:val="333333"/>
              </w:rPr>
              <w:t>2,498</w:t>
            </w:r>
          </w:p>
        </w:tc>
      </w:tr>
      <w:tr w:rsidR="78D3B1AA" w14:paraId="2C1075E8" w14:textId="77777777" w:rsidTr="78D3B1AA">
        <w:trPr>
          <w:trHeight w:val="300"/>
        </w:trPr>
        <w:tc>
          <w:tcPr>
            <w:tcW w:w="3000" w:type="dxa"/>
            <w:tcMar>
              <w:top w:w="150" w:type="dxa"/>
              <w:left w:w="225" w:type="dxa"/>
              <w:bottom w:w="150" w:type="dxa"/>
              <w:right w:w="225" w:type="dxa"/>
            </w:tcMar>
          </w:tcPr>
          <w:p w14:paraId="632D55CD" w14:textId="2F173359" w:rsidR="78D3B1AA" w:rsidRDefault="78D3B1AA" w:rsidP="78D3B1AA">
            <w:pPr>
              <w:spacing w:after="0"/>
              <w:rPr>
                <w:rFonts w:ascii="Arial" w:eastAsia="Arial" w:hAnsi="Arial" w:cs="Arial"/>
                <w:b/>
                <w:bCs/>
                <w:color w:val="003087"/>
              </w:rPr>
            </w:pPr>
            <w:r w:rsidRPr="78D3B1AA">
              <w:rPr>
                <w:rFonts w:ascii="Arial" w:eastAsia="Arial" w:hAnsi="Arial" w:cs="Arial"/>
                <w:b/>
                <w:bCs/>
                <w:color w:val="003087"/>
              </w:rPr>
              <w:t>Date of Submission:</w:t>
            </w:r>
          </w:p>
        </w:tc>
        <w:tc>
          <w:tcPr>
            <w:tcW w:w="3900" w:type="dxa"/>
            <w:tcMar>
              <w:top w:w="150" w:type="dxa"/>
              <w:left w:w="225" w:type="dxa"/>
              <w:bottom w:w="150" w:type="dxa"/>
              <w:right w:w="225" w:type="dxa"/>
            </w:tcMar>
          </w:tcPr>
          <w:p w14:paraId="14AB0DC8" w14:textId="5166AA9E" w:rsidR="78D3B1AA" w:rsidRDefault="78D3B1AA" w:rsidP="78D3B1AA">
            <w:pPr>
              <w:spacing w:after="0"/>
              <w:rPr>
                <w:rFonts w:ascii="Arial" w:eastAsia="Arial" w:hAnsi="Arial" w:cs="Arial"/>
                <w:color w:val="333333"/>
              </w:rPr>
            </w:pPr>
            <w:r w:rsidRPr="78D3B1AA">
              <w:rPr>
                <w:rFonts w:ascii="Arial" w:eastAsia="Arial" w:hAnsi="Arial" w:cs="Arial"/>
                <w:color w:val="333333"/>
              </w:rPr>
              <w:t>17th October 2025</w:t>
            </w:r>
          </w:p>
        </w:tc>
      </w:tr>
    </w:tbl>
    <w:p w14:paraId="2C078E63" w14:textId="0C648039" w:rsidR="008A178A" w:rsidRDefault="008A178A" w:rsidP="78D3B1AA">
      <w:pPr>
        <w:spacing w:line="360" w:lineRule="auto"/>
        <w:jc w:val="both"/>
        <w:rPr>
          <w:rFonts w:ascii="Arial" w:eastAsia="Arial" w:hAnsi="Arial" w:cs="Arial"/>
          <w:color w:val="000000" w:themeColor="text1"/>
        </w:rPr>
      </w:pPr>
    </w:p>
    <w:p w14:paraId="4FBD2E95" w14:textId="6DD66D00" w:rsidR="78D3B1AA" w:rsidRDefault="78D3B1AA">
      <w:r>
        <w:br w:type="page"/>
      </w:r>
    </w:p>
    <w:sdt>
      <w:sdtPr>
        <w:id w:val="1558701053"/>
        <w:docPartObj>
          <w:docPartGallery w:val="Table of Contents"/>
          <w:docPartUnique/>
        </w:docPartObj>
      </w:sdtPr>
      <w:sdtEndPr/>
      <w:sdtContent>
        <w:p w14:paraId="7C86CAB6" w14:textId="7A767025" w:rsidR="78D3B1AA" w:rsidRDefault="78D3B1AA" w:rsidP="78D3B1AA">
          <w:pPr>
            <w:pStyle w:val="TOC3"/>
            <w:tabs>
              <w:tab w:val="right" w:leader="dot" w:pos="9360"/>
            </w:tabs>
            <w:rPr>
              <w:rStyle w:val="Hyperlink"/>
            </w:rPr>
          </w:pPr>
          <w:r>
            <w:fldChar w:fldCharType="begin"/>
          </w:r>
          <w:r>
            <w:instrText>TOC \o "1-9" \z \u \h</w:instrText>
          </w:r>
          <w:r>
            <w:fldChar w:fldCharType="separate"/>
          </w:r>
          <w:hyperlink w:anchor="_Toc663272529">
            <w:r w:rsidRPr="78D3B1AA">
              <w:rPr>
                <w:rStyle w:val="Hyperlink"/>
              </w:rPr>
              <w:t>1. Introduction</w:t>
            </w:r>
            <w:r>
              <w:tab/>
            </w:r>
            <w:r>
              <w:fldChar w:fldCharType="begin"/>
            </w:r>
            <w:r>
              <w:instrText>PAGEREF _Toc663272529 \h</w:instrText>
            </w:r>
            <w:r>
              <w:fldChar w:fldCharType="separate"/>
            </w:r>
            <w:r w:rsidRPr="78D3B1AA">
              <w:rPr>
                <w:rStyle w:val="Hyperlink"/>
              </w:rPr>
              <w:t>2</w:t>
            </w:r>
            <w:r>
              <w:fldChar w:fldCharType="end"/>
            </w:r>
          </w:hyperlink>
        </w:p>
        <w:p w14:paraId="0E8C2263" w14:textId="5D4DFA07" w:rsidR="78D3B1AA" w:rsidRDefault="78D3B1AA" w:rsidP="78D3B1AA">
          <w:pPr>
            <w:pStyle w:val="TOC3"/>
            <w:tabs>
              <w:tab w:val="right" w:leader="dot" w:pos="9360"/>
            </w:tabs>
            <w:rPr>
              <w:rStyle w:val="Hyperlink"/>
            </w:rPr>
          </w:pPr>
          <w:hyperlink w:anchor="_Toc225391359">
            <w:r w:rsidRPr="78D3B1AA">
              <w:rPr>
                <w:rStyle w:val="Hyperlink"/>
              </w:rPr>
              <w:t>2. The Reshaping of Labour Markets by Technological Advancements</w:t>
            </w:r>
            <w:r>
              <w:tab/>
            </w:r>
            <w:r>
              <w:fldChar w:fldCharType="begin"/>
            </w:r>
            <w:r>
              <w:instrText>PAGEREF _Toc225391359 \h</w:instrText>
            </w:r>
            <w:r>
              <w:fldChar w:fldCharType="separate"/>
            </w:r>
            <w:r w:rsidRPr="78D3B1AA">
              <w:rPr>
                <w:rStyle w:val="Hyperlink"/>
              </w:rPr>
              <w:t>2</w:t>
            </w:r>
            <w:r>
              <w:fldChar w:fldCharType="end"/>
            </w:r>
          </w:hyperlink>
        </w:p>
        <w:p w14:paraId="4E7342ED" w14:textId="61A10628" w:rsidR="78D3B1AA" w:rsidRDefault="78D3B1AA" w:rsidP="78D3B1AA">
          <w:pPr>
            <w:pStyle w:val="TOC4"/>
            <w:tabs>
              <w:tab w:val="right" w:leader="dot" w:pos="9360"/>
            </w:tabs>
            <w:rPr>
              <w:rStyle w:val="Hyperlink"/>
            </w:rPr>
          </w:pPr>
          <w:hyperlink w:anchor="_Toc1166147023">
            <w:r w:rsidRPr="78D3B1AA">
              <w:rPr>
                <w:rStyle w:val="Hyperlink"/>
              </w:rPr>
              <w:t>2.1 The Double Impact of Automation and AI on Job Roles</w:t>
            </w:r>
            <w:r>
              <w:tab/>
            </w:r>
            <w:r>
              <w:fldChar w:fldCharType="begin"/>
            </w:r>
            <w:r>
              <w:instrText>PAGEREF _Toc1166147023 \h</w:instrText>
            </w:r>
            <w:r>
              <w:fldChar w:fldCharType="separate"/>
            </w:r>
            <w:r w:rsidRPr="78D3B1AA">
              <w:rPr>
                <w:rStyle w:val="Hyperlink"/>
              </w:rPr>
              <w:t>3</w:t>
            </w:r>
            <w:r>
              <w:fldChar w:fldCharType="end"/>
            </w:r>
          </w:hyperlink>
        </w:p>
        <w:p w14:paraId="1A163D47" w14:textId="75B4AD05" w:rsidR="78D3B1AA" w:rsidRDefault="78D3B1AA" w:rsidP="78D3B1AA">
          <w:pPr>
            <w:pStyle w:val="TOC4"/>
            <w:tabs>
              <w:tab w:val="right" w:leader="dot" w:pos="9360"/>
            </w:tabs>
            <w:rPr>
              <w:rStyle w:val="Hyperlink"/>
            </w:rPr>
          </w:pPr>
          <w:hyperlink w:anchor="_Toc570219382">
            <w:r w:rsidRPr="78D3B1AA">
              <w:rPr>
                <w:rStyle w:val="Hyperlink"/>
              </w:rPr>
              <w:t>2.2 Implications of Domestic HRM Strategy</w:t>
            </w:r>
            <w:r>
              <w:tab/>
            </w:r>
            <w:r>
              <w:fldChar w:fldCharType="begin"/>
            </w:r>
            <w:r>
              <w:instrText>PAGEREF _Toc570219382 \h</w:instrText>
            </w:r>
            <w:r>
              <w:fldChar w:fldCharType="separate"/>
            </w:r>
            <w:r w:rsidRPr="78D3B1AA">
              <w:rPr>
                <w:rStyle w:val="Hyperlink"/>
              </w:rPr>
              <w:t>3</w:t>
            </w:r>
            <w:r>
              <w:fldChar w:fldCharType="end"/>
            </w:r>
          </w:hyperlink>
        </w:p>
        <w:p w14:paraId="377D367B" w14:textId="133C10C1" w:rsidR="78D3B1AA" w:rsidRDefault="78D3B1AA" w:rsidP="78D3B1AA">
          <w:pPr>
            <w:pStyle w:val="TOC4"/>
            <w:tabs>
              <w:tab w:val="right" w:leader="dot" w:pos="9360"/>
            </w:tabs>
            <w:rPr>
              <w:rStyle w:val="Hyperlink"/>
            </w:rPr>
          </w:pPr>
          <w:hyperlink w:anchor="_Toc1947911714">
            <w:r w:rsidRPr="78D3B1AA">
              <w:rPr>
                <w:rStyle w:val="Hyperlink"/>
              </w:rPr>
              <w:t>2.3 International IHRM Implications</w:t>
            </w:r>
            <w:r>
              <w:tab/>
            </w:r>
            <w:r>
              <w:fldChar w:fldCharType="begin"/>
            </w:r>
            <w:r>
              <w:instrText>PAGEREF _Toc1947911714 \h</w:instrText>
            </w:r>
            <w:r>
              <w:fldChar w:fldCharType="separate"/>
            </w:r>
            <w:r w:rsidRPr="78D3B1AA">
              <w:rPr>
                <w:rStyle w:val="Hyperlink"/>
              </w:rPr>
              <w:t>4</w:t>
            </w:r>
            <w:r>
              <w:fldChar w:fldCharType="end"/>
            </w:r>
          </w:hyperlink>
        </w:p>
        <w:p w14:paraId="71C0755D" w14:textId="5818E767" w:rsidR="78D3B1AA" w:rsidRDefault="78D3B1AA" w:rsidP="78D3B1AA">
          <w:pPr>
            <w:pStyle w:val="TOC3"/>
            <w:tabs>
              <w:tab w:val="right" w:leader="dot" w:pos="9360"/>
            </w:tabs>
            <w:rPr>
              <w:rStyle w:val="Hyperlink"/>
            </w:rPr>
          </w:pPr>
          <w:hyperlink w:anchor="_Toc461982324">
            <w:r w:rsidRPr="78D3B1AA">
              <w:rPr>
                <w:rStyle w:val="Hyperlink"/>
              </w:rPr>
              <w:t>3. Demographic and Geopolitical Forces of Influence</w:t>
            </w:r>
            <w:r>
              <w:tab/>
            </w:r>
            <w:r>
              <w:fldChar w:fldCharType="begin"/>
            </w:r>
            <w:r>
              <w:instrText>PAGEREF _Toc461982324 \h</w:instrText>
            </w:r>
            <w:r>
              <w:fldChar w:fldCharType="separate"/>
            </w:r>
            <w:r w:rsidRPr="78D3B1AA">
              <w:rPr>
                <w:rStyle w:val="Hyperlink"/>
              </w:rPr>
              <w:t>4</w:t>
            </w:r>
            <w:r>
              <w:fldChar w:fldCharType="end"/>
            </w:r>
          </w:hyperlink>
        </w:p>
        <w:p w14:paraId="53FD471B" w14:textId="04AF0B2F" w:rsidR="78D3B1AA" w:rsidRDefault="78D3B1AA" w:rsidP="78D3B1AA">
          <w:pPr>
            <w:pStyle w:val="TOC4"/>
            <w:tabs>
              <w:tab w:val="right" w:leader="dot" w:pos="9360"/>
            </w:tabs>
            <w:rPr>
              <w:rStyle w:val="Hyperlink"/>
            </w:rPr>
          </w:pPr>
          <w:hyperlink w:anchor="_Toc1368685185">
            <w:r w:rsidRPr="78D3B1AA">
              <w:rPr>
                <w:rStyle w:val="Hyperlink"/>
              </w:rPr>
              <w:t>3.1 Demographic Pressures: Ageing Workforces and Generational Divides</w:t>
            </w:r>
            <w:r>
              <w:tab/>
            </w:r>
            <w:r>
              <w:fldChar w:fldCharType="begin"/>
            </w:r>
            <w:r>
              <w:instrText>PAGEREF _Toc1368685185 \h</w:instrText>
            </w:r>
            <w:r>
              <w:fldChar w:fldCharType="separate"/>
            </w:r>
            <w:r w:rsidRPr="78D3B1AA">
              <w:rPr>
                <w:rStyle w:val="Hyperlink"/>
              </w:rPr>
              <w:t>4</w:t>
            </w:r>
            <w:r>
              <w:fldChar w:fldCharType="end"/>
            </w:r>
          </w:hyperlink>
        </w:p>
        <w:p w14:paraId="727920DD" w14:textId="7600B614" w:rsidR="78D3B1AA" w:rsidRDefault="78D3B1AA" w:rsidP="78D3B1AA">
          <w:pPr>
            <w:pStyle w:val="TOC4"/>
            <w:tabs>
              <w:tab w:val="right" w:leader="dot" w:pos="9360"/>
            </w:tabs>
            <w:rPr>
              <w:rStyle w:val="Hyperlink"/>
            </w:rPr>
          </w:pPr>
          <w:hyperlink w:anchor="_Toc392085341">
            <w:r w:rsidRPr="78D3B1AA">
              <w:rPr>
                <w:rStyle w:val="Hyperlink"/>
              </w:rPr>
              <w:t>3.2 Geopolitical Volatility and its Impact on Global Talent Mobility</w:t>
            </w:r>
            <w:r>
              <w:tab/>
            </w:r>
            <w:r>
              <w:fldChar w:fldCharType="begin"/>
            </w:r>
            <w:r>
              <w:instrText>PAGEREF _Toc392085341 \h</w:instrText>
            </w:r>
            <w:r>
              <w:fldChar w:fldCharType="separate"/>
            </w:r>
            <w:r w:rsidRPr="78D3B1AA">
              <w:rPr>
                <w:rStyle w:val="Hyperlink"/>
              </w:rPr>
              <w:t>5</w:t>
            </w:r>
            <w:r>
              <w:fldChar w:fldCharType="end"/>
            </w:r>
          </w:hyperlink>
        </w:p>
        <w:p w14:paraId="06D01BCB" w14:textId="360BBC2A" w:rsidR="78D3B1AA" w:rsidRDefault="78D3B1AA" w:rsidP="78D3B1AA">
          <w:pPr>
            <w:pStyle w:val="TOC4"/>
            <w:tabs>
              <w:tab w:val="right" w:leader="dot" w:pos="9360"/>
            </w:tabs>
            <w:rPr>
              <w:rStyle w:val="Hyperlink"/>
            </w:rPr>
          </w:pPr>
          <w:hyperlink w:anchor="_Toc1776372582">
            <w:r w:rsidRPr="78D3B1AA">
              <w:rPr>
                <w:rStyle w:val="Hyperlink"/>
              </w:rPr>
              <w:t>3.3 Emerging Challenges to Human Resource Professionals</w:t>
            </w:r>
            <w:r>
              <w:tab/>
            </w:r>
            <w:r>
              <w:fldChar w:fldCharType="begin"/>
            </w:r>
            <w:r>
              <w:instrText>PAGEREF _Toc1776372582 \h</w:instrText>
            </w:r>
            <w:r>
              <w:fldChar w:fldCharType="separate"/>
            </w:r>
            <w:r w:rsidRPr="78D3B1AA">
              <w:rPr>
                <w:rStyle w:val="Hyperlink"/>
              </w:rPr>
              <w:t>5</w:t>
            </w:r>
            <w:r>
              <w:fldChar w:fldCharType="end"/>
            </w:r>
          </w:hyperlink>
        </w:p>
        <w:p w14:paraId="5DBAC09B" w14:textId="66DA5C50" w:rsidR="78D3B1AA" w:rsidRDefault="78D3B1AA" w:rsidP="78D3B1AA">
          <w:pPr>
            <w:pStyle w:val="TOC3"/>
            <w:tabs>
              <w:tab w:val="right" w:leader="dot" w:pos="9360"/>
            </w:tabs>
            <w:rPr>
              <w:rStyle w:val="Hyperlink"/>
            </w:rPr>
          </w:pPr>
          <w:hyperlink w:anchor="_Toc1182993749">
            <w:r w:rsidRPr="78D3B1AA">
              <w:rPr>
                <w:rStyle w:val="Hyperlink"/>
              </w:rPr>
              <w:t>4. Strategic HRM Responses to Skills Shortages and Talent Deficits</w:t>
            </w:r>
            <w:r>
              <w:tab/>
            </w:r>
            <w:r>
              <w:fldChar w:fldCharType="begin"/>
            </w:r>
            <w:r>
              <w:instrText>PAGEREF _Toc1182993749 \h</w:instrText>
            </w:r>
            <w:r>
              <w:fldChar w:fldCharType="separate"/>
            </w:r>
            <w:r w:rsidRPr="78D3B1AA">
              <w:rPr>
                <w:rStyle w:val="Hyperlink"/>
              </w:rPr>
              <w:t>5</w:t>
            </w:r>
            <w:r>
              <w:fldChar w:fldCharType="end"/>
            </w:r>
          </w:hyperlink>
        </w:p>
        <w:p w14:paraId="3CE7D7FF" w14:textId="5745B4BD" w:rsidR="78D3B1AA" w:rsidRDefault="78D3B1AA" w:rsidP="78D3B1AA">
          <w:pPr>
            <w:pStyle w:val="TOC4"/>
            <w:tabs>
              <w:tab w:val="right" w:leader="dot" w:pos="9360"/>
            </w:tabs>
            <w:rPr>
              <w:rStyle w:val="Hyperlink"/>
            </w:rPr>
          </w:pPr>
          <w:hyperlink w:anchor="_Toc1263114048">
            <w:r w:rsidRPr="78D3B1AA">
              <w:rPr>
                <w:rStyle w:val="Hyperlink"/>
              </w:rPr>
              <w:t>4.1 Finding and Anticipating Skills Shortages</w:t>
            </w:r>
            <w:r>
              <w:tab/>
            </w:r>
            <w:r>
              <w:fldChar w:fldCharType="begin"/>
            </w:r>
            <w:r>
              <w:instrText>PAGEREF _Toc1263114048 \h</w:instrText>
            </w:r>
            <w:r>
              <w:fldChar w:fldCharType="separate"/>
            </w:r>
            <w:r w:rsidRPr="78D3B1AA">
              <w:rPr>
                <w:rStyle w:val="Hyperlink"/>
              </w:rPr>
              <w:t>6</w:t>
            </w:r>
            <w:r>
              <w:fldChar w:fldCharType="end"/>
            </w:r>
          </w:hyperlink>
        </w:p>
        <w:p w14:paraId="0E575B78" w14:textId="5065ABDE" w:rsidR="78D3B1AA" w:rsidRDefault="78D3B1AA" w:rsidP="78D3B1AA">
          <w:pPr>
            <w:pStyle w:val="TOC4"/>
            <w:tabs>
              <w:tab w:val="right" w:leader="dot" w:pos="9360"/>
            </w:tabs>
            <w:rPr>
              <w:rStyle w:val="Hyperlink"/>
            </w:rPr>
          </w:pPr>
          <w:hyperlink w:anchor="_Toc1793326389">
            <w:r w:rsidRPr="78D3B1AA">
              <w:rPr>
                <w:rStyle w:val="Hyperlink"/>
              </w:rPr>
              <w:t>4.2 Four-Pronged Strategy: Build, Buy, Borrow, and Bridge</w:t>
            </w:r>
            <w:r>
              <w:tab/>
            </w:r>
            <w:r>
              <w:fldChar w:fldCharType="begin"/>
            </w:r>
            <w:r>
              <w:instrText>PAGEREF _Toc1793326389 \h</w:instrText>
            </w:r>
            <w:r>
              <w:fldChar w:fldCharType="separate"/>
            </w:r>
            <w:r w:rsidRPr="78D3B1AA">
              <w:rPr>
                <w:rStyle w:val="Hyperlink"/>
              </w:rPr>
              <w:t>6</w:t>
            </w:r>
            <w:r>
              <w:fldChar w:fldCharType="end"/>
            </w:r>
          </w:hyperlink>
        </w:p>
        <w:p w14:paraId="169434E9" w14:textId="075F3C1D" w:rsidR="78D3B1AA" w:rsidRDefault="78D3B1AA" w:rsidP="78D3B1AA">
          <w:pPr>
            <w:pStyle w:val="TOC4"/>
            <w:tabs>
              <w:tab w:val="right" w:leader="dot" w:pos="9360"/>
            </w:tabs>
            <w:rPr>
              <w:rStyle w:val="Hyperlink"/>
            </w:rPr>
          </w:pPr>
          <w:hyperlink w:anchor="_Toc1833902854">
            <w:r w:rsidRPr="78D3B1AA">
              <w:rPr>
                <w:rStyle w:val="Hyperlink"/>
              </w:rPr>
              <w:t>4.3 The Learning and Development Culture Imperative</w:t>
            </w:r>
            <w:r>
              <w:tab/>
            </w:r>
            <w:r>
              <w:fldChar w:fldCharType="begin"/>
            </w:r>
            <w:r>
              <w:instrText>PAGEREF _Toc1833902854 \h</w:instrText>
            </w:r>
            <w:r>
              <w:fldChar w:fldCharType="separate"/>
            </w:r>
            <w:r w:rsidRPr="78D3B1AA">
              <w:rPr>
                <w:rStyle w:val="Hyperlink"/>
              </w:rPr>
              <w:t>6</w:t>
            </w:r>
            <w:r>
              <w:fldChar w:fldCharType="end"/>
            </w:r>
          </w:hyperlink>
        </w:p>
        <w:p w14:paraId="471DEA0F" w14:textId="09FCE5EF" w:rsidR="78D3B1AA" w:rsidRDefault="78D3B1AA" w:rsidP="78D3B1AA">
          <w:pPr>
            <w:pStyle w:val="TOC3"/>
            <w:tabs>
              <w:tab w:val="right" w:leader="dot" w:pos="9360"/>
            </w:tabs>
            <w:rPr>
              <w:rStyle w:val="Hyperlink"/>
            </w:rPr>
          </w:pPr>
          <w:hyperlink w:anchor="_Toc428898817">
            <w:r w:rsidRPr="78D3B1AA">
              <w:rPr>
                <w:rStyle w:val="Hyperlink"/>
              </w:rPr>
              <w:t>5. Reflective Report: Preparation for the Globalised, Technology-Based Workplace</w:t>
            </w:r>
            <w:r>
              <w:tab/>
            </w:r>
            <w:r>
              <w:fldChar w:fldCharType="begin"/>
            </w:r>
            <w:r>
              <w:instrText>PAGEREF _Toc428898817 \h</w:instrText>
            </w:r>
            <w:r>
              <w:fldChar w:fldCharType="separate"/>
            </w:r>
            <w:r w:rsidRPr="78D3B1AA">
              <w:rPr>
                <w:rStyle w:val="Hyperlink"/>
              </w:rPr>
              <w:t>7</w:t>
            </w:r>
            <w:r>
              <w:fldChar w:fldCharType="end"/>
            </w:r>
          </w:hyperlink>
        </w:p>
        <w:p w14:paraId="1F970531" w14:textId="4FD7956F" w:rsidR="78D3B1AA" w:rsidRDefault="78D3B1AA" w:rsidP="78D3B1AA">
          <w:pPr>
            <w:pStyle w:val="TOC4"/>
            <w:tabs>
              <w:tab w:val="right" w:leader="dot" w:pos="9360"/>
            </w:tabs>
            <w:rPr>
              <w:rStyle w:val="Hyperlink"/>
            </w:rPr>
          </w:pPr>
          <w:hyperlink w:anchor="_Toc393300696">
            <w:r w:rsidRPr="78D3B1AA">
              <w:rPr>
                <w:rStyle w:val="Hyperlink"/>
              </w:rPr>
              <w:t>5.1 Context for Reflection</w:t>
            </w:r>
            <w:r>
              <w:tab/>
            </w:r>
            <w:r>
              <w:fldChar w:fldCharType="begin"/>
            </w:r>
            <w:r>
              <w:instrText>PAGEREF _Toc393300696 \h</w:instrText>
            </w:r>
            <w:r>
              <w:fldChar w:fldCharType="separate"/>
            </w:r>
            <w:r w:rsidRPr="78D3B1AA">
              <w:rPr>
                <w:rStyle w:val="Hyperlink"/>
              </w:rPr>
              <w:t>7</w:t>
            </w:r>
            <w:r>
              <w:fldChar w:fldCharType="end"/>
            </w:r>
          </w:hyperlink>
        </w:p>
        <w:p w14:paraId="6B3E17BE" w14:textId="6F0FA8E9" w:rsidR="78D3B1AA" w:rsidRDefault="78D3B1AA" w:rsidP="78D3B1AA">
          <w:pPr>
            <w:pStyle w:val="TOC4"/>
            <w:tabs>
              <w:tab w:val="right" w:leader="dot" w:pos="9360"/>
            </w:tabs>
            <w:rPr>
              <w:rStyle w:val="Hyperlink"/>
            </w:rPr>
          </w:pPr>
          <w:hyperlink w:anchor="_Toc516332541">
            <w:r w:rsidRPr="78D3B1AA">
              <w:rPr>
                <w:rStyle w:val="Hyperlink"/>
              </w:rPr>
              <w:t>5.2 Critical Self-Assessment of Core Capabilities</w:t>
            </w:r>
            <w:r>
              <w:tab/>
            </w:r>
            <w:r>
              <w:fldChar w:fldCharType="begin"/>
            </w:r>
            <w:r>
              <w:instrText>PAGEREF _Toc516332541 \h</w:instrText>
            </w:r>
            <w:r>
              <w:fldChar w:fldCharType="separate"/>
            </w:r>
            <w:r w:rsidRPr="78D3B1AA">
              <w:rPr>
                <w:rStyle w:val="Hyperlink"/>
              </w:rPr>
              <w:t>7</w:t>
            </w:r>
            <w:r>
              <w:fldChar w:fldCharType="end"/>
            </w:r>
          </w:hyperlink>
        </w:p>
        <w:p w14:paraId="77E7877F" w14:textId="22382BF7" w:rsidR="78D3B1AA" w:rsidRDefault="78D3B1AA" w:rsidP="78D3B1AA">
          <w:pPr>
            <w:pStyle w:val="TOC4"/>
            <w:tabs>
              <w:tab w:val="right" w:leader="dot" w:pos="9360"/>
            </w:tabs>
            <w:rPr>
              <w:rStyle w:val="Hyperlink"/>
            </w:rPr>
          </w:pPr>
          <w:hyperlink w:anchor="_Toc1479062318">
            <w:r w:rsidRPr="78D3B1AA">
              <w:rPr>
                <w:rStyle w:val="Hyperlink"/>
              </w:rPr>
              <w:t>5.3 A Personal and Professional Development Plan</w:t>
            </w:r>
            <w:r>
              <w:tab/>
            </w:r>
            <w:r>
              <w:fldChar w:fldCharType="begin"/>
            </w:r>
            <w:r>
              <w:instrText>PAGEREF _Toc1479062318 \h</w:instrText>
            </w:r>
            <w:r>
              <w:fldChar w:fldCharType="separate"/>
            </w:r>
            <w:r w:rsidRPr="78D3B1AA">
              <w:rPr>
                <w:rStyle w:val="Hyperlink"/>
              </w:rPr>
              <w:t>9</w:t>
            </w:r>
            <w:r>
              <w:fldChar w:fldCharType="end"/>
            </w:r>
          </w:hyperlink>
        </w:p>
        <w:p w14:paraId="2B53FF86" w14:textId="7E0D9C78" w:rsidR="78D3B1AA" w:rsidRDefault="78D3B1AA" w:rsidP="78D3B1AA">
          <w:pPr>
            <w:pStyle w:val="TOC3"/>
            <w:tabs>
              <w:tab w:val="right" w:leader="dot" w:pos="9360"/>
            </w:tabs>
            <w:rPr>
              <w:rStyle w:val="Hyperlink"/>
            </w:rPr>
          </w:pPr>
          <w:hyperlink w:anchor="_Toc1541539767">
            <w:r w:rsidRPr="78D3B1AA">
              <w:rPr>
                <w:rStyle w:val="Hyperlink"/>
              </w:rPr>
              <w:t>6. Conclusion</w:t>
            </w:r>
            <w:r>
              <w:tab/>
            </w:r>
            <w:r>
              <w:fldChar w:fldCharType="begin"/>
            </w:r>
            <w:r>
              <w:instrText>PAGEREF _Toc1541539767 \h</w:instrText>
            </w:r>
            <w:r>
              <w:fldChar w:fldCharType="separate"/>
            </w:r>
            <w:r w:rsidRPr="78D3B1AA">
              <w:rPr>
                <w:rStyle w:val="Hyperlink"/>
              </w:rPr>
              <w:t>10</w:t>
            </w:r>
            <w:r>
              <w:fldChar w:fldCharType="end"/>
            </w:r>
          </w:hyperlink>
        </w:p>
        <w:p w14:paraId="61C3FA4D" w14:textId="5398DC76" w:rsidR="78D3B1AA" w:rsidRDefault="78D3B1AA" w:rsidP="78D3B1AA">
          <w:pPr>
            <w:pStyle w:val="TOC2"/>
            <w:tabs>
              <w:tab w:val="right" w:leader="dot" w:pos="9360"/>
            </w:tabs>
            <w:rPr>
              <w:rStyle w:val="Hyperlink"/>
            </w:rPr>
          </w:pPr>
          <w:hyperlink w:anchor="_Toc284508229">
            <w:r w:rsidRPr="78D3B1AA">
              <w:rPr>
                <w:rStyle w:val="Hyperlink"/>
              </w:rPr>
              <w:t>References</w:t>
            </w:r>
            <w:r>
              <w:tab/>
            </w:r>
            <w:r>
              <w:fldChar w:fldCharType="begin"/>
            </w:r>
            <w:r>
              <w:instrText>PAGEREF _Toc284508229 \h</w:instrText>
            </w:r>
            <w:r>
              <w:fldChar w:fldCharType="separate"/>
            </w:r>
            <w:r w:rsidRPr="78D3B1AA">
              <w:rPr>
                <w:rStyle w:val="Hyperlink"/>
              </w:rPr>
              <w:t>10</w:t>
            </w:r>
            <w:r>
              <w:fldChar w:fldCharType="end"/>
            </w:r>
          </w:hyperlink>
          <w:r>
            <w:fldChar w:fldCharType="end"/>
          </w:r>
        </w:p>
      </w:sdtContent>
    </w:sdt>
    <w:p w14:paraId="16B05B63" w14:textId="138818B4" w:rsidR="78D3B1AA" w:rsidRDefault="78D3B1AA" w:rsidP="78D3B1AA">
      <w:pPr>
        <w:spacing w:line="360" w:lineRule="auto"/>
        <w:jc w:val="both"/>
        <w:rPr>
          <w:rFonts w:ascii="Arial" w:eastAsia="Arial" w:hAnsi="Arial" w:cs="Arial"/>
          <w:color w:val="000000" w:themeColor="text1"/>
        </w:rPr>
      </w:pPr>
    </w:p>
    <w:p w14:paraId="26C10CC9" w14:textId="38441C36" w:rsidR="78D3B1AA" w:rsidRDefault="78D3B1AA" w:rsidP="78D3B1AA">
      <w:pPr>
        <w:spacing w:line="360" w:lineRule="auto"/>
        <w:jc w:val="both"/>
        <w:rPr>
          <w:rFonts w:ascii="Arial" w:eastAsia="Arial" w:hAnsi="Arial" w:cs="Arial"/>
          <w:color w:val="000000" w:themeColor="text1"/>
        </w:rPr>
      </w:pPr>
    </w:p>
    <w:p w14:paraId="6D01339E" w14:textId="5F9E0E0F" w:rsidR="78D3B1AA" w:rsidRDefault="78D3B1AA">
      <w:r>
        <w:br w:type="page"/>
      </w:r>
    </w:p>
    <w:p w14:paraId="732B4E9B" w14:textId="50C454AC" w:rsidR="78D3B1AA" w:rsidRDefault="78D3B1AA" w:rsidP="78D3B1AA">
      <w:pPr>
        <w:spacing w:line="360" w:lineRule="auto"/>
        <w:jc w:val="both"/>
        <w:rPr>
          <w:rFonts w:ascii="Arial" w:eastAsia="Arial" w:hAnsi="Arial" w:cs="Arial"/>
          <w:color w:val="000000" w:themeColor="text1"/>
        </w:rPr>
      </w:pPr>
    </w:p>
    <w:p w14:paraId="3A3F633E" w14:textId="6F76BECF" w:rsidR="279D2C65" w:rsidRDefault="279D2C65" w:rsidP="78D3B1AA">
      <w:pPr>
        <w:pStyle w:val="Heading3"/>
        <w:spacing w:line="360" w:lineRule="auto"/>
        <w:jc w:val="both"/>
        <w:rPr>
          <w:rFonts w:ascii="Arial" w:eastAsia="Arial" w:hAnsi="Arial" w:cs="Arial"/>
          <w:color w:val="000000" w:themeColor="text1"/>
        </w:rPr>
      </w:pPr>
      <w:bookmarkStart w:id="0" w:name="_Toc663272529"/>
      <w:r w:rsidRPr="78D3B1AA">
        <w:rPr>
          <w:rFonts w:ascii="Arial" w:eastAsia="Arial" w:hAnsi="Arial" w:cs="Arial"/>
          <w:color w:val="000000" w:themeColor="text1"/>
        </w:rPr>
        <w:t>1. Introduction</w:t>
      </w:r>
      <w:bookmarkEnd w:id="0"/>
    </w:p>
    <w:p w14:paraId="7B51A491" w14:textId="7B07DBA7"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The business environment today is characterized by unprecedented change, driven by the confluence of rapid technological progress, underpinning changes in demographics, and rising geopolitical instability. All these forces are effectively transforming national and international </w:t>
      </w:r>
      <w:proofErr w:type="spellStart"/>
      <w:r w:rsidRPr="78D3B1AA">
        <w:rPr>
          <w:rFonts w:ascii="Arial" w:eastAsia="Arial" w:hAnsi="Arial" w:cs="Arial"/>
          <w:color w:val="000000" w:themeColor="text1"/>
        </w:rPr>
        <w:t>labour</w:t>
      </w:r>
      <w:proofErr w:type="spellEnd"/>
      <w:r w:rsidRPr="78D3B1AA">
        <w:rPr>
          <w:rFonts w:ascii="Arial" w:eastAsia="Arial" w:hAnsi="Arial" w:cs="Arial"/>
          <w:color w:val="000000" w:themeColor="text1"/>
        </w:rPr>
        <w:t xml:space="preserve"> markets, presenting complex challenges and strategic imperatives for Human Capital Management (HCM). The traditional functions of Human Resource Management (HRM) and its global equivalent, International Human Resource Management (IHRM), are evolving from administrative functions to strategic partners in </w:t>
      </w:r>
      <w:proofErr w:type="spellStart"/>
      <w:r w:rsidRPr="78D3B1AA">
        <w:rPr>
          <w:rFonts w:ascii="Arial" w:eastAsia="Arial" w:hAnsi="Arial" w:cs="Arial"/>
          <w:color w:val="000000" w:themeColor="text1"/>
        </w:rPr>
        <w:t>organisational</w:t>
      </w:r>
      <w:proofErr w:type="spellEnd"/>
      <w:r w:rsidRPr="78D3B1AA">
        <w:rPr>
          <w:rFonts w:ascii="Arial" w:eastAsia="Arial" w:hAnsi="Arial" w:cs="Arial"/>
          <w:color w:val="000000" w:themeColor="text1"/>
        </w:rPr>
        <w:t xml:space="preserve"> success (</w:t>
      </w:r>
      <w:proofErr w:type="spellStart"/>
      <w:r w:rsidRPr="78D3B1AA">
        <w:rPr>
          <w:rFonts w:ascii="Arial" w:eastAsia="Arial" w:hAnsi="Arial" w:cs="Arial"/>
          <w:color w:val="000000" w:themeColor="text1"/>
        </w:rPr>
        <w:t>Cascio</w:t>
      </w:r>
      <w:proofErr w:type="spellEnd"/>
      <w:r w:rsidRPr="78D3B1AA">
        <w:rPr>
          <w:rFonts w:ascii="Arial" w:eastAsia="Arial" w:hAnsi="Arial" w:cs="Arial"/>
          <w:color w:val="000000" w:themeColor="text1"/>
        </w:rPr>
        <w:t xml:space="preserve"> and Boudreau, 2016). The report that follows includes a critical, research-led examination of these trends.</w:t>
      </w:r>
    </w:p>
    <w:p w14:paraId="49E999B9" w14:textId="4681A378"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The first three sections of this report will critically examine the foremost drivers reforming </w:t>
      </w:r>
      <w:proofErr w:type="spellStart"/>
      <w:r w:rsidRPr="78D3B1AA">
        <w:rPr>
          <w:rFonts w:ascii="Arial" w:eastAsia="Arial" w:hAnsi="Arial" w:cs="Arial"/>
          <w:color w:val="000000" w:themeColor="text1"/>
        </w:rPr>
        <w:t>labour</w:t>
      </w:r>
      <w:proofErr w:type="spellEnd"/>
      <w:r w:rsidRPr="78D3B1AA">
        <w:rPr>
          <w:rFonts w:ascii="Arial" w:eastAsia="Arial" w:hAnsi="Arial" w:cs="Arial"/>
          <w:color w:val="000000" w:themeColor="text1"/>
        </w:rPr>
        <w:t xml:space="preserve"> markets. It will begin by analyzing the effects of technological change, particularly Artificial Intelligence (AI) and automation, on work and necessitating new HRM and IHRM reactions. It will then analyze the effects of fundamental demographic and geopolitical drivers on labor markets and the subsequent implications for HR practitioners. The third section will analyze how organizations can leverage strategic HRM to respond to persistent skill shortages and talent shortages. The last part moves into reflective consideration of my own abilities, analyzing my readiness to operate within this intricate global landscape and proposing a long-term development strategy.</w:t>
      </w:r>
    </w:p>
    <w:p w14:paraId="3F80BB2E" w14:textId="1D68B264" w:rsidR="78D3B1AA" w:rsidRDefault="78D3B1AA" w:rsidP="78D3B1AA">
      <w:pPr>
        <w:spacing w:line="360" w:lineRule="auto"/>
        <w:jc w:val="both"/>
        <w:rPr>
          <w:rFonts w:ascii="Arial" w:eastAsia="Arial" w:hAnsi="Arial" w:cs="Arial"/>
          <w:color w:val="000000" w:themeColor="text1"/>
        </w:rPr>
      </w:pPr>
    </w:p>
    <w:p w14:paraId="229D7BB1" w14:textId="7DD9419C" w:rsidR="279D2C65" w:rsidRDefault="279D2C65" w:rsidP="78D3B1AA">
      <w:pPr>
        <w:pStyle w:val="Heading3"/>
        <w:spacing w:before="281" w:after="281" w:line="360" w:lineRule="auto"/>
        <w:jc w:val="both"/>
        <w:rPr>
          <w:rFonts w:ascii="Arial" w:eastAsia="Arial" w:hAnsi="Arial" w:cs="Arial"/>
          <w:color w:val="000000" w:themeColor="text1"/>
          <w:sz w:val="24"/>
          <w:szCs w:val="24"/>
        </w:rPr>
      </w:pPr>
      <w:bookmarkStart w:id="1" w:name="_Toc225391359"/>
      <w:r w:rsidRPr="78D3B1AA">
        <w:rPr>
          <w:rFonts w:ascii="Arial" w:eastAsia="Arial" w:hAnsi="Arial" w:cs="Arial"/>
          <w:color w:val="000000" w:themeColor="text1"/>
        </w:rPr>
        <w:t xml:space="preserve">2. The Reshaping of </w:t>
      </w:r>
      <w:proofErr w:type="spellStart"/>
      <w:r w:rsidRPr="78D3B1AA">
        <w:rPr>
          <w:rFonts w:ascii="Arial" w:eastAsia="Arial" w:hAnsi="Arial" w:cs="Arial"/>
          <w:color w:val="000000" w:themeColor="text1"/>
        </w:rPr>
        <w:t>Labour</w:t>
      </w:r>
      <w:proofErr w:type="spellEnd"/>
      <w:r w:rsidRPr="78D3B1AA">
        <w:rPr>
          <w:rFonts w:ascii="Arial" w:eastAsia="Arial" w:hAnsi="Arial" w:cs="Arial"/>
          <w:color w:val="000000" w:themeColor="text1"/>
        </w:rPr>
        <w:t xml:space="preserve"> Markets by Technological Advancements</w:t>
      </w:r>
      <w:bookmarkEnd w:id="1"/>
      <w:r w:rsidRPr="78D3B1AA">
        <w:rPr>
          <w:rFonts w:ascii="Arial" w:eastAsia="Arial" w:hAnsi="Arial" w:cs="Arial"/>
          <w:color w:val="000000" w:themeColor="text1"/>
        </w:rPr>
        <w:t xml:space="preserve"> </w:t>
      </w:r>
    </w:p>
    <w:p w14:paraId="32EA5867" w14:textId="5E1256F4" w:rsidR="279D2C65" w:rsidRDefault="279D2C65" w:rsidP="78D3B1AA">
      <w:pPr>
        <w:spacing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Technological transformation, particularly around AI, automation, and digital platforms, is a potent driver of change in global </w:t>
      </w:r>
      <w:proofErr w:type="spellStart"/>
      <w:r w:rsidRPr="78D3B1AA">
        <w:rPr>
          <w:rFonts w:ascii="Arial" w:eastAsia="Arial" w:hAnsi="Arial" w:cs="Arial"/>
          <w:color w:val="000000" w:themeColor="text1"/>
        </w:rPr>
        <w:t>labour</w:t>
      </w:r>
      <w:proofErr w:type="spellEnd"/>
      <w:r w:rsidRPr="78D3B1AA">
        <w:rPr>
          <w:rFonts w:ascii="Arial" w:eastAsia="Arial" w:hAnsi="Arial" w:cs="Arial"/>
          <w:color w:val="000000" w:themeColor="text1"/>
        </w:rPr>
        <w:t xml:space="preserve"> markets. This is not marginal change; it is a paradigm shift of a profound nature that necessitates a root-and-branch rethink of traditional HRM and IHRM strategy (</w:t>
      </w:r>
      <w:proofErr w:type="spellStart"/>
      <w:r w:rsidRPr="78D3B1AA">
        <w:rPr>
          <w:rFonts w:ascii="Arial" w:eastAsia="Arial" w:hAnsi="Arial" w:cs="Arial"/>
          <w:color w:val="000000" w:themeColor="text1"/>
        </w:rPr>
        <w:t>Autor</w:t>
      </w:r>
      <w:proofErr w:type="spellEnd"/>
      <w:r w:rsidRPr="78D3B1AA">
        <w:rPr>
          <w:rFonts w:ascii="Arial" w:eastAsia="Arial" w:hAnsi="Arial" w:cs="Arial"/>
          <w:color w:val="000000" w:themeColor="text1"/>
        </w:rPr>
        <w:t xml:space="preserve">, 2015). The impact is twofold, displacing </w:t>
      </w:r>
      <w:r w:rsidRPr="78D3B1AA">
        <w:rPr>
          <w:rFonts w:ascii="Arial" w:eastAsia="Arial" w:hAnsi="Arial" w:cs="Arial"/>
          <w:color w:val="000000" w:themeColor="text1"/>
        </w:rPr>
        <w:lastRenderedPageBreak/>
        <w:t>repetitive work as well as creating new work that demands complex cognitive and digital skills.</w:t>
      </w:r>
    </w:p>
    <w:p w14:paraId="61B6EC64" w14:textId="0086F81B" w:rsidR="279D2C65" w:rsidRDefault="279D2C65" w:rsidP="78D3B1AA">
      <w:pPr>
        <w:pStyle w:val="Heading4"/>
        <w:spacing w:before="319" w:after="319" w:line="360" w:lineRule="auto"/>
        <w:jc w:val="both"/>
        <w:rPr>
          <w:rFonts w:ascii="Arial" w:eastAsia="Arial" w:hAnsi="Arial" w:cs="Arial"/>
          <w:color w:val="000000" w:themeColor="text1"/>
        </w:rPr>
      </w:pPr>
      <w:bookmarkStart w:id="2" w:name="_Toc1166147023"/>
      <w:r w:rsidRPr="78D3B1AA">
        <w:rPr>
          <w:rFonts w:ascii="Arial" w:eastAsia="Arial" w:hAnsi="Arial" w:cs="Arial"/>
          <w:color w:val="000000" w:themeColor="text1"/>
        </w:rPr>
        <w:t>2.1 The Double Impact of Automation and AI on Job Roles</w:t>
      </w:r>
      <w:bookmarkEnd w:id="2"/>
    </w:p>
    <w:p w14:paraId="0B0A9407" w14:textId="311292EC"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The debate around technology is one of replacement, with research by </w:t>
      </w:r>
      <w:proofErr w:type="spellStart"/>
      <w:r w:rsidRPr="78D3B1AA">
        <w:rPr>
          <w:rFonts w:ascii="Arial" w:eastAsia="Arial" w:hAnsi="Arial" w:cs="Arial"/>
          <w:color w:val="000000" w:themeColor="text1"/>
        </w:rPr>
        <w:t>organisations</w:t>
      </w:r>
      <w:proofErr w:type="spellEnd"/>
      <w:r w:rsidRPr="78D3B1AA">
        <w:rPr>
          <w:rFonts w:ascii="Arial" w:eastAsia="Arial" w:hAnsi="Arial" w:cs="Arial"/>
          <w:color w:val="000000" w:themeColor="text1"/>
        </w:rPr>
        <w:t xml:space="preserve"> like the World Economic Forum (WEF) consistently indicating the automation of millions of routine manual and cognitive tasks (WEF, 2023). Reading closer, however, presents the image of job </w:t>
      </w:r>
      <w:r w:rsidRPr="78D3B1AA">
        <w:rPr>
          <w:rFonts w:ascii="Arial" w:eastAsia="Arial" w:hAnsi="Arial" w:cs="Arial"/>
          <w:i/>
          <w:iCs/>
          <w:color w:val="000000" w:themeColor="text1"/>
        </w:rPr>
        <w:t>transformation</w:t>
      </w:r>
      <w:r w:rsidRPr="78D3B1AA">
        <w:rPr>
          <w:rFonts w:ascii="Arial" w:eastAsia="Arial" w:hAnsi="Arial" w:cs="Arial"/>
          <w:color w:val="000000" w:themeColor="text1"/>
        </w:rPr>
        <w:t xml:space="preserve"> and </w:t>
      </w:r>
      <w:r w:rsidRPr="78D3B1AA">
        <w:rPr>
          <w:rFonts w:ascii="Arial" w:eastAsia="Arial" w:hAnsi="Arial" w:cs="Arial"/>
          <w:i/>
          <w:iCs/>
          <w:color w:val="000000" w:themeColor="text1"/>
        </w:rPr>
        <w:t>improvement</w:t>
      </w:r>
      <w:r w:rsidRPr="78D3B1AA">
        <w:rPr>
          <w:rFonts w:ascii="Arial" w:eastAsia="Arial" w:hAnsi="Arial" w:cs="Arial"/>
          <w:color w:val="000000" w:themeColor="text1"/>
        </w:rPr>
        <w:t>. AI and automation perform best on repetitive, data-processing work, releasing human capital to focus on critical thinking, creative, emotional intelligence and problem-solving sophisticated jobs (</w:t>
      </w:r>
      <w:proofErr w:type="spellStart"/>
      <w:r w:rsidRPr="78D3B1AA">
        <w:rPr>
          <w:rFonts w:ascii="Arial" w:eastAsia="Arial" w:hAnsi="Arial" w:cs="Arial"/>
          <w:color w:val="000000" w:themeColor="text1"/>
        </w:rPr>
        <w:t>Acemoglu</w:t>
      </w:r>
      <w:proofErr w:type="spellEnd"/>
      <w:r w:rsidRPr="78D3B1AA">
        <w:rPr>
          <w:rFonts w:ascii="Arial" w:eastAsia="Arial" w:hAnsi="Arial" w:cs="Arial"/>
          <w:color w:val="000000" w:themeColor="text1"/>
        </w:rPr>
        <w:t xml:space="preserve"> and </w:t>
      </w:r>
      <w:proofErr w:type="spellStart"/>
      <w:r w:rsidRPr="78D3B1AA">
        <w:rPr>
          <w:rFonts w:ascii="Arial" w:eastAsia="Arial" w:hAnsi="Arial" w:cs="Arial"/>
          <w:color w:val="000000" w:themeColor="text1"/>
        </w:rPr>
        <w:t>Restrepo</w:t>
      </w:r>
      <w:proofErr w:type="spellEnd"/>
      <w:r w:rsidRPr="78D3B1AA">
        <w:rPr>
          <w:rFonts w:ascii="Arial" w:eastAsia="Arial" w:hAnsi="Arial" w:cs="Arial"/>
          <w:color w:val="000000" w:themeColor="text1"/>
        </w:rPr>
        <w:t>, 2019). This creates a '</w:t>
      </w:r>
      <w:proofErr w:type="spellStart"/>
      <w:r w:rsidRPr="78D3B1AA">
        <w:rPr>
          <w:rFonts w:ascii="Arial" w:eastAsia="Arial" w:hAnsi="Arial" w:cs="Arial"/>
          <w:color w:val="000000" w:themeColor="text1"/>
        </w:rPr>
        <w:t>polarisation</w:t>
      </w:r>
      <w:proofErr w:type="spellEnd"/>
      <w:r w:rsidRPr="78D3B1AA">
        <w:rPr>
          <w:rFonts w:ascii="Arial" w:eastAsia="Arial" w:hAnsi="Arial" w:cs="Arial"/>
          <w:color w:val="000000" w:themeColor="text1"/>
        </w:rPr>
        <w:t xml:space="preserve">' of the </w:t>
      </w:r>
      <w:proofErr w:type="spellStart"/>
      <w:r w:rsidRPr="78D3B1AA">
        <w:rPr>
          <w:rFonts w:ascii="Arial" w:eastAsia="Arial" w:hAnsi="Arial" w:cs="Arial"/>
          <w:color w:val="000000" w:themeColor="text1"/>
        </w:rPr>
        <w:t>labour</w:t>
      </w:r>
      <w:proofErr w:type="spellEnd"/>
      <w:r w:rsidRPr="78D3B1AA">
        <w:rPr>
          <w:rFonts w:ascii="Arial" w:eastAsia="Arial" w:hAnsi="Arial" w:cs="Arial"/>
          <w:color w:val="000000" w:themeColor="text1"/>
        </w:rPr>
        <w:t xml:space="preserve"> market, increasing the demand for both high-skill analytical jobs and, to some extent, low-skill manual jobs that are resistant to automation, but draining mid-skill routine jobs (</w:t>
      </w:r>
      <w:proofErr w:type="spellStart"/>
      <w:r w:rsidRPr="78D3B1AA">
        <w:rPr>
          <w:rFonts w:ascii="Arial" w:eastAsia="Arial" w:hAnsi="Arial" w:cs="Arial"/>
          <w:color w:val="000000" w:themeColor="text1"/>
        </w:rPr>
        <w:t>Goos</w:t>
      </w:r>
      <w:proofErr w:type="spellEnd"/>
      <w:r w:rsidRPr="78D3B1AA">
        <w:rPr>
          <w:rFonts w:ascii="Arial" w:eastAsia="Arial" w:hAnsi="Arial" w:cs="Arial"/>
          <w:color w:val="000000" w:themeColor="text1"/>
        </w:rPr>
        <w:t xml:space="preserve">, Manning and </w:t>
      </w:r>
      <w:proofErr w:type="spellStart"/>
      <w:r w:rsidRPr="78D3B1AA">
        <w:rPr>
          <w:rFonts w:ascii="Arial" w:eastAsia="Arial" w:hAnsi="Arial" w:cs="Arial"/>
          <w:color w:val="000000" w:themeColor="text1"/>
        </w:rPr>
        <w:t>Salomons</w:t>
      </w:r>
      <w:proofErr w:type="spellEnd"/>
      <w:r w:rsidRPr="78D3B1AA">
        <w:rPr>
          <w:rFonts w:ascii="Arial" w:eastAsia="Arial" w:hAnsi="Arial" w:cs="Arial"/>
          <w:color w:val="000000" w:themeColor="text1"/>
        </w:rPr>
        <w:t>, 2014).</w:t>
      </w:r>
    </w:p>
    <w:p w14:paraId="37778A43" w14:textId="5E9B322D" w:rsidR="279D2C65" w:rsidRDefault="279D2C65" w:rsidP="78D3B1AA">
      <w:pPr>
        <w:pStyle w:val="Heading4"/>
        <w:spacing w:before="319" w:after="319" w:line="360" w:lineRule="auto"/>
        <w:jc w:val="both"/>
        <w:rPr>
          <w:rFonts w:ascii="Arial" w:eastAsia="Arial" w:hAnsi="Arial" w:cs="Arial"/>
          <w:color w:val="000000" w:themeColor="text1"/>
        </w:rPr>
      </w:pPr>
      <w:bookmarkStart w:id="3" w:name="_Toc570219382"/>
      <w:r w:rsidRPr="78D3B1AA">
        <w:rPr>
          <w:rFonts w:ascii="Arial" w:eastAsia="Arial" w:hAnsi="Arial" w:cs="Arial"/>
          <w:color w:val="000000" w:themeColor="text1"/>
        </w:rPr>
        <w:t>2.2 Implications of Domestic HRM Strategy</w:t>
      </w:r>
      <w:bookmarkEnd w:id="3"/>
    </w:p>
    <w:p w14:paraId="788E5FD6" w14:textId="6C3B4624"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For domestic HRM, these alterations mean </w:t>
      </w:r>
      <w:r w:rsidR="7696D402" w:rsidRPr="78D3B1AA">
        <w:rPr>
          <w:rFonts w:ascii="Arial" w:eastAsia="Arial" w:hAnsi="Arial" w:cs="Arial"/>
          <w:color w:val="000000" w:themeColor="text1"/>
        </w:rPr>
        <w:t>several</w:t>
      </w:r>
      <w:r w:rsidRPr="78D3B1AA">
        <w:rPr>
          <w:rFonts w:ascii="Arial" w:eastAsia="Arial" w:hAnsi="Arial" w:cs="Arial"/>
          <w:color w:val="000000" w:themeColor="text1"/>
        </w:rPr>
        <w:t xml:space="preserve"> strategic imperatives. Firstly, sourcing talent must transform. HR tasks are increasingly utilizing AI technologies for sourcing, screening, and assessing candidates to render hiring more efficient and data-based (</w:t>
      </w:r>
      <w:proofErr w:type="spellStart"/>
      <w:r w:rsidRPr="78D3B1AA">
        <w:rPr>
          <w:rFonts w:ascii="Arial" w:eastAsia="Arial" w:hAnsi="Arial" w:cs="Arial"/>
          <w:color w:val="000000" w:themeColor="text1"/>
        </w:rPr>
        <w:t>Tambe</w:t>
      </w:r>
      <w:proofErr w:type="spellEnd"/>
      <w:r w:rsidRPr="78D3B1AA">
        <w:rPr>
          <w:rFonts w:ascii="Arial" w:eastAsia="Arial" w:hAnsi="Arial" w:cs="Arial"/>
          <w:color w:val="000000" w:themeColor="text1"/>
        </w:rPr>
        <w:t xml:space="preserve">, </w:t>
      </w:r>
      <w:proofErr w:type="spellStart"/>
      <w:r w:rsidRPr="78D3B1AA">
        <w:rPr>
          <w:rFonts w:ascii="Arial" w:eastAsia="Arial" w:hAnsi="Arial" w:cs="Arial"/>
          <w:color w:val="000000" w:themeColor="text1"/>
        </w:rPr>
        <w:t>Cappelli</w:t>
      </w:r>
      <w:proofErr w:type="spellEnd"/>
      <w:r w:rsidRPr="78D3B1AA">
        <w:rPr>
          <w:rFonts w:ascii="Arial" w:eastAsia="Arial" w:hAnsi="Arial" w:cs="Arial"/>
          <w:color w:val="000000" w:themeColor="text1"/>
        </w:rPr>
        <w:t xml:space="preserve"> and </w:t>
      </w:r>
      <w:proofErr w:type="spellStart"/>
      <w:r w:rsidRPr="78D3B1AA">
        <w:rPr>
          <w:rFonts w:ascii="Arial" w:eastAsia="Arial" w:hAnsi="Arial" w:cs="Arial"/>
          <w:color w:val="000000" w:themeColor="text1"/>
        </w:rPr>
        <w:t>Yakubovich</w:t>
      </w:r>
      <w:proofErr w:type="spellEnd"/>
      <w:r w:rsidRPr="78D3B1AA">
        <w:rPr>
          <w:rFonts w:ascii="Arial" w:eastAsia="Arial" w:hAnsi="Arial" w:cs="Arial"/>
          <w:color w:val="000000" w:themeColor="text1"/>
        </w:rPr>
        <w:t>, 2019). Secondly, there has to be an evolutionary focus on learning and development. Organizations must move beyond sporadic training to creating a learning culture of continuous learning, upskilling, and reskilling to keep pace with the speed of technological change. This involves investment in online learning platforms and personalized development pathways to build strong and agile personnel (</w:t>
      </w:r>
      <w:proofErr w:type="spellStart"/>
      <w:r w:rsidRPr="78D3B1AA">
        <w:rPr>
          <w:rFonts w:ascii="Arial" w:eastAsia="Arial" w:hAnsi="Arial" w:cs="Arial"/>
          <w:color w:val="000000" w:themeColor="text1"/>
        </w:rPr>
        <w:t>Garavan</w:t>
      </w:r>
      <w:proofErr w:type="spellEnd"/>
      <w:r w:rsidRPr="78D3B1AA">
        <w:rPr>
          <w:rFonts w:ascii="Arial" w:eastAsia="Arial" w:hAnsi="Arial" w:cs="Arial"/>
          <w:color w:val="000000" w:themeColor="text1"/>
        </w:rPr>
        <w:t xml:space="preserve"> et al., 2021). Thirdly, performance management systems must be reconfigured to measure new abilities, such as collaborating with AI systems and online competency, in addition to traditional measures.</w:t>
      </w:r>
    </w:p>
    <w:p w14:paraId="2CD9E18D" w14:textId="121AE081" w:rsidR="279D2C65" w:rsidRDefault="279D2C65" w:rsidP="78D3B1AA">
      <w:pPr>
        <w:pStyle w:val="Heading4"/>
        <w:spacing w:before="319" w:after="319" w:line="360" w:lineRule="auto"/>
        <w:jc w:val="both"/>
        <w:rPr>
          <w:rFonts w:ascii="Arial" w:eastAsia="Arial" w:hAnsi="Arial" w:cs="Arial"/>
          <w:color w:val="000000" w:themeColor="text1"/>
        </w:rPr>
      </w:pPr>
      <w:bookmarkStart w:id="4" w:name="_Toc1947911714"/>
      <w:r w:rsidRPr="78D3B1AA">
        <w:rPr>
          <w:rFonts w:ascii="Arial" w:eastAsia="Arial" w:hAnsi="Arial" w:cs="Arial"/>
          <w:color w:val="000000" w:themeColor="text1"/>
        </w:rPr>
        <w:lastRenderedPageBreak/>
        <w:t>2.3 International IHRM Implications</w:t>
      </w:r>
      <w:bookmarkEnd w:id="4"/>
    </w:p>
    <w:p w14:paraId="1EAB6AC2" w14:textId="2070BFEA"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At the international level, technology enhances challenges as well as opportunities. Internet-based platforms and collaboration tools have enabled the rise of the global gig economy and pioneered remote working models that enable IHRM to access a global talent pool without the need for physical migration (Stahl et al., 2020). Yet, this poses risks in organizing a globally scattered workforce, providing fair digital access, cultivating a unified corporate culture, and dealing with an intricate landscape of global </w:t>
      </w:r>
      <w:proofErr w:type="spellStart"/>
      <w:r w:rsidRPr="78D3B1AA">
        <w:rPr>
          <w:rFonts w:ascii="Arial" w:eastAsia="Arial" w:hAnsi="Arial" w:cs="Arial"/>
          <w:color w:val="000000" w:themeColor="text1"/>
        </w:rPr>
        <w:t>labour</w:t>
      </w:r>
      <w:proofErr w:type="spellEnd"/>
      <w:r w:rsidRPr="78D3B1AA">
        <w:rPr>
          <w:rFonts w:ascii="Arial" w:eastAsia="Arial" w:hAnsi="Arial" w:cs="Arial"/>
          <w:color w:val="000000" w:themeColor="text1"/>
        </w:rPr>
        <w:t xml:space="preserve"> legislation and data privacy laws (e.g., GDPR). IHRM practices must thus become more flexible, orienting on constructing global virtual teams, creating global digital leadership competencies, and instilling strong governance systems for offsite international work (</w:t>
      </w:r>
      <w:proofErr w:type="spellStart"/>
      <w:r w:rsidRPr="78D3B1AA">
        <w:rPr>
          <w:rFonts w:ascii="Arial" w:eastAsia="Arial" w:hAnsi="Arial" w:cs="Arial"/>
          <w:color w:val="000000" w:themeColor="text1"/>
        </w:rPr>
        <w:t>Mäkelä</w:t>
      </w:r>
      <w:proofErr w:type="spellEnd"/>
      <w:r w:rsidRPr="78D3B1AA">
        <w:rPr>
          <w:rFonts w:ascii="Arial" w:eastAsia="Arial" w:hAnsi="Arial" w:cs="Arial"/>
          <w:color w:val="000000" w:themeColor="text1"/>
        </w:rPr>
        <w:t>, 2021).</w:t>
      </w:r>
    </w:p>
    <w:p w14:paraId="2BCA4035" w14:textId="20890057" w:rsidR="78D3B1AA" w:rsidRDefault="78D3B1AA" w:rsidP="78D3B1AA">
      <w:pPr>
        <w:spacing w:line="360" w:lineRule="auto"/>
        <w:jc w:val="both"/>
        <w:rPr>
          <w:rFonts w:ascii="Arial" w:eastAsia="Arial" w:hAnsi="Arial" w:cs="Arial"/>
          <w:color w:val="000000" w:themeColor="text1"/>
        </w:rPr>
      </w:pPr>
    </w:p>
    <w:p w14:paraId="187970D8" w14:textId="744C6B8F" w:rsidR="279D2C65" w:rsidRDefault="279D2C65" w:rsidP="78D3B1AA">
      <w:pPr>
        <w:pStyle w:val="Heading3"/>
        <w:spacing w:before="281" w:after="281" w:line="360" w:lineRule="auto"/>
        <w:jc w:val="both"/>
        <w:rPr>
          <w:rFonts w:ascii="Arial" w:eastAsia="Arial" w:hAnsi="Arial" w:cs="Arial"/>
          <w:color w:val="000000" w:themeColor="text1"/>
        </w:rPr>
      </w:pPr>
      <w:bookmarkStart w:id="5" w:name="_Toc461982324"/>
      <w:r w:rsidRPr="78D3B1AA">
        <w:rPr>
          <w:rFonts w:ascii="Arial" w:eastAsia="Arial" w:hAnsi="Arial" w:cs="Arial"/>
          <w:color w:val="000000" w:themeColor="text1"/>
        </w:rPr>
        <w:t>3. Demographic and Geopolitical Forces of Influence</w:t>
      </w:r>
      <w:bookmarkEnd w:id="5"/>
      <w:r w:rsidRPr="78D3B1AA">
        <w:rPr>
          <w:rFonts w:ascii="Arial" w:eastAsia="Arial" w:hAnsi="Arial" w:cs="Arial"/>
          <w:color w:val="000000" w:themeColor="text1"/>
        </w:rPr>
        <w:t xml:space="preserve"> </w:t>
      </w:r>
    </w:p>
    <w:p w14:paraId="09937D21" w14:textId="43B1671C"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Apart from technology, the form of today's labor markets is shaped long-term by demographic trends and unpredictable geopolitical events. These macro-environmental drivers leave their mark on a complex and, at times, stormy context in which HR practitioners must operate, necessitating flexibility, resilience, and strategic insight (</w:t>
      </w:r>
      <w:proofErr w:type="spellStart"/>
      <w:r w:rsidRPr="78D3B1AA">
        <w:rPr>
          <w:rFonts w:ascii="Arial" w:eastAsia="Arial" w:hAnsi="Arial" w:cs="Arial"/>
          <w:color w:val="000000" w:themeColor="text1"/>
        </w:rPr>
        <w:t>Kramar</w:t>
      </w:r>
      <w:proofErr w:type="spellEnd"/>
      <w:r w:rsidRPr="78D3B1AA">
        <w:rPr>
          <w:rFonts w:ascii="Arial" w:eastAsia="Arial" w:hAnsi="Arial" w:cs="Arial"/>
          <w:color w:val="000000" w:themeColor="text1"/>
        </w:rPr>
        <w:t>, 2014).</w:t>
      </w:r>
    </w:p>
    <w:p w14:paraId="3D3463F2" w14:textId="2F176099" w:rsidR="279D2C65" w:rsidRDefault="279D2C65" w:rsidP="78D3B1AA">
      <w:pPr>
        <w:pStyle w:val="Heading4"/>
        <w:spacing w:before="319" w:after="319" w:line="360" w:lineRule="auto"/>
        <w:jc w:val="both"/>
        <w:rPr>
          <w:rFonts w:ascii="Arial" w:eastAsia="Arial" w:hAnsi="Arial" w:cs="Arial"/>
          <w:color w:val="000000" w:themeColor="text1"/>
        </w:rPr>
      </w:pPr>
      <w:bookmarkStart w:id="6" w:name="_Toc1368685185"/>
      <w:r w:rsidRPr="78D3B1AA">
        <w:rPr>
          <w:rFonts w:ascii="Arial" w:eastAsia="Arial" w:hAnsi="Arial" w:cs="Arial"/>
          <w:color w:val="000000" w:themeColor="text1"/>
        </w:rPr>
        <w:t>3.1 Demographic Pressures: Ageing Workforces and Generational Divides</w:t>
      </w:r>
      <w:bookmarkEnd w:id="6"/>
    </w:p>
    <w:p w14:paraId="05EE5872" w14:textId="0E845B51"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One of the more important demographic challenges, particularly for developed economies, is the ageing population. As retiring baby boomers exit the </w:t>
      </w:r>
      <w:proofErr w:type="spellStart"/>
      <w:r w:rsidRPr="78D3B1AA">
        <w:rPr>
          <w:rFonts w:ascii="Arial" w:eastAsia="Arial" w:hAnsi="Arial" w:cs="Arial"/>
          <w:color w:val="000000" w:themeColor="text1"/>
        </w:rPr>
        <w:t>labour</w:t>
      </w:r>
      <w:proofErr w:type="spellEnd"/>
      <w:r w:rsidRPr="78D3B1AA">
        <w:rPr>
          <w:rFonts w:ascii="Arial" w:eastAsia="Arial" w:hAnsi="Arial" w:cs="Arial"/>
          <w:color w:val="000000" w:themeColor="text1"/>
        </w:rPr>
        <w:t xml:space="preserve"> market, </w:t>
      </w:r>
      <w:proofErr w:type="spellStart"/>
      <w:r w:rsidRPr="78D3B1AA">
        <w:rPr>
          <w:rFonts w:ascii="Arial" w:eastAsia="Arial" w:hAnsi="Arial" w:cs="Arial"/>
          <w:color w:val="000000" w:themeColor="text1"/>
        </w:rPr>
        <w:t>organisations</w:t>
      </w:r>
      <w:proofErr w:type="spellEnd"/>
      <w:r w:rsidRPr="78D3B1AA">
        <w:rPr>
          <w:rFonts w:ascii="Arial" w:eastAsia="Arial" w:hAnsi="Arial" w:cs="Arial"/>
          <w:color w:val="000000" w:themeColor="text1"/>
        </w:rPr>
        <w:t xml:space="preserve"> risk losing substantial institutional knowledge and leadership potential, and a "silver tsunami" of loss strikes productivity and continuity (</w:t>
      </w:r>
      <w:proofErr w:type="spellStart"/>
      <w:r w:rsidRPr="78D3B1AA">
        <w:rPr>
          <w:rFonts w:ascii="Arial" w:eastAsia="Arial" w:hAnsi="Arial" w:cs="Arial"/>
          <w:color w:val="000000" w:themeColor="text1"/>
        </w:rPr>
        <w:t>Kooij</w:t>
      </w:r>
      <w:proofErr w:type="spellEnd"/>
      <w:r w:rsidRPr="78D3B1AA">
        <w:rPr>
          <w:rFonts w:ascii="Arial" w:eastAsia="Arial" w:hAnsi="Arial" w:cs="Arial"/>
          <w:color w:val="000000" w:themeColor="text1"/>
        </w:rPr>
        <w:t xml:space="preserve">, de Lange, Jansen and </w:t>
      </w:r>
      <w:proofErr w:type="spellStart"/>
      <w:r w:rsidRPr="78D3B1AA">
        <w:rPr>
          <w:rFonts w:ascii="Arial" w:eastAsia="Arial" w:hAnsi="Arial" w:cs="Arial"/>
          <w:color w:val="000000" w:themeColor="text1"/>
        </w:rPr>
        <w:t>Dikkers</w:t>
      </w:r>
      <w:proofErr w:type="spellEnd"/>
      <w:r w:rsidRPr="78D3B1AA">
        <w:rPr>
          <w:rFonts w:ascii="Arial" w:eastAsia="Arial" w:hAnsi="Arial" w:cs="Arial"/>
          <w:color w:val="000000" w:themeColor="text1"/>
        </w:rPr>
        <w:t xml:space="preserve">, 2013). It is also compounded by shrinking birth rates, which result in fewer new entrants to the </w:t>
      </w:r>
      <w:proofErr w:type="spellStart"/>
      <w:r w:rsidRPr="78D3B1AA">
        <w:rPr>
          <w:rFonts w:ascii="Arial" w:eastAsia="Arial" w:hAnsi="Arial" w:cs="Arial"/>
          <w:color w:val="000000" w:themeColor="text1"/>
        </w:rPr>
        <w:t>labour</w:t>
      </w:r>
      <w:proofErr w:type="spellEnd"/>
      <w:r w:rsidRPr="78D3B1AA">
        <w:rPr>
          <w:rFonts w:ascii="Arial" w:eastAsia="Arial" w:hAnsi="Arial" w:cs="Arial"/>
          <w:color w:val="000000" w:themeColor="text1"/>
        </w:rPr>
        <w:t xml:space="preserve"> market. At the same time, HR </w:t>
      </w:r>
      <w:r w:rsidR="23C54BB1" w:rsidRPr="78D3B1AA">
        <w:rPr>
          <w:rFonts w:ascii="Arial" w:eastAsia="Arial" w:hAnsi="Arial" w:cs="Arial"/>
          <w:color w:val="000000" w:themeColor="text1"/>
        </w:rPr>
        <w:t>must</w:t>
      </w:r>
      <w:r w:rsidRPr="78D3B1AA">
        <w:rPr>
          <w:rFonts w:ascii="Arial" w:eastAsia="Arial" w:hAnsi="Arial" w:cs="Arial"/>
          <w:color w:val="000000" w:themeColor="text1"/>
        </w:rPr>
        <w:t xml:space="preserve"> deal with a growing multi-generational </w:t>
      </w:r>
      <w:r w:rsidRPr="78D3B1AA">
        <w:rPr>
          <w:rFonts w:ascii="Arial" w:eastAsia="Arial" w:hAnsi="Arial" w:cs="Arial"/>
          <w:color w:val="000000" w:themeColor="text1"/>
        </w:rPr>
        <w:lastRenderedPageBreak/>
        <w:t xml:space="preserve">working population, whereby as many as five different generations can potentially work alongside each other, possessing different values, communication modes, and career aspirations (Lyons and </w:t>
      </w:r>
      <w:proofErr w:type="spellStart"/>
      <w:r w:rsidRPr="78D3B1AA">
        <w:rPr>
          <w:rFonts w:ascii="Arial" w:eastAsia="Arial" w:hAnsi="Arial" w:cs="Arial"/>
          <w:color w:val="000000" w:themeColor="text1"/>
        </w:rPr>
        <w:t>Kuron</w:t>
      </w:r>
      <w:proofErr w:type="spellEnd"/>
      <w:r w:rsidRPr="78D3B1AA">
        <w:rPr>
          <w:rFonts w:ascii="Arial" w:eastAsia="Arial" w:hAnsi="Arial" w:cs="Arial"/>
          <w:color w:val="000000" w:themeColor="text1"/>
        </w:rPr>
        <w:t>, 2014). This heterogeneity brings opportunities for knowledge sharing and innovation as well as complexity in developing inclusive policy for anything from benefit schemes to leadership development.</w:t>
      </w:r>
    </w:p>
    <w:p w14:paraId="6D676370" w14:textId="6F1C5E56" w:rsidR="279D2C65" w:rsidRDefault="279D2C65" w:rsidP="78D3B1AA">
      <w:pPr>
        <w:pStyle w:val="Heading4"/>
        <w:spacing w:before="319" w:after="319" w:line="360" w:lineRule="auto"/>
        <w:jc w:val="both"/>
        <w:rPr>
          <w:rFonts w:ascii="Arial" w:eastAsia="Arial" w:hAnsi="Arial" w:cs="Arial"/>
          <w:color w:val="000000" w:themeColor="text1"/>
        </w:rPr>
      </w:pPr>
      <w:bookmarkStart w:id="7" w:name="_Toc392085341"/>
      <w:r w:rsidRPr="78D3B1AA">
        <w:rPr>
          <w:rFonts w:ascii="Arial" w:eastAsia="Arial" w:hAnsi="Arial" w:cs="Arial"/>
          <w:color w:val="000000" w:themeColor="text1"/>
        </w:rPr>
        <w:t>3.2 Geopolitical Volatility and its Impact on Global Talent Mobility</w:t>
      </w:r>
      <w:bookmarkEnd w:id="7"/>
    </w:p>
    <w:p w14:paraId="010591FD" w14:textId="77517C41"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The smooth </w:t>
      </w:r>
      <w:proofErr w:type="spellStart"/>
      <w:r w:rsidRPr="78D3B1AA">
        <w:rPr>
          <w:rFonts w:ascii="Arial" w:eastAsia="Arial" w:hAnsi="Arial" w:cs="Arial"/>
          <w:color w:val="000000" w:themeColor="text1"/>
        </w:rPr>
        <w:t>globalisation</w:t>
      </w:r>
      <w:proofErr w:type="spellEnd"/>
      <w:r w:rsidRPr="78D3B1AA">
        <w:rPr>
          <w:rFonts w:ascii="Arial" w:eastAsia="Arial" w:hAnsi="Arial" w:cs="Arial"/>
          <w:color w:val="000000" w:themeColor="text1"/>
        </w:rPr>
        <w:t xml:space="preserve"> is being perturbed by rising geopolitical volatility. Trade wars, nationalist campaigns, </w:t>
      </w:r>
      <w:proofErr w:type="spellStart"/>
      <w:r w:rsidRPr="78D3B1AA">
        <w:rPr>
          <w:rFonts w:ascii="Arial" w:eastAsia="Arial" w:hAnsi="Arial" w:cs="Arial"/>
          <w:color w:val="000000" w:themeColor="text1"/>
        </w:rPr>
        <w:t>Brexit</w:t>
      </w:r>
      <w:proofErr w:type="spellEnd"/>
      <w:r w:rsidRPr="78D3B1AA">
        <w:rPr>
          <w:rFonts w:ascii="Arial" w:eastAsia="Arial" w:hAnsi="Arial" w:cs="Arial"/>
          <w:color w:val="000000" w:themeColor="text1"/>
        </w:rPr>
        <w:t>, and international conflict directly impact IHRM by disrupting world supply chains and, notably, restricting the movement of talent (</w:t>
      </w:r>
      <w:proofErr w:type="spellStart"/>
      <w:r w:rsidRPr="78D3B1AA">
        <w:rPr>
          <w:rFonts w:ascii="Arial" w:eastAsia="Arial" w:hAnsi="Arial" w:cs="Arial"/>
          <w:color w:val="000000" w:themeColor="text1"/>
        </w:rPr>
        <w:t>Caligiuri</w:t>
      </w:r>
      <w:proofErr w:type="spellEnd"/>
      <w:r w:rsidRPr="78D3B1AA">
        <w:rPr>
          <w:rFonts w:ascii="Arial" w:eastAsia="Arial" w:hAnsi="Arial" w:cs="Arial"/>
          <w:color w:val="000000" w:themeColor="text1"/>
        </w:rPr>
        <w:t xml:space="preserve">, 2021). Stringent visa policies, political instability, and protectionist hiring strategies can make international assignments more difficult and </w:t>
      </w:r>
      <w:r w:rsidR="652E0C84" w:rsidRPr="78D3B1AA">
        <w:rPr>
          <w:rFonts w:ascii="Arial" w:eastAsia="Arial" w:hAnsi="Arial" w:cs="Arial"/>
          <w:color w:val="000000" w:themeColor="text1"/>
        </w:rPr>
        <w:t>costly and</w:t>
      </w:r>
      <w:r w:rsidRPr="78D3B1AA">
        <w:rPr>
          <w:rFonts w:ascii="Arial" w:eastAsia="Arial" w:hAnsi="Arial" w:cs="Arial"/>
          <w:color w:val="000000" w:themeColor="text1"/>
        </w:rPr>
        <w:t xml:space="preserve"> consequently diminish multinational corporations (MNCs') capacity to send their most valuable individuals to where they are most in demand. This lack of predictability makes firms reconsider international staffing models, perhaps drifting away from expatriate reliance towards developing talent in host countries (</w:t>
      </w:r>
      <w:proofErr w:type="spellStart"/>
      <w:r w:rsidRPr="78D3B1AA">
        <w:rPr>
          <w:rFonts w:ascii="Arial" w:eastAsia="Arial" w:hAnsi="Arial" w:cs="Arial"/>
          <w:color w:val="000000" w:themeColor="text1"/>
        </w:rPr>
        <w:t>Farndale</w:t>
      </w:r>
      <w:proofErr w:type="spellEnd"/>
      <w:r w:rsidRPr="78D3B1AA">
        <w:rPr>
          <w:rFonts w:ascii="Arial" w:eastAsia="Arial" w:hAnsi="Arial" w:cs="Arial"/>
          <w:color w:val="000000" w:themeColor="text1"/>
        </w:rPr>
        <w:t xml:space="preserve">, Biron, Briscoe and </w:t>
      </w:r>
      <w:proofErr w:type="spellStart"/>
      <w:r w:rsidRPr="78D3B1AA">
        <w:rPr>
          <w:rFonts w:ascii="Arial" w:eastAsia="Arial" w:hAnsi="Arial" w:cs="Arial"/>
          <w:color w:val="000000" w:themeColor="text1"/>
        </w:rPr>
        <w:t>Raghuram</w:t>
      </w:r>
      <w:proofErr w:type="spellEnd"/>
      <w:r w:rsidRPr="78D3B1AA">
        <w:rPr>
          <w:rFonts w:ascii="Arial" w:eastAsia="Arial" w:hAnsi="Arial" w:cs="Arial"/>
          <w:color w:val="000000" w:themeColor="text1"/>
        </w:rPr>
        <w:t>, 2015).</w:t>
      </w:r>
    </w:p>
    <w:p w14:paraId="468E2402" w14:textId="74C63C4B" w:rsidR="279D2C65" w:rsidRDefault="279D2C65" w:rsidP="78D3B1AA">
      <w:pPr>
        <w:pStyle w:val="Heading4"/>
        <w:spacing w:before="319" w:after="319" w:line="360" w:lineRule="auto"/>
        <w:jc w:val="both"/>
        <w:rPr>
          <w:rFonts w:ascii="Arial" w:eastAsia="Arial" w:hAnsi="Arial" w:cs="Arial"/>
          <w:color w:val="000000" w:themeColor="text1"/>
        </w:rPr>
      </w:pPr>
      <w:bookmarkStart w:id="8" w:name="_Toc1776372582"/>
      <w:r w:rsidRPr="78D3B1AA">
        <w:rPr>
          <w:rFonts w:ascii="Arial" w:eastAsia="Arial" w:hAnsi="Arial" w:cs="Arial"/>
          <w:color w:val="000000" w:themeColor="text1"/>
        </w:rPr>
        <w:t>3.3 Emerging Challenges to Human Resource Professionals</w:t>
      </w:r>
      <w:bookmarkEnd w:id="8"/>
    </w:p>
    <w:p w14:paraId="5F38D3DD" w14:textId="717EAF91"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These converging factors represent a perfect storm for HR. Coupled with an aging population and restricted </w:t>
      </w:r>
      <w:r w:rsidR="04D19D7C" w:rsidRPr="78D3B1AA">
        <w:rPr>
          <w:rFonts w:ascii="Arial" w:eastAsia="Arial" w:hAnsi="Arial" w:cs="Arial"/>
          <w:color w:val="000000" w:themeColor="text1"/>
        </w:rPr>
        <w:t>immigration;</w:t>
      </w:r>
      <w:r w:rsidRPr="78D3B1AA">
        <w:rPr>
          <w:rFonts w:ascii="Arial" w:eastAsia="Arial" w:hAnsi="Arial" w:cs="Arial"/>
          <w:color w:val="000000" w:themeColor="text1"/>
        </w:rPr>
        <w:t xml:space="preserve"> these factors compound talent deficiency in core industries. HR practitioners will need to develop competency in strategic workforce planning, using analytics to forecast future talent needs and reveal impending shortfalls (Boudreau and Ramstad, 2005). Moreover, generational diversity must be addressed through an evolved DE&amp;I strategy enabling policy and culture to be inclusive of divergent needs across the spectrum. For IHRM, risk management and resilience formation are the prime concerns. It involves forming risk-adjusted contingency strategies for geopolitical upsets, building strong local leadership pipelines, and the application of technology in </w:t>
      </w:r>
      <w:r w:rsidRPr="78D3B1AA">
        <w:rPr>
          <w:rFonts w:ascii="Arial" w:eastAsia="Arial" w:hAnsi="Arial" w:cs="Arial"/>
          <w:color w:val="000000" w:themeColor="text1"/>
        </w:rPr>
        <w:lastRenderedPageBreak/>
        <w:t>facilitating global collaboration without necessarily relying on physical mobility (</w:t>
      </w:r>
      <w:proofErr w:type="spellStart"/>
      <w:r w:rsidRPr="78D3B1AA">
        <w:rPr>
          <w:rFonts w:ascii="Arial" w:eastAsia="Arial" w:hAnsi="Arial" w:cs="Arial"/>
          <w:color w:val="000000" w:themeColor="text1"/>
        </w:rPr>
        <w:t>Menzies</w:t>
      </w:r>
      <w:proofErr w:type="spellEnd"/>
      <w:r w:rsidRPr="78D3B1AA">
        <w:rPr>
          <w:rFonts w:ascii="Arial" w:eastAsia="Arial" w:hAnsi="Arial" w:cs="Arial"/>
          <w:color w:val="000000" w:themeColor="text1"/>
        </w:rPr>
        <w:t xml:space="preserve"> et al., 2024).</w:t>
      </w:r>
    </w:p>
    <w:p w14:paraId="6E670D4F" w14:textId="19CEA206" w:rsidR="78D3B1AA" w:rsidRDefault="78D3B1AA" w:rsidP="78D3B1AA">
      <w:pPr>
        <w:spacing w:line="360" w:lineRule="auto"/>
        <w:jc w:val="both"/>
        <w:rPr>
          <w:rFonts w:ascii="Arial" w:eastAsia="Arial" w:hAnsi="Arial" w:cs="Arial"/>
          <w:color w:val="000000" w:themeColor="text1"/>
        </w:rPr>
      </w:pPr>
    </w:p>
    <w:p w14:paraId="3083204C" w14:textId="047586A1" w:rsidR="279D2C65" w:rsidRDefault="279D2C65" w:rsidP="78D3B1AA">
      <w:pPr>
        <w:pStyle w:val="Heading3"/>
        <w:spacing w:before="281" w:after="281" w:line="360" w:lineRule="auto"/>
        <w:jc w:val="both"/>
        <w:rPr>
          <w:rFonts w:ascii="Arial" w:eastAsia="Arial" w:hAnsi="Arial" w:cs="Arial"/>
          <w:color w:val="000000" w:themeColor="text1"/>
        </w:rPr>
      </w:pPr>
      <w:bookmarkStart w:id="9" w:name="_Toc1182993749"/>
      <w:r w:rsidRPr="78D3B1AA">
        <w:rPr>
          <w:rFonts w:ascii="Arial" w:eastAsia="Arial" w:hAnsi="Arial" w:cs="Arial"/>
          <w:color w:val="000000" w:themeColor="text1"/>
        </w:rPr>
        <w:t>4. Strategic HRM Responses to Skills Shortages and Talent Deficits</w:t>
      </w:r>
      <w:bookmarkEnd w:id="9"/>
      <w:r w:rsidRPr="78D3B1AA">
        <w:rPr>
          <w:rFonts w:ascii="Arial" w:eastAsia="Arial" w:hAnsi="Arial" w:cs="Arial"/>
          <w:color w:val="000000" w:themeColor="text1"/>
        </w:rPr>
        <w:t xml:space="preserve"> </w:t>
      </w:r>
    </w:p>
    <w:p w14:paraId="475A41E8" w14:textId="69A08172"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In an economy of global scope with a speed of change that increases with every passing day, the mismatch between employers' needs and </w:t>
      </w:r>
      <w:proofErr w:type="spellStart"/>
      <w:r w:rsidRPr="78D3B1AA">
        <w:rPr>
          <w:rFonts w:ascii="Arial" w:eastAsia="Arial" w:hAnsi="Arial" w:cs="Arial"/>
          <w:color w:val="000000" w:themeColor="text1"/>
        </w:rPr>
        <w:t>labour</w:t>
      </w:r>
      <w:proofErr w:type="spellEnd"/>
      <w:r w:rsidRPr="78D3B1AA">
        <w:rPr>
          <w:rFonts w:ascii="Arial" w:eastAsia="Arial" w:hAnsi="Arial" w:cs="Arial"/>
          <w:color w:val="000000" w:themeColor="text1"/>
        </w:rPr>
        <w:t xml:space="preserve"> market supplies of skills has become a determinant barrier to development and innovation. Persistent shortages of skills, particularly in industry sectors most in demand, such as information technology, healthcare, and renewable energy, drive intense competition for talent. Resolving these talent deficits requires </w:t>
      </w:r>
      <w:proofErr w:type="spellStart"/>
      <w:r w:rsidRPr="78D3B1AA">
        <w:rPr>
          <w:rFonts w:ascii="Arial" w:eastAsia="Arial" w:hAnsi="Arial" w:cs="Arial"/>
          <w:color w:val="000000" w:themeColor="text1"/>
        </w:rPr>
        <w:t>organisations</w:t>
      </w:r>
      <w:proofErr w:type="spellEnd"/>
      <w:r w:rsidRPr="78D3B1AA">
        <w:rPr>
          <w:rFonts w:ascii="Arial" w:eastAsia="Arial" w:hAnsi="Arial" w:cs="Arial"/>
          <w:color w:val="000000" w:themeColor="text1"/>
        </w:rPr>
        <w:t xml:space="preserve"> to leave behind reactive hiring and adopt proactive, multi-faceted strategic HRM (</w:t>
      </w:r>
      <w:proofErr w:type="spellStart"/>
      <w:r w:rsidRPr="78D3B1AA">
        <w:rPr>
          <w:rFonts w:ascii="Arial" w:eastAsia="Arial" w:hAnsi="Arial" w:cs="Arial"/>
          <w:color w:val="000000" w:themeColor="text1"/>
        </w:rPr>
        <w:t>Cappelli</w:t>
      </w:r>
      <w:proofErr w:type="spellEnd"/>
      <w:r w:rsidRPr="78D3B1AA">
        <w:rPr>
          <w:rFonts w:ascii="Arial" w:eastAsia="Arial" w:hAnsi="Arial" w:cs="Arial"/>
          <w:color w:val="000000" w:themeColor="text1"/>
        </w:rPr>
        <w:t>, 2015).</w:t>
      </w:r>
    </w:p>
    <w:p w14:paraId="285023B5" w14:textId="5E9D9E46" w:rsidR="279D2C65" w:rsidRDefault="279D2C65" w:rsidP="78D3B1AA">
      <w:pPr>
        <w:pStyle w:val="Heading4"/>
        <w:spacing w:before="319" w:after="319" w:line="360" w:lineRule="auto"/>
        <w:jc w:val="both"/>
        <w:rPr>
          <w:rFonts w:ascii="Arial" w:eastAsia="Arial" w:hAnsi="Arial" w:cs="Arial"/>
          <w:color w:val="000000" w:themeColor="text1"/>
        </w:rPr>
      </w:pPr>
      <w:bookmarkStart w:id="10" w:name="_Toc1263114048"/>
      <w:r w:rsidRPr="78D3B1AA">
        <w:rPr>
          <w:rFonts w:ascii="Arial" w:eastAsia="Arial" w:hAnsi="Arial" w:cs="Arial"/>
          <w:color w:val="000000" w:themeColor="text1"/>
        </w:rPr>
        <w:t>4.1 Finding and Anticipating Skills Shortages</w:t>
      </w:r>
      <w:bookmarkEnd w:id="10"/>
    </w:p>
    <w:p w14:paraId="13B2CD18" w14:textId="379B9655"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Any responsive strategy's building block is a proper diagnosis of current and future skills demands. This involves applying HR analytics and strategic workforce planning to map the </w:t>
      </w:r>
      <w:proofErr w:type="spellStart"/>
      <w:r w:rsidRPr="78D3B1AA">
        <w:rPr>
          <w:rFonts w:ascii="Arial" w:eastAsia="Arial" w:hAnsi="Arial" w:cs="Arial"/>
          <w:color w:val="000000" w:themeColor="text1"/>
        </w:rPr>
        <w:t>organisation's</w:t>
      </w:r>
      <w:proofErr w:type="spellEnd"/>
      <w:r w:rsidRPr="78D3B1AA">
        <w:rPr>
          <w:rFonts w:ascii="Arial" w:eastAsia="Arial" w:hAnsi="Arial" w:cs="Arial"/>
          <w:color w:val="000000" w:themeColor="text1"/>
        </w:rPr>
        <w:t xml:space="preserve"> existing competencies against its future business aspirations (Deloitte, 2023). By analyzing market trends, technology roadmaps, and competition, strategic HR operations can anticipate what skills in the future will be in demand. This forward-thinking approach allows </w:t>
      </w:r>
      <w:proofErr w:type="spellStart"/>
      <w:r w:rsidRPr="78D3B1AA">
        <w:rPr>
          <w:rFonts w:ascii="Arial" w:eastAsia="Arial" w:hAnsi="Arial" w:cs="Arial"/>
          <w:color w:val="000000" w:themeColor="text1"/>
        </w:rPr>
        <w:t>organisations</w:t>
      </w:r>
      <w:proofErr w:type="spellEnd"/>
      <w:r w:rsidRPr="78D3B1AA">
        <w:rPr>
          <w:rFonts w:ascii="Arial" w:eastAsia="Arial" w:hAnsi="Arial" w:cs="Arial"/>
          <w:color w:val="000000" w:themeColor="text1"/>
        </w:rPr>
        <w:t xml:space="preserve"> to take the lead rather than reacting to immediate talent gaps. For example, a manufacturing company that is set to implement smart factory technology must begin developing skills in data analytics, </w:t>
      </w:r>
      <w:proofErr w:type="spellStart"/>
      <w:r w:rsidRPr="78D3B1AA">
        <w:rPr>
          <w:rFonts w:ascii="Arial" w:eastAsia="Arial" w:hAnsi="Arial" w:cs="Arial"/>
          <w:color w:val="000000" w:themeColor="text1"/>
        </w:rPr>
        <w:t>IoT</w:t>
      </w:r>
      <w:proofErr w:type="spellEnd"/>
      <w:r w:rsidRPr="78D3B1AA">
        <w:rPr>
          <w:rFonts w:ascii="Arial" w:eastAsia="Arial" w:hAnsi="Arial" w:cs="Arial"/>
          <w:color w:val="000000" w:themeColor="text1"/>
        </w:rPr>
        <w:t>, and robotics years prior to launch.</w:t>
      </w:r>
    </w:p>
    <w:p w14:paraId="5ACF7A1B" w14:textId="0F84D9A8" w:rsidR="279D2C65" w:rsidRDefault="279D2C65" w:rsidP="78D3B1AA">
      <w:pPr>
        <w:pStyle w:val="Heading4"/>
        <w:spacing w:before="319" w:after="319" w:line="360" w:lineRule="auto"/>
        <w:jc w:val="both"/>
        <w:rPr>
          <w:rFonts w:ascii="Arial" w:eastAsia="Arial" w:hAnsi="Arial" w:cs="Arial"/>
          <w:color w:val="000000" w:themeColor="text1"/>
        </w:rPr>
      </w:pPr>
      <w:bookmarkStart w:id="11" w:name="_Toc1793326389"/>
      <w:r w:rsidRPr="78D3B1AA">
        <w:rPr>
          <w:rFonts w:ascii="Arial" w:eastAsia="Arial" w:hAnsi="Arial" w:cs="Arial"/>
          <w:color w:val="000000" w:themeColor="text1"/>
        </w:rPr>
        <w:t>4.2 Four-Pronged Strategy: Build, Buy, Borrow, and Bridge</w:t>
      </w:r>
      <w:bookmarkEnd w:id="11"/>
    </w:p>
    <w:p w14:paraId="3CD04A74" w14:textId="435D87C2"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Talent strategy is not one-dimensional; it encompasses four strategies. The 'Build' strategy focuses on internal capability building by robust upskilling and reskilling efforts. </w:t>
      </w:r>
      <w:r w:rsidRPr="78D3B1AA">
        <w:rPr>
          <w:rFonts w:ascii="Arial" w:eastAsia="Arial" w:hAnsi="Arial" w:cs="Arial"/>
          <w:color w:val="000000" w:themeColor="text1"/>
        </w:rPr>
        <w:lastRenderedPageBreak/>
        <w:t>The 'Buy' strategy is external recruitment to develop key skills internally that are not in house. The 'Borrow' strategy uses contingent workers, freelancers, and consultants to get specialist skills for specific projects with no continuous overheads. Finally, the 'Bridge' strategy is creating pathways for workers to move into new roles within the company, enhancing mobility and retention (Gartner, 2022). A true strategic approach smoothly balances these four factors based on the specific skill required, the urgency of the need, and the cost-benefit analysis.</w:t>
      </w:r>
    </w:p>
    <w:p w14:paraId="78854496" w14:textId="4AF04579" w:rsidR="279D2C65" w:rsidRDefault="279D2C65" w:rsidP="78D3B1AA">
      <w:pPr>
        <w:pStyle w:val="Heading4"/>
        <w:spacing w:before="319" w:after="319" w:line="360" w:lineRule="auto"/>
        <w:jc w:val="both"/>
        <w:rPr>
          <w:rFonts w:ascii="Arial" w:eastAsia="Arial" w:hAnsi="Arial" w:cs="Arial"/>
          <w:color w:val="000000" w:themeColor="text1"/>
        </w:rPr>
      </w:pPr>
      <w:bookmarkStart w:id="12" w:name="_Toc1833902854"/>
      <w:r w:rsidRPr="78D3B1AA">
        <w:rPr>
          <w:rFonts w:ascii="Arial" w:eastAsia="Arial" w:hAnsi="Arial" w:cs="Arial"/>
          <w:color w:val="000000" w:themeColor="text1"/>
        </w:rPr>
        <w:t>4.3 The Learning and Development Culture Imperative</w:t>
      </w:r>
      <w:bookmarkEnd w:id="12"/>
    </w:p>
    <w:p w14:paraId="5D6EA191" w14:textId="6AB820DE"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Underpinning 'Build' and 'Bridge' strategies is building a pervasive learning and development (L&amp;D) culture. This is more than training course provision; it involves integrating continuous learning into the </w:t>
      </w:r>
      <w:proofErr w:type="spellStart"/>
      <w:r w:rsidRPr="78D3B1AA">
        <w:rPr>
          <w:rFonts w:ascii="Arial" w:eastAsia="Arial" w:hAnsi="Arial" w:cs="Arial"/>
          <w:color w:val="000000" w:themeColor="text1"/>
        </w:rPr>
        <w:t>organisational</w:t>
      </w:r>
      <w:proofErr w:type="spellEnd"/>
      <w:r w:rsidRPr="78D3B1AA">
        <w:rPr>
          <w:rFonts w:ascii="Arial" w:eastAsia="Arial" w:hAnsi="Arial" w:cs="Arial"/>
          <w:color w:val="000000" w:themeColor="text1"/>
        </w:rPr>
        <w:t xml:space="preserve"> culture (</w:t>
      </w:r>
      <w:proofErr w:type="spellStart"/>
      <w:r w:rsidRPr="78D3B1AA">
        <w:rPr>
          <w:rFonts w:ascii="Arial" w:eastAsia="Arial" w:hAnsi="Arial" w:cs="Arial"/>
          <w:color w:val="000000" w:themeColor="text1"/>
        </w:rPr>
        <w:t>Senge</w:t>
      </w:r>
      <w:proofErr w:type="spellEnd"/>
      <w:r w:rsidRPr="78D3B1AA">
        <w:rPr>
          <w:rFonts w:ascii="Arial" w:eastAsia="Arial" w:hAnsi="Arial" w:cs="Arial"/>
          <w:color w:val="000000" w:themeColor="text1"/>
        </w:rPr>
        <w:t>, 2006). This can be achieved by stimulating self-directed learning through e-platforms, creating mentorship and coaching programs, and establishing career-</w:t>
      </w:r>
      <w:proofErr w:type="spellStart"/>
      <w:r w:rsidRPr="78D3B1AA">
        <w:rPr>
          <w:rFonts w:ascii="Arial" w:eastAsia="Arial" w:hAnsi="Arial" w:cs="Arial"/>
          <w:color w:val="000000" w:themeColor="text1"/>
        </w:rPr>
        <w:t>pathing</w:t>
      </w:r>
      <w:proofErr w:type="spellEnd"/>
      <w:r w:rsidRPr="78D3B1AA">
        <w:rPr>
          <w:rFonts w:ascii="Arial" w:eastAsia="Arial" w:hAnsi="Arial" w:cs="Arial"/>
          <w:color w:val="000000" w:themeColor="text1"/>
        </w:rPr>
        <w:t xml:space="preserve"> systems to expose internal opportunities and make them reachable. By making the workforce accountable for its own development and providing it with what they require, </w:t>
      </w:r>
      <w:proofErr w:type="spellStart"/>
      <w:r w:rsidRPr="78D3B1AA">
        <w:rPr>
          <w:rFonts w:ascii="Arial" w:eastAsia="Arial" w:hAnsi="Arial" w:cs="Arial"/>
          <w:color w:val="000000" w:themeColor="text1"/>
        </w:rPr>
        <w:t>organisations</w:t>
      </w:r>
      <w:proofErr w:type="spellEnd"/>
      <w:r w:rsidRPr="78D3B1AA">
        <w:rPr>
          <w:rFonts w:ascii="Arial" w:eastAsia="Arial" w:hAnsi="Arial" w:cs="Arial"/>
          <w:color w:val="000000" w:themeColor="text1"/>
        </w:rPr>
        <w:t xml:space="preserve"> not only fill future skill shortages but also produce a more agile, engaged, and future-fit workforce that makes them an attractive employer and enhances their employer reputation (CIPD, 2023).</w:t>
      </w:r>
    </w:p>
    <w:p w14:paraId="04C23FA9" w14:textId="0C5932C5" w:rsidR="78D3B1AA" w:rsidRDefault="78D3B1AA" w:rsidP="78D3B1AA">
      <w:pPr>
        <w:spacing w:line="360" w:lineRule="auto"/>
        <w:jc w:val="both"/>
        <w:rPr>
          <w:rFonts w:ascii="Arial" w:eastAsia="Arial" w:hAnsi="Arial" w:cs="Arial"/>
          <w:color w:val="000000" w:themeColor="text1"/>
        </w:rPr>
      </w:pPr>
    </w:p>
    <w:p w14:paraId="2020E3DB" w14:textId="7E287EE2" w:rsidR="279D2C65" w:rsidRDefault="279D2C65" w:rsidP="78D3B1AA">
      <w:pPr>
        <w:pStyle w:val="Heading3"/>
        <w:spacing w:before="281" w:after="281" w:line="360" w:lineRule="auto"/>
        <w:jc w:val="both"/>
        <w:rPr>
          <w:rFonts w:ascii="Arial" w:eastAsia="Arial" w:hAnsi="Arial" w:cs="Arial"/>
          <w:color w:val="000000" w:themeColor="text1"/>
        </w:rPr>
      </w:pPr>
      <w:bookmarkStart w:id="13" w:name="_Toc428898817"/>
      <w:r w:rsidRPr="78D3B1AA">
        <w:rPr>
          <w:rFonts w:ascii="Arial" w:eastAsia="Arial" w:hAnsi="Arial" w:cs="Arial"/>
          <w:color w:val="000000" w:themeColor="text1"/>
        </w:rPr>
        <w:t xml:space="preserve">5. Reflective Report: Preparation for the </w:t>
      </w:r>
      <w:proofErr w:type="spellStart"/>
      <w:r w:rsidRPr="78D3B1AA">
        <w:rPr>
          <w:rFonts w:ascii="Arial" w:eastAsia="Arial" w:hAnsi="Arial" w:cs="Arial"/>
          <w:color w:val="000000" w:themeColor="text1"/>
        </w:rPr>
        <w:t>Globalised</w:t>
      </w:r>
      <w:proofErr w:type="spellEnd"/>
      <w:r w:rsidRPr="78D3B1AA">
        <w:rPr>
          <w:rFonts w:ascii="Arial" w:eastAsia="Arial" w:hAnsi="Arial" w:cs="Arial"/>
          <w:color w:val="000000" w:themeColor="text1"/>
        </w:rPr>
        <w:t>, Technology-Based Workplace</w:t>
      </w:r>
      <w:bookmarkEnd w:id="13"/>
      <w:r w:rsidRPr="78D3B1AA">
        <w:rPr>
          <w:rFonts w:ascii="Arial" w:eastAsia="Arial" w:hAnsi="Arial" w:cs="Arial"/>
          <w:color w:val="000000" w:themeColor="text1"/>
        </w:rPr>
        <w:t xml:space="preserve"> </w:t>
      </w:r>
    </w:p>
    <w:p w14:paraId="605D8C2A" w14:textId="16C95D2F" w:rsidR="279D2C65" w:rsidRDefault="279D2C65" w:rsidP="78D3B1AA">
      <w:pPr>
        <w:pStyle w:val="Heading4"/>
        <w:spacing w:before="319" w:after="319" w:line="360" w:lineRule="auto"/>
        <w:jc w:val="both"/>
        <w:rPr>
          <w:rFonts w:ascii="Arial" w:eastAsia="Arial" w:hAnsi="Arial" w:cs="Arial"/>
          <w:color w:val="000000" w:themeColor="text1"/>
        </w:rPr>
      </w:pPr>
      <w:bookmarkStart w:id="14" w:name="_Toc393300696"/>
      <w:r w:rsidRPr="78D3B1AA">
        <w:rPr>
          <w:rFonts w:ascii="Arial" w:eastAsia="Arial" w:hAnsi="Arial" w:cs="Arial"/>
          <w:color w:val="000000" w:themeColor="text1"/>
        </w:rPr>
        <w:t>5.1 Context for Reflection</w:t>
      </w:r>
      <w:bookmarkEnd w:id="14"/>
    </w:p>
    <w:p w14:paraId="1388C3F0" w14:textId="2AE32B8F"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This commentary draws on my six years of experience working professionally as a Project Manager for a mid-sized software-as-a-service (SaaS) company. During the period, the organization has grown from a primarily local business to one with an emerging customer base in Southeast Asia and Europe. This development, alongside the heightened rate of </w:t>
      </w:r>
      <w:r w:rsidRPr="78D3B1AA">
        <w:rPr>
          <w:rFonts w:ascii="Arial" w:eastAsia="Arial" w:hAnsi="Arial" w:cs="Arial"/>
          <w:color w:val="000000" w:themeColor="text1"/>
        </w:rPr>
        <w:lastRenderedPageBreak/>
        <w:t>technical change in our sector, has presented a realistic and often challenging background against which to assess my capacity to operate effectively in a globalized modern environment. This MBA program, and the Human Capital Management module in particular, have provided the conceptual frameworks within which to analyze these experiences and chart an ordered path for improvement.</w:t>
      </w:r>
    </w:p>
    <w:p w14:paraId="718F6C11" w14:textId="4193A38F" w:rsidR="279D2C65" w:rsidRDefault="279D2C65" w:rsidP="78D3B1AA">
      <w:pPr>
        <w:pStyle w:val="Heading4"/>
        <w:spacing w:before="319" w:after="319" w:line="360" w:lineRule="auto"/>
        <w:jc w:val="both"/>
        <w:rPr>
          <w:rFonts w:ascii="Arial" w:eastAsia="Arial" w:hAnsi="Arial" w:cs="Arial"/>
          <w:color w:val="000000" w:themeColor="text1"/>
        </w:rPr>
      </w:pPr>
      <w:bookmarkStart w:id="15" w:name="_Toc516332541"/>
      <w:r w:rsidRPr="78D3B1AA">
        <w:rPr>
          <w:rFonts w:ascii="Arial" w:eastAsia="Arial" w:hAnsi="Arial" w:cs="Arial"/>
          <w:color w:val="000000" w:themeColor="text1"/>
        </w:rPr>
        <w:t>5.2 Critical Self-Assessment of Core Capabilities</w:t>
      </w:r>
      <w:bookmarkEnd w:id="15"/>
    </w:p>
    <w:p w14:paraId="05A8C5E0" w14:textId="606D6D44"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It has involved a high degree of technical competence. One of the key strengths is the higher-level skill I have in a collection of collaboration and project management software (e.g., </w:t>
      </w:r>
      <w:r w:rsidRPr="78D3B1AA">
        <w:rPr>
          <w:rFonts w:ascii="Arial" w:eastAsia="Arial" w:hAnsi="Arial" w:cs="Arial"/>
          <w:i/>
          <w:iCs/>
          <w:color w:val="000000" w:themeColor="text1"/>
        </w:rPr>
        <w:t>Jira, Asana, Slack, Miro</w:t>
      </w:r>
      <w:r w:rsidRPr="78D3B1AA">
        <w:rPr>
          <w:rFonts w:ascii="Arial" w:eastAsia="Arial" w:hAnsi="Arial" w:cs="Arial"/>
          <w:color w:val="000000" w:themeColor="text1"/>
        </w:rPr>
        <w:t xml:space="preserve">). In leading our "Project Atlas" platform launch, I utilized these tools successfully in overseeing a 30-person team distributed over three time zones, ensuring strong communication and timely deadlines. This demonstrates a high ability to leverage technology for the sake of operational effectiveness in the context of a distributed team. Nevertheless, one of the biggest weaknesses is my lack of skills in advanced data analytics. While I can read dashboards and basic reports, I am not skilled enough to utilize tools like </w:t>
      </w:r>
      <w:r w:rsidRPr="78D3B1AA">
        <w:rPr>
          <w:rFonts w:ascii="Arial" w:eastAsia="Arial" w:hAnsi="Arial" w:cs="Arial"/>
          <w:i/>
          <w:iCs/>
          <w:color w:val="000000" w:themeColor="text1"/>
        </w:rPr>
        <w:t>SQL</w:t>
      </w:r>
      <w:r w:rsidRPr="78D3B1AA">
        <w:rPr>
          <w:rFonts w:ascii="Arial" w:eastAsia="Arial" w:hAnsi="Arial" w:cs="Arial"/>
          <w:color w:val="000000" w:themeColor="text1"/>
        </w:rPr>
        <w:t xml:space="preserve"> or </w:t>
      </w:r>
      <w:r w:rsidRPr="78D3B1AA">
        <w:rPr>
          <w:rFonts w:ascii="Arial" w:eastAsia="Arial" w:hAnsi="Arial" w:cs="Arial"/>
          <w:i/>
          <w:iCs/>
          <w:color w:val="000000" w:themeColor="text1"/>
        </w:rPr>
        <w:t>Python</w:t>
      </w:r>
      <w:r w:rsidRPr="78D3B1AA">
        <w:rPr>
          <w:rFonts w:ascii="Arial" w:eastAsia="Arial" w:hAnsi="Arial" w:cs="Arial"/>
          <w:color w:val="000000" w:themeColor="text1"/>
        </w:rPr>
        <w:t xml:space="preserve"> to conduct more advanced, predictive data analysis on project data or user behavior. With data-driven decision-making and AI increasingly at the center of corporate strategy (McAfee and </w:t>
      </w:r>
      <w:proofErr w:type="spellStart"/>
      <w:r w:rsidRPr="78D3B1AA">
        <w:rPr>
          <w:rFonts w:ascii="Arial" w:eastAsia="Arial" w:hAnsi="Arial" w:cs="Arial"/>
          <w:color w:val="000000" w:themeColor="text1"/>
        </w:rPr>
        <w:t>Brynjolfsson</w:t>
      </w:r>
      <w:proofErr w:type="spellEnd"/>
      <w:r w:rsidRPr="78D3B1AA">
        <w:rPr>
          <w:rFonts w:ascii="Arial" w:eastAsia="Arial" w:hAnsi="Arial" w:cs="Arial"/>
          <w:color w:val="000000" w:themeColor="text1"/>
        </w:rPr>
        <w:t>, 2012), this deficit limits my ability to become more strategic in my contribution.</w:t>
      </w:r>
    </w:p>
    <w:p w14:paraId="630217F2" w14:textId="6C85B6B6"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My capacity to communicate technical requirements of an intricate nature to stakeholders across various levels is something I consider a fundamental strength. Stand-up meetings daily, detailed project documentation, and presentations to clients have honed my capability to present briefly, lucidly, and keeping results in view. This was particularly important during a high bug-fix time last year when I had to effectively communicate technical problems from our engineering group into business impact statements for executive-level management. My greatest weakness is the nuances of cross-cultural communication. When communicating with our first German client, I was informed that my direct, task-oriented style of communication, successful in our US office, was </w:t>
      </w:r>
      <w:r w:rsidRPr="78D3B1AA">
        <w:rPr>
          <w:rFonts w:ascii="Arial" w:eastAsia="Arial" w:hAnsi="Arial" w:cs="Arial"/>
          <w:color w:val="000000" w:themeColor="text1"/>
        </w:rPr>
        <w:lastRenderedPageBreak/>
        <w:t>perceived as curt and not providing sufficient relationship-building context. This highlights the need to develop more cultural intelligence (CQ) to adapt my communication style to the different cultural demands (</w:t>
      </w:r>
      <w:proofErr w:type="spellStart"/>
      <w:r w:rsidRPr="78D3B1AA">
        <w:rPr>
          <w:rFonts w:ascii="Arial" w:eastAsia="Arial" w:hAnsi="Arial" w:cs="Arial"/>
          <w:color w:val="000000" w:themeColor="text1"/>
        </w:rPr>
        <w:t>Earley</w:t>
      </w:r>
      <w:proofErr w:type="spellEnd"/>
      <w:r w:rsidRPr="78D3B1AA">
        <w:rPr>
          <w:rFonts w:ascii="Arial" w:eastAsia="Arial" w:hAnsi="Arial" w:cs="Arial"/>
          <w:color w:val="000000" w:themeColor="text1"/>
        </w:rPr>
        <w:t xml:space="preserve"> and </w:t>
      </w:r>
      <w:proofErr w:type="spellStart"/>
      <w:r w:rsidRPr="78D3B1AA">
        <w:rPr>
          <w:rFonts w:ascii="Arial" w:eastAsia="Arial" w:hAnsi="Arial" w:cs="Arial"/>
          <w:color w:val="000000" w:themeColor="text1"/>
        </w:rPr>
        <w:t>Ang</w:t>
      </w:r>
      <w:proofErr w:type="spellEnd"/>
      <w:r w:rsidRPr="78D3B1AA">
        <w:rPr>
          <w:rFonts w:ascii="Arial" w:eastAsia="Arial" w:hAnsi="Arial" w:cs="Arial"/>
          <w:color w:val="000000" w:themeColor="text1"/>
        </w:rPr>
        <w:t>, 2003).</w:t>
      </w:r>
    </w:p>
    <w:p w14:paraId="1D4A4593" w14:textId="3402136B"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I have acquired through experience an enriched appreciation for working in teams, which I regard as a strength. I am adept at developing a collaborative environment in project teams with good communication and collective responsibility for objectives. I always use retrospective sessions so that we ensure all the voices of team members are heard and as a team, we learn from success and failure. The deficit on this side is related to leading, rather than participating, very heterogeneous teams. My teams have been largely homogeneous from both cultural and professional discipline standpoints. I lack extensive experience with actively managing the potential conflicts and communication problems arising in teams with deep diversity (in thought, language, culture), a skill key to successful international management (Stahl et al., 2010).</w:t>
      </w:r>
    </w:p>
    <w:p w14:paraId="106C28C3" w14:textId="1787F7ED"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My skills as a project manager are primarily at the tactical and operations-execution level. I am strongest at defining scope, allocating resources, scheduling timelines, and motivating a team to generate a specified outcome. My leadership is mostly transactional and </w:t>
      </w:r>
      <w:r w:rsidR="5A94E466" w:rsidRPr="78D3B1AA">
        <w:rPr>
          <w:rFonts w:ascii="Arial" w:eastAsia="Arial" w:hAnsi="Arial" w:cs="Arial"/>
          <w:color w:val="000000" w:themeColor="text1"/>
        </w:rPr>
        <w:t>results oriented</w:t>
      </w:r>
      <w:r w:rsidRPr="78D3B1AA">
        <w:rPr>
          <w:rFonts w:ascii="Arial" w:eastAsia="Arial" w:hAnsi="Arial" w:cs="Arial"/>
          <w:color w:val="000000" w:themeColor="text1"/>
        </w:rPr>
        <w:t xml:space="preserve">. Nevertheless, I recognize a blind spot for transformational and strategic leadership. I do not have more experience in crafting a long-term vision, inspiring and empowering a team beyond the project context, and coaching junior staff for long-term career advancement. </w:t>
      </w:r>
      <w:r w:rsidR="4FD0FE3F" w:rsidRPr="78D3B1AA">
        <w:rPr>
          <w:rFonts w:ascii="Arial" w:eastAsia="Arial" w:hAnsi="Arial" w:cs="Arial"/>
          <w:color w:val="000000" w:themeColor="text1"/>
        </w:rPr>
        <w:t>To</w:t>
      </w:r>
      <w:r w:rsidRPr="78D3B1AA">
        <w:rPr>
          <w:rFonts w:ascii="Arial" w:eastAsia="Arial" w:hAnsi="Arial" w:cs="Arial"/>
          <w:color w:val="000000" w:themeColor="text1"/>
        </w:rPr>
        <w:t xml:space="preserve"> progress to senior ranks, I need to develop a more inspirational and people-oriented style of leadership (Bass and </w:t>
      </w:r>
      <w:proofErr w:type="spellStart"/>
      <w:r w:rsidRPr="78D3B1AA">
        <w:rPr>
          <w:rFonts w:ascii="Arial" w:eastAsia="Arial" w:hAnsi="Arial" w:cs="Arial"/>
          <w:color w:val="000000" w:themeColor="text1"/>
        </w:rPr>
        <w:t>Riggio</w:t>
      </w:r>
      <w:proofErr w:type="spellEnd"/>
      <w:r w:rsidRPr="78D3B1AA">
        <w:rPr>
          <w:rFonts w:ascii="Arial" w:eastAsia="Arial" w:hAnsi="Arial" w:cs="Arial"/>
          <w:color w:val="000000" w:themeColor="text1"/>
        </w:rPr>
        <w:t>, 2006).</w:t>
      </w:r>
    </w:p>
    <w:p w14:paraId="7CB0726C" w14:textId="6558D7C1"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An overwhelming strength is my initiative learning process when it comes to project management practices and technology. I motivated myself and got certified as Project Management Professional (PMP) on my own and constantly stay updated on </w:t>
      </w:r>
      <w:r w:rsidRPr="78D3B1AA">
        <w:rPr>
          <w:rFonts w:ascii="Arial" w:eastAsia="Arial" w:hAnsi="Arial" w:cs="Arial"/>
          <w:i/>
          <w:iCs/>
          <w:color w:val="000000" w:themeColor="text1"/>
        </w:rPr>
        <w:t>Agile</w:t>
      </w:r>
      <w:r w:rsidRPr="78D3B1AA">
        <w:rPr>
          <w:rFonts w:ascii="Arial" w:eastAsia="Arial" w:hAnsi="Arial" w:cs="Arial"/>
          <w:color w:val="000000" w:themeColor="text1"/>
        </w:rPr>
        <w:t xml:space="preserve"> and </w:t>
      </w:r>
      <w:r w:rsidRPr="78D3B1AA">
        <w:rPr>
          <w:rFonts w:ascii="Arial" w:eastAsia="Arial" w:hAnsi="Arial" w:cs="Arial"/>
          <w:i/>
          <w:iCs/>
          <w:color w:val="000000" w:themeColor="text1"/>
        </w:rPr>
        <w:t>Scrum</w:t>
      </w:r>
      <w:r w:rsidRPr="78D3B1AA">
        <w:rPr>
          <w:rFonts w:ascii="Arial" w:eastAsia="Arial" w:hAnsi="Arial" w:cs="Arial"/>
          <w:color w:val="000000" w:themeColor="text1"/>
        </w:rPr>
        <w:t xml:space="preserve"> methods by reading company blogs and webinars. This shows initiative and a desire to remain professionally </w:t>
      </w:r>
      <w:r w:rsidR="017911C8" w:rsidRPr="78D3B1AA">
        <w:rPr>
          <w:rFonts w:ascii="Arial" w:eastAsia="Arial" w:hAnsi="Arial" w:cs="Arial"/>
          <w:color w:val="000000" w:themeColor="text1"/>
        </w:rPr>
        <w:t>up to date</w:t>
      </w:r>
      <w:r w:rsidRPr="78D3B1AA">
        <w:rPr>
          <w:rFonts w:ascii="Arial" w:eastAsia="Arial" w:hAnsi="Arial" w:cs="Arial"/>
          <w:color w:val="000000" w:themeColor="text1"/>
        </w:rPr>
        <w:t>. The corresponding weakness is a less methodical approach to developing my 'soft' skills. My own professional development has been reactive, often driven by the immediate needs of a project. I have not followed systematically developed knowledge or training in skills like negotiation, conflict resolution, or cross-cultural leadership, which are just as critical to my long-term success.</w:t>
      </w:r>
    </w:p>
    <w:p w14:paraId="6C7B0C1E" w14:textId="5365BB34" w:rsidR="279D2C65" w:rsidRDefault="279D2C65" w:rsidP="78D3B1AA">
      <w:pPr>
        <w:pStyle w:val="Heading4"/>
        <w:spacing w:before="319" w:after="319" w:line="360" w:lineRule="auto"/>
        <w:jc w:val="both"/>
        <w:rPr>
          <w:rFonts w:ascii="Arial" w:eastAsia="Arial" w:hAnsi="Arial" w:cs="Arial"/>
          <w:color w:val="000000" w:themeColor="text1"/>
        </w:rPr>
      </w:pPr>
      <w:bookmarkStart w:id="16" w:name="_Toc1479062318"/>
      <w:r w:rsidRPr="78D3B1AA">
        <w:rPr>
          <w:rFonts w:ascii="Arial" w:eastAsia="Arial" w:hAnsi="Arial" w:cs="Arial"/>
          <w:color w:val="000000" w:themeColor="text1"/>
        </w:rPr>
        <w:t>5.3 A Personal and Professional Development Plan</w:t>
      </w:r>
      <w:bookmarkEnd w:id="16"/>
    </w:p>
    <w:p w14:paraId="217EEA65" w14:textId="022C655F"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To capitalize on my strengths and address these areas of development, I have created the following plan for development over the next 12-18 months:</w:t>
      </w:r>
    </w:p>
    <w:p w14:paraId="3D240468" w14:textId="283E1093" w:rsidR="279D2C65" w:rsidRDefault="279D2C65" w:rsidP="78D3B1AA">
      <w:pPr>
        <w:pStyle w:val="ListParagraph"/>
        <w:numPr>
          <w:ilvl w:val="0"/>
          <w:numId w:val="1"/>
        </w:num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Build Data Analytics Skill: I will enroll in an online certification course in "</w:t>
      </w:r>
      <w:r w:rsidRPr="78D3B1AA">
        <w:rPr>
          <w:rFonts w:ascii="Arial" w:eastAsia="Arial" w:hAnsi="Arial" w:cs="Arial"/>
          <w:i/>
          <w:iCs/>
          <w:color w:val="000000" w:themeColor="text1"/>
        </w:rPr>
        <w:t>Data Analytics for Business</w:t>
      </w:r>
      <w:r w:rsidRPr="78D3B1AA">
        <w:rPr>
          <w:rFonts w:ascii="Arial" w:eastAsia="Arial" w:hAnsi="Arial" w:cs="Arial"/>
          <w:color w:val="000000" w:themeColor="text1"/>
        </w:rPr>
        <w:t xml:space="preserve">" (e.g., on Coursera or </w:t>
      </w:r>
      <w:proofErr w:type="spellStart"/>
      <w:r w:rsidRPr="78D3B1AA">
        <w:rPr>
          <w:rFonts w:ascii="Arial" w:eastAsia="Arial" w:hAnsi="Arial" w:cs="Arial"/>
          <w:color w:val="000000" w:themeColor="text1"/>
        </w:rPr>
        <w:t>edX</w:t>
      </w:r>
      <w:proofErr w:type="spellEnd"/>
      <w:r w:rsidRPr="78D3B1AA">
        <w:rPr>
          <w:rFonts w:ascii="Arial" w:eastAsia="Arial" w:hAnsi="Arial" w:cs="Arial"/>
          <w:color w:val="000000" w:themeColor="text1"/>
        </w:rPr>
        <w:t xml:space="preserve">) over the next three months, with specific focus on SQL and data </w:t>
      </w:r>
      <w:proofErr w:type="spellStart"/>
      <w:r w:rsidRPr="78D3B1AA">
        <w:rPr>
          <w:rFonts w:ascii="Arial" w:eastAsia="Arial" w:hAnsi="Arial" w:cs="Arial"/>
          <w:color w:val="000000" w:themeColor="text1"/>
        </w:rPr>
        <w:t>visualisation</w:t>
      </w:r>
      <w:proofErr w:type="spellEnd"/>
      <w:r w:rsidRPr="78D3B1AA">
        <w:rPr>
          <w:rFonts w:ascii="Arial" w:eastAsia="Arial" w:hAnsi="Arial" w:cs="Arial"/>
          <w:color w:val="000000" w:themeColor="text1"/>
        </w:rPr>
        <w:t xml:space="preserve"> tools like </w:t>
      </w:r>
      <w:r w:rsidRPr="78D3B1AA">
        <w:rPr>
          <w:rFonts w:ascii="Arial" w:eastAsia="Arial" w:hAnsi="Arial" w:cs="Arial"/>
          <w:i/>
          <w:iCs/>
          <w:color w:val="000000" w:themeColor="text1"/>
        </w:rPr>
        <w:t>Tableau</w:t>
      </w:r>
      <w:r w:rsidRPr="78D3B1AA">
        <w:rPr>
          <w:rFonts w:ascii="Arial" w:eastAsia="Arial" w:hAnsi="Arial" w:cs="Arial"/>
          <w:color w:val="000000" w:themeColor="text1"/>
        </w:rPr>
        <w:t>. I will apply this skill by proposing and leading a pilot-scale data analysis exercise at workplace to establish efficiency gains in our development cycle.</w:t>
      </w:r>
    </w:p>
    <w:p w14:paraId="7403943B" w14:textId="16F89C28" w:rsidR="279D2C65" w:rsidRDefault="279D2C65" w:rsidP="78D3B1AA">
      <w:pPr>
        <w:pStyle w:val="ListParagraph"/>
        <w:numPr>
          <w:ilvl w:val="0"/>
          <w:numId w:val="1"/>
        </w:num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Develop Cultural Intelligence (CQ): I will opt for taking the "</w:t>
      </w:r>
      <w:r w:rsidRPr="78D3B1AA">
        <w:rPr>
          <w:rFonts w:ascii="Arial" w:eastAsia="Arial" w:hAnsi="Arial" w:cs="Arial"/>
          <w:i/>
          <w:iCs/>
          <w:color w:val="000000" w:themeColor="text1"/>
        </w:rPr>
        <w:t>Leading in a Global Context</w:t>
      </w:r>
      <w:r w:rsidRPr="78D3B1AA">
        <w:rPr>
          <w:rFonts w:ascii="Arial" w:eastAsia="Arial" w:hAnsi="Arial" w:cs="Arial"/>
          <w:color w:val="000000" w:themeColor="text1"/>
        </w:rPr>
        <w:t>" module during the next semester. To build practical application, I will volunteer to lead the onboarding and integration of our newly acquired offshore development team in India and actively seek out mentorship from our VP of International Operations.</w:t>
      </w:r>
    </w:p>
    <w:p w14:paraId="1FBA6209" w14:textId="756D30CC" w:rsidR="279D2C65" w:rsidRDefault="279D2C65" w:rsidP="78D3B1AA">
      <w:pPr>
        <w:pStyle w:val="ListParagraph"/>
        <w:numPr>
          <w:ilvl w:val="0"/>
          <w:numId w:val="1"/>
        </w:num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Become Transformational Leaders: I will look for opportunities to coach at least two junior colleagues in the coming year. I will enroll in a course that focuses on coaching and motivational skills and will request 360-degree feedback to learn more about my leadership impact and areas of growth.</w:t>
      </w:r>
    </w:p>
    <w:p w14:paraId="063A4C38" w14:textId="00D09A88" w:rsidR="279D2C65" w:rsidRDefault="279D2C65" w:rsidP="78D3B1AA">
      <w:pPr>
        <w:pStyle w:val="ListParagraph"/>
        <w:numPr>
          <w:ilvl w:val="0"/>
          <w:numId w:val="1"/>
        </w:numPr>
        <w:spacing w:before="240" w:after="240" w:line="360" w:lineRule="auto"/>
        <w:jc w:val="both"/>
        <w:rPr>
          <w:rFonts w:ascii="Arial" w:eastAsia="Arial" w:hAnsi="Arial" w:cs="Arial"/>
          <w:color w:val="000000" w:themeColor="text1"/>
        </w:rPr>
      </w:pPr>
      <w:proofErr w:type="spellStart"/>
      <w:r w:rsidRPr="78D3B1AA">
        <w:rPr>
          <w:rFonts w:ascii="Arial" w:eastAsia="Arial" w:hAnsi="Arial" w:cs="Arial"/>
          <w:color w:val="000000" w:themeColor="text1"/>
        </w:rPr>
        <w:t>Systematise</w:t>
      </w:r>
      <w:proofErr w:type="spellEnd"/>
      <w:r w:rsidRPr="78D3B1AA">
        <w:rPr>
          <w:rFonts w:ascii="Arial" w:eastAsia="Arial" w:hAnsi="Arial" w:cs="Arial"/>
          <w:color w:val="000000" w:themeColor="text1"/>
        </w:rPr>
        <w:t xml:space="preserve"> Soft Skill Development: I will dedicate time every month to reading fundamental books on negotiation and communication (e.g., "</w:t>
      </w:r>
      <w:r w:rsidRPr="78D3B1AA">
        <w:rPr>
          <w:rFonts w:ascii="Arial" w:eastAsia="Arial" w:hAnsi="Arial" w:cs="Arial"/>
          <w:i/>
          <w:iCs/>
          <w:color w:val="000000" w:themeColor="text1"/>
        </w:rPr>
        <w:t>Getting to Yes</w:t>
      </w:r>
      <w:r w:rsidRPr="78D3B1AA">
        <w:rPr>
          <w:rFonts w:ascii="Arial" w:eastAsia="Arial" w:hAnsi="Arial" w:cs="Arial"/>
          <w:color w:val="000000" w:themeColor="text1"/>
        </w:rPr>
        <w:t>," "</w:t>
      </w:r>
      <w:r w:rsidRPr="78D3B1AA">
        <w:rPr>
          <w:rFonts w:ascii="Arial" w:eastAsia="Arial" w:hAnsi="Arial" w:cs="Arial"/>
          <w:i/>
          <w:iCs/>
          <w:color w:val="000000" w:themeColor="text1"/>
        </w:rPr>
        <w:t>Crucial Conversations</w:t>
      </w:r>
      <w:r w:rsidRPr="78D3B1AA">
        <w:rPr>
          <w:rFonts w:ascii="Arial" w:eastAsia="Arial" w:hAnsi="Arial" w:cs="Arial"/>
          <w:color w:val="000000" w:themeColor="text1"/>
        </w:rPr>
        <w:t>"). I will also join the university's MBA Toastmasters club so that I can hone public speaking and persuasive communication skills in a formal, encouraging environment.</w:t>
      </w:r>
    </w:p>
    <w:p w14:paraId="0B1AE74A" w14:textId="1572A23C"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Through putting this plan into action, I intend to transform myself from a successful operations manager into a more strategic, global-minded, and data-driven leader, ready to thrive in today's fast-paced and challenging work environment.</w:t>
      </w:r>
    </w:p>
    <w:p w14:paraId="684B4D84" w14:textId="53A3075D" w:rsidR="78D3B1AA" w:rsidRDefault="78D3B1AA" w:rsidP="78D3B1AA">
      <w:pPr>
        <w:spacing w:line="360" w:lineRule="auto"/>
        <w:jc w:val="both"/>
        <w:rPr>
          <w:rFonts w:ascii="Arial" w:eastAsia="Arial" w:hAnsi="Arial" w:cs="Arial"/>
          <w:color w:val="000000" w:themeColor="text1"/>
        </w:rPr>
      </w:pPr>
    </w:p>
    <w:p w14:paraId="25063CC9" w14:textId="56D5B1A7" w:rsidR="279D2C65" w:rsidRDefault="279D2C65" w:rsidP="78D3B1AA">
      <w:pPr>
        <w:pStyle w:val="Heading3"/>
        <w:spacing w:before="281" w:after="281" w:line="360" w:lineRule="auto"/>
        <w:jc w:val="both"/>
        <w:rPr>
          <w:rFonts w:ascii="Arial" w:eastAsia="Arial" w:hAnsi="Arial" w:cs="Arial"/>
          <w:color w:val="000000" w:themeColor="text1"/>
        </w:rPr>
      </w:pPr>
      <w:bookmarkStart w:id="17" w:name="_Toc1541539767"/>
      <w:r w:rsidRPr="78D3B1AA">
        <w:rPr>
          <w:rFonts w:ascii="Arial" w:eastAsia="Arial" w:hAnsi="Arial" w:cs="Arial"/>
          <w:color w:val="000000" w:themeColor="text1"/>
        </w:rPr>
        <w:t>6. Conclusion</w:t>
      </w:r>
      <w:bookmarkEnd w:id="17"/>
    </w:p>
    <w:p w14:paraId="652C7A29" w14:textId="3980C028"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Throughout this report, the profound transformations underway in national and international </w:t>
      </w:r>
      <w:proofErr w:type="spellStart"/>
      <w:r w:rsidRPr="78D3B1AA">
        <w:rPr>
          <w:rFonts w:ascii="Arial" w:eastAsia="Arial" w:hAnsi="Arial" w:cs="Arial"/>
          <w:color w:val="000000" w:themeColor="text1"/>
        </w:rPr>
        <w:t>labour</w:t>
      </w:r>
      <w:proofErr w:type="spellEnd"/>
      <w:r w:rsidRPr="78D3B1AA">
        <w:rPr>
          <w:rFonts w:ascii="Arial" w:eastAsia="Arial" w:hAnsi="Arial" w:cs="Arial"/>
          <w:color w:val="000000" w:themeColor="text1"/>
        </w:rPr>
        <w:t xml:space="preserve"> markets have been explored systematically. Evidently, the trinity of </w:t>
      </w:r>
      <w:r w:rsidR="60915A6E" w:rsidRPr="78D3B1AA">
        <w:rPr>
          <w:rFonts w:ascii="Arial" w:eastAsia="Arial" w:hAnsi="Arial" w:cs="Arial"/>
          <w:color w:val="000000" w:themeColor="text1"/>
        </w:rPr>
        <w:t>driver's</w:t>
      </w:r>
      <w:r w:rsidRPr="78D3B1AA">
        <w:rPr>
          <w:rFonts w:ascii="Arial" w:eastAsia="Arial" w:hAnsi="Arial" w:cs="Arial"/>
          <w:color w:val="000000" w:themeColor="text1"/>
        </w:rPr>
        <w:t xml:space="preserve"> </w:t>
      </w:r>
      <w:r w:rsidRPr="78D3B1AA">
        <w:rPr>
          <w:rFonts w:ascii="Arial" w:eastAsia="Arial" w:hAnsi="Arial" w:cs="Arial"/>
          <w:i/>
          <w:iCs/>
          <w:color w:val="000000" w:themeColor="text1"/>
        </w:rPr>
        <w:t>technology</w:t>
      </w:r>
      <w:r w:rsidRPr="78D3B1AA">
        <w:rPr>
          <w:rFonts w:ascii="Arial" w:eastAsia="Arial" w:hAnsi="Arial" w:cs="Arial"/>
          <w:color w:val="000000" w:themeColor="text1"/>
        </w:rPr>
        <w:t xml:space="preserve">, </w:t>
      </w:r>
      <w:r w:rsidRPr="78D3B1AA">
        <w:rPr>
          <w:rFonts w:ascii="Arial" w:eastAsia="Arial" w:hAnsi="Arial" w:cs="Arial"/>
          <w:i/>
          <w:iCs/>
          <w:color w:val="000000" w:themeColor="text1"/>
        </w:rPr>
        <w:t>demography</w:t>
      </w:r>
      <w:r w:rsidRPr="78D3B1AA">
        <w:rPr>
          <w:rFonts w:ascii="Arial" w:eastAsia="Arial" w:hAnsi="Arial" w:cs="Arial"/>
          <w:color w:val="000000" w:themeColor="text1"/>
        </w:rPr>
        <w:t xml:space="preserve">, and </w:t>
      </w:r>
      <w:r w:rsidRPr="78D3B1AA">
        <w:rPr>
          <w:rFonts w:ascii="Arial" w:eastAsia="Arial" w:hAnsi="Arial" w:cs="Arial"/>
          <w:i/>
          <w:iCs/>
          <w:color w:val="000000" w:themeColor="text1"/>
        </w:rPr>
        <w:t>geopolitics</w:t>
      </w:r>
      <w:r w:rsidRPr="78D3B1AA">
        <w:rPr>
          <w:rFonts w:ascii="Arial" w:eastAsia="Arial" w:hAnsi="Arial" w:cs="Arial"/>
          <w:color w:val="000000" w:themeColor="text1"/>
        </w:rPr>
        <w:t xml:space="preserve"> are transforming the world of </w:t>
      </w:r>
      <w:proofErr w:type="spellStart"/>
      <w:r w:rsidRPr="78D3B1AA">
        <w:rPr>
          <w:rFonts w:ascii="Arial" w:eastAsia="Arial" w:hAnsi="Arial" w:cs="Arial"/>
          <w:color w:val="000000" w:themeColor="text1"/>
        </w:rPr>
        <w:t>organisations</w:t>
      </w:r>
      <w:proofErr w:type="spellEnd"/>
      <w:r w:rsidRPr="78D3B1AA">
        <w:rPr>
          <w:rFonts w:ascii="Arial" w:eastAsia="Arial" w:hAnsi="Arial" w:cs="Arial"/>
          <w:color w:val="000000" w:themeColor="text1"/>
        </w:rPr>
        <w:t xml:space="preserve"> and human capital. Technological transformation is both displacing and adding jobs, requiring an </w:t>
      </w:r>
      <w:proofErr w:type="spellStart"/>
      <w:r w:rsidRPr="78D3B1AA">
        <w:rPr>
          <w:rFonts w:ascii="Arial" w:eastAsia="Arial" w:hAnsi="Arial" w:cs="Arial"/>
          <w:color w:val="000000" w:themeColor="text1"/>
        </w:rPr>
        <w:t>organisational</w:t>
      </w:r>
      <w:proofErr w:type="spellEnd"/>
      <w:r w:rsidRPr="78D3B1AA">
        <w:rPr>
          <w:rFonts w:ascii="Arial" w:eastAsia="Arial" w:hAnsi="Arial" w:cs="Arial"/>
          <w:color w:val="000000" w:themeColor="text1"/>
        </w:rPr>
        <w:t xml:space="preserve"> transformation towards ongoing learning and digital literacy. Changes in population and geopolitical uncertainty are toughening the war for talent and requiring HR functions to transform themselves into strategic workforce planners, risk managers, and inclusivity champions. In response, strategic HRM offers a very important toolkit, enabling </w:t>
      </w:r>
      <w:proofErr w:type="spellStart"/>
      <w:r w:rsidRPr="78D3B1AA">
        <w:rPr>
          <w:rFonts w:ascii="Arial" w:eastAsia="Arial" w:hAnsi="Arial" w:cs="Arial"/>
          <w:color w:val="000000" w:themeColor="text1"/>
        </w:rPr>
        <w:t>organisations</w:t>
      </w:r>
      <w:proofErr w:type="spellEnd"/>
      <w:r w:rsidRPr="78D3B1AA">
        <w:rPr>
          <w:rFonts w:ascii="Arial" w:eastAsia="Arial" w:hAnsi="Arial" w:cs="Arial"/>
          <w:color w:val="000000" w:themeColor="text1"/>
        </w:rPr>
        <w:t xml:space="preserve"> to constructively build, buy, borrow, and bridge people to tackle skills shortages and ensure competitive advantage.</w:t>
      </w:r>
    </w:p>
    <w:p w14:paraId="0089B141" w14:textId="03A9F211" w:rsidR="279D2C65" w:rsidRDefault="279D2C65" w:rsidP="78D3B1AA">
      <w:pPr>
        <w:spacing w:before="240" w:after="24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The last personal reflection points out that </w:t>
      </w:r>
      <w:proofErr w:type="spellStart"/>
      <w:r w:rsidRPr="78D3B1AA">
        <w:rPr>
          <w:rFonts w:ascii="Arial" w:eastAsia="Arial" w:hAnsi="Arial" w:cs="Arial"/>
          <w:color w:val="000000" w:themeColor="text1"/>
        </w:rPr>
        <w:t>organisational</w:t>
      </w:r>
      <w:proofErr w:type="spellEnd"/>
      <w:r w:rsidRPr="78D3B1AA">
        <w:rPr>
          <w:rFonts w:ascii="Arial" w:eastAsia="Arial" w:hAnsi="Arial" w:cs="Arial"/>
          <w:color w:val="000000" w:themeColor="text1"/>
        </w:rPr>
        <w:t xml:space="preserve"> problems are mirrored at an individual level. For professionals aspiring to lead within this new landscape, operational capability is not sufficient anymore. It is the combination of technology literacy, cultural awareness, adaptive leadership, and never-ending self-directed learning that has become the recipe for success. Adjusting to the future of work is therefore a double-sided ride where strategic change is required by both the </w:t>
      </w:r>
      <w:proofErr w:type="spellStart"/>
      <w:r w:rsidRPr="78D3B1AA">
        <w:rPr>
          <w:rFonts w:ascii="Arial" w:eastAsia="Arial" w:hAnsi="Arial" w:cs="Arial"/>
          <w:color w:val="000000" w:themeColor="text1"/>
        </w:rPr>
        <w:t>organisation</w:t>
      </w:r>
      <w:proofErr w:type="spellEnd"/>
      <w:r w:rsidRPr="78D3B1AA">
        <w:rPr>
          <w:rFonts w:ascii="Arial" w:eastAsia="Arial" w:hAnsi="Arial" w:cs="Arial"/>
          <w:color w:val="000000" w:themeColor="text1"/>
        </w:rPr>
        <w:t xml:space="preserve"> and individuals that constitute it.</w:t>
      </w:r>
    </w:p>
    <w:p w14:paraId="414B9A99" w14:textId="12B62609" w:rsidR="78D3B1AA" w:rsidRDefault="78D3B1AA" w:rsidP="78D3B1AA">
      <w:pPr>
        <w:spacing w:line="360" w:lineRule="auto"/>
        <w:jc w:val="both"/>
        <w:rPr>
          <w:rFonts w:ascii="Arial" w:eastAsia="Arial" w:hAnsi="Arial" w:cs="Arial"/>
          <w:color w:val="000000" w:themeColor="text1"/>
        </w:rPr>
      </w:pPr>
      <w:r w:rsidRPr="78D3B1AA">
        <w:rPr>
          <w:rFonts w:ascii="Arial" w:eastAsia="Arial" w:hAnsi="Arial" w:cs="Arial"/>
          <w:color w:val="000000" w:themeColor="text1"/>
        </w:rPr>
        <w:br w:type="page"/>
      </w:r>
    </w:p>
    <w:p w14:paraId="06AF9D60" w14:textId="0F0107E6" w:rsidR="48B61D84" w:rsidRDefault="48B61D84" w:rsidP="78D3B1AA">
      <w:pPr>
        <w:pStyle w:val="Heading2"/>
        <w:spacing w:line="360" w:lineRule="auto"/>
        <w:jc w:val="both"/>
        <w:rPr>
          <w:rFonts w:ascii="Arial" w:eastAsia="Arial" w:hAnsi="Arial" w:cs="Arial"/>
          <w:color w:val="000000" w:themeColor="text1"/>
        </w:rPr>
      </w:pPr>
      <w:bookmarkStart w:id="18" w:name="_Toc284508229"/>
      <w:r w:rsidRPr="78D3B1AA">
        <w:rPr>
          <w:rFonts w:ascii="Arial" w:eastAsia="Arial" w:hAnsi="Arial" w:cs="Arial"/>
          <w:color w:val="000000" w:themeColor="text1"/>
        </w:rPr>
        <w:t>References</w:t>
      </w:r>
      <w:bookmarkEnd w:id="18"/>
    </w:p>
    <w:p w14:paraId="57343E00" w14:textId="1101A856" w:rsidR="48B61D84" w:rsidRDefault="48B61D84" w:rsidP="78D3B1AA">
      <w:pPr>
        <w:spacing w:before="120" w:after="120" w:line="360" w:lineRule="auto"/>
        <w:jc w:val="both"/>
        <w:rPr>
          <w:rFonts w:ascii="Arial" w:eastAsia="Arial" w:hAnsi="Arial" w:cs="Arial"/>
          <w:color w:val="000000" w:themeColor="text1"/>
        </w:rPr>
      </w:pPr>
      <w:proofErr w:type="spellStart"/>
      <w:r w:rsidRPr="78D3B1AA">
        <w:rPr>
          <w:rFonts w:ascii="Arial" w:eastAsia="Arial" w:hAnsi="Arial" w:cs="Arial"/>
          <w:color w:val="000000" w:themeColor="text1"/>
        </w:rPr>
        <w:t>Acemoglu</w:t>
      </w:r>
      <w:proofErr w:type="spellEnd"/>
      <w:r w:rsidRPr="78D3B1AA">
        <w:rPr>
          <w:rFonts w:ascii="Arial" w:eastAsia="Arial" w:hAnsi="Arial" w:cs="Arial"/>
          <w:color w:val="000000" w:themeColor="text1"/>
        </w:rPr>
        <w:t xml:space="preserve">, D. and </w:t>
      </w:r>
      <w:proofErr w:type="spellStart"/>
      <w:r w:rsidRPr="78D3B1AA">
        <w:rPr>
          <w:rFonts w:ascii="Arial" w:eastAsia="Arial" w:hAnsi="Arial" w:cs="Arial"/>
          <w:color w:val="000000" w:themeColor="text1"/>
        </w:rPr>
        <w:t>Restrepo</w:t>
      </w:r>
      <w:proofErr w:type="spellEnd"/>
      <w:r w:rsidRPr="78D3B1AA">
        <w:rPr>
          <w:rFonts w:ascii="Arial" w:eastAsia="Arial" w:hAnsi="Arial" w:cs="Arial"/>
          <w:color w:val="000000" w:themeColor="text1"/>
        </w:rPr>
        <w:t xml:space="preserve">, P. (2019) ‘Automation and new tasks: How technology displaces and reinstates labor’, </w:t>
      </w:r>
      <w:r w:rsidRPr="78D3B1AA">
        <w:rPr>
          <w:rFonts w:ascii="Arial" w:eastAsia="Arial" w:hAnsi="Arial" w:cs="Arial"/>
          <w:i/>
          <w:iCs/>
          <w:color w:val="000000" w:themeColor="text1"/>
        </w:rPr>
        <w:t>Journal of Economic Perspectives</w:t>
      </w:r>
      <w:r w:rsidRPr="78D3B1AA">
        <w:rPr>
          <w:rFonts w:ascii="Arial" w:eastAsia="Arial" w:hAnsi="Arial" w:cs="Arial"/>
          <w:color w:val="000000" w:themeColor="text1"/>
        </w:rPr>
        <w:t>, 33(2), pp. 3–30.</w:t>
      </w:r>
    </w:p>
    <w:p w14:paraId="69DE9E5B" w14:textId="073D4CA0" w:rsidR="48B61D84" w:rsidRDefault="48B61D84" w:rsidP="78D3B1AA">
      <w:pPr>
        <w:spacing w:before="240" w:after="120" w:line="360" w:lineRule="auto"/>
        <w:jc w:val="both"/>
        <w:rPr>
          <w:rFonts w:ascii="Arial" w:eastAsia="Arial" w:hAnsi="Arial" w:cs="Arial"/>
          <w:color w:val="000000" w:themeColor="text1"/>
        </w:rPr>
      </w:pPr>
      <w:proofErr w:type="spellStart"/>
      <w:r w:rsidRPr="78D3B1AA">
        <w:rPr>
          <w:rFonts w:ascii="Arial" w:eastAsia="Arial" w:hAnsi="Arial" w:cs="Arial"/>
          <w:color w:val="000000" w:themeColor="text1"/>
        </w:rPr>
        <w:t>Autor</w:t>
      </w:r>
      <w:proofErr w:type="spellEnd"/>
      <w:r w:rsidRPr="78D3B1AA">
        <w:rPr>
          <w:rFonts w:ascii="Arial" w:eastAsia="Arial" w:hAnsi="Arial" w:cs="Arial"/>
          <w:color w:val="000000" w:themeColor="text1"/>
        </w:rPr>
        <w:t xml:space="preserve">, D.H. (2015) ‘Why are there still so many jobs? The history and future of workplace automation’, </w:t>
      </w:r>
      <w:r w:rsidRPr="78D3B1AA">
        <w:rPr>
          <w:rFonts w:ascii="Arial" w:eastAsia="Arial" w:hAnsi="Arial" w:cs="Arial"/>
          <w:i/>
          <w:iCs/>
          <w:color w:val="000000" w:themeColor="text1"/>
        </w:rPr>
        <w:t>Journal of Economic Perspectives</w:t>
      </w:r>
      <w:r w:rsidRPr="78D3B1AA">
        <w:rPr>
          <w:rFonts w:ascii="Arial" w:eastAsia="Arial" w:hAnsi="Arial" w:cs="Arial"/>
          <w:color w:val="000000" w:themeColor="text1"/>
        </w:rPr>
        <w:t>, 29(3), pp. 3–30.</w:t>
      </w:r>
    </w:p>
    <w:p w14:paraId="048402F3" w14:textId="1246DADE" w:rsidR="48B61D84" w:rsidRDefault="48B61D84" w:rsidP="78D3B1AA">
      <w:pPr>
        <w:spacing w:before="240" w:after="12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Bass, B.M. and </w:t>
      </w:r>
      <w:proofErr w:type="spellStart"/>
      <w:r w:rsidRPr="78D3B1AA">
        <w:rPr>
          <w:rFonts w:ascii="Arial" w:eastAsia="Arial" w:hAnsi="Arial" w:cs="Arial"/>
          <w:color w:val="000000" w:themeColor="text1"/>
        </w:rPr>
        <w:t>Riggio</w:t>
      </w:r>
      <w:proofErr w:type="spellEnd"/>
      <w:r w:rsidRPr="78D3B1AA">
        <w:rPr>
          <w:rFonts w:ascii="Arial" w:eastAsia="Arial" w:hAnsi="Arial" w:cs="Arial"/>
          <w:color w:val="000000" w:themeColor="text1"/>
        </w:rPr>
        <w:t xml:space="preserve">, R.E. (2006) </w:t>
      </w:r>
      <w:r w:rsidRPr="78D3B1AA">
        <w:rPr>
          <w:rFonts w:ascii="Arial" w:eastAsia="Arial" w:hAnsi="Arial" w:cs="Arial"/>
          <w:i/>
          <w:iCs/>
          <w:color w:val="000000" w:themeColor="text1"/>
        </w:rPr>
        <w:t>Transformational leadership</w:t>
      </w:r>
      <w:r w:rsidRPr="78D3B1AA">
        <w:rPr>
          <w:rFonts w:ascii="Arial" w:eastAsia="Arial" w:hAnsi="Arial" w:cs="Arial"/>
          <w:color w:val="000000" w:themeColor="text1"/>
        </w:rPr>
        <w:t xml:space="preserve">. 2nd </w:t>
      </w:r>
      <w:proofErr w:type="spellStart"/>
      <w:r w:rsidRPr="78D3B1AA">
        <w:rPr>
          <w:rFonts w:ascii="Arial" w:eastAsia="Arial" w:hAnsi="Arial" w:cs="Arial"/>
          <w:color w:val="000000" w:themeColor="text1"/>
        </w:rPr>
        <w:t>edn</w:t>
      </w:r>
      <w:proofErr w:type="spellEnd"/>
      <w:r w:rsidRPr="78D3B1AA">
        <w:rPr>
          <w:rFonts w:ascii="Arial" w:eastAsia="Arial" w:hAnsi="Arial" w:cs="Arial"/>
          <w:color w:val="000000" w:themeColor="text1"/>
        </w:rPr>
        <w:t>. Mahwah, NJ: Lawrence Erlbaum Associates.</w:t>
      </w:r>
    </w:p>
    <w:p w14:paraId="0A505DB9" w14:textId="4E59824C" w:rsidR="48B61D84" w:rsidRDefault="48B61D84" w:rsidP="78D3B1AA">
      <w:pPr>
        <w:spacing w:before="240" w:after="120" w:line="360" w:lineRule="auto"/>
        <w:jc w:val="both"/>
        <w:rPr>
          <w:rFonts w:ascii="Arial" w:eastAsia="Arial" w:hAnsi="Arial" w:cs="Arial"/>
          <w:color w:val="000000" w:themeColor="text1"/>
        </w:rPr>
      </w:pPr>
      <w:r w:rsidRPr="78D3B1AA">
        <w:rPr>
          <w:rFonts w:ascii="Arial" w:eastAsia="Arial" w:hAnsi="Arial" w:cs="Arial"/>
          <w:color w:val="000000" w:themeColor="text1"/>
        </w:rPr>
        <w:t>Boudreau, J.W. and Ramstad, P.M. (2005) ‘</w:t>
      </w:r>
      <w:proofErr w:type="spellStart"/>
      <w:r w:rsidRPr="78D3B1AA">
        <w:rPr>
          <w:rFonts w:ascii="Arial" w:eastAsia="Arial" w:hAnsi="Arial" w:cs="Arial"/>
          <w:color w:val="000000" w:themeColor="text1"/>
        </w:rPr>
        <w:t>Talentship</w:t>
      </w:r>
      <w:proofErr w:type="spellEnd"/>
      <w:r w:rsidRPr="78D3B1AA">
        <w:rPr>
          <w:rFonts w:ascii="Arial" w:eastAsia="Arial" w:hAnsi="Arial" w:cs="Arial"/>
          <w:color w:val="000000" w:themeColor="text1"/>
        </w:rPr>
        <w:t xml:space="preserve">, talent segmentation, and sustainability: A new HR framework for linking talent to business strategy’, </w:t>
      </w:r>
      <w:r w:rsidRPr="78D3B1AA">
        <w:rPr>
          <w:rFonts w:ascii="Arial" w:eastAsia="Arial" w:hAnsi="Arial" w:cs="Arial"/>
          <w:i/>
          <w:iCs/>
          <w:color w:val="000000" w:themeColor="text1"/>
        </w:rPr>
        <w:t>Human Resource Management</w:t>
      </w:r>
      <w:r w:rsidRPr="78D3B1AA">
        <w:rPr>
          <w:rFonts w:ascii="Arial" w:eastAsia="Arial" w:hAnsi="Arial" w:cs="Arial"/>
          <w:color w:val="000000" w:themeColor="text1"/>
        </w:rPr>
        <w:t>, 44(2), pp. 129–136.</w:t>
      </w:r>
    </w:p>
    <w:p w14:paraId="5F755F9C" w14:textId="769E6CE3" w:rsidR="48B61D84" w:rsidRDefault="48B61D84" w:rsidP="78D3B1AA">
      <w:pPr>
        <w:spacing w:before="240" w:after="120" w:line="360" w:lineRule="auto"/>
        <w:jc w:val="both"/>
        <w:rPr>
          <w:rFonts w:ascii="Arial" w:eastAsia="Arial" w:hAnsi="Arial" w:cs="Arial"/>
          <w:color w:val="000000" w:themeColor="text1"/>
        </w:rPr>
      </w:pPr>
      <w:proofErr w:type="spellStart"/>
      <w:r w:rsidRPr="78D3B1AA">
        <w:rPr>
          <w:rFonts w:ascii="Arial" w:eastAsia="Arial" w:hAnsi="Arial" w:cs="Arial"/>
          <w:color w:val="000000" w:themeColor="text1"/>
        </w:rPr>
        <w:t>Caligiuri</w:t>
      </w:r>
      <w:proofErr w:type="spellEnd"/>
      <w:r w:rsidRPr="78D3B1AA">
        <w:rPr>
          <w:rFonts w:ascii="Arial" w:eastAsia="Arial" w:hAnsi="Arial" w:cs="Arial"/>
          <w:color w:val="000000" w:themeColor="text1"/>
        </w:rPr>
        <w:t xml:space="preserve">, P. (2021) ‘The future of IHRM: a research agenda from the pages of JIBS’, </w:t>
      </w:r>
      <w:r w:rsidRPr="78D3B1AA">
        <w:rPr>
          <w:rFonts w:ascii="Arial" w:eastAsia="Arial" w:hAnsi="Arial" w:cs="Arial"/>
          <w:i/>
          <w:iCs/>
          <w:color w:val="000000" w:themeColor="text1"/>
        </w:rPr>
        <w:t>Journal of International Business Studies</w:t>
      </w:r>
      <w:r w:rsidRPr="78D3B1AA">
        <w:rPr>
          <w:rFonts w:ascii="Arial" w:eastAsia="Arial" w:hAnsi="Arial" w:cs="Arial"/>
          <w:color w:val="000000" w:themeColor="text1"/>
        </w:rPr>
        <w:t>, 52(8), pp. 1654–1671.</w:t>
      </w:r>
    </w:p>
    <w:p w14:paraId="54996D44" w14:textId="55C82DA5" w:rsidR="48B61D84" w:rsidRDefault="48B61D84" w:rsidP="78D3B1AA">
      <w:pPr>
        <w:spacing w:before="240" w:after="120" w:line="360" w:lineRule="auto"/>
        <w:jc w:val="both"/>
        <w:rPr>
          <w:rFonts w:ascii="Arial" w:eastAsia="Arial" w:hAnsi="Arial" w:cs="Arial"/>
          <w:color w:val="000000" w:themeColor="text1"/>
        </w:rPr>
      </w:pPr>
      <w:proofErr w:type="spellStart"/>
      <w:r w:rsidRPr="78D3B1AA">
        <w:rPr>
          <w:rFonts w:ascii="Arial" w:eastAsia="Arial" w:hAnsi="Arial" w:cs="Arial"/>
          <w:color w:val="000000" w:themeColor="text1"/>
        </w:rPr>
        <w:t>Cappelli</w:t>
      </w:r>
      <w:proofErr w:type="spellEnd"/>
      <w:r w:rsidRPr="78D3B1AA">
        <w:rPr>
          <w:rFonts w:ascii="Arial" w:eastAsia="Arial" w:hAnsi="Arial" w:cs="Arial"/>
          <w:color w:val="000000" w:themeColor="text1"/>
        </w:rPr>
        <w:t xml:space="preserve">, P. (2015) ‘Rethinking the skills gap’, </w:t>
      </w:r>
      <w:r w:rsidRPr="78D3B1AA">
        <w:rPr>
          <w:rFonts w:ascii="Arial" w:eastAsia="Arial" w:hAnsi="Arial" w:cs="Arial"/>
          <w:i/>
          <w:iCs/>
          <w:color w:val="000000" w:themeColor="text1"/>
        </w:rPr>
        <w:t>Harvard Business Review</w:t>
      </w:r>
      <w:r w:rsidRPr="78D3B1AA">
        <w:rPr>
          <w:rFonts w:ascii="Arial" w:eastAsia="Arial" w:hAnsi="Arial" w:cs="Arial"/>
          <w:color w:val="000000" w:themeColor="text1"/>
        </w:rPr>
        <w:t>, 93(3), pp. 8–10.</w:t>
      </w:r>
    </w:p>
    <w:p w14:paraId="134B936F" w14:textId="2973F946" w:rsidR="48B61D84" w:rsidRDefault="48B61D84" w:rsidP="78D3B1AA">
      <w:pPr>
        <w:spacing w:before="240" w:after="120" w:line="360" w:lineRule="auto"/>
        <w:jc w:val="both"/>
        <w:rPr>
          <w:rFonts w:ascii="Arial" w:eastAsia="Arial" w:hAnsi="Arial" w:cs="Arial"/>
          <w:color w:val="000000" w:themeColor="text1"/>
        </w:rPr>
      </w:pPr>
      <w:proofErr w:type="spellStart"/>
      <w:r w:rsidRPr="78D3B1AA">
        <w:rPr>
          <w:rFonts w:ascii="Arial" w:eastAsia="Arial" w:hAnsi="Arial" w:cs="Arial"/>
          <w:color w:val="000000" w:themeColor="text1"/>
        </w:rPr>
        <w:t>Cascio</w:t>
      </w:r>
      <w:proofErr w:type="spellEnd"/>
      <w:r w:rsidRPr="78D3B1AA">
        <w:rPr>
          <w:rFonts w:ascii="Arial" w:eastAsia="Arial" w:hAnsi="Arial" w:cs="Arial"/>
          <w:color w:val="000000" w:themeColor="text1"/>
        </w:rPr>
        <w:t xml:space="preserve">, W.F. and Boudreau, J.W. (2016) ‘The search for global competence: From international HR to talent management’, </w:t>
      </w:r>
      <w:r w:rsidRPr="78D3B1AA">
        <w:rPr>
          <w:rFonts w:ascii="Arial" w:eastAsia="Arial" w:hAnsi="Arial" w:cs="Arial"/>
          <w:i/>
          <w:iCs/>
          <w:color w:val="000000" w:themeColor="text1"/>
        </w:rPr>
        <w:t>Journal of World Business</w:t>
      </w:r>
      <w:r w:rsidRPr="78D3B1AA">
        <w:rPr>
          <w:rFonts w:ascii="Arial" w:eastAsia="Arial" w:hAnsi="Arial" w:cs="Arial"/>
          <w:color w:val="000000" w:themeColor="text1"/>
        </w:rPr>
        <w:t>, 51(1), pp. 103–114.</w:t>
      </w:r>
    </w:p>
    <w:p w14:paraId="3906BD00" w14:textId="65FD12EF" w:rsidR="48B61D84" w:rsidRDefault="48B61D84" w:rsidP="78D3B1AA">
      <w:pPr>
        <w:spacing w:before="240" w:after="12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CIPD (2023) </w:t>
      </w:r>
      <w:r w:rsidRPr="78D3B1AA">
        <w:rPr>
          <w:rFonts w:ascii="Arial" w:eastAsia="Arial" w:hAnsi="Arial" w:cs="Arial"/>
          <w:i/>
          <w:iCs/>
          <w:color w:val="000000" w:themeColor="text1"/>
        </w:rPr>
        <w:t>Learning and skills at work 2023</w:t>
      </w:r>
      <w:r w:rsidRPr="78D3B1AA">
        <w:rPr>
          <w:rFonts w:ascii="Arial" w:eastAsia="Arial" w:hAnsi="Arial" w:cs="Arial"/>
          <w:color w:val="000000" w:themeColor="text1"/>
        </w:rPr>
        <w:t>. London: Chartered Institute of Personnel and Development.</w:t>
      </w:r>
    </w:p>
    <w:p w14:paraId="3BD89F96" w14:textId="6FFF404D" w:rsidR="48B61D84" w:rsidRDefault="48B61D84" w:rsidP="78D3B1AA">
      <w:pPr>
        <w:spacing w:before="240" w:after="12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Deloitte (2023) </w:t>
      </w:r>
      <w:r w:rsidRPr="78D3B1AA">
        <w:rPr>
          <w:rFonts w:ascii="Arial" w:eastAsia="Arial" w:hAnsi="Arial" w:cs="Arial"/>
          <w:i/>
          <w:iCs/>
          <w:color w:val="000000" w:themeColor="text1"/>
        </w:rPr>
        <w:t xml:space="preserve">2023 Global Human Capital Trends: New fundamentals for a </w:t>
      </w:r>
      <w:proofErr w:type="spellStart"/>
      <w:r w:rsidRPr="78D3B1AA">
        <w:rPr>
          <w:rFonts w:ascii="Arial" w:eastAsia="Arial" w:hAnsi="Arial" w:cs="Arial"/>
          <w:i/>
          <w:iCs/>
          <w:color w:val="000000" w:themeColor="text1"/>
        </w:rPr>
        <w:t>boundaryless</w:t>
      </w:r>
      <w:proofErr w:type="spellEnd"/>
      <w:r w:rsidRPr="78D3B1AA">
        <w:rPr>
          <w:rFonts w:ascii="Arial" w:eastAsia="Arial" w:hAnsi="Arial" w:cs="Arial"/>
          <w:i/>
          <w:iCs/>
          <w:color w:val="000000" w:themeColor="text1"/>
        </w:rPr>
        <w:t xml:space="preserve"> world</w:t>
      </w:r>
      <w:r w:rsidRPr="78D3B1AA">
        <w:rPr>
          <w:rFonts w:ascii="Arial" w:eastAsia="Arial" w:hAnsi="Arial" w:cs="Arial"/>
          <w:color w:val="000000" w:themeColor="text1"/>
        </w:rPr>
        <w:t xml:space="preserve">. Available at: </w:t>
      </w:r>
      <w:hyperlink r:id="rId7">
        <w:r w:rsidRPr="78D3B1AA">
          <w:rPr>
            <w:rStyle w:val="Hyperlink"/>
            <w:rFonts w:ascii="Arial" w:eastAsia="Arial" w:hAnsi="Arial" w:cs="Arial"/>
            <w:color w:val="000000" w:themeColor="text1"/>
          </w:rPr>
          <w:t>https://www2.deloitte.com/us/en/insights/focus/human-capital-trends.html</w:t>
        </w:r>
      </w:hyperlink>
      <w:r w:rsidRPr="78D3B1AA">
        <w:rPr>
          <w:rFonts w:ascii="Arial" w:eastAsia="Arial" w:hAnsi="Arial" w:cs="Arial"/>
          <w:color w:val="000000" w:themeColor="text1"/>
        </w:rPr>
        <w:t xml:space="preserve"> (Accessed: 22 September 2025).</w:t>
      </w:r>
    </w:p>
    <w:p w14:paraId="7C2CBB56" w14:textId="26FCD51C" w:rsidR="48B61D84" w:rsidRDefault="48B61D84" w:rsidP="78D3B1AA">
      <w:pPr>
        <w:spacing w:before="240" w:after="120" w:line="360" w:lineRule="auto"/>
        <w:jc w:val="both"/>
        <w:rPr>
          <w:rFonts w:ascii="Arial" w:eastAsia="Arial" w:hAnsi="Arial" w:cs="Arial"/>
          <w:color w:val="000000" w:themeColor="text1"/>
        </w:rPr>
      </w:pPr>
      <w:proofErr w:type="spellStart"/>
      <w:r w:rsidRPr="78D3B1AA">
        <w:rPr>
          <w:rFonts w:ascii="Arial" w:eastAsia="Arial" w:hAnsi="Arial" w:cs="Arial"/>
          <w:color w:val="000000" w:themeColor="text1"/>
        </w:rPr>
        <w:t>Earley</w:t>
      </w:r>
      <w:proofErr w:type="spellEnd"/>
      <w:r w:rsidRPr="78D3B1AA">
        <w:rPr>
          <w:rFonts w:ascii="Arial" w:eastAsia="Arial" w:hAnsi="Arial" w:cs="Arial"/>
          <w:color w:val="000000" w:themeColor="text1"/>
        </w:rPr>
        <w:t xml:space="preserve">, P.C. and </w:t>
      </w:r>
      <w:proofErr w:type="spellStart"/>
      <w:r w:rsidRPr="78D3B1AA">
        <w:rPr>
          <w:rFonts w:ascii="Arial" w:eastAsia="Arial" w:hAnsi="Arial" w:cs="Arial"/>
          <w:color w:val="000000" w:themeColor="text1"/>
        </w:rPr>
        <w:t>Ang</w:t>
      </w:r>
      <w:proofErr w:type="spellEnd"/>
      <w:r w:rsidRPr="78D3B1AA">
        <w:rPr>
          <w:rFonts w:ascii="Arial" w:eastAsia="Arial" w:hAnsi="Arial" w:cs="Arial"/>
          <w:color w:val="000000" w:themeColor="text1"/>
        </w:rPr>
        <w:t xml:space="preserve">, S. (2003) </w:t>
      </w:r>
      <w:r w:rsidRPr="78D3B1AA">
        <w:rPr>
          <w:rFonts w:ascii="Arial" w:eastAsia="Arial" w:hAnsi="Arial" w:cs="Arial"/>
          <w:i/>
          <w:iCs/>
          <w:color w:val="000000" w:themeColor="text1"/>
        </w:rPr>
        <w:t>Cultural intelligence: Individual interactions across cultures</w:t>
      </w:r>
      <w:r w:rsidRPr="78D3B1AA">
        <w:rPr>
          <w:rFonts w:ascii="Arial" w:eastAsia="Arial" w:hAnsi="Arial" w:cs="Arial"/>
          <w:color w:val="000000" w:themeColor="text1"/>
        </w:rPr>
        <w:t>. Stanford, CA: Stanford University Press.</w:t>
      </w:r>
    </w:p>
    <w:p w14:paraId="4E28BCA0" w14:textId="2BA67EF1" w:rsidR="48B61D84" w:rsidRDefault="48B61D84" w:rsidP="78D3B1AA">
      <w:pPr>
        <w:spacing w:before="240" w:after="120" w:line="360" w:lineRule="auto"/>
        <w:jc w:val="both"/>
        <w:rPr>
          <w:rFonts w:ascii="Arial" w:eastAsia="Arial" w:hAnsi="Arial" w:cs="Arial"/>
          <w:color w:val="000000" w:themeColor="text1"/>
        </w:rPr>
      </w:pPr>
      <w:proofErr w:type="spellStart"/>
      <w:r w:rsidRPr="78D3B1AA">
        <w:rPr>
          <w:rFonts w:ascii="Arial" w:eastAsia="Arial" w:hAnsi="Arial" w:cs="Arial"/>
          <w:color w:val="000000" w:themeColor="text1"/>
        </w:rPr>
        <w:t>Farndale</w:t>
      </w:r>
      <w:proofErr w:type="spellEnd"/>
      <w:r w:rsidRPr="78D3B1AA">
        <w:rPr>
          <w:rFonts w:ascii="Arial" w:eastAsia="Arial" w:hAnsi="Arial" w:cs="Arial"/>
          <w:color w:val="000000" w:themeColor="text1"/>
        </w:rPr>
        <w:t xml:space="preserve">, E., Biron, M., Briscoe, D.R. and </w:t>
      </w:r>
      <w:proofErr w:type="spellStart"/>
      <w:r w:rsidRPr="78D3B1AA">
        <w:rPr>
          <w:rFonts w:ascii="Arial" w:eastAsia="Arial" w:hAnsi="Arial" w:cs="Arial"/>
          <w:color w:val="000000" w:themeColor="text1"/>
        </w:rPr>
        <w:t>Raghuram</w:t>
      </w:r>
      <w:proofErr w:type="spellEnd"/>
      <w:r w:rsidRPr="78D3B1AA">
        <w:rPr>
          <w:rFonts w:ascii="Arial" w:eastAsia="Arial" w:hAnsi="Arial" w:cs="Arial"/>
          <w:color w:val="000000" w:themeColor="text1"/>
        </w:rPr>
        <w:t xml:space="preserve">, S. (2015) ‘A global perspective on diversity and inclusion in work </w:t>
      </w:r>
      <w:proofErr w:type="spellStart"/>
      <w:r w:rsidRPr="78D3B1AA">
        <w:rPr>
          <w:rFonts w:ascii="Arial" w:eastAsia="Arial" w:hAnsi="Arial" w:cs="Arial"/>
          <w:color w:val="000000" w:themeColor="text1"/>
        </w:rPr>
        <w:t>organisations</w:t>
      </w:r>
      <w:proofErr w:type="spellEnd"/>
      <w:r w:rsidRPr="78D3B1AA">
        <w:rPr>
          <w:rFonts w:ascii="Arial" w:eastAsia="Arial" w:hAnsi="Arial" w:cs="Arial"/>
          <w:color w:val="000000" w:themeColor="text1"/>
        </w:rPr>
        <w:t xml:space="preserve">’, </w:t>
      </w:r>
      <w:r w:rsidRPr="78D3B1AA">
        <w:rPr>
          <w:rFonts w:ascii="Arial" w:eastAsia="Arial" w:hAnsi="Arial" w:cs="Arial"/>
          <w:i/>
          <w:iCs/>
          <w:color w:val="000000" w:themeColor="text1"/>
        </w:rPr>
        <w:t>The International Journal of Human Resource Management</w:t>
      </w:r>
      <w:r w:rsidRPr="78D3B1AA">
        <w:rPr>
          <w:rFonts w:ascii="Arial" w:eastAsia="Arial" w:hAnsi="Arial" w:cs="Arial"/>
          <w:color w:val="000000" w:themeColor="text1"/>
        </w:rPr>
        <w:t>, 26(6), pp. 675–681.</w:t>
      </w:r>
    </w:p>
    <w:p w14:paraId="1A2C3557" w14:textId="15809439" w:rsidR="48B61D84" w:rsidRDefault="48B61D84" w:rsidP="78D3B1AA">
      <w:pPr>
        <w:spacing w:before="240" w:after="120" w:line="360" w:lineRule="auto"/>
        <w:jc w:val="both"/>
        <w:rPr>
          <w:rFonts w:ascii="Arial" w:eastAsia="Arial" w:hAnsi="Arial" w:cs="Arial"/>
          <w:color w:val="000000" w:themeColor="text1"/>
        </w:rPr>
      </w:pPr>
      <w:proofErr w:type="spellStart"/>
      <w:r w:rsidRPr="78D3B1AA">
        <w:rPr>
          <w:rFonts w:ascii="Arial" w:eastAsia="Arial" w:hAnsi="Arial" w:cs="Arial"/>
          <w:color w:val="000000" w:themeColor="text1"/>
        </w:rPr>
        <w:t>Garavan</w:t>
      </w:r>
      <w:proofErr w:type="spellEnd"/>
      <w:r w:rsidRPr="78D3B1AA">
        <w:rPr>
          <w:rFonts w:ascii="Arial" w:eastAsia="Arial" w:hAnsi="Arial" w:cs="Arial"/>
          <w:color w:val="000000" w:themeColor="text1"/>
        </w:rPr>
        <w:t xml:space="preserve">, T., McCarthy, A., Lai, Y., Murphy, K., Sheehan, M. and </w:t>
      </w:r>
      <w:proofErr w:type="spellStart"/>
      <w:r w:rsidRPr="78D3B1AA">
        <w:rPr>
          <w:rFonts w:ascii="Arial" w:eastAsia="Arial" w:hAnsi="Arial" w:cs="Arial"/>
          <w:color w:val="000000" w:themeColor="text1"/>
        </w:rPr>
        <w:t>Carbery</w:t>
      </w:r>
      <w:proofErr w:type="spellEnd"/>
      <w:r w:rsidRPr="78D3B1AA">
        <w:rPr>
          <w:rFonts w:ascii="Arial" w:eastAsia="Arial" w:hAnsi="Arial" w:cs="Arial"/>
          <w:color w:val="000000" w:themeColor="text1"/>
        </w:rPr>
        <w:t xml:space="preserve">, R. (2021) ‘Training and </w:t>
      </w:r>
      <w:proofErr w:type="spellStart"/>
      <w:r w:rsidRPr="78D3B1AA">
        <w:rPr>
          <w:rFonts w:ascii="Arial" w:eastAsia="Arial" w:hAnsi="Arial" w:cs="Arial"/>
          <w:color w:val="000000" w:themeColor="text1"/>
        </w:rPr>
        <w:t>organisational</w:t>
      </w:r>
      <w:proofErr w:type="spellEnd"/>
      <w:r w:rsidRPr="78D3B1AA">
        <w:rPr>
          <w:rFonts w:ascii="Arial" w:eastAsia="Arial" w:hAnsi="Arial" w:cs="Arial"/>
          <w:color w:val="000000" w:themeColor="text1"/>
        </w:rPr>
        <w:t xml:space="preserve"> performance: A meta-analysis of the literature’, </w:t>
      </w:r>
      <w:r w:rsidRPr="78D3B1AA">
        <w:rPr>
          <w:rFonts w:ascii="Arial" w:eastAsia="Arial" w:hAnsi="Arial" w:cs="Arial"/>
          <w:i/>
          <w:iCs/>
          <w:color w:val="000000" w:themeColor="text1"/>
        </w:rPr>
        <w:t>Human Resource Management Journal</w:t>
      </w:r>
      <w:r w:rsidRPr="78D3B1AA">
        <w:rPr>
          <w:rFonts w:ascii="Arial" w:eastAsia="Arial" w:hAnsi="Arial" w:cs="Arial"/>
          <w:color w:val="000000" w:themeColor="text1"/>
        </w:rPr>
        <w:t>, 31(4), pp. 830–856.</w:t>
      </w:r>
    </w:p>
    <w:p w14:paraId="6C228DB1" w14:textId="1BC95F03" w:rsidR="48B61D84" w:rsidRDefault="48B61D84" w:rsidP="78D3B1AA">
      <w:pPr>
        <w:spacing w:before="240" w:after="12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Gartner (2022) </w:t>
      </w:r>
      <w:r w:rsidRPr="78D3B1AA">
        <w:rPr>
          <w:rFonts w:ascii="Arial" w:eastAsia="Arial" w:hAnsi="Arial" w:cs="Arial"/>
          <w:i/>
          <w:iCs/>
          <w:color w:val="000000" w:themeColor="text1"/>
        </w:rPr>
        <w:t>4 Strategies for Closing the Skills Gap</w:t>
      </w:r>
      <w:r w:rsidRPr="78D3B1AA">
        <w:rPr>
          <w:rFonts w:ascii="Arial" w:eastAsia="Arial" w:hAnsi="Arial" w:cs="Arial"/>
          <w:color w:val="000000" w:themeColor="text1"/>
        </w:rPr>
        <w:t xml:space="preserve">. Available at: </w:t>
      </w:r>
      <w:hyperlink r:id="rId8">
        <w:r w:rsidRPr="78D3B1AA">
          <w:rPr>
            <w:rStyle w:val="Hyperlink"/>
            <w:rFonts w:ascii="Arial" w:eastAsia="Arial" w:hAnsi="Arial" w:cs="Arial"/>
            <w:color w:val="000000" w:themeColor="text1"/>
          </w:rPr>
          <w:t>https://www.gartner.com/smarterwithgartner/4-strategies-for-closing-the-skills-gap</w:t>
        </w:r>
      </w:hyperlink>
      <w:r w:rsidRPr="78D3B1AA">
        <w:rPr>
          <w:rFonts w:ascii="Arial" w:eastAsia="Arial" w:hAnsi="Arial" w:cs="Arial"/>
          <w:color w:val="000000" w:themeColor="text1"/>
        </w:rPr>
        <w:t xml:space="preserve"> (Accessed: 20 September 2025).</w:t>
      </w:r>
    </w:p>
    <w:p w14:paraId="50005081" w14:textId="63A181EE" w:rsidR="48B61D84" w:rsidRDefault="48B61D84" w:rsidP="78D3B1AA">
      <w:pPr>
        <w:spacing w:before="240" w:after="120" w:line="360" w:lineRule="auto"/>
        <w:jc w:val="both"/>
        <w:rPr>
          <w:rFonts w:ascii="Arial" w:eastAsia="Arial" w:hAnsi="Arial" w:cs="Arial"/>
          <w:color w:val="000000" w:themeColor="text1"/>
        </w:rPr>
      </w:pPr>
      <w:proofErr w:type="spellStart"/>
      <w:r w:rsidRPr="78D3B1AA">
        <w:rPr>
          <w:rFonts w:ascii="Arial" w:eastAsia="Arial" w:hAnsi="Arial" w:cs="Arial"/>
          <w:color w:val="000000" w:themeColor="text1"/>
        </w:rPr>
        <w:t>Goos</w:t>
      </w:r>
      <w:proofErr w:type="spellEnd"/>
      <w:r w:rsidRPr="78D3B1AA">
        <w:rPr>
          <w:rFonts w:ascii="Arial" w:eastAsia="Arial" w:hAnsi="Arial" w:cs="Arial"/>
          <w:color w:val="000000" w:themeColor="text1"/>
        </w:rPr>
        <w:t xml:space="preserve">, M., Manning, A. and </w:t>
      </w:r>
      <w:proofErr w:type="spellStart"/>
      <w:r w:rsidRPr="78D3B1AA">
        <w:rPr>
          <w:rFonts w:ascii="Arial" w:eastAsia="Arial" w:hAnsi="Arial" w:cs="Arial"/>
          <w:color w:val="000000" w:themeColor="text1"/>
        </w:rPr>
        <w:t>Salomons</w:t>
      </w:r>
      <w:proofErr w:type="spellEnd"/>
      <w:r w:rsidRPr="78D3B1AA">
        <w:rPr>
          <w:rFonts w:ascii="Arial" w:eastAsia="Arial" w:hAnsi="Arial" w:cs="Arial"/>
          <w:color w:val="000000" w:themeColor="text1"/>
        </w:rPr>
        <w:t xml:space="preserve">, A. (2014) ‘Explaining job polarization: Routine-biased technological change and offshoring’, </w:t>
      </w:r>
      <w:r w:rsidRPr="78D3B1AA">
        <w:rPr>
          <w:rFonts w:ascii="Arial" w:eastAsia="Arial" w:hAnsi="Arial" w:cs="Arial"/>
          <w:i/>
          <w:iCs/>
          <w:color w:val="000000" w:themeColor="text1"/>
        </w:rPr>
        <w:t>American Economic Review</w:t>
      </w:r>
      <w:r w:rsidRPr="78D3B1AA">
        <w:rPr>
          <w:rFonts w:ascii="Arial" w:eastAsia="Arial" w:hAnsi="Arial" w:cs="Arial"/>
          <w:color w:val="000000" w:themeColor="text1"/>
        </w:rPr>
        <w:t>, 104(8), pp. 2509–2526.</w:t>
      </w:r>
    </w:p>
    <w:p w14:paraId="4ED5BA3F" w14:textId="31D81D41" w:rsidR="48B61D84" w:rsidRDefault="48B61D84" w:rsidP="78D3B1AA">
      <w:pPr>
        <w:spacing w:before="240" w:after="120" w:line="360" w:lineRule="auto"/>
        <w:jc w:val="both"/>
        <w:rPr>
          <w:rFonts w:ascii="Arial" w:eastAsia="Arial" w:hAnsi="Arial" w:cs="Arial"/>
          <w:color w:val="000000" w:themeColor="text1"/>
        </w:rPr>
      </w:pPr>
      <w:proofErr w:type="spellStart"/>
      <w:r w:rsidRPr="78D3B1AA">
        <w:rPr>
          <w:rFonts w:ascii="Arial" w:eastAsia="Arial" w:hAnsi="Arial" w:cs="Arial"/>
          <w:color w:val="000000" w:themeColor="text1"/>
        </w:rPr>
        <w:t>Kooij</w:t>
      </w:r>
      <w:proofErr w:type="spellEnd"/>
      <w:r w:rsidRPr="78D3B1AA">
        <w:rPr>
          <w:rFonts w:ascii="Arial" w:eastAsia="Arial" w:hAnsi="Arial" w:cs="Arial"/>
          <w:color w:val="000000" w:themeColor="text1"/>
        </w:rPr>
        <w:t xml:space="preserve">, D.T.A.M., de Lange, A.H., Jansen, P.G.W. and </w:t>
      </w:r>
      <w:proofErr w:type="spellStart"/>
      <w:r w:rsidRPr="78D3B1AA">
        <w:rPr>
          <w:rFonts w:ascii="Arial" w:eastAsia="Arial" w:hAnsi="Arial" w:cs="Arial"/>
          <w:color w:val="000000" w:themeColor="text1"/>
        </w:rPr>
        <w:t>Dikkers</w:t>
      </w:r>
      <w:proofErr w:type="spellEnd"/>
      <w:r w:rsidRPr="78D3B1AA">
        <w:rPr>
          <w:rFonts w:ascii="Arial" w:eastAsia="Arial" w:hAnsi="Arial" w:cs="Arial"/>
          <w:color w:val="000000" w:themeColor="text1"/>
        </w:rPr>
        <w:t xml:space="preserve">, J.S.E. (2013) ‘Managing aging workers: A mixed methods study on the role of the HR function’, </w:t>
      </w:r>
      <w:r w:rsidRPr="78D3B1AA">
        <w:rPr>
          <w:rFonts w:ascii="Arial" w:eastAsia="Arial" w:hAnsi="Arial" w:cs="Arial"/>
          <w:i/>
          <w:iCs/>
          <w:color w:val="000000" w:themeColor="text1"/>
        </w:rPr>
        <w:t>The International Journal of Human Resource Management</w:t>
      </w:r>
      <w:r w:rsidRPr="78D3B1AA">
        <w:rPr>
          <w:rFonts w:ascii="Arial" w:eastAsia="Arial" w:hAnsi="Arial" w:cs="Arial"/>
          <w:color w:val="000000" w:themeColor="text1"/>
        </w:rPr>
        <w:t>, 24(15), pp. 2876–2895.</w:t>
      </w:r>
    </w:p>
    <w:p w14:paraId="4926C169" w14:textId="7ED46BDE" w:rsidR="48B61D84" w:rsidRDefault="48B61D84" w:rsidP="78D3B1AA">
      <w:pPr>
        <w:spacing w:before="240" w:after="120" w:line="360" w:lineRule="auto"/>
        <w:jc w:val="both"/>
        <w:rPr>
          <w:rFonts w:ascii="Arial" w:eastAsia="Arial" w:hAnsi="Arial" w:cs="Arial"/>
          <w:color w:val="000000" w:themeColor="text1"/>
        </w:rPr>
      </w:pPr>
      <w:proofErr w:type="spellStart"/>
      <w:r w:rsidRPr="78D3B1AA">
        <w:rPr>
          <w:rFonts w:ascii="Arial" w:eastAsia="Arial" w:hAnsi="Arial" w:cs="Arial"/>
          <w:color w:val="000000" w:themeColor="text1"/>
        </w:rPr>
        <w:t>Kramar</w:t>
      </w:r>
      <w:proofErr w:type="spellEnd"/>
      <w:r w:rsidRPr="78D3B1AA">
        <w:rPr>
          <w:rFonts w:ascii="Arial" w:eastAsia="Arial" w:hAnsi="Arial" w:cs="Arial"/>
          <w:color w:val="000000" w:themeColor="text1"/>
        </w:rPr>
        <w:t xml:space="preserve">, R. (2014) ‘Beyond strategic human resource management: Is sustainable human resource management the next approach?’, </w:t>
      </w:r>
      <w:r w:rsidRPr="78D3B1AA">
        <w:rPr>
          <w:rFonts w:ascii="Arial" w:eastAsia="Arial" w:hAnsi="Arial" w:cs="Arial"/>
          <w:i/>
          <w:iCs/>
          <w:color w:val="000000" w:themeColor="text1"/>
        </w:rPr>
        <w:t>The International Journal of Human Resource Management</w:t>
      </w:r>
      <w:r w:rsidRPr="78D3B1AA">
        <w:rPr>
          <w:rFonts w:ascii="Arial" w:eastAsia="Arial" w:hAnsi="Arial" w:cs="Arial"/>
          <w:color w:val="000000" w:themeColor="text1"/>
        </w:rPr>
        <w:t>, 25(8), pp. 1069–1089.</w:t>
      </w:r>
    </w:p>
    <w:p w14:paraId="2F4ABB3D" w14:textId="28A2E638" w:rsidR="48B61D84" w:rsidRDefault="48B61D84" w:rsidP="78D3B1AA">
      <w:pPr>
        <w:spacing w:before="240" w:after="12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Lyons, S. and </w:t>
      </w:r>
      <w:proofErr w:type="spellStart"/>
      <w:r w:rsidRPr="78D3B1AA">
        <w:rPr>
          <w:rFonts w:ascii="Arial" w:eastAsia="Arial" w:hAnsi="Arial" w:cs="Arial"/>
          <w:color w:val="000000" w:themeColor="text1"/>
        </w:rPr>
        <w:t>Kuron</w:t>
      </w:r>
      <w:proofErr w:type="spellEnd"/>
      <w:r w:rsidRPr="78D3B1AA">
        <w:rPr>
          <w:rFonts w:ascii="Arial" w:eastAsia="Arial" w:hAnsi="Arial" w:cs="Arial"/>
          <w:color w:val="000000" w:themeColor="text1"/>
        </w:rPr>
        <w:t xml:space="preserve">, L. (2014) ‘Generational differences in the workplace: A review of the evidence and directions for future research’, </w:t>
      </w:r>
      <w:r w:rsidRPr="78D3B1AA">
        <w:rPr>
          <w:rFonts w:ascii="Arial" w:eastAsia="Arial" w:hAnsi="Arial" w:cs="Arial"/>
          <w:i/>
          <w:iCs/>
          <w:color w:val="000000" w:themeColor="text1"/>
        </w:rPr>
        <w:t>Journal of Organizational Behavior</w:t>
      </w:r>
      <w:r w:rsidRPr="78D3B1AA">
        <w:rPr>
          <w:rFonts w:ascii="Arial" w:eastAsia="Arial" w:hAnsi="Arial" w:cs="Arial"/>
          <w:color w:val="000000" w:themeColor="text1"/>
        </w:rPr>
        <w:t>, 35(S1), pp. S139–S157.</w:t>
      </w:r>
    </w:p>
    <w:p w14:paraId="593DFF25" w14:textId="0B29A4A0" w:rsidR="48B61D84" w:rsidRDefault="48B61D84" w:rsidP="78D3B1AA">
      <w:pPr>
        <w:spacing w:before="240" w:after="120" w:line="360" w:lineRule="auto"/>
        <w:jc w:val="both"/>
        <w:rPr>
          <w:rFonts w:ascii="Arial" w:eastAsia="Arial" w:hAnsi="Arial" w:cs="Arial"/>
          <w:color w:val="000000" w:themeColor="text1"/>
        </w:rPr>
      </w:pPr>
      <w:proofErr w:type="spellStart"/>
      <w:r w:rsidRPr="78D3B1AA">
        <w:rPr>
          <w:rFonts w:ascii="Arial" w:eastAsia="Arial" w:hAnsi="Arial" w:cs="Arial"/>
          <w:color w:val="000000" w:themeColor="text1"/>
        </w:rPr>
        <w:t>Mäkelä</w:t>
      </w:r>
      <w:proofErr w:type="spellEnd"/>
      <w:r w:rsidRPr="78D3B1AA">
        <w:rPr>
          <w:rFonts w:ascii="Arial" w:eastAsia="Arial" w:hAnsi="Arial" w:cs="Arial"/>
          <w:color w:val="000000" w:themeColor="text1"/>
        </w:rPr>
        <w:t xml:space="preserve">, L. (2021) ‘Global careers in the context of remote work’, </w:t>
      </w:r>
      <w:r w:rsidRPr="78D3B1AA">
        <w:rPr>
          <w:rFonts w:ascii="Arial" w:eastAsia="Arial" w:hAnsi="Arial" w:cs="Arial"/>
          <w:i/>
          <w:iCs/>
          <w:color w:val="000000" w:themeColor="text1"/>
        </w:rPr>
        <w:t>Journal of Global Mobility</w:t>
      </w:r>
      <w:r w:rsidRPr="78D3B1AA">
        <w:rPr>
          <w:rFonts w:ascii="Arial" w:eastAsia="Arial" w:hAnsi="Arial" w:cs="Arial"/>
          <w:color w:val="000000" w:themeColor="text1"/>
        </w:rPr>
        <w:t>, 9(4), pp. 497–507.</w:t>
      </w:r>
    </w:p>
    <w:p w14:paraId="7454DCCD" w14:textId="079E04B2" w:rsidR="48B61D84" w:rsidRDefault="48B61D84" w:rsidP="78D3B1AA">
      <w:pPr>
        <w:spacing w:before="240" w:after="12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McAfee, A. and </w:t>
      </w:r>
      <w:proofErr w:type="spellStart"/>
      <w:r w:rsidRPr="78D3B1AA">
        <w:rPr>
          <w:rFonts w:ascii="Arial" w:eastAsia="Arial" w:hAnsi="Arial" w:cs="Arial"/>
          <w:color w:val="000000" w:themeColor="text1"/>
        </w:rPr>
        <w:t>Brynjolfsson</w:t>
      </w:r>
      <w:proofErr w:type="spellEnd"/>
      <w:r w:rsidRPr="78D3B1AA">
        <w:rPr>
          <w:rFonts w:ascii="Arial" w:eastAsia="Arial" w:hAnsi="Arial" w:cs="Arial"/>
          <w:color w:val="000000" w:themeColor="text1"/>
        </w:rPr>
        <w:t xml:space="preserve">, E. (2012) ‘Big data: The management revolution’, </w:t>
      </w:r>
      <w:r w:rsidRPr="78D3B1AA">
        <w:rPr>
          <w:rFonts w:ascii="Arial" w:eastAsia="Arial" w:hAnsi="Arial" w:cs="Arial"/>
          <w:i/>
          <w:iCs/>
          <w:color w:val="000000" w:themeColor="text1"/>
        </w:rPr>
        <w:t>Harvard Business Review</w:t>
      </w:r>
      <w:r w:rsidRPr="78D3B1AA">
        <w:rPr>
          <w:rFonts w:ascii="Arial" w:eastAsia="Arial" w:hAnsi="Arial" w:cs="Arial"/>
          <w:color w:val="000000" w:themeColor="text1"/>
        </w:rPr>
        <w:t>, 90(10), pp. 60–68.</w:t>
      </w:r>
    </w:p>
    <w:p w14:paraId="03985B39" w14:textId="22C0828D" w:rsidR="48B61D84" w:rsidRDefault="48B61D84" w:rsidP="78D3B1AA">
      <w:pPr>
        <w:spacing w:before="240" w:after="120" w:line="360" w:lineRule="auto"/>
        <w:jc w:val="both"/>
        <w:rPr>
          <w:rFonts w:ascii="Arial" w:eastAsia="Arial" w:hAnsi="Arial" w:cs="Arial"/>
          <w:color w:val="000000" w:themeColor="text1"/>
        </w:rPr>
      </w:pPr>
      <w:proofErr w:type="spellStart"/>
      <w:r w:rsidRPr="78D3B1AA">
        <w:rPr>
          <w:rFonts w:ascii="Arial" w:eastAsia="Arial" w:hAnsi="Arial" w:cs="Arial"/>
          <w:color w:val="000000" w:themeColor="text1"/>
        </w:rPr>
        <w:t>Menzies</w:t>
      </w:r>
      <w:proofErr w:type="spellEnd"/>
      <w:r w:rsidRPr="78D3B1AA">
        <w:rPr>
          <w:rFonts w:ascii="Arial" w:eastAsia="Arial" w:hAnsi="Arial" w:cs="Arial"/>
          <w:color w:val="000000" w:themeColor="text1"/>
        </w:rPr>
        <w:t xml:space="preserve">, M., </w:t>
      </w:r>
      <w:proofErr w:type="spellStart"/>
      <w:r w:rsidRPr="78D3B1AA">
        <w:rPr>
          <w:rFonts w:ascii="Arial" w:eastAsia="Arial" w:hAnsi="Arial" w:cs="Arial"/>
          <w:color w:val="000000" w:themeColor="text1"/>
        </w:rPr>
        <w:t>Rittie</w:t>
      </w:r>
      <w:proofErr w:type="spellEnd"/>
      <w:r w:rsidRPr="78D3B1AA">
        <w:rPr>
          <w:rFonts w:ascii="Arial" w:eastAsia="Arial" w:hAnsi="Arial" w:cs="Arial"/>
          <w:color w:val="000000" w:themeColor="text1"/>
        </w:rPr>
        <w:t xml:space="preserve">, T., </w:t>
      </w:r>
      <w:proofErr w:type="spellStart"/>
      <w:r w:rsidRPr="78D3B1AA">
        <w:rPr>
          <w:rFonts w:ascii="Arial" w:eastAsia="Arial" w:hAnsi="Arial" w:cs="Arial"/>
          <w:color w:val="000000" w:themeColor="text1"/>
        </w:rPr>
        <w:t>Tavlaridis</w:t>
      </w:r>
      <w:proofErr w:type="spellEnd"/>
      <w:r w:rsidRPr="78D3B1AA">
        <w:rPr>
          <w:rFonts w:ascii="Arial" w:eastAsia="Arial" w:hAnsi="Arial" w:cs="Arial"/>
          <w:color w:val="000000" w:themeColor="text1"/>
        </w:rPr>
        <w:t xml:space="preserve">, V., Hoang, N., and </w:t>
      </w:r>
      <w:proofErr w:type="spellStart"/>
      <w:r w:rsidRPr="78D3B1AA">
        <w:rPr>
          <w:rFonts w:ascii="Arial" w:eastAsia="Arial" w:hAnsi="Arial" w:cs="Arial"/>
          <w:color w:val="000000" w:themeColor="text1"/>
        </w:rPr>
        <w:t>Udeogu</w:t>
      </w:r>
      <w:proofErr w:type="spellEnd"/>
      <w:r w:rsidRPr="78D3B1AA">
        <w:rPr>
          <w:rFonts w:ascii="Arial" w:eastAsia="Arial" w:hAnsi="Arial" w:cs="Arial"/>
          <w:color w:val="000000" w:themeColor="text1"/>
        </w:rPr>
        <w:t xml:space="preserve">, E. (2024) ‘The impact of Geopolitical Risks on International Business strategies’, </w:t>
      </w:r>
      <w:r w:rsidRPr="78D3B1AA">
        <w:rPr>
          <w:rFonts w:ascii="Arial" w:eastAsia="Arial" w:hAnsi="Arial" w:cs="Arial"/>
          <w:i/>
          <w:iCs/>
          <w:color w:val="000000" w:themeColor="text1"/>
        </w:rPr>
        <w:t>International Business Journal</w:t>
      </w:r>
      <w:r w:rsidRPr="78D3B1AA">
        <w:rPr>
          <w:rFonts w:ascii="Arial" w:eastAsia="Arial" w:hAnsi="Arial" w:cs="Arial"/>
          <w:color w:val="000000" w:themeColor="text1"/>
        </w:rPr>
        <w:t>, 15(2), pp. 112–130.</w:t>
      </w:r>
    </w:p>
    <w:p w14:paraId="1E88A9DB" w14:textId="10EE3219" w:rsidR="48B61D84" w:rsidRDefault="48B61D84" w:rsidP="78D3B1AA">
      <w:pPr>
        <w:spacing w:before="240" w:after="120" w:line="360" w:lineRule="auto"/>
        <w:jc w:val="both"/>
        <w:rPr>
          <w:rFonts w:ascii="Arial" w:eastAsia="Arial" w:hAnsi="Arial" w:cs="Arial"/>
          <w:color w:val="000000" w:themeColor="text1"/>
        </w:rPr>
      </w:pPr>
      <w:proofErr w:type="spellStart"/>
      <w:r w:rsidRPr="78D3B1AA">
        <w:rPr>
          <w:rFonts w:ascii="Arial" w:eastAsia="Arial" w:hAnsi="Arial" w:cs="Arial"/>
          <w:color w:val="000000" w:themeColor="text1"/>
        </w:rPr>
        <w:t>Senge</w:t>
      </w:r>
      <w:proofErr w:type="spellEnd"/>
      <w:r w:rsidRPr="78D3B1AA">
        <w:rPr>
          <w:rFonts w:ascii="Arial" w:eastAsia="Arial" w:hAnsi="Arial" w:cs="Arial"/>
          <w:color w:val="000000" w:themeColor="text1"/>
        </w:rPr>
        <w:t xml:space="preserve">, P.M. (2006) </w:t>
      </w:r>
      <w:r w:rsidRPr="78D3B1AA">
        <w:rPr>
          <w:rFonts w:ascii="Arial" w:eastAsia="Arial" w:hAnsi="Arial" w:cs="Arial"/>
          <w:i/>
          <w:iCs/>
          <w:color w:val="000000" w:themeColor="text1"/>
        </w:rPr>
        <w:t>The fifth discipline: The art &amp; practice of the learning organization</w:t>
      </w:r>
      <w:r w:rsidRPr="78D3B1AA">
        <w:rPr>
          <w:rFonts w:ascii="Arial" w:eastAsia="Arial" w:hAnsi="Arial" w:cs="Arial"/>
          <w:color w:val="000000" w:themeColor="text1"/>
        </w:rPr>
        <w:t xml:space="preserve">. Rev. </w:t>
      </w:r>
      <w:proofErr w:type="spellStart"/>
      <w:r w:rsidRPr="78D3B1AA">
        <w:rPr>
          <w:rFonts w:ascii="Arial" w:eastAsia="Arial" w:hAnsi="Arial" w:cs="Arial"/>
          <w:color w:val="000000" w:themeColor="text1"/>
        </w:rPr>
        <w:t>edn</w:t>
      </w:r>
      <w:proofErr w:type="spellEnd"/>
      <w:r w:rsidRPr="78D3B1AA">
        <w:rPr>
          <w:rFonts w:ascii="Arial" w:eastAsia="Arial" w:hAnsi="Arial" w:cs="Arial"/>
          <w:color w:val="000000" w:themeColor="text1"/>
        </w:rPr>
        <w:t>. New York: Doubleday/Currency.</w:t>
      </w:r>
    </w:p>
    <w:p w14:paraId="042F0674" w14:textId="40BCB7A3" w:rsidR="48B61D84" w:rsidRDefault="48B61D84" w:rsidP="78D3B1AA">
      <w:pPr>
        <w:spacing w:before="240" w:after="12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Stahl, G.K., </w:t>
      </w:r>
      <w:proofErr w:type="spellStart"/>
      <w:r w:rsidRPr="78D3B1AA">
        <w:rPr>
          <w:rFonts w:ascii="Arial" w:eastAsia="Arial" w:hAnsi="Arial" w:cs="Arial"/>
          <w:color w:val="000000" w:themeColor="text1"/>
        </w:rPr>
        <w:t>Björkman</w:t>
      </w:r>
      <w:proofErr w:type="spellEnd"/>
      <w:r w:rsidRPr="78D3B1AA">
        <w:rPr>
          <w:rFonts w:ascii="Arial" w:eastAsia="Arial" w:hAnsi="Arial" w:cs="Arial"/>
          <w:color w:val="000000" w:themeColor="text1"/>
        </w:rPr>
        <w:t xml:space="preserve">, I., </w:t>
      </w:r>
      <w:proofErr w:type="spellStart"/>
      <w:r w:rsidRPr="78D3B1AA">
        <w:rPr>
          <w:rFonts w:ascii="Arial" w:eastAsia="Arial" w:hAnsi="Arial" w:cs="Arial"/>
          <w:color w:val="000000" w:themeColor="text1"/>
        </w:rPr>
        <w:t>Farndale</w:t>
      </w:r>
      <w:proofErr w:type="spellEnd"/>
      <w:r w:rsidRPr="78D3B1AA">
        <w:rPr>
          <w:rFonts w:ascii="Arial" w:eastAsia="Arial" w:hAnsi="Arial" w:cs="Arial"/>
          <w:color w:val="000000" w:themeColor="text1"/>
        </w:rPr>
        <w:t xml:space="preserve">, E., Morris, S.S., </w:t>
      </w:r>
      <w:proofErr w:type="spellStart"/>
      <w:r w:rsidRPr="78D3B1AA">
        <w:rPr>
          <w:rFonts w:ascii="Arial" w:eastAsia="Arial" w:hAnsi="Arial" w:cs="Arial"/>
          <w:color w:val="000000" w:themeColor="text1"/>
        </w:rPr>
        <w:t>Paauwe</w:t>
      </w:r>
      <w:proofErr w:type="spellEnd"/>
      <w:r w:rsidRPr="78D3B1AA">
        <w:rPr>
          <w:rFonts w:ascii="Arial" w:eastAsia="Arial" w:hAnsi="Arial" w:cs="Arial"/>
          <w:color w:val="000000" w:themeColor="text1"/>
        </w:rPr>
        <w:t xml:space="preserve">, J., Stiles, P., Trevor, J. and Wright, P. (2020) ‘Global talent management: An evidence-based perspective’, </w:t>
      </w:r>
      <w:r w:rsidRPr="78D3B1AA">
        <w:rPr>
          <w:rFonts w:ascii="Arial" w:eastAsia="Arial" w:hAnsi="Arial" w:cs="Arial"/>
          <w:i/>
          <w:iCs/>
          <w:color w:val="000000" w:themeColor="text1"/>
        </w:rPr>
        <w:t>Journal of International Business Studies</w:t>
      </w:r>
      <w:r w:rsidRPr="78D3B1AA">
        <w:rPr>
          <w:rFonts w:ascii="Arial" w:eastAsia="Arial" w:hAnsi="Arial" w:cs="Arial"/>
          <w:color w:val="000000" w:themeColor="text1"/>
        </w:rPr>
        <w:t>, 51(1), pp. 29–52.</w:t>
      </w:r>
    </w:p>
    <w:p w14:paraId="5344D345" w14:textId="50BC865C" w:rsidR="48B61D84" w:rsidRDefault="48B61D84" w:rsidP="78D3B1AA">
      <w:pPr>
        <w:spacing w:before="240" w:after="12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Stahl, G.K., </w:t>
      </w:r>
      <w:proofErr w:type="spellStart"/>
      <w:r w:rsidRPr="78D3B1AA">
        <w:rPr>
          <w:rFonts w:ascii="Arial" w:eastAsia="Arial" w:hAnsi="Arial" w:cs="Arial"/>
          <w:color w:val="000000" w:themeColor="text1"/>
        </w:rPr>
        <w:t>Maznevski</w:t>
      </w:r>
      <w:proofErr w:type="spellEnd"/>
      <w:r w:rsidRPr="78D3B1AA">
        <w:rPr>
          <w:rFonts w:ascii="Arial" w:eastAsia="Arial" w:hAnsi="Arial" w:cs="Arial"/>
          <w:color w:val="000000" w:themeColor="text1"/>
        </w:rPr>
        <w:t xml:space="preserve">, M.L., Voigt, A. and </w:t>
      </w:r>
      <w:proofErr w:type="spellStart"/>
      <w:r w:rsidRPr="78D3B1AA">
        <w:rPr>
          <w:rFonts w:ascii="Arial" w:eastAsia="Arial" w:hAnsi="Arial" w:cs="Arial"/>
          <w:color w:val="000000" w:themeColor="text1"/>
        </w:rPr>
        <w:t>Jonsen</w:t>
      </w:r>
      <w:proofErr w:type="spellEnd"/>
      <w:r w:rsidRPr="78D3B1AA">
        <w:rPr>
          <w:rFonts w:ascii="Arial" w:eastAsia="Arial" w:hAnsi="Arial" w:cs="Arial"/>
          <w:color w:val="000000" w:themeColor="text1"/>
        </w:rPr>
        <w:t xml:space="preserve">, K. (2010) ‘Unraveling the effects of cultural diversity in teams: A meta-analysis of research on multicultural work groups’, </w:t>
      </w:r>
      <w:r w:rsidRPr="78D3B1AA">
        <w:rPr>
          <w:rFonts w:ascii="Arial" w:eastAsia="Arial" w:hAnsi="Arial" w:cs="Arial"/>
          <w:i/>
          <w:iCs/>
          <w:color w:val="000000" w:themeColor="text1"/>
        </w:rPr>
        <w:t>Journal of International Business Studies</w:t>
      </w:r>
      <w:r w:rsidRPr="78D3B1AA">
        <w:rPr>
          <w:rFonts w:ascii="Arial" w:eastAsia="Arial" w:hAnsi="Arial" w:cs="Arial"/>
          <w:color w:val="000000" w:themeColor="text1"/>
        </w:rPr>
        <w:t>, 41(4), pp. 690–709.</w:t>
      </w:r>
    </w:p>
    <w:p w14:paraId="28ED80DC" w14:textId="79A33D88" w:rsidR="48B61D84" w:rsidRDefault="48B61D84" w:rsidP="78D3B1AA">
      <w:pPr>
        <w:spacing w:before="240" w:after="120" w:line="360" w:lineRule="auto"/>
        <w:jc w:val="both"/>
        <w:rPr>
          <w:rFonts w:ascii="Arial" w:eastAsia="Arial" w:hAnsi="Arial" w:cs="Arial"/>
          <w:color w:val="000000" w:themeColor="text1"/>
        </w:rPr>
      </w:pPr>
      <w:proofErr w:type="spellStart"/>
      <w:r w:rsidRPr="78D3B1AA">
        <w:rPr>
          <w:rFonts w:ascii="Arial" w:eastAsia="Arial" w:hAnsi="Arial" w:cs="Arial"/>
          <w:color w:val="000000" w:themeColor="text1"/>
        </w:rPr>
        <w:t>Tambe</w:t>
      </w:r>
      <w:proofErr w:type="spellEnd"/>
      <w:r w:rsidRPr="78D3B1AA">
        <w:rPr>
          <w:rFonts w:ascii="Arial" w:eastAsia="Arial" w:hAnsi="Arial" w:cs="Arial"/>
          <w:color w:val="000000" w:themeColor="text1"/>
        </w:rPr>
        <w:t xml:space="preserve">, P., </w:t>
      </w:r>
      <w:proofErr w:type="spellStart"/>
      <w:r w:rsidRPr="78D3B1AA">
        <w:rPr>
          <w:rFonts w:ascii="Arial" w:eastAsia="Arial" w:hAnsi="Arial" w:cs="Arial"/>
          <w:color w:val="000000" w:themeColor="text1"/>
        </w:rPr>
        <w:t>Cappelli</w:t>
      </w:r>
      <w:proofErr w:type="spellEnd"/>
      <w:r w:rsidRPr="78D3B1AA">
        <w:rPr>
          <w:rFonts w:ascii="Arial" w:eastAsia="Arial" w:hAnsi="Arial" w:cs="Arial"/>
          <w:color w:val="000000" w:themeColor="text1"/>
        </w:rPr>
        <w:t xml:space="preserve">, P. and </w:t>
      </w:r>
      <w:proofErr w:type="spellStart"/>
      <w:r w:rsidRPr="78D3B1AA">
        <w:rPr>
          <w:rFonts w:ascii="Arial" w:eastAsia="Arial" w:hAnsi="Arial" w:cs="Arial"/>
          <w:color w:val="000000" w:themeColor="text1"/>
        </w:rPr>
        <w:t>Yakubovich</w:t>
      </w:r>
      <w:proofErr w:type="spellEnd"/>
      <w:r w:rsidRPr="78D3B1AA">
        <w:rPr>
          <w:rFonts w:ascii="Arial" w:eastAsia="Arial" w:hAnsi="Arial" w:cs="Arial"/>
          <w:color w:val="000000" w:themeColor="text1"/>
        </w:rPr>
        <w:t xml:space="preserve">, V. (2019) ‘Artificial intelligence in human resources management: A review and research agenda’, </w:t>
      </w:r>
      <w:r w:rsidRPr="78D3B1AA">
        <w:rPr>
          <w:rFonts w:ascii="Arial" w:eastAsia="Arial" w:hAnsi="Arial" w:cs="Arial"/>
          <w:i/>
          <w:iCs/>
          <w:color w:val="000000" w:themeColor="text1"/>
        </w:rPr>
        <w:t>California Management Review</w:t>
      </w:r>
      <w:r w:rsidRPr="78D3B1AA">
        <w:rPr>
          <w:rFonts w:ascii="Arial" w:eastAsia="Arial" w:hAnsi="Arial" w:cs="Arial"/>
          <w:color w:val="000000" w:themeColor="text1"/>
        </w:rPr>
        <w:t>, 61(4), pp. 215–237.</w:t>
      </w:r>
    </w:p>
    <w:p w14:paraId="53E24ECB" w14:textId="4021E5D1" w:rsidR="48B61D84" w:rsidRDefault="48B61D84" w:rsidP="78D3B1AA">
      <w:pPr>
        <w:spacing w:before="240" w:after="120" w:line="360" w:lineRule="auto"/>
        <w:jc w:val="both"/>
        <w:rPr>
          <w:rFonts w:ascii="Arial" w:eastAsia="Arial" w:hAnsi="Arial" w:cs="Arial"/>
          <w:color w:val="000000" w:themeColor="text1"/>
        </w:rPr>
      </w:pPr>
      <w:r w:rsidRPr="78D3B1AA">
        <w:rPr>
          <w:rFonts w:ascii="Arial" w:eastAsia="Arial" w:hAnsi="Arial" w:cs="Arial"/>
          <w:color w:val="000000" w:themeColor="text1"/>
        </w:rPr>
        <w:t xml:space="preserve">World Economic Forum (2023) </w:t>
      </w:r>
      <w:r w:rsidRPr="78D3B1AA">
        <w:rPr>
          <w:rFonts w:ascii="Arial" w:eastAsia="Arial" w:hAnsi="Arial" w:cs="Arial"/>
          <w:i/>
          <w:iCs/>
          <w:color w:val="000000" w:themeColor="text1"/>
        </w:rPr>
        <w:t>The Future of Jobs Report 2023</w:t>
      </w:r>
      <w:r w:rsidRPr="78D3B1AA">
        <w:rPr>
          <w:rFonts w:ascii="Arial" w:eastAsia="Arial" w:hAnsi="Arial" w:cs="Arial"/>
          <w:color w:val="000000" w:themeColor="text1"/>
        </w:rPr>
        <w:t>. Geneva: World Economic Forum.</w:t>
      </w:r>
    </w:p>
    <w:p w14:paraId="1B5EEA14" w14:textId="3FCA662F" w:rsidR="78D3B1AA" w:rsidRDefault="78D3B1AA" w:rsidP="78D3B1AA">
      <w:pPr>
        <w:spacing w:line="360" w:lineRule="auto"/>
        <w:jc w:val="both"/>
        <w:rPr>
          <w:rFonts w:ascii="Arial" w:eastAsia="Arial" w:hAnsi="Arial" w:cs="Arial"/>
          <w:color w:val="000000" w:themeColor="text1"/>
        </w:rPr>
      </w:pPr>
    </w:p>
    <w:sectPr w:rsidR="78D3B1AA">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735E4" w14:textId="77777777" w:rsidR="00BF13E3" w:rsidRDefault="00BF13E3">
      <w:pPr>
        <w:spacing w:after="0" w:line="240" w:lineRule="auto"/>
      </w:pPr>
      <w:r>
        <w:separator/>
      </w:r>
    </w:p>
  </w:endnote>
  <w:endnote w:type="continuationSeparator" w:id="0">
    <w:p w14:paraId="0B224769" w14:textId="77777777" w:rsidR="00BF13E3" w:rsidRDefault="00BF1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8D3B1AA" w14:paraId="5F93093B" w14:textId="77777777" w:rsidTr="78D3B1AA">
      <w:trPr>
        <w:trHeight w:val="300"/>
      </w:trPr>
      <w:tc>
        <w:tcPr>
          <w:tcW w:w="3120" w:type="dxa"/>
        </w:tcPr>
        <w:p w14:paraId="44422BFC" w14:textId="21CD0274" w:rsidR="78D3B1AA" w:rsidRDefault="78D3B1AA" w:rsidP="78D3B1AA">
          <w:pPr>
            <w:pStyle w:val="Header"/>
            <w:ind w:left="-115"/>
          </w:pPr>
        </w:p>
      </w:tc>
      <w:tc>
        <w:tcPr>
          <w:tcW w:w="3120" w:type="dxa"/>
        </w:tcPr>
        <w:p w14:paraId="17B16ECA" w14:textId="7703674E" w:rsidR="78D3B1AA" w:rsidRDefault="78D3B1AA" w:rsidP="78D3B1AA">
          <w:pPr>
            <w:pStyle w:val="Header"/>
            <w:jc w:val="center"/>
          </w:pPr>
          <w:r>
            <w:fldChar w:fldCharType="begin"/>
          </w:r>
          <w:r>
            <w:instrText>PAGE</w:instrText>
          </w:r>
          <w:r>
            <w:fldChar w:fldCharType="separate"/>
          </w:r>
          <w:r w:rsidR="00BF13E3">
            <w:rPr>
              <w:noProof/>
            </w:rPr>
            <w:t>1</w:t>
          </w:r>
          <w:r>
            <w:fldChar w:fldCharType="end"/>
          </w:r>
        </w:p>
      </w:tc>
      <w:tc>
        <w:tcPr>
          <w:tcW w:w="3120" w:type="dxa"/>
        </w:tcPr>
        <w:p w14:paraId="50EDCB4C" w14:textId="4E9A4AF3" w:rsidR="78D3B1AA" w:rsidRDefault="78D3B1AA" w:rsidP="78D3B1AA">
          <w:pPr>
            <w:pStyle w:val="Header"/>
            <w:ind w:right="-115"/>
            <w:jc w:val="right"/>
          </w:pPr>
        </w:p>
      </w:tc>
    </w:tr>
  </w:tbl>
  <w:p w14:paraId="184BFE2E" w14:textId="464A5F3D" w:rsidR="78D3B1AA" w:rsidRDefault="78D3B1AA" w:rsidP="78D3B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F40C8" w14:textId="77777777" w:rsidR="00BF13E3" w:rsidRDefault="00BF13E3">
      <w:pPr>
        <w:spacing w:after="0" w:line="240" w:lineRule="auto"/>
      </w:pPr>
      <w:r>
        <w:separator/>
      </w:r>
    </w:p>
  </w:footnote>
  <w:footnote w:type="continuationSeparator" w:id="0">
    <w:p w14:paraId="38682B87" w14:textId="77777777" w:rsidR="00BF13E3" w:rsidRDefault="00BF13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8D3B1AA" w14:paraId="4FBCE8AB" w14:textId="77777777" w:rsidTr="78D3B1AA">
      <w:trPr>
        <w:trHeight w:val="300"/>
      </w:trPr>
      <w:tc>
        <w:tcPr>
          <w:tcW w:w="3120" w:type="dxa"/>
        </w:tcPr>
        <w:p w14:paraId="10DB9475" w14:textId="41AAC961" w:rsidR="78D3B1AA" w:rsidRDefault="78D3B1AA" w:rsidP="78D3B1AA">
          <w:pPr>
            <w:pStyle w:val="Header"/>
            <w:ind w:left="-115"/>
          </w:pPr>
          <w:r>
            <w:rPr>
              <w:noProof/>
            </w:rPr>
            <w:drawing>
              <wp:inline distT="0" distB="0" distL="0" distR="0" wp14:anchorId="701FEC2E" wp14:editId="2536EB16">
                <wp:extent cx="1809750" cy="723900"/>
                <wp:effectExtent l="0" t="0" r="0" b="0"/>
                <wp:docPr id="1351534753" name="drawi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534753" name=""/>
                        <pic:cNvPicPr/>
                      </pic:nvPicPr>
                      <pic:blipFill>
                        <a:blip r:embed="rId1">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tc>
      <w:tc>
        <w:tcPr>
          <w:tcW w:w="3120" w:type="dxa"/>
        </w:tcPr>
        <w:p w14:paraId="338543A6" w14:textId="77379D19" w:rsidR="78D3B1AA" w:rsidRDefault="78D3B1AA" w:rsidP="78D3B1AA">
          <w:pPr>
            <w:pStyle w:val="Header"/>
            <w:jc w:val="center"/>
          </w:pPr>
        </w:p>
      </w:tc>
      <w:tc>
        <w:tcPr>
          <w:tcW w:w="3120" w:type="dxa"/>
        </w:tcPr>
        <w:p w14:paraId="2A2AD6F6" w14:textId="2D8F5944" w:rsidR="78D3B1AA" w:rsidRDefault="78D3B1AA" w:rsidP="78D3B1AA">
          <w:pPr>
            <w:pStyle w:val="Header"/>
            <w:ind w:right="-115"/>
            <w:jc w:val="right"/>
          </w:pPr>
        </w:p>
      </w:tc>
    </w:tr>
  </w:tbl>
  <w:p w14:paraId="57D2E45D" w14:textId="24D1104F" w:rsidR="78D3B1AA" w:rsidRDefault="78D3B1AA" w:rsidP="78D3B1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3489B5"/>
    <w:multiLevelType w:val="hybridMultilevel"/>
    <w:tmpl w:val="FFFFFFFF"/>
    <w:lvl w:ilvl="0" w:tplc="58263848">
      <w:start w:val="1"/>
      <w:numFmt w:val="bullet"/>
      <w:lvlText w:val=""/>
      <w:lvlJc w:val="left"/>
      <w:pPr>
        <w:ind w:left="720" w:hanging="360"/>
      </w:pPr>
      <w:rPr>
        <w:rFonts w:ascii="Symbol" w:hAnsi="Symbol" w:hint="default"/>
      </w:rPr>
    </w:lvl>
    <w:lvl w:ilvl="1" w:tplc="81B20A4E">
      <w:start w:val="1"/>
      <w:numFmt w:val="bullet"/>
      <w:lvlText w:val="o"/>
      <w:lvlJc w:val="left"/>
      <w:pPr>
        <w:ind w:left="1440" w:hanging="360"/>
      </w:pPr>
      <w:rPr>
        <w:rFonts w:ascii="Courier New" w:hAnsi="Courier New" w:hint="default"/>
      </w:rPr>
    </w:lvl>
    <w:lvl w:ilvl="2" w:tplc="B8E83634">
      <w:start w:val="1"/>
      <w:numFmt w:val="bullet"/>
      <w:lvlText w:val=""/>
      <w:lvlJc w:val="left"/>
      <w:pPr>
        <w:ind w:left="2160" w:hanging="360"/>
      </w:pPr>
      <w:rPr>
        <w:rFonts w:ascii="Wingdings" w:hAnsi="Wingdings" w:hint="default"/>
      </w:rPr>
    </w:lvl>
    <w:lvl w:ilvl="3" w:tplc="BF023A40">
      <w:start w:val="1"/>
      <w:numFmt w:val="bullet"/>
      <w:lvlText w:val=""/>
      <w:lvlJc w:val="left"/>
      <w:pPr>
        <w:ind w:left="2880" w:hanging="360"/>
      </w:pPr>
      <w:rPr>
        <w:rFonts w:ascii="Symbol" w:hAnsi="Symbol" w:hint="default"/>
      </w:rPr>
    </w:lvl>
    <w:lvl w:ilvl="4" w:tplc="02A26DB4">
      <w:start w:val="1"/>
      <w:numFmt w:val="bullet"/>
      <w:lvlText w:val="o"/>
      <w:lvlJc w:val="left"/>
      <w:pPr>
        <w:ind w:left="3600" w:hanging="360"/>
      </w:pPr>
      <w:rPr>
        <w:rFonts w:ascii="Courier New" w:hAnsi="Courier New" w:hint="default"/>
      </w:rPr>
    </w:lvl>
    <w:lvl w:ilvl="5" w:tplc="34C284F6">
      <w:start w:val="1"/>
      <w:numFmt w:val="bullet"/>
      <w:lvlText w:val=""/>
      <w:lvlJc w:val="left"/>
      <w:pPr>
        <w:ind w:left="4320" w:hanging="360"/>
      </w:pPr>
      <w:rPr>
        <w:rFonts w:ascii="Wingdings" w:hAnsi="Wingdings" w:hint="default"/>
      </w:rPr>
    </w:lvl>
    <w:lvl w:ilvl="6" w:tplc="63A05F34">
      <w:start w:val="1"/>
      <w:numFmt w:val="bullet"/>
      <w:lvlText w:val=""/>
      <w:lvlJc w:val="left"/>
      <w:pPr>
        <w:ind w:left="5040" w:hanging="360"/>
      </w:pPr>
      <w:rPr>
        <w:rFonts w:ascii="Symbol" w:hAnsi="Symbol" w:hint="default"/>
      </w:rPr>
    </w:lvl>
    <w:lvl w:ilvl="7" w:tplc="D1B0E1AA">
      <w:start w:val="1"/>
      <w:numFmt w:val="bullet"/>
      <w:lvlText w:val="o"/>
      <w:lvlJc w:val="left"/>
      <w:pPr>
        <w:ind w:left="5760" w:hanging="360"/>
      </w:pPr>
      <w:rPr>
        <w:rFonts w:ascii="Courier New" w:hAnsi="Courier New" w:hint="default"/>
      </w:rPr>
    </w:lvl>
    <w:lvl w:ilvl="8" w:tplc="F018610A">
      <w:start w:val="1"/>
      <w:numFmt w:val="bullet"/>
      <w:lvlText w:val=""/>
      <w:lvlJc w:val="left"/>
      <w:pPr>
        <w:ind w:left="6480" w:hanging="360"/>
      </w:pPr>
      <w:rPr>
        <w:rFonts w:ascii="Wingdings" w:hAnsi="Wingdings" w:hint="default"/>
      </w:rPr>
    </w:lvl>
  </w:abstractNum>
  <w:num w:numId="1" w16cid:durableId="1030760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1"/>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A82BC7"/>
    <w:rsid w:val="005E2675"/>
    <w:rsid w:val="00680D43"/>
    <w:rsid w:val="008A178A"/>
    <w:rsid w:val="009B3FF3"/>
    <w:rsid w:val="00BF13E3"/>
    <w:rsid w:val="00D37EBD"/>
    <w:rsid w:val="017911C8"/>
    <w:rsid w:val="0368CA17"/>
    <w:rsid w:val="04D19D7C"/>
    <w:rsid w:val="0DE946EF"/>
    <w:rsid w:val="1CDBBC72"/>
    <w:rsid w:val="1DD3EACB"/>
    <w:rsid w:val="22077E23"/>
    <w:rsid w:val="23C54BB1"/>
    <w:rsid w:val="279D2C65"/>
    <w:rsid w:val="39E91AB9"/>
    <w:rsid w:val="43B9D2E4"/>
    <w:rsid w:val="48B61D84"/>
    <w:rsid w:val="4FD0FE3F"/>
    <w:rsid w:val="579CEE8B"/>
    <w:rsid w:val="59A82BC7"/>
    <w:rsid w:val="5A94E466"/>
    <w:rsid w:val="60915A6E"/>
    <w:rsid w:val="652E0C84"/>
    <w:rsid w:val="657A9536"/>
    <w:rsid w:val="6E996CEA"/>
    <w:rsid w:val="72AA4E23"/>
    <w:rsid w:val="7696D402"/>
    <w:rsid w:val="78D3B1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82BC7"/>
  <w15:chartTrackingRefBased/>
  <w15:docId w15:val="{083A0D7E-A7E5-40FD-8854-DB7DD2D06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8D3B1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78D3B1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78D3B1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78D3B1AA"/>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78D3B1AA"/>
    <w:rPr>
      <w:color w:val="467886"/>
      <w:u w:val="single"/>
    </w:rPr>
  </w:style>
  <w:style w:type="paragraph" w:styleId="TOC3">
    <w:name w:val="toc 3"/>
    <w:basedOn w:val="Normal"/>
    <w:next w:val="Normal"/>
    <w:uiPriority w:val="39"/>
    <w:unhideWhenUsed/>
    <w:rsid w:val="78D3B1AA"/>
    <w:pPr>
      <w:spacing w:after="100"/>
      <w:ind w:left="440"/>
    </w:pPr>
  </w:style>
  <w:style w:type="paragraph" w:styleId="TOC4">
    <w:name w:val="toc 4"/>
    <w:basedOn w:val="Normal"/>
    <w:next w:val="Normal"/>
    <w:uiPriority w:val="39"/>
    <w:unhideWhenUsed/>
    <w:rsid w:val="78D3B1AA"/>
    <w:pPr>
      <w:spacing w:after="100"/>
      <w:ind w:left="660"/>
    </w:pPr>
  </w:style>
  <w:style w:type="paragraph" w:styleId="TOC2">
    <w:name w:val="toc 2"/>
    <w:basedOn w:val="Normal"/>
    <w:next w:val="Normal"/>
    <w:uiPriority w:val="39"/>
    <w:unhideWhenUsed/>
    <w:rsid w:val="78D3B1AA"/>
    <w:pPr>
      <w:spacing w:after="100"/>
      <w:ind w:left="220"/>
    </w:pPr>
  </w:style>
  <w:style w:type="paragraph" w:styleId="Header">
    <w:name w:val="header"/>
    <w:basedOn w:val="Normal"/>
    <w:uiPriority w:val="99"/>
    <w:unhideWhenUsed/>
    <w:rsid w:val="78D3B1AA"/>
    <w:pPr>
      <w:tabs>
        <w:tab w:val="center" w:pos="4680"/>
        <w:tab w:val="right" w:pos="9360"/>
      </w:tabs>
      <w:spacing w:after="0" w:line="240" w:lineRule="auto"/>
    </w:pPr>
  </w:style>
  <w:style w:type="paragraph" w:styleId="Footer">
    <w:name w:val="footer"/>
    <w:basedOn w:val="Normal"/>
    <w:uiPriority w:val="99"/>
    <w:unhideWhenUsed/>
    <w:rsid w:val="78D3B1AA"/>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tner.com/smarterwithgartner/4-strategies-for-closing-the-skills-gap" TargetMode="External" /><Relationship Id="rId3" Type="http://schemas.openxmlformats.org/officeDocument/2006/relationships/settings" Target="settings.xml" /><Relationship Id="rId7" Type="http://schemas.openxmlformats.org/officeDocument/2006/relationships/hyperlink" Target="https://www2.deloitte.com/us/en/insights/focus/human-capital-trends.html"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1.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3952</Words>
  <Characters>22528</Characters>
  <Application>Microsoft Office Word</Application>
  <DocSecurity>0</DocSecurity>
  <Lines>187</Lines>
  <Paragraphs>52</Paragraphs>
  <ScaleCrop>false</ScaleCrop>
  <Company/>
  <LinksUpToDate>false</LinksUpToDate>
  <CharactersWithSpaces>26428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Jahangir; ismail hossain</dc:creator>
  <cp:keywords/>
  <dc:description/>
  <cp:lastModifiedBy>Jahangir Khalaj Savojbolagh (2109914)</cp:lastModifiedBy>
  <cp:revision>4</cp:revision>
  <dcterms:created xsi:type="dcterms:W3CDTF">2025-10-08T08:54:00Z</dcterms:created>
  <dcterms:modified xsi:type="dcterms:W3CDTF">2025-10-08T08:55:00Z</dcterms:modified>
</cp:coreProperties>
</file>