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F1BA174" w14:textId="77777777" w:rsidR="00E111B7" w:rsidRDefault="00674A6A">
      <w:pPr>
        <w:spacing w:before="2000"/>
        <w:jc w:val="center"/>
      </w:pPr>
      <w:r>
        <w:rPr>
          <w:b/>
          <w:bCs/>
          <w:sz w:val="28"/>
          <w:szCs w:val="28"/>
        </w:rPr>
        <w:t>University of Wales Trinity Saint David</w:t>
      </w:r>
    </w:p>
    <w:p w14:paraId="520DB7EE" w14:textId="77777777" w:rsidR="00E111B7" w:rsidRDefault="00674A6A">
      <w:pPr>
        <w:spacing w:before="400"/>
        <w:jc w:val="center"/>
      </w:pPr>
      <w:r>
        <w:t>Certificate of Higher Education: Skills for the Workplace (Health &amp; Social Care)</w:t>
      </w:r>
    </w:p>
    <w:p w14:paraId="735608AA" w14:textId="77777777" w:rsidR="00E111B7" w:rsidRDefault="00674A6A">
      <w:pPr>
        <w:spacing w:before="600"/>
        <w:jc w:val="center"/>
      </w:pPr>
      <w:r>
        <w:rPr>
          <w:b/>
          <w:bCs/>
          <w:sz w:val="24"/>
          <w:szCs w:val="24"/>
        </w:rPr>
        <w:t>LCHS4003 – Introduction to Health and Social Care</w:t>
      </w:r>
    </w:p>
    <w:p w14:paraId="46974E7B" w14:textId="77777777" w:rsidR="00E111B7" w:rsidRDefault="00674A6A">
      <w:pPr>
        <w:spacing w:before="800"/>
        <w:jc w:val="center"/>
      </w:pPr>
      <w:r>
        <w:rPr>
          <w:b/>
          <w:bCs/>
          <w:sz w:val="26"/>
          <w:szCs w:val="26"/>
        </w:rPr>
        <w:t>Written Assignment – Component 2</w:t>
      </w:r>
    </w:p>
    <w:p w14:paraId="35AA8DBD" w14:textId="77777777" w:rsidR="00E111B7" w:rsidRDefault="00674A6A">
      <w:pPr>
        <w:spacing w:before="600"/>
        <w:jc w:val="center"/>
      </w:pPr>
      <w:r>
        <w:rPr>
          <w:i/>
          <w:iCs/>
          <w:sz w:val="24"/>
          <w:szCs w:val="24"/>
        </w:rPr>
        <w:t xml:space="preserve">Case Study: </w:t>
      </w:r>
      <w:proofErr w:type="spellStart"/>
      <w:r>
        <w:rPr>
          <w:i/>
          <w:iCs/>
          <w:sz w:val="24"/>
          <w:szCs w:val="24"/>
        </w:rPr>
        <w:t>Mrs</w:t>
      </w:r>
      <w:proofErr w:type="spellEnd"/>
      <w:r>
        <w:rPr>
          <w:i/>
          <w:iCs/>
          <w:sz w:val="24"/>
          <w:szCs w:val="24"/>
        </w:rPr>
        <w:t xml:space="preserve"> Thompson</w:t>
      </w:r>
    </w:p>
    <w:p w14:paraId="48241CB2" w14:textId="3BAD428E" w:rsidR="00674A6A" w:rsidRPr="00674A6A" w:rsidRDefault="00674A6A" w:rsidP="00674A6A">
      <w:pPr>
        <w:spacing w:before="200"/>
        <w:jc w:val="center"/>
        <w:rPr>
          <w:lang/>
        </w:rPr>
      </w:pPr>
      <w:r>
        <w:t xml:space="preserve">Student Name: </w:t>
      </w:r>
      <w:proofErr w:type="spellStart"/>
      <w:r>
        <w:t>Liyba</w:t>
      </w:r>
      <w:proofErr w:type="spellEnd"/>
      <w:r>
        <w:t xml:space="preserve"> Imran</w:t>
      </w:r>
    </w:p>
    <w:p w14:paraId="2C6DB367" w14:textId="77777777" w:rsidR="00674A6A" w:rsidRDefault="00674A6A">
      <w:pPr>
        <w:spacing w:before="200"/>
        <w:jc w:val="center"/>
      </w:pPr>
      <w:r>
        <w:t>Student ID Number: 2508598l</w:t>
      </w:r>
    </w:p>
    <w:p w14:paraId="134AE7DA" w14:textId="77777777" w:rsidR="00674A6A" w:rsidRPr="00674A6A" w:rsidRDefault="00674A6A">
      <w:pPr>
        <w:spacing w:before="200"/>
        <w:jc w:val="center"/>
        <w:rPr>
          <w:lang/>
        </w:rPr>
      </w:pPr>
    </w:p>
    <w:p w14:paraId="3C06D6E0" w14:textId="77777777" w:rsidR="00E111B7" w:rsidRDefault="00674A6A">
      <w:pPr>
        <w:spacing w:before="200"/>
        <w:jc w:val="center"/>
      </w:pPr>
      <w:r>
        <w:t>Module Code: LCHS4003</w:t>
      </w:r>
    </w:p>
    <w:p w14:paraId="6D6E114F" w14:textId="77777777" w:rsidR="00E111B7" w:rsidRDefault="00674A6A">
      <w:pPr>
        <w:spacing w:before="200"/>
        <w:jc w:val="center"/>
      </w:pPr>
      <w:r>
        <w:t xml:space="preserve">Lecturer: </w:t>
      </w:r>
      <w:proofErr w:type="spellStart"/>
      <w:r>
        <w:t>Dr</w:t>
      </w:r>
      <w:proofErr w:type="spellEnd"/>
      <w:r>
        <w:t xml:space="preserve"> Helen Parsons</w:t>
      </w:r>
    </w:p>
    <w:p w14:paraId="329AFDE9" w14:textId="77777777" w:rsidR="00E111B7" w:rsidRDefault="00674A6A">
      <w:pPr>
        <w:spacing w:before="200"/>
        <w:jc w:val="center"/>
      </w:pPr>
      <w:r>
        <w:t>Submission Deadline: 24th July 2026</w:t>
      </w:r>
    </w:p>
    <w:p w14:paraId="7F0B9102" w14:textId="77777777" w:rsidR="00E111B7" w:rsidRDefault="00674A6A">
      <w:pPr>
        <w:spacing w:before="200"/>
        <w:jc w:val="center"/>
      </w:pPr>
      <w:r>
        <w:t>Word Count: Approximately 1,500 words</w:t>
      </w:r>
    </w:p>
    <w:p w14:paraId="79C6F0DC" w14:textId="77777777" w:rsidR="00E111B7" w:rsidRDefault="00E111B7">
      <w:pPr>
        <w:sectPr w:rsidR="00E111B7">
          <w:pgSz w:w="11906" w:h="16838"/>
          <w:pgMar w:top="1440" w:right="1440" w:bottom="1440" w:left="1440" w:header="708" w:footer="708" w:gutter="0"/>
          <w:cols w:space="720"/>
          <w:docGrid w:linePitch="360"/>
        </w:sectPr>
      </w:pPr>
    </w:p>
    <w:p w14:paraId="58E331C9" w14:textId="77777777" w:rsidR="00E111B7" w:rsidRDefault="00674A6A" w:rsidP="00B734B0">
      <w:pPr>
        <w:pStyle w:val="Heading1"/>
        <w:jc w:val="both"/>
      </w:pPr>
      <w:r>
        <w:lastRenderedPageBreak/>
        <w:t>Introduction</w:t>
      </w:r>
    </w:p>
    <w:p w14:paraId="1EF9D85E" w14:textId="58F120EE" w:rsidR="00E111B7" w:rsidRDefault="006D5904" w:rsidP="00B734B0">
      <w:pPr>
        <w:spacing w:after="200" w:line="360" w:lineRule="auto"/>
        <w:jc w:val="both"/>
      </w:pPr>
      <w:r w:rsidRPr="006D5904">
        <w:t xml:space="preserve">The requirement for successful health and social care is best met by a combination of communication and administrative practices and multi-agency cooperation. This report focuses on the case of </w:t>
      </w:r>
      <w:proofErr w:type="spellStart"/>
      <w:r w:rsidRPr="006D5904">
        <w:t>Mrs</w:t>
      </w:r>
      <w:proofErr w:type="spellEnd"/>
      <w:r w:rsidRPr="006D5904">
        <w:t xml:space="preserve"> Thompson, an 84-year-old woman who, after suffering from pneumonia, was discharged from the hospital, lives alone in supported accommodations, and receives domiciliary care twice a day. </w:t>
      </w:r>
      <w:proofErr w:type="spellStart"/>
      <w:r w:rsidRPr="006D5904">
        <w:t>Mrs</w:t>
      </w:r>
      <w:proofErr w:type="spellEnd"/>
      <w:r w:rsidRPr="006D5904">
        <w:t xml:space="preserve"> Thompson has mild dementia, missed her medication on two occasions, and was found outside without sufficient clothing. Her case is being reviewed by the local council. </w:t>
      </w:r>
      <w:r w:rsidR="00184134">
        <w:t xml:space="preserve">By taking into account the Equality Act of 2010 and a communication model, the report will highlight the crucial role that communication played in Mrs. Thompson's case. It will also describe the role that record keeping and the Data Protection Act of 2018 played, as well as the role of multi-agency cooperation between Mrs. Thompson's general practitioner, community nurse, and domiciliary care workers. </w:t>
      </w:r>
      <w:r w:rsidRPr="006D5904">
        <w:t>These elements combine to ensure safe, dignified, and lawful care for adults in the UK.</w:t>
      </w:r>
    </w:p>
    <w:p w14:paraId="71EE5AA6" w14:textId="56A536E4" w:rsidR="00E111B7" w:rsidRDefault="00674A6A" w:rsidP="00B734B0">
      <w:pPr>
        <w:pStyle w:val="Heading1"/>
        <w:jc w:val="both"/>
      </w:pPr>
      <w:r>
        <w:t xml:space="preserve">Section 1: The Importance of Effective Communication </w:t>
      </w:r>
    </w:p>
    <w:p w14:paraId="13EBB30E" w14:textId="77777777" w:rsidR="006D5904" w:rsidRDefault="006D5904" w:rsidP="00B734B0">
      <w:pPr>
        <w:spacing w:after="200" w:line="360" w:lineRule="auto"/>
        <w:jc w:val="both"/>
      </w:pPr>
      <w:r>
        <w:t xml:space="preserve">Quality care relies on good communication, especially for people like </w:t>
      </w:r>
      <w:proofErr w:type="spellStart"/>
      <w:r>
        <w:t>Mrs</w:t>
      </w:r>
      <w:proofErr w:type="spellEnd"/>
      <w:r>
        <w:t xml:space="preserve"> Thompson, who has cognitive impairments and complicated requirements. For care workers, good communication is the foundation of understanding the service user’s needs and evaluating their health and care status, and responding to any change. As noted by Moss (2017), communication in health and social care is more than a verbal message; it is the integration of verbal and non-verbal communication, active listening, and the establishment of a trust framework. For </w:t>
      </w:r>
      <w:proofErr w:type="spellStart"/>
      <w:r>
        <w:t>Mrs</w:t>
      </w:r>
      <w:proofErr w:type="spellEnd"/>
      <w:r>
        <w:t xml:space="preserve"> Thompson, communication workers will have to make a change in the framework of their communication practices, as her dementia will likely not allow her to express herself verbally or recall past interventions.</w:t>
      </w:r>
    </w:p>
    <w:p w14:paraId="5440DFB3" w14:textId="72BC8D77" w:rsidR="006D5904" w:rsidRDefault="006D5904" w:rsidP="00B734B0">
      <w:pPr>
        <w:spacing w:after="200" w:line="360" w:lineRule="auto"/>
        <w:jc w:val="both"/>
      </w:pPr>
      <w:r>
        <w:t xml:space="preserve">The Shannon-Weaver Communication Model, when </w:t>
      </w:r>
      <w:proofErr w:type="spellStart"/>
      <w:r>
        <w:t>analysed</w:t>
      </w:r>
      <w:proofErr w:type="spellEnd"/>
      <w:r>
        <w:t xml:space="preserve"> during training sessions, describes the encoding, transmission, and decoding of messages in the presence of 'noise'. 'Noise' can be physical, psychological, or semantic. (Shannon and Weaver, 1949, cited in </w:t>
      </w:r>
      <w:proofErr w:type="spellStart"/>
      <w:r>
        <w:t>Norouzinia</w:t>
      </w:r>
      <w:proofErr w:type="spellEnd"/>
      <w:r>
        <w:t xml:space="preserve"> et al., 2016). In the context of Mrs. Thompson, 'noise' may be cognitive and anxiety-related, or be the result of environmental distractions or the complex nature of the practitioner's language. Domiciliary care workers can combat 'noise' by using simple language, maintaining eye contact, and pausing to allow Ms. Thompson adequate time to respond. For Ms. Thompson, pictorial medication charts may aid her understanding and adherence to her medication.</w:t>
      </w:r>
    </w:p>
    <w:p w14:paraId="57D2B808" w14:textId="77777777" w:rsidR="006D5904" w:rsidRDefault="006D5904" w:rsidP="00B734B0">
      <w:pPr>
        <w:spacing w:after="200" w:line="360" w:lineRule="auto"/>
        <w:jc w:val="both"/>
      </w:pPr>
      <w:r>
        <w:t xml:space="preserve">In communicating with Ms. Thompson's family, practitioners must observe the principles of the Equality Act 2010. The Equality Act (2010) mandates the nondiscriminatory delivery of care to </w:t>
      </w:r>
      <w:r>
        <w:lastRenderedPageBreak/>
        <w:t>all persons regardless of protected characteristics, e.g., age and disability. Inpatient Ms. Thompson, a senior woman with dementia, embodies multiple protected characteristics. Practitioners must, therefore, communicate with Ms. Thompson's family as care partners, and with inclusive consideration. This goal is furthered by the Care Act 2014, which promotes person-centered care and invites family participation in care planning (Lawson and West, 2022). According to Health Education England (2017), family participation improves the service user's outcome and positively impacts the care relationship through trust and transparency.</w:t>
      </w:r>
    </w:p>
    <w:p w14:paraId="2A183F92" w14:textId="2DAA0C90" w:rsidR="00E111B7" w:rsidRDefault="006D5904" w:rsidP="00B734B0">
      <w:pPr>
        <w:spacing w:after="200" w:line="360" w:lineRule="auto"/>
        <w:jc w:val="both"/>
      </w:pPr>
      <w:r>
        <w:t>Moreover, the Accessible Information Standard places a legal obligation on health and social care agencies to ensure information can be communicated in accessible formats to persons with disabilities and/or sensory impairments. Mrs. Thompson's main barrier is cognitive. However, staff should consider whether she and her family receive plain and clear updates in plain English. All practitioners in NHS England and Local Authority services are expected to meet these communication standards, as part of their duty of candor and responsibility to provide respect and dignity in care (Care Quality Commission, 2021).</w:t>
      </w:r>
    </w:p>
    <w:p w14:paraId="7F4B80E1" w14:textId="2FAFDEEC" w:rsidR="00E111B7" w:rsidRDefault="00674A6A" w:rsidP="00B734B0">
      <w:pPr>
        <w:pStyle w:val="Heading1"/>
        <w:jc w:val="both"/>
      </w:pPr>
      <w:r>
        <w:t xml:space="preserve">Section 2: Record-Keeping and Administrative Skills </w:t>
      </w:r>
    </w:p>
    <w:p w14:paraId="6337DC02" w14:textId="77777777" w:rsidR="006D5904" w:rsidRDefault="006D5904" w:rsidP="00B734B0">
      <w:pPr>
        <w:spacing w:after="200" w:line="360" w:lineRule="auto"/>
        <w:jc w:val="both"/>
      </w:pPr>
      <w:r>
        <w:t xml:space="preserve">In health and social care, strong administrative skills are essential. For Mrs. Thompson in particular, the precise documentation of events, especially missed medications, along with recording the incident of her being found outside the service without appropriate clothing, is crucial to the safeguarding of her welfare and to the development of an effective inter-agency response. </w:t>
      </w:r>
      <w:proofErr w:type="spellStart"/>
      <w:r>
        <w:t>Dimond</w:t>
      </w:r>
      <w:proofErr w:type="spellEnd"/>
      <w:r>
        <w:t xml:space="preserve"> (2020) maintains that recording care is not only a core clinical responsibility but also a legal duty. Insufficient documentation of care can also fail to identify illness, provide the requisite care, and lead to legal proceedings.</w:t>
      </w:r>
    </w:p>
    <w:p w14:paraId="71002FC9" w14:textId="385CC676" w:rsidR="006D5904" w:rsidRDefault="006D5904" w:rsidP="00B734B0">
      <w:pPr>
        <w:spacing w:after="200" w:line="360" w:lineRule="auto"/>
        <w:jc w:val="both"/>
      </w:pPr>
      <w:r>
        <w:t xml:space="preserve">Mrs. Thompson's care records are protected under the Data Protection Act (DPA) 2018 and the UK General Data Protection Regulation (UK GDPR). DPA 2018 codifies collection, storage, and sharing criteria. Lawful, fair, and purposeful processing is required. Data is required to be accurate, securely stored, and not kept longer than necessary. Data care records of Mrs. Thompson must be stored in a secure system, protected by a password, and posted to </w:t>
      </w:r>
      <w:proofErr w:type="spellStart"/>
      <w:r>
        <w:t>authorised</w:t>
      </w:r>
      <w:proofErr w:type="spellEnd"/>
      <w:r>
        <w:t xml:space="preserve"> users only. Data of Mrs. Thompson may be shared with external agencies, including the local council in the case review, if permitted under UK GDPR, and in compliance with a safeguarding and/or legal obligation.</w:t>
      </w:r>
    </w:p>
    <w:p w14:paraId="2F3623E9" w14:textId="77777777" w:rsidR="006D5904" w:rsidRDefault="006D5904" w:rsidP="00B734B0">
      <w:pPr>
        <w:spacing w:after="200" w:line="360" w:lineRule="auto"/>
        <w:jc w:val="both"/>
      </w:pPr>
      <w:r>
        <w:t xml:space="preserve">Missed medication falls under the duty of candor, which requires healthcare providers by law to be forthright with service users and families when a negative event occurs. (Care Quality Commission, 2021). This involves a review of the documented incident. A good administrator </w:t>
      </w:r>
      <w:r>
        <w:lastRenderedPageBreak/>
        <w:t>will communicate the results of a medication review to Mrs. Thompson's GP and family. The Royal College of Nursing (2019) suggests that a care record be up to date and fact-based in order to ensure that the record is a trustworthy documentation of events.</w:t>
      </w:r>
    </w:p>
    <w:p w14:paraId="2756907B" w14:textId="39740F83" w:rsidR="00E111B7" w:rsidRDefault="006D5904" w:rsidP="00B734B0">
      <w:pPr>
        <w:spacing w:after="200" w:line="360" w:lineRule="auto"/>
        <w:jc w:val="both"/>
      </w:pPr>
      <w:r>
        <w:t>Other policy frameworks include the Mental Capacity Act 2005. Considering Mrs. Thompson's dementia, data-sharing and care-related decisions are made in her best interest. These decisions would be informed by a capacity assessment (Mental Capacity Act, 2005). Domiciliary care workers have the responsibility to make capacity assessments, and they must be clear when documenting their assessments. Transparency and accountability are crucial. Skills for Care (2023) says that in care work, assessments are a necessary aspect of risk management on the part of the care worker.</w:t>
      </w:r>
    </w:p>
    <w:p w14:paraId="3EF185B7" w14:textId="43678EC1" w:rsidR="00E111B7" w:rsidRDefault="00674A6A" w:rsidP="00B734B0">
      <w:pPr>
        <w:pStyle w:val="Heading1"/>
        <w:jc w:val="both"/>
      </w:pPr>
      <w:r>
        <w:t xml:space="preserve">Section 3: Multi-Agency Collaboration </w:t>
      </w:r>
    </w:p>
    <w:p w14:paraId="45B2F8DC" w14:textId="77777777" w:rsidR="006D5904" w:rsidRDefault="006D5904" w:rsidP="00B734B0">
      <w:pPr>
        <w:spacing w:after="200" w:line="360" w:lineRule="auto"/>
        <w:jc w:val="both"/>
      </w:pPr>
      <w:r>
        <w:t>Collaboration with other professionals will ensure Mrs. Thompson is provided with safe and effective care. Within Mrs. Thompson's care, there are several professionals: her GP, the community nurse, and domiciliary care workers. Each has separate and important information and skills in care. As a primary objective of integrated care, Mrs. Thompson, the service user, is provided with a care plan that is the result of several professionals. The NHS Long Term plan (NHS England, 2019) intends to advance integrated care systems to achieve more favorable outcomes for older people with more complicated care needs.</w:t>
      </w:r>
    </w:p>
    <w:p w14:paraId="7E01ECC1" w14:textId="77777777" w:rsidR="006D5904" w:rsidRDefault="006D5904" w:rsidP="00B734B0">
      <w:pPr>
        <w:spacing w:after="200" w:line="360" w:lineRule="auto"/>
        <w:jc w:val="both"/>
      </w:pPr>
      <w:r>
        <w:t>Ways to cultivate successful collaboration include frequent multi-disciplinary team (MDT) gatherings, maintenance of joint care plans, and establishment of defined roles and accountabilities. Glasby and Dickinson (2021) state that key elements of successful partnerships include trust, shared principles, and co-created and flexible communication networks between stakeholders. A solution to Mrs. Thompson’s problem would be the implementation of a care conference with her GP, the community nurse, the social worker, and the care manager, in order to establish and coordinate a plan to assist Mrs. Thompson with her concerns regarding compliance with her care and medication.</w:t>
      </w:r>
    </w:p>
    <w:p w14:paraId="12AD4353" w14:textId="744168C5" w:rsidR="00E111B7" w:rsidRDefault="006D5904" w:rsidP="00B734B0">
      <w:pPr>
        <w:spacing w:after="200" w:line="360" w:lineRule="auto"/>
        <w:jc w:val="both"/>
      </w:pPr>
      <w:r>
        <w:t xml:space="preserve">Some issues that are commonly experienced with multi-agency work include the tension between differing professional identities, the inability or reluctance to share information, and the lack of available comprehensive resources (Irvine et al., 2017). To promote effective collaboration, it is imperative to implement educational programs for different professions, a universal system of referral, and the use of co-active real-time digital care records. The Adult Safeguarding Board necessitates that the care of Mrs. Thompson be </w:t>
      </w:r>
      <w:proofErr w:type="spellStart"/>
      <w:r>
        <w:t>prioritised</w:t>
      </w:r>
      <w:proofErr w:type="spellEnd"/>
      <w:r>
        <w:t xml:space="preserve"> and that the pertinent agencies comply with the mandates of the Care Act 2014. Collaborative care for a vulnerable adult is a legal requirement. Collaborative care for a concerning case of a </w:t>
      </w:r>
      <w:r>
        <w:lastRenderedPageBreak/>
        <w:t>vulnerable adult is a legal requirement. A care coordination plan with a focus on governance and accountability is also imperative.</w:t>
      </w:r>
    </w:p>
    <w:p w14:paraId="1BFC947B" w14:textId="77777777" w:rsidR="00E111B7" w:rsidRDefault="00674A6A" w:rsidP="00B734B0">
      <w:pPr>
        <w:pStyle w:val="Heading1"/>
        <w:jc w:val="both"/>
      </w:pPr>
      <w:r>
        <w:t>Conclusion</w:t>
      </w:r>
    </w:p>
    <w:p w14:paraId="43D8F78B" w14:textId="48470D14" w:rsidR="00E111B7" w:rsidRDefault="006D5904" w:rsidP="00B734B0">
      <w:pPr>
        <w:spacing w:after="200" w:line="360" w:lineRule="auto"/>
        <w:jc w:val="both"/>
      </w:pPr>
      <w:r w:rsidRPr="006D5904">
        <w:t>This report has focused on three main pillars of health and social care practice in the case of Mrs. Thompson and the complexities surrounding her needs. Effective communication – informed by the Shannon-Weaver model and the Equality Act 2010 – is essential for ensuring that her needs are understood and that her family is meaningfully involved in her care. In the case of both the health and social care professional and the user of the service, the safeguarding aspect of the Data Protection Act 2018 and the Mental Capacity Act 2005 is of utmost importance and is addressed through the care practice of recording. Multi-agency work is derived from the Care Act 2014 and the NHS Long Term Plan. It addresses the gaps in Mrs. Thompson’s needs. Mrs. Thompson’s care practice is safe, dignified, legal, and in agreement with her wishes. For the health and social care professional, this is what needs to be applied to every care practice</w:t>
      </w:r>
      <w:r>
        <w:t>.</w:t>
      </w:r>
    </w:p>
    <w:p w14:paraId="32C3D7F6" w14:textId="77777777" w:rsidR="006D5904" w:rsidRDefault="006D5904">
      <w:pPr>
        <w:rPr>
          <w:b/>
          <w:bCs/>
          <w:sz w:val="24"/>
          <w:szCs w:val="24"/>
        </w:rPr>
      </w:pPr>
      <w:r>
        <w:br w:type="page"/>
      </w:r>
    </w:p>
    <w:p w14:paraId="759D668F" w14:textId="68CD9B18" w:rsidR="00E111B7" w:rsidRDefault="00674A6A">
      <w:pPr>
        <w:pStyle w:val="Heading1"/>
      </w:pPr>
      <w:r>
        <w:lastRenderedPageBreak/>
        <w:t>References</w:t>
      </w:r>
    </w:p>
    <w:p w14:paraId="32747EB3" w14:textId="77777777" w:rsidR="00E111B7" w:rsidRDefault="00674A6A">
      <w:pPr>
        <w:spacing w:after="160" w:line="360" w:lineRule="auto"/>
        <w:ind w:left="720" w:hanging="720"/>
      </w:pPr>
      <w:r>
        <w:t xml:space="preserve">Care Quality Commission (2021) Regulation 20: Duty of </w:t>
      </w:r>
      <w:proofErr w:type="spellStart"/>
      <w:r>
        <w:t>candour</w:t>
      </w:r>
      <w:proofErr w:type="spellEnd"/>
      <w:r>
        <w:t>. Available at: https://www.cqc.org.uk/guidance-providers/regulations/regulation-20-duty-candour (Accessed: 10 June 2026).</w:t>
      </w:r>
    </w:p>
    <w:p w14:paraId="3A2D7185" w14:textId="77777777" w:rsidR="00E111B7" w:rsidRDefault="00674A6A">
      <w:pPr>
        <w:spacing w:after="160" w:line="360" w:lineRule="auto"/>
        <w:ind w:left="720" w:hanging="720"/>
      </w:pPr>
      <w:r>
        <w:t>Data Protection Act 2018. c.12. London: HMSO.</w:t>
      </w:r>
    </w:p>
    <w:p w14:paraId="7C68C2A5" w14:textId="77777777" w:rsidR="00E111B7" w:rsidRDefault="00674A6A">
      <w:pPr>
        <w:spacing w:after="160" w:line="360" w:lineRule="auto"/>
        <w:ind w:left="720" w:hanging="720"/>
      </w:pPr>
      <w:proofErr w:type="spellStart"/>
      <w:r>
        <w:t>Dimond</w:t>
      </w:r>
      <w:proofErr w:type="spellEnd"/>
      <w:r>
        <w:t xml:space="preserve">, B. (2020) Legal aspects of nursing. 8th </w:t>
      </w:r>
      <w:proofErr w:type="spellStart"/>
      <w:r>
        <w:t>edn</w:t>
      </w:r>
      <w:proofErr w:type="spellEnd"/>
      <w:r>
        <w:t>. Harlow: Pearson Education.</w:t>
      </w:r>
    </w:p>
    <w:p w14:paraId="5A003125" w14:textId="77777777" w:rsidR="00E111B7" w:rsidRDefault="00674A6A">
      <w:pPr>
        <w:spacing w:after="160" w:line="360" w:lineRule="auto"/>
        <w:ind w:left="720" w:hanging="720"/>
      </w:pPr>
      <w:r>
        <w:t>Equality Act 2010. c.15. London: HMSO.</w:t>
      </w:r>
    </w:p>
    <w:p w14:paraId="546A465C" w14:textId="77777777" w:rsidR="00E111B7" w:rsidRDefault="00674A6A">
      <w:pPr>
        <w:spacing w:after="160" w:line="360" w:lineRule="auto"/>
        <w:ind w:left="720" w:hanging="720"/>
      </w:pPr>
      <w:r>
        <w:t xml:space="preserve">Glasby, J. and Dickinson, H. (2021) Partnership working in health and social care: what is integrated care and how can we deliver it? 3rd </w:t>
      </w:r>
      <w:proofErr w:type="spellStart"/>
      <w:r>
        <w:t>edn</w:t>
      </w:r>
      <w:proofErr w:type="spellEnd"/>
      <w:r>
        <w:t>. Bristol: Policy Press. https://doi.org/10.51952/9781447359067</w:t>
      </w:r>
    </w:p>
    <w:p w14:paraId="0C1A232C" w14:textId="77777777" w:rsidR="00E111B7" w:rsidRDefault="00674A6A">
      <w:pPr>
        <w:spacing w:after="160" w:line="360" w:lineRule="auto"/>
        <w:ind w:left="720" w:hanging="720"/>
      </w:pPr>
      <w:r>
        <w:t>Health Education England (2017) Person-</w:t>
      </w:r>
      <w:proofErr w:type="spellStart"/>
      <w:r>
        <w:t>centred</w:t>
      </w:r>
      <w:proofErr w:type="spellEnd"/>
      <w:r>
        <w:t xml:space="preserve"> care: what is it and how can we deliver it? Available at: https://www.hee.nhs.uk/our-work/person-centred-care (Accessed: 10 June 2026).</w:t>
      </w:r>
    </w:p>
    <w:p w14:paraId="61C40A1A" w14:textId="77777777" w:rsidR="00E111B7" w:rsidRDefault="00674A6A">
      <w:pPr>
        <w:spacing w:after="160" w:line="360" w:lineRule="auto"/>
        <w:ind w:left="720" w:hanging="720"/>
      </w:pPr>
      <w:r>
        <w:t>Information Commissioner's Office (2021) Guide to the UK General Data Protection Regulation (UK GDPR). Available at: https://ico.org.uk/for-organisations/guide-to-data-protection/guide-to-the-general-data-protection-regulation-gdpr/ (Accessed: 10 June 2026).</w:t>
      </w:r>
    </w:p>
    <w:p w14:paraId="38C46D59" w14:textId="77777777" w:rsidR="00E111B7" w:rsidRDefault="00674A6A">
      <w:pPr>
        <w:spacing w:after="160" w:line="360" w:lineRule="auto"/>
        <w:ind w:left="720" w:hanging="720"/>
      </w:pPr>
      <w:r>
        <w:t xml:space="preserve">Irvine, R., </w:t>
      </w:r>
      <w:proofErr w:type="spellStart"/>
      <w:r>
        <w:t>Kerridge</w:t>
      </w:r>
      <w:proofErr w:type="spellEnd"/>
      <w:r>
        <w:t>, I. and McPhee, J. (2017) '</w:t>
      </w:r>
      <w:proofErr w:type="spellStart"/>
      <w:r>
        <w:t>Interprofessionalism</w:t>
      </w:r>
      <w:proofErr w:type="spellEnd"/>
      <w:r>
        <w:t xml:space="preserve"> and ethics: consensus or clash of cultures?', Journal of </w:t>
      </w:r>
      <w:proofErr w:type="spellStart"/>
      <w:r>
        <w:t>Interprofessional</w:t>
      </w:r>
      <w:proofErr w:type="spellEnd"/>
      <w:r>
        <w:t xml:space="preserve"> Care, 26(1), pp. 6–12. https://doi.org/10.3109/13561820.2011.628424</w:t>
      </w:r>
    </w:p>
    <w:p w14:paraId="62A3CA5E" w14:textId="77777777" w:rsidR="00E111B7" w:rsidRDefault="00674A6A">
      <w:pPr>
        <w:spacing w:after="160" w:line="360" w:lineRule="auto"/>
        <w:ind w:left="720" w:hanging="720"/>
      </w:pPr>
      <w:r>
        <w:t>Lawson, H. and West, M. (2022) The Care Act 2014: a guide for practitioners. London: Sage Publications.</w:t>
      </w:r>
    </w:p>
    <w:p w14:paraId="40976C96" w14:textId="77777777" w:rsidR="00E111B7" w:rsidRDefault="00674A6A">
      <w:pPr>
        <w:spacing w:after="160" w:line="360" w:lineRule="auto"/>
        <w:ind w:left="720" w:hanging="720"/>
      </w:pPr>
      <w:r>
        <w:t>Mental Capacity Act 2005. c.9. London: HMSO.</w:t>
      </w:r>
    </w:p>
    <w:p w14:paraId="0C2D9AAD" w14:textId="77777777" w:rsidR="00E111B7" w:rsidRDefault="00674A6A">
      <w:pPr>
        <w:spacing w:after="160" w:line="360" w:lineRule="auto"/>
        <w:ind w:left="720" w:hanging="720"/>
      </w:pPr>
      <w:r>
        <w:t xml:space="preserve">Moss, B. (2017) Communication skills in health and social care. 4th </w:t>
      </w:r>
      <w:proofErr w:type="spellStart"/>
      <w:r>
        <w:t>edn</w:t>
      </w:r>
      <w:proofErr w:type="spellEnd"/>
      <w:r>
        <w:t>. London: Sage Publications.</w:t>
      </w:r>
    </w:p>
    <w:p w14:paraId="4C938CB4" w14:textId="77777777" w:rsidR="00E111B7" w:rsidRDefault="00674A6A">
      <w:pPr>
        <w:spacing w:after="160" w:line="360" w:lineRule="auto"/>
        <w:ind w:left="720" w:hanging="720"/>
      </w:pPr>
      <w:r>
        <w:t>NHS England (2016) Accessible Information Standard. Available at: https://www.england.nhs.uk/ourwork/accessibleinfo/ (Accessed: 10 June 2026).</w:t>
      </w:r>
    </w:p>
    <w:p w14:paraId="5389B586" w14:textId="77777777" w:rsidR="00E111B7" w:rsidRDefault="00674A6A">
      <w:pPr>
        <w:spacing w:after="160" w:line="360" w:lineRule="auto"/>
        <w:ind w:left="720" w:hanging="720"/>
      </w:pPr>
      <w:r>
        <w:t>NHS England (2019) The NHS Long Term Plan. Available at: https://www.longtermplan.nhs.uk/publication/nhs-long-term-plan/ (Accessed: 10 June 2026).</w:t>
      </w:r>
    </w:p>
    <w:p w14:paraId="6505B13D" w14:textId="77777777" w:rsidR="00E111B7" w:rsidRDefault="00674A6A">
      <w:pPr>
        <w:spacing w:after="160" w:line="360" w:lineRule="auto"/>
        <w:ind w:left="720" w:hanging="720"/>
      </w:pPr>
      <w:proofErr w:type="spellStart"/>
      <w:r>
        <w:lastRenderedPageBreak/>
        <w:t>Norouzinia</w:t>
      </w:r>
      <w:proofErr w:type="spellEnd"/>
      <w:r>
        <w:t xml:space="preserve">, R., </w:t>
      </w:r>
      <w:proofErr w:type="spellStart"/>
      <w:r>
        <w:t>Aghabarari</w:t>
      </w:r>
      <w:proofErr w:type="spellEnd"/>
      <w:r>
        <w:t xml:space="preserve">, M., Shiri, M., </w:t>
      </w:r>
      <w:proofErr w:type="spellStart"/>
      <w:r>
        <w:t>Karimi</w:t>
      </w:r>
      <w:proofErr w:type="spellEnd"/>
      <w:r>
        <w:t xml:space="preserve">, M. and </w:t>
      </w:r>
      <w:proofErr w:type="spellStart"/>
      <w:r>
        <w:t>Samami</w:t>
      </w:r>
      <w:proofErr w:type="spellEnd"/>
      <w:r>
        <w:t>, E. (2016) 'Communication barriers perceived by nurses and patients', Global Journal of Health Science, 8(6), pp. 65–74. https://doi.org/10.5539/gjhs.v8n6p65</w:t>
      </w:r>
    </w:p>
    <w:p w14:paraId="266D7004" w14:textId="77777777" w:rsidR="00E111B7" w:rsidRDefault="00674A6A">
      <w:pPr>
        <w:spacing w:after="160" w:line="360" w:lineRule="auto"/>
        <w:ind w:left="720" w:hanging="720"/>
      </w:pPr>
      <w:r>
        <w:t>Royal College of Nursing (2019) Principles of nursing practice. Available at: https://www.rcn.org.uk/Professional-Development/principles-of-nursing-practice (Accessed: 10 June 2026).</w:t>
      </w:r>
    </w:p>
    <w:p w14:paraId="4F6F10C9" w14:textId="77777777" w:rsidR="00E111B7" w:rsidRDefault="00674A6A">
      <w:pPr>
        <w:spacing w:after="160" w:line="360" w:lineRule="auto"/>
        <w:ind w:left="720" w:hanging="720"/>
      </w:pPr>
      <w:r>
        <w:t>Skills for Care (2023) The state of the adult social care sector and workforce in England. Available at: https://www.skillsforcare.org.uk/research/workforce-intelligence/publications/national-information/the-state-of-the-adult-social-care-sector-and-workforce-in-england.aspx (Accessed: 10 June 2026).</w:t>
      </w:r>
    </w:p>
    <w:sectPr w:rsidR="00E111B7">
      <w:footerReference w:type="default" r:id="rId7"/>
      <w:pgSz w:w="11906" w:h="16838"/>
      <w:pgMar w:top="1440" w:right="1440" w:bottom="1440" w:left="1440" w:header="708" w:footer="708"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D7AA2D4" w14:textId="77777777" w:rsidR="001E066C" w:rsidRDefault="001E066C">
      <w:r>
        <w:separator/>
      </w:r>
    </w:p>
  </w:endnote>
  <w:endnote w:type="continuationSeparator" w:id="0">
    <w:p w14:paraId="7CE1746E" w14:textId="77777777" w:rsidR="001E066C" w:rsidRDefault="001E066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Calibri">
    <w:panose1 w:val="020F0502020204030204"/>
    <w:charset w:val="00"/>
    <w:family w:val="swiss"/>
    <w:pitch w:val="variable"/>
    <w:sig w:usb0="E00002FF" w:usb1="4000A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4DB2EAB" w14:textId="281B0962" w:rsidR="00E111B7" w:rsidRDefault="00674A6A">
    <w:pPr>
      <w:jc w:val="center"/>
    </w:pPr>
    <w:r>
      <w:rPr>
        <w:sz w:val="20"/>
        <w:szCs w:val="20"/>
      </w:rPr>
      <w:fldChar w:fldCharType="begin"/>
    </w:r>
    <w:r>
      <w:rPr>
        <w:sz w:val="20"/>
        <w:szCs w:val="20"/>
      </w:rPr>
      <w:instrText>PAGE</w:instrText>
    </w:r>
    <w:r>
      <w:rPr>
        <w:sz w:val="20"/>
        <w:szCs w:val="20"/>
      </w:rPr>
      <w:fldChar w:fldCharType="separate"/>
    </w:r>
    <w:r w:rsidR="006D5904">
      <w:rPr>
        <w:noProof/>
        <w:sz w:val="20"/>
        <w:szCs w:val="20"/>
      </w:rPr>
      <w:t>2</w:t>
    </w:r>
    <w:r>
      <w:rPr>
        <w:sz w:val="20"/>
        <w:szCs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267A49B" w14:textId="77777777" w:rsidR="001E066C" w:rsidRDefault="001E066C">
      <w:r>
        <w:separator/>
      </w:r>
    </w:p>
  </w:footnote>
  <w:footnote w:type="continuationSeparator" w:id="0">
    <w:p w14:paraId="11833A8F" w14:textId="77777777" w:rsidR="001E066C" w:rsidRDefault="001E066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EAC725C"/>
    <w:multiLevelType w:val="hybridMultilevel"/>
    <w:tmpl w:val="25E8A0B6"/>
    <w:lvl w:ilvl="0" w:tplc="DE841564">
      <w:start w:val="1"/>
      <w:numFmt w:val="bullet"/>
      <w:lvlText w:val="●"/>
      <w:lvlJc w:val="left"/>
      <w:pPr>
        <w:ind w:left="720" w:hanging="360"/>
      </w:pPr>
    </w:lvl>
    <w:lvl w:ilvl="1" w:tplc="17DCC722">
      <w:start w:val="1"/>
      <w:numFmt w:val="bullet"/>
      <w:lvlText w:val="○"/>
      <w:lvlJc w:val="left"/>
      <w:pPr>
        <w:ind w:left="1440" w:hanging="360"/>
      </w:pPr>
    </w:lvl>
    <w:lvl w:ilvl="2" w:tplc="0A6E69D2">
      <w:start w:val="1"/>
      <w:numFmt w:val="bullet"/>
      <w:lvlText w:val="■"/>
      <w:lvlJc w:val="left"/>
      <w:pPr>
        <w:ind w:left="2160" w:hanging="360"/>
      </w:pPr>
    </w:lvl>
    <w:lvl w:ilvl="3" w:tplc="FA22912C">
      <w:start w:val="1"/>
      <w:numFmt w:val="bullet"/>
      <w:lvlText w:val="●"/>
      <w:lvlJc w:val="left"/>
      <w:pPr>
        <w:ind w:left="2880" w:hanging="360"/>
      </w:pPr>
    </w:lvl>
    <w:lvl w:ilvl="4" w:tplc="AA5E6F32">
      <w:start w:val="1"/>
      <w:numFmt w:val="bullet"/>
      <w:lvlText w:val="○"/>
      <w:lvlJc w:val="left"/>
      <w:pPr>
        <w:ind w:left="3600" w:hanging="360"/>
      </w:pPr>
    </w:lvl>
    <w:lvl w:ilvl="5" w:tplc="63F6460E">
      <w:start w:val="1"/>
      <w:numFmt w:val="bullet"/>
      <w:lvlText w:val="■"/>
      <w:lvlJc w:val="left"/>
      <w:pPr>
        <w:ind w:left="4320" w:hanging="360"/>
      </w:pPr>
    </w:lvl>
    <w:lvl w:ilvl="6" w:tplc="EA4AB33E">
      <w:start w:val="1"/>
      <w:numFmt w:val="bullet"/>
      <w:lvlText w:val="●"/>
      <w:lvlJc w:val="left"/>
      <w:pPr>
        <w:ind w:left="5040" w:hanging="360"/>
      </w:pPr>
    </w:lvl>
    <w:lvl w:ilvl="7" w:tplc="E2A45638">
      <w:start w:val="1"/>
      <w:numFmt w:val="bullet"/>
      <w:lvlText w:val="●"/>
      <w:lvlJc w:val="left"/>
      <w:pPr>
        <w:ind w:left="5760" w:hanging="360"/>
      </w:pPr>
    </w:lvl>
    <w:lvl w:ilvl="8" w:tplc="0D70EFB4">
      <w:start w:val="1"/>
      <w:numFmt w:val="bullet"/>
      <w:lvlText w:val="●"/>
      <w:lvlJc w:val="left"/>
      <w:pPr>
        <w:ind w:left="6480" w:hanging="360"/>
      </w:pPr>
    </w:lvl>
  </w:abstractNum>
  <w:num w:numId="1" w16cid:durableId="1313368713">
    <w:abstractNumId w:val="0"/>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29"/>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111B7"/>
    <w:rsid w:val="00184134"/>
    <w:rsid w:val="001E066C"/>
    <w:rsid w:val="005E421D"/>
    <w:rsid w:val="00674A6A"/>
    <w:rsid w:val="006D5904"/>
    <w:rsid w:val="00805997"/>
    <w:rsid w:val="00974AB9"/>
    <w:rsid w:val="00B734B0"/>
    <w:rsid w:val="00E111B7"/>
    <w:rsid w:val="00E64611"/>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decimalSymbol w:val="."/>
  <w:listSeparator w:val=","/>
  <w14:docId w14:val="744A1AFA"/>
  <w15:docId w15:val="{F3ABEDB9-BA53-9B45-8818-FD3CFC43FB3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uiPriority w:val="9"/>
    <w:qFormat/>
    <w:pPr>
      <w:spacing w:before="240" w:after="120"/>
      <w:outlineLvl w:val="0"/>
    </w:pPr>
    <w:rPr>
      <w:b/>
      <w:bCs/>
      <w:sz w:val="24"/>
      <w:szCs w:val="24"/>
    </w:rPr>
  </w:style>
  <w:style w:type="paragraph" w:styleId="Heading2">
    <w:name w:val="heading 2"/>
    <w:uiPriority w:val="9"/>
    <w:semiHidden/>
    <w:unhideWhenUsed/>
    <w:qFormat/>
    <w:pPr>
      <w:spacing w:before="200" w:after="100"/>
      <w:outlineLvl w:val="1"/>
    </w:pPr>
    <w:rPr>
      <w:b/>
      <w:bCs/>
    </w:rPr>
  </w:style>
  <w:style w:type="paragraph" w:styleId="Heading3">
    <w:name w:val="heading 3"/>
    <w:uiPriority w:val="9"/>
    <w:semiHidden/>
    <w:unhideWhenUsed/>
    <w:qFormat/>
    <w:pPr>
      <w:outlineLvl w:val="2"/>
    </w:pPr>
    <w:rPr>
      <w:color w:val="1F4D78"/>
      <w:sz w:val="24"/>
      <w:szCs w:val="24"/>
    </w:rPr>
  </w:style>
  <w:style w:type="paragraph" w:styleId="Heading4">
    <w:name w:val="heading 4"/>
    <w:uiPriority w:val="9"/>
    <w:semiHidden/>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uiPriority w:val="10"/>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rPr>
      <w:sz w:val="20"/>
      <w:szCs w:val="20"/>
    </w:rPr>
  </w:style>
  <w:style w:type="character" w:customStyle="1" w:styleId="FootnoteTextChar">
    <w:name w:val="Footnote Text Char"/>
    <w:link w:val="FootnoteText"/>
    <w:uiPriority w:val="99"/>
    <w:semiHidden/>
    <w:unhideWhenUsed/>
    <w:rPr>
      <w:sz w:val="20"/>
      <w:szCs w:val="20"/>
    </w:rPr>
  </w:style>
  <w:style w:type="character" w:styleId="EndnoteReference">
    <w:name w:val="endnote reference"/>
    <w:uiPriority w:val="99"/>
    <w:semiHidden/>
    <w:unhideWhenUsed/>
    <w:rPr>
      <w:vertAlign w:val="superscript"/>
    </w:rPr>
  </w:style>
  <w:style w:type="paragraph" w:styleId="EndnoteText">
    <w:name w:val="endnote text"/>
    <w:link w:val="EndnoteTextChar"/>
    <w:uiPriority w:val="99"/>
    <w:semiHidden/>
    <w:unhideWhenUsed/>
    <w:rPr>
      <w:sz w:val="20"/>
      <w:szCs w:val="20"/>
    </w:rPr>
  </w:style>
  <w:style w:type="character" w:customStyle="1" w:styleId="EndnoteTextChar">
    <w:name w:val="Endnote Text Char"/>
    <w:link w:val="EndnoteText"/>
    <w:uiPriority w:val="99"/>
    <w:semiHidden/>
    <w:unhideWhenUsed/>
    <w:rPr>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fontTable" Target="fontTable.xml" /><Relationship Id="rId3" Type="http://schemas.openxmlformats.org/officeDocument/2006/relationships/settings" Target="settings.xml" /><Relationship Id="rId7" Type="http://schemas.openxmlformats.org/officeDocument/2006/relationships/footer" Target="footer1.xml"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endnotes" Target="endnotes.xml" /><Relationship Id="rId5" Type="http://schemas.openxmlformats.org/officeDocument/2006/relationships/footnotes" Target="footnotes.xml" /><Relationship Id="rId4" Type="http://schemas.openxmlformats.org/officeDocument/2006/relationships/webSettings" Target="webSettings.xml" /><Relationship Id="rId9"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7</Pages>
  <Words>1867</Words>
  <Characters>10645</Characters>
  <Application>Microsoft Office Word</Application>
  <DocSecurity>0</DocSecurity>
  <Lines>88</Lines>
  <Paragraphs>24</Paragraphs>
  <ScaleCrop>false</ScaleCrop>
  <Company/>
  <LinksUpToDate>false</LinksUpToDate>
  <CharactersWithSpaces>12488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Un-named</dc:creator>
  <cp:lastModifiedBy>amna kiran</cp:lastModifiedBy>
  <cp:revision>3</cp:revision>
  <dcterms:created xsi:type="dcterms:W3CDTF">2026-06-10T21:52:00Z</dcterms:created>
  <dcterms:modified xsi:type="dcterms:W3CDTF">2026-06-10T21:52:00Z</dcterms:modified>
</cp:coreProperties>
</file>