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638E1" w:rsidP="004A67D4" w:rsidRDefault="007638E1" w14:paraId="583C7364" w14:textId="76075606">
      <w:pPr>
        <w:jc w:val="center"/>
      </w:pPr>
    </w:p>
    <w:p w:rsidR="004A67D4" w:rsidP="004A67D4" w:rsidRDefault="004A67D4" w14:paraId="127C0956" w14:textId="79BC3C18">
      <w:pPr>
        <w:jc w:val="center"/>
      </w:pPr>
    </w:p>
    <w:p w:rsidR="004A67D4" w:rsidP="004A67D4" w:rsidRDefault="004A67D4" w14:paraId="455A5CE7" w14:textId="2D680E84">
      <w:pPr>
        <w:jc w:val="center"/>
      </w:pPr>
    </w:p>
    <w:p w:rsidR="004A67D4" w:rsidP="004A67D4" w:rsidRDefault="004A67D4" w14:paraId="0C01A2E4" w14:textId="35D2BC80">
      <w:pPr>
        <w:jc w:val="center"/>
      </w:pPr>
    </w:p>
    <w:p w:rsidRPr="006A6BFD" w:rsidR="004A67D4" w:rsidP="004A67D4" w:rsidRDefault="004A67D4" w14:paraId="709652C3" w14:textId="51F201FE">
      <w:pPr>
        <w:jc w:val="center"/>
        <w:rPr>
          <w:sz w:val="36"/>
          <w:szCs w:val="36"/>
        </w:rPr>
      </w:pPr>
    </w:p>
    <w:p w:rsidR="004A67D4" w:rsidP="004A67D4" w:rsidRDefault="004A67D4" w14:paraId="4872E9DE" w14:textId="7B2A6983">
      <w:pPr>
        <w:jc w:val="center"/>
        <w:rPr>
          <w:sz w:val="36"/>
          <w:szCs w:val="36"/>
        </w:rPr>
      </w:pPr>
      <w:r w:rsidRPr="006A6BFD">
        <w:rPr>
          <w:sz w:val="36"/>
          <w:szCs w:val="36"/>
        </w:rPr>
        <w:t>BMPL40</w:t>
      </w:r>
      <w:r w:rsidRPr="006A6BFD" w:rsidR="004D65BD">
        <w:rPr>
          <w:sz w:val="36"/>
          <w:szCs w:val="36"/>
        </w:rPr>
        <w:t>11</w:t>
      </w:r>
      <w:r w:rsidRPr="006A6BFD">
        <w:rPr>
          <w:sz w:val="36"/>
          <w:szCs w:val="36"/>
        </w:rPr>
        <w:t xml:space="preserve"> Legal Process</w:t>
      </w:r>
      <w:r w:rsidR="006A6BFD">
        <w:rPr>
          <w:sz w:val="36"/>
          <w:szCs w:val="36"/>
        </w:rPr>
        <w:t xml:space="preserve"> – Assignment 1</w:t>
      </w:r>
    </w:p>
    <w:p w:rsidR="006A6BFD" w:rsidP="004A67D4" w:rsidRDefault="006A6BFD" w14:paraId="251EC3B9" w14:textId="6BA1CB42">
      <w:pPr>
        <w:jc w:val="center"/>
        <w:rPr>
          <w:sz w:val="36"/>
          <w:szCs w:val="36"/>
        </w:rPr>
      </w:pPr>
    </w:p>
    <w:p w:rsidR="00DA2D4C" w:rsidP="004A67D4" w:rsidRDefault="00DA2D4C" w14:paraId="38FF9458" w14:textId="77777777">
      <w:pPr>
        <w:jc w:val="center"/>
        <w:rPr>
          <w:sz w:val="36"/>
          <w:szCs w:val="36"/>
        </w:rPr>
      </w:pPr>
    </w:p>
    <w:p w:rsidR="006A6BFD" w:rsidP="004A67D4" w:rsidRDefault="00935093" w14:paraId="52F64B7C" w14:textId="217EAC69">
      <w:pPr>
        <w:jc w:val="center"/>
        <w:rPr>
          <w:sz w:val="36"/>
          <w:szCs w:val="36"/>
        </w:rPr>
      </w:pPr>
      <w:r w:rsidRPr="00935093">
        <w:rPr>
          <w:sz w:val="36"/>
          <w:szCs w:val="36"/>
        </w:rPr>
        <w:t>The English Legal System is based upon common law principles. Explain what this means</w:t>
      </w:r>
      <w:r>
        <w:rPr>
          <w:sz w:val="36"/>
          <w:szCs w:val="36"/>
        </w:rPr>
        <w:t>.</w:t>
      </w:r>
    </w:p>
    <w:p w:rsidR="00935093" w:rsidP="004A67D4" w:rsidRDefault="00935093" w14:paraId="13A90DF1" w14:textId="57888934">
      <w:pPr>
        <w:jc w:val="center"/>
        <w:rPr>
          <w:sz w:val="36"/>
          <w:szCs w:val="36"/>
        </w:rPr>
      </w:pPr>
    </w:p>
    <w:p w:rsidR="00935093" w:rsidP="004A67D4" w:rsidRDefault="00935093" w14:paraId="2C0461A4" w14:textId="3F228A93">
      <w:pPr>
        <w:jc w:val="center"/>
        <w:rPr>
          <w:sz w:val="36"/>
          <w:szCs w:val="36"/>
        </w:rPr>
      </w:pPr>
    </w:p>
    <w:p w:rsidR="00935093" w:rsidP="004A67D4" w:rsidRDefault="00935093" w14:paraId="2B2AF382" w14:textId="29CC8E5B">
      <w:pPr>
        <w:jc w:val="center"/>
        <w:rPr>
          <w:sz w:val="36"/>
          <w:szCs w:val="36"/>
        </w:rPr>
      </w:pPr>
    </w:p>
    <w:p w:rsidR="00DA2D4C" w:rsidP="004A67D4" w:rsidRDefault="00CF75D8" w14:paraId="277E0184" w14:textId="32D1BD3E">
      <w:pPr>
        <w:jc w:val="center"/>
      </w:pPr>
      <w:r>
        <w:t>Steffan Williams (2203204)</w:t>
      </w:r>
    </w:p>
    <w:p w:rsidR="00DA2D4C" w:rsidRDefault="00DA2D4C" w14:paraId="3355C665" w14:textId="77777777">
      <w:r>
        <w:br w:type="page"/>
      </w:r>
    </w:p>
    <w:p w:rsidR="00935093" w:rsidP="00624AE9" w:rsidRDefault="009C27FE" w14:paraId="2CE39B83" w14:textId="394185DE">
      <w:r>
        <w:lastRenderedPageBreak/>
        <w:tab/>
      </w:r>
      <w:r>
        <w:t>The English Legal System is based upon a common law system</w:t>
      </w:r>
      <w:r w:rsidR="00881E13">
        <w:t xml:space="preserve">, which has been created and adapted by years of </w:t>
      </w:r>
      <w:r w:rsidR="0093223A">
        <w:t xml:space="preserve">case law, </w:t>
      </w:r>
      <w:r w:rsidR="006B757C">
        <w:t>precedent,</w:t>
      </w:r>
      <w:r w:rsidR="0093223A">
        <w:t xml:space="preserve"> and interpretation of statutes</w:t>
      </w:r>
      <w:r w:rsidR="00DA21FD">
        <w:t xml:space="preserve">. </w:t>
      </w:r>
      <w:r w:rsidR="00AB1D17">
        <w:t xml:space="preserve">Common law is </w:t>
      </w:r>
      <w:r w:rsidR="00281859">
        <w:t xml:space="preserve">founded on </w:t>
      </w:r>
      <w:r w:rsidR="007A66CF">
        <w:t xml:space="preserve">the idea of judicial precedent, according to which </w:t>
      </w:r>
      <w:r w:rsidR="005B3972">
        <w:t>judgments</w:t>
      </w:r>
      <w:r w:rsidR="007A66CF">
        <w:t xml:space="preserve"> rendered</w:t>
      </w:r>
      <w:r w:rsidR="005B3972">
        <w:t xml:space="preserve"> by higher courts are conclusive on subordinate courts. This means </w:t>
      </w:r>
      <w:r w:rsidR="00894307">
        <w:t>that instead of depending simply on statutory legislation, legal conflicts are settled by reviewing prior court decisions</w:t>
      </w:r>
      <w:r w:rsidR="00743129">
        <w:t xml:space="preserve"> </w:t>
      </w:r>
      <w:sdt>
        <w:sdtPr>
          <w:id w:val="-1219272516"/>
          <w:citation/>
        </w:sdtPr>
        <w:sdtContent>
          <w:r w:rsidR="00743129">
            <w:fldChar w:fldCharType="begin"/>
          </w:r>
          <w:r w:rsidR="00743129">
            <w:instrText xml:space="preserve"> CITATION Bla65 \l 2057 </w:instrText>
          </w:r>
          <w:r w:rsidR="00743129">
            <w:fldChar w:fldCharType="separate"/>
          </w:r>
          <w:r w:rsidR="008C2A92">
            <w:rPr>
              <w:noProof/>
            </w:rPr>
            <w:t>(Blackstone, 1765)</w:t>
          </w:r>
          <w:r w:rsidR="00743129">
            <w:fldChar w:fldCharType="end"/>
          </w:r>
        </w:sdtContent>
      </w:sdt>
      <w:r w:rsidR="00743129">
        <w:t xml:space="preserve">. </w:t>
      </w:r>
      <w:r w:rsidR="00545D64">
        <w:t xml:space="preserve">The English Legal System </w:t>
      </w:r>
      <w:r w:rsidR="009F073A">
        <w:t xml:space="preserve">is </w:t>
      </w:r>
      <w:r w:rsidR="0019137D">
        <w:t xml:space="preserve">flexible and adaptable, allowing legislation to be able to keep up with the ever-changing </w:t>
      </w:r>
      <w:r w:rsidR="00D51321">
        <w:t>social, political, and economic circumstanc</w:t>
      </w:r>
      <w:r w:rsidR="00AC22C1">
        <w:t xml:space="preserve">es </w:t>
      </w:r>
      <w:sdt>
        <w:sdtPr>
          <w:id w:val="-1888402364"/>
          <w:citation/>
        </w:sdtPr>
        <w:sdtContent>
          <w:r w:rsidR="00C243D9">
            <w:fldChar w:fldCharType="begin"/>
          </w:r>
          <w:r w:rsidR="00C243D9">
            <w:instrText xml:space="preserve"> CITATION Bur10 \l 2057 </w:instrText>
          </w:r>
          <w:r w:rsidR="00C243D9">
            <w:fldChar w:fldCharType="separate"/>
          </w:r>
          <w:r w:rsidR="008C2A92">
            <w:rPr>
              <w:noProof/>
            </w:rPr>
            <w:t>(Burrows, 2010)</w:t>
          </w:r>
          <w:r w:rsidR="00C243D9">
            <w:fldChar w:fldCharType="end"/>
          </w:r>
        </w:sdtContent>
      </w:sdt>
      <w:r w:rsidR="00283D0F">
        <w:t xml:space="preserve">. </w:t>
      </w:r>
    </w:p>
    <w:p w:rsidR="00703FAE" w:rsidP="00624AE9" w:rsidRDefault="00703FAE" w14:paraId="079BA49D" w14:textId="753E498C">
      <w:r>
        <w:tab/>
      </w:r>
      <w:r>
        <w:t xml:space="preserve">In </w:t>
      </w:r>
      <w:r w:rsidR="00DB5CFB">
        <w:t xml:space="preserve">the </w:t>
      </w:r>
      <w:r>
        <w:t>Medieval Ages, when the nation was governed by a patchwork of regional laws and customs</w:t>
      </w:r>
      <w:r w:rsidR="00C222E5">
        <w:t>, common law began to emerge in England and Wales</w:t>
      </w:r>
      <w:r w:rsidR="00511161">
        <w:t>. During this time, judges started to depend on earlier rulings to settle cases</w:t>
      </w:r>
      <w:r w:rsidR="003A0A50">
        <w:t xml:space="preserve">, establishing a body of law that was founded on legal precedent rather than regional custom </w:t>
      </w:r>
      <w:sdt>
        <w:sdtPr>
          <w:id w:val="-1959412016"/>
          <w:citation/>
        </w:sdtPr>
        <w:sdtContent>
          <w:r w:rsidR="00EF2DE9">
            <w:fldChar w:fldCharType="begin"/>
          </w:r>
          <w:r w:rsidR="00EF2DE9">
            <w:instrText xml:space="preserve"> CITATION Ibb99 \l 2057 </w:instrText>
          </w:r>
          <w:r w:rsidR="00EF2DE9">
            <w:fldChar w:fldCharType="separate"/>
          </w:r>
          <w:r w:rsidR="008C2A92">
            <w:rPr>
              <w:noProof/>
            </w:rPr>
            <w:t>(Ibbetson, 1999)</w:t>
          </w:r>
          <w:r w:rsidR="00EF2DE9">
            <w:fldChar w:fldCharType="end"/>
          </w:r>
        </w:sdtContent>
      </w:sdt>
      <w:r w:rsidR="00141813">
        <w:t xml:space="preserve">. When the royal courts </w:t>
      </w:r>
      <w:r w:rsidR="008D6B52">
        <w:t>started to impose their control over the local courts during the Tudor era, the common law system in England and Wales was further developed</w:t>
      </w:r>
      <w:r w:rsidR="00007C05">
        <w:t xml:space="preserve"> </w:t>
      </w:r>
      <w:sdt>
        <w:sdtPr>
          <w:id w:val="-1308086569"/>
          <w:citation/>
        </w:sdtPr>
        <w:sdtContent>
          <w:r w:rsidR="00007C05">
            <w:fldChar w:fldCharType="begin"/>
          </w:r>
          <w:r w:rsidR="00007C05">
            <w:instrText xml:space="preserve"> CITATION Jow15 \l 2057 </w:instrText>
          </w:r>
          <w:r w:rsidR="00007C05">
            <w:fldChar w:fldCharType="separate"/>
          </w:r>
          <w:r w:rsidR="008C2A92">
            <w:rPr>
              <w:noProof/>
            </w:rPr>
            <w:t>(Jowell &amp; O'Cinneide, 2015)</w:t>
          </w:r>
          <w:r w:rsidR="00007C05">
            <w:fldChar w:fldCharType="end"/>
          </w:r>
        </w:sdtContent>
      </w:sdt>
      <w:r w:rsidR="00007C05">
        <w:t xml:space="preserve">. </w:t>
      </w:r>
      <w:r w:rsidR="004C5596">
        <w:t>The Court of Common Pleas and the Court of King</w:t>
      </w:r>
      <w:r w:rsidR="00F17B5A">
        <w:t>’s Bench established themselves as the principal tribunals for settling legal dispute</w:t>
      </w:r>
      <w:r w:rsidR="008610BA">
        <w:t xml:space="preserve">s </w:t>
      </w:r>
      <w:r w:rsidR="007F55C6">
        <w:t>during the reign of Elizabeth I, which hastened this process</w:t>
      </w:r>
      <w:r w:rsidR="00BD5FF9">
        <w:t xml:space="preserve"> </w:t>
      </w:r>
      <w:sdt>
        <w:sdtPr>
          <w:id w:val="-1676648542"/>
          <w:citation/>
        </w:sdtPr>
        <w:sdtContent>
          <w:r w:rsidR="00931308">
            <w:fldChar w:fldCharType="begin"/>
          </w:r>
          <w:r w:rsidR="00931308">
            <w:instrText xml:space="preserve"> CITATION Sal66 \l 2057 </w:instrText>
          </w:r>
          <w:r w:rsidR="00931308">
            <w:fldChar w:fldCharType="separate"/>
          </w:r>
          <w:r w:rsidR="008C2A92">
            <w:rPr>
              <w:noProof/>
            </w:rPr>
            <w:t>(Salmond, 1966)</w:t>
          </w:r>
          <w:r w:rsidR="00931308">
            <w:fldChar w:fldCharType="end"/>
          </w:r>
        </w:sdtContent>
      </w:sdt>
      <w:r w:rsidR="00931308">
        <w:t xml:space="preserve">. </w:t>
      </w:r>
      <w:r w:rsidR="00D4386A">
        <w:t xml:space="preserve">Common law can be found in other countries </w:t>
      </w:r>
      <w:r w:rsidR="003D7FF6">
        <w:t xml:space="preserve">besides England and Wales, including the United States, Canada, </w:t>
      </w:r>
      <w:r w:rsidR="00E5585A">
        <w:t>Australia,</w:t>
      </w:r>
      <w:r w:rsidR="003D7FF6">
        <w:t xml:space="preserve"> and New Zealand</w:t>
      </w:r>
      <w:r w:rsidR="00F959B2">
        <w:t xml:space="preserve">. </w:t>
      </w:r>
      <w:r w:rsidR="004949BF">
        <w:t>Common law has developed differently in each of these countries</w:t>
      </w:r>
      <w:r w:rsidR="00E5585A">
        <w:t xml:space="preserve">, depending on local traditions and circumstances. In the United States, for example, </w:t>
      </w:r>
      <w:r w:rsidR="003D7059">
        <w:t>common law is heavily influenced by the Bill of Rights</w:t>
      </w:r>
      <w:r w:rsidR="003D36C3">
        <w:t xml:space="preserve">, and in Australia, common law is influenced by indigenous law and the unique challenges of a federal system </w:t>
      </w:r>
      <w:sdt>
        <w:sdtPr>
          <w:id w:val="1414201320"/>
          <w:citation/>
        </w:sdtPr>
        <w:sdtContent>
          <w:r w:rsidR="003D36C3">
            <w:fldChar w:fldCharType="begin"/>
          </w:r>
          <w:r w:rsidR="003D36C3">
            <w:instrText xml:space="preserve"> CITATION Bla10 \l 2057 </w:instrText>
          </w:r>
          <w:r w:rsidR="003D36C3">
            <w:fldChar w:fldCharType="separate"/>
          </w:r>
          <w:r w:rsidR="008C2A92">
            <w:rPr>
              <w:noProof/>
            </w:rPr>
            <w:t>(Blackshield, 2010)</w:t>
          </w:r>
          <w:r w:rsidR="003D36C3">
            <w:fldChar w:fldCharType="end"/>
          </w:r>
        </w:sdtContent>
      </w:sdt>
      <w:r w:rsidR="003D36C3">
        <w:t>.</w:t>
      </w:r>
      <w:r w:rsidR="00186EA0">
        <w:t xml:space="preserve"> </w:t>
      </w:r>
      <w:r w:rsidR="00C81568">
        <w:t xml:space="preserve">The common law has faced </w:t>
      </w:r>
      <w:r w:rsidR="00D042DD">
        <w:t xml:space="preserve">new challenges in recent years from the growth of international law and the increasing influence </w:t>
      </w:r>
      <w:r w:rsidR="00F20372">
        <w:t>of</w:t>
      </w:r>
      <w:r w:rsidR="00D042DD">
        <w:t xml:space="preserve"> the European Union (EU).</w:t>
      </w:r>
      <w:r w:rsidR="00F20372">
        <w:t xml:space="preserve"> A body of law created by the EU which is separate </w:t>
      </w:r>
      <w:r w:rsidR="009270D3">
        <w:t>from</w:t>
      </w:r>
      <w:r w:rsidR="00F20372">
        <w:t xml:space="preserve"> common law</w:t>
      </w:r>
      <w:r w:rsidR="009270D3">
        <w:t xml:space="preserve"> has had a significant impact on the legal system in England and Wales</w:t>
      </w:r>
      <w:sdt>
        <w:sdtPr>
          <w:id w:val="-853572101"/>
          <w:citation/>
        </w:sdtPr>
        <w:sdtContent>
          <w:r w:rsidR="005668F3">
            <w:fldChar w:fldCharType="begin"/>
          </w:r>
          <w:r w:rsidR="005668F3">
            <w:instrText xml:space="preserve"> CITATION Tro18 \l 2057 </w:instrText>
          </w:r>
          <w:r w:rsidR="005668F3">
            <w:fldChar w:fldCharType="separate"/>
          </w:r>
          <w:r w:rsidR="008C2A92">
            <w:rPr>
              <w:noProof/>
            </w:rPr>
            <w:t xml:space="preserve"> (Tromans, 2018)</w:t>
          </w:r>
          <w:r w:rsidR="005668F3">
            <w:fldChar w:fldCharType="end"/>
          </w:r>
        </w:sdtContent>
      </w:sdt>
      <w:r w:rsidR="00D23C01">
        <w:t>.</w:t>
      </w:r>
      <w:r w:rsidR="002F327B">
        <w:t xml:space="preserve"> Despite these challenges, </w:t>
      </w:r>
      <w:r w:rsidR="00405588">
        <w:t>however, the common law system in England and Wales</w:t>
      </w:r>
      <w:r w:rsidR="00263256">
        <w:t xml:space="preserve"> remains a fundamental part of its legal system </w:t>
      </w:r>
      <w:r w:rsidR="005668F3">
        <w:t xml:space="preserve">and continues to evolve in response to ever-changing circumstances </w:t>
      </w:r>
      <w:sdt>
        <w:sdtPr>
          <w:id w:val="-1888401792"/>
          <w:citation/>
        </w:sdtPr>
        <w:sdtContent>
          <w:r w:rsidR="005668F3">
            <w:fldChar w:fldCharType="begin"/>
          </w:r>
          <w:r w:rsidR="005668F3">
            <w:instrText xml:space="preserve"> CITATION Hod15 \l 2057 </w:instrText>
          </w:r>
          <w:r w:rsidR="005668F3">
            <w:fldChar w:fldCharType="separate"/>
          </w:r>
          <w:r w:rsidR="008C2A92">
            <w:rPr>
              <w:noProof/>
            </w:rPr>
            <w:t>(Hodge, 2015)</w:t>
          </w:r>
          <w:r w:rsidR="005668F3">
            <w:fldChar w:fldCharType="end"/>
          </w:r>
        </w:sdtContent>
      </w:sdt>
      <w:r w:rsidR="005668F3">
        <w:t>.</w:t>
      </w:r>
    </w:p>
    <w:p w:rsidR="0007415C" w:rsidP="00624AE9" w:rsidRDefault="0007415C" w14:paraId="25FDA1CB" w14:textId="5CEB4CBC">
      <w:r>
        <w:tab/>
      </w:r>
      <w:r w:rsidR="0007415C">
        <w:rPr/>
        <w:t xml:space="preserve"> In contrast to this, civil law </w:t>
      </w:r>
      <w:r w:rsidR="007C18E2">
        <w:rPr/>
        <w:t xml:space="preserve">is a legal system that is </w:t>
      </w:r>
      <w:r w:rsidR="003A1E7C">
        <w:rPr/>
        <w:t>primarily</w:t>
      </w:r>
      <w:r w:rsidR="007C18E2">
        <w:rPr/>
        <w:t xml:space="preserve"> </w:t>
      </w:r>
      <w:r w:rsidR="003A1E7C">
        <w:rPr/>
        <w:t>based on written laws, codes</w:t>
      </w:r>
      <w:r w:rsidR="00856F90">
        <w:rPr/>
        <w:t>,</w:t>
      </w:r>
      <w:r w:rsidR="003A1E7C">
        <w:rPr/>
        <w:t xml:space="preserve"> and statutes</w:t>
      </w:r>
      <w:r w:rsidR="00856F90">
        <w:rPr/>
        <w:t xml:space="preserve">, as opposed to a </w:t>
      </w:r>
      <w:r w:rsidR="00F46C75">
        <w:rPr/>
        <w:t xml:space="preserve">common law system, which is based upon judicial precedent and interpretation of statutes </w:t>
      </w:r>
      <w:sdt>
        <w:sdtPr>
          <w:id w:val="62077966"/>
          <w:citation/>
          <w:lock w:val="contentLocked"/>
          <w:placeholder>
            <w:docPart w:val="DefaultPlaceholder_1081868574"/>
          </w:placeholder>
        </w:sdtPr>
        <w:sdtContent>
          <w:r w:rsidR="00F46C75">
            <w:fldChar w:fldCharType="begin"/>
          </w:r>
          <w:r w:rsidR="00F46C75">
            <w:instrText xml:space="preserve"> CITATION Ibb99 \l 2057 </w:instrText>
          </w:r>
          <w:r w:rsidR="00F46C75">
            <w:fldChar w:fldCharType="separate"/>
          </w:r>
          <w:r w:rsidR="008C2A92">
            <w:rPr>
              <w:noProof/>
            </w:rPr>
            <w:t>(Ibbetson, 1999)</w:t>
          </w:r>
          <w:r w:rsidR="00F46C75">
            <w:fldChar w:fldCharType="end"/>
          </w:r>
        </w:sdtContent>
      </w:sdt>
      <w:r w:rsidR="00F46C75">
        <w:rPr/>
        <w:t xml:space="preserve">. </w:t>
      </w:r>
      <w:r w:rsidR="00E9121C">
        <w:rPr/>
        <w:t xml:space="preserve">In a civil law system, judges are bound strictly by </w:t>
      </w:r>
      <w:r w:rsidR="00D84FD4">
        <w:rPr/>
        <w:t>written laws and codes and have le</w:t>
      </w:r>
      <w:r w:rsidR="0021533C">
        <w:rPr/>
        <w:t xml:space="preserve">ss discretion to interpret the law in a </w:t>
      </w:r>
      <w:r w:rsidR="008C64ED">
        <w:rPr/>
        <w:t xml:space="preserve">flexible manner than </w:t>
      </w:r>
      <w:r w:rsidR="00D77465">
        <w:rPr/>
        <w:t>in a common law system</w:t>
      </w:r>
      <w:r w:rsidR="00D21A5F">
        <w:rPr/>
        <w:t xml:space="preserve">. </w:t>
      </w:r>
      <w:r w:rsidR="00946191">
        <w:rPr/>
        <w:t>In a c</w:t>
      </w:r>
      <w:r w:rsidR="001248AE">
        <w:rPr/>
        <w:t>ommon law system, the law is founded on court precedent and interpretation</w:t>
      </w:r>
      <w:r w:rsidR="00541BDA">
        <w:rPr/>
        <w:t xml:space="preserve">, but in a civil law system, the sources of law are </w:t>
      </w:r>
      <w:r w:rsidR="00541BDA">
        <w:rPr/>
        <w:t>essentially written</w:t>
      </w:r>
      <w:r w:rsidR="00541BDA">
        <w:rPr/>
        <w:t xml:space="preserve"> laws and codes that are </w:t>
      </w:r>
      <w:r w:rsidR="00541BDA">
        <w:rPr/>
        <w:t>established</w:t>
      </w:r>
      <w:r w:rsidR="00541BDA">
        <w:rPr/>
        <w:t xml:space="preserve"> by the legislature</w:t>
      </w:r>
      <w:r w:rsidR="00342CCC">
        <w:rPr/>
        <w:t xml:space="preserve"> </w:t>
      </w:r>
      <w:sdt>
        <w:sdtPr>
          <w:id w:val="-2009356692"/>
          <w:citation/>
          <w:lock w:val="contentLocked"/>
          <w:placeholder>
            <w:docPart w:val="DefaultPlaceholder_1081868574"/>
          </w:placeholder>
        </w:sdtPr>
        <w:sdtContent>
          <w:r w:rsidR="00342CCC">
            <w:fldChar w:fldCharType="begin"/>
          </w:r>
          <w:r w:rsidR="00342CCC">
            <w:instrText xml:space="preserve"> CITATION Dri83 \l 2057 </w:instrText>
          </w:r>
          <w:r w:rsidR="00342CCC">
            <w:fldChar w:fldCharType="separate"/>
          </w:r>
          <w:r w:rsidR="008C2A92">
            <w:rPr>
              <w:noProof/>
            </w:rPr>
            <w:t>(Driedger, 1983)</w:t>
          </w:r>
          <w:r w:rsidR="00342CCC">
            <w:fldChar w:fldCharType="end"/>
          </w:r>
        </w:sdtContent>
      </w:sdt>
      <w:r w:rsidR="00342CCC">
        <w:rPr/>
        <w:t xml:space="preserve">. </w:t>
      </w:r>
      <w:r w:rsidR="0009147C">
        <w:rPr/>
        <w:t>In a civil law system, this means that the law is more codified and structured and that judges have less discretion</w:t>
      </w:r>
      <w:r w:rsidR="007F57A1">
        <w:rPr/>
        <w:t xml:space="preserve"> to enact new legislation through their </w:t>
      </w:r>
      <w:r w:rsidR="00FB463B">
        <w:rPr/>
        <w:t xml:space="preserve">judgments. </w:t>
      </w:r>
      <w:r w:rsidR="00A31717">
        <w:rPr/>
        <w:t xml:space="preserve">This </w:t>
      </w:r>
      <w:r w:rsidR="009D2CFE">
        <w:rPr/>
        <w:t>provides</w:t>
      </w:r>
      <w:r w:rsidR="009D2CFE">
        <w:rPr/>
        <w:t xml:space="preserve"> a clear and comprehensive framework</w:t>
      </w:r>
      <w:r w:rsidR="0029699D">
        <w:rPr/>
        <w:t xml:space="preserve"> for legal </w:t>
      </w:r>
      <w:r w:rsidR="007F2C28">
        <w:rPr/>
        <w:t>decision-making</w:t>
      </w:r>
      <w:r w:rsidR="0029699D">
        <w:rPr/>
        <w:t xml:space="preserve"> </w:t>
      </w:r>
      <w:sdt>
        <w:sdtPr>
          <w:id w:val="711618007"/>
          <w:citation/>
          <w:lock w:val="contentLocked"/>
          <w:placeholder>
            <w:docPart w:val="DefaultPlaceholder_1081868574"/>
          </w:placeholder>
        </w:sdtPr>
        <w:sdtContent>
          <w:r w:rsidR="007F2C28">
            <w:fldChar w:fldCharType="begin"/>
          </w:r>
          <w:r w:rsidR="00BC2D59">
            <w:instrText xml:space="preserve">CITATION Sch12 \l 2057 </w:instrText>
          </w:r>
          <w:r w:rsidR="007F2C28">
            <w:fldChar w:fldCharType="separate"/>
          </w:r>
          <w:r w:rsidR="008C2A92">
            <w:rPr>
              <w:noProof/>
            </w:rPr>
            <w:t>(Schwartz &amp; Scott, 2012)</w:t>
          </w:r>
          <w:r w:rsidR="007F2C28">
            <w:fldChar w:fldCharType="end"/>
          </w:r>
        </w:sdtContent>
      </w:sdt>
      <w:r w:rsidR="007F2C28">
        <w:rPr/>
        <w:t xml:space="preserve">. </w:t>
      </w:r>
      <w:r w:rsidR="00025B90">
        <w:rPr/>
        <w:t>In a civil law system, judges play a different function than they do in a common law system</w:t>
      </w:r>
      <w:r w:rsidR="00E4474A">
        <w:rPr/>
        <w:t>. Under a system of civil law, judges are mostly in charge of enforcing the law as it is laid out</w:t>
      </w:r>
      <w:r w:rsidR="00B8699D">
        <w:rPr/>
        <w:t xml:space="preserve"> in the codes and statutes; they play a far less role in interpreting the law or enacting new legislation through their </w:t>
      </w:r>
      <w:r w:rsidR="00A94CFE">
        <w:rPr/>
        <w:t>judgments</w:t>
      </w:r>
      <w:r w:rsidR="00B8699D">
        <w:rPr/>
        <w:t xml:space="preserve">. </w:t>
      </w:r>
      <w:r w:rsidR="00EA303E">
        <w:rPr/>
        <w:t>Instead of tailoring the law to unique conditions or scenarios, the emphasis is on administering the law consistently and predictably</w:t>
      </w:r>
      <w:sdt>
        <w:sdtPr>
          <w:id w:val="1446812974"/>
          <w:citation/>
          <w:lock w:val="contentLocked"/>
          <w:placeholder>
            <w:docPart w:val="DefaultPlaceholder_1081868574"/>
          </w:placeholder>
        </w:sdtPr>
        <w:sdtContent>
          <w:r w:rsidR="00C620DD">
            <w:fldChar w:fldCharType="begin"/>
          </w:r>
          <w:r w:rsidR="00C620DD">
            <w:instrText xml:space="preserve"> CITATION Har94 \l 2057 </w:instrText>
          </w:r>
          <w:r w:rsidR="00C620DD">
            <w:fldChar w:fldCharType="separate"/>
          </w:r>
          <w:r w:rsidR="008C2A92">
            <w:rPr>
              <w:noProof/>
            </w:rPr>
            <w:t xml:space="preserve"> (Hart, 1994)</w:t>
          </w:r>
          <w:r w:rsidR="00C620DD">
            <w:fldChar w:fldCharType="end"/>
          </w:r>
        </w:sdtContent>
      </w:sdt>
      <w:r w:rsidR="00DB1B22">
        <w:rPr/>
        <w:t xml:space="preserve">. </w:t>
      </w:r>
      <w:r w:rsidR="001369FD">
        <w:rPr/>
        <w:t>In civil cases, the</w:t>
      </w:r>
      <w:r w:rsidR="009E4E89">
        <w:rPr/>
        <w:t xml:space="preserve"> civil law system can be </w:t>
      </w:r>
      <w:r w:rsidR="009E4E89">
        <w:rPr/>
        <w:t xml:space="preserve">advantageous</w:t>
      </w:r>
      <w:r w:rsidR="009E4E89">
        <w:rPr/>
        <w:t xml:space="preserve"> for some </w:t>
      </w:r>
      <w:r w:rsidR="00726FA7">
        <w:rPr/>
        <w:t>individuals</w:t>
      </w:r>
      <w:r w:rsidR="009E4E89">
        <w:rPr/>
        <w:t xml:space="preserve"> or businesses</w:t>
      </w:r>
      <w:r w:rsidR="00B63294">
        <w:rPr/>
        <w:t xml:space="preserve">, as its certainty and predictability </w:t>
      </w:r>
      <w:r w:rsidR="00726FA7">
        <w:rPr/>
        <w:t>allow</w:t>
      </w:r>
      <w:r w:rsidR="00B63294">
        <w:rPr/>
        <w:t xml:space="preserve"> them to plan certain affairs</w:t>
      </w:r>
      <w:r w:rsidR="00726FA7">
        <w:rPr/>
        <w:t xml:space="preserve"> </w:t>
      </w:r>
      <w:sdt>
        <w:sdtPr>
          <w:id w:val="-342931197"/>
          <w:citation/>
          <w:lock w:val="contentLocked"/>
          <w:placeholder>
            <w:docPart w:val="DefaultPlaceholder_1081868574"/>
          </w:placeholder>
        </w:sdtPr>
        <w:sdtContent>
          <w:r w:rsidR="00726FA7">
            <w:fldChar w:fldCharType="begin"/>
          </w:r>
          <w:r w:rsidR="00726FA7">
            <w:instrText xml:space="preserve"> CITATION Bur10 \l 2057 </w:instrText>
          </w:r>
          <w:r w:rsidR="00726FA7">
            <w:fldChar w:fldCharType="separate"/>
          </w:r>
          <w:r w:rsidR="008C2A92">
            <w:rPr>
              <w:noProof/>
            </w:rPr>
            <w:t>(Burrows, 2010)</w:t>
          </w:r>
          <w:r w:rsidR="00726FA7">
            <w:fldChar w:fldCharType="end"/>
          </w:r>
        </w:sdtContent>
      </w:sdt>
      <w:r w:rsidR="00726FA7">
        <w:rPr/>
        <w:t>. However, some critics argue that</w:t>
      </w:r>
      <w:r w:rsidR="00F24855">
        <w:rPr/>
        <w:t xml:space="preserve"> this emphasis on legal certainty and predictability can lead to inflexibility when </w:t>
      </w:r>
      <w:r w:rsidR="006323BB">
        <w:rPr/>
        <w:t xml:space="preserve">arranging certain </w:t>
      </w:r>
      <w:r w:rsidR="004E46EB">
        <w:rPr/>
        <w:t>affairs and</w:t>
      </w:r>
      <w:r w:rsidR="006323BB">
        <w:rPr/>
        <w:t xml:space="preserve"> can disrupt creativity and innovation </w:t>
      </w:r>
      <w:sdt>
        <w:sdtPr>
          <w:id w:val="646482320"/>
          <w:citation/>
          <w:lock w:val="contentLocked"/>
          <w:placeholder>
            <w:docPart w:val="DefaultPlaceholder_1081868574"/>
          </w:placeholder>
        </w:sdtPr>
        <w:sdtContent>
          <w:r w:rsidR="00F160C2">
            <w:fldChar w:fldCharType="begin"/>
          </w:r>
          <w:r w:rsidR="00F160C2">
            <w:instrText xml:space="preserve"> CITATION Wei14 \l 2057 </w:instrText>
          </w:r>
          <w:r w:rsidR="008F3832">
            <w:instrText xml:space="preserve"> \m McK18</w:instrText>
          </w:r>
          <w:r w:rsidR="00F160C2">
            <w:fldChar w:fldCharType="separate"/>
          </w:r>
          <w:r w:rsidR="008C2A92">
            <w:rPr>
              <w:noProof/>
            </w:rPr>
            <w:t>(Weir, 2014; McKendrick, 2018)</w:t>
          </w:r>
          <w:r w:rsidR="00F160C2">
            <w:fldChar w:fldCharType="end"/>
          </w:r>
        </w:sdtContent>
      </w:sdt>
      <w:r w:rsidR="00C81732">
        <w:rPr/>
        <w:t>,</w:t>
      </w:r>
      <w:r w:rsidR="00EB30C7">
        <w:rPr/>
        <w:t xml:space="preserve"> as it </w:t>
      </w:r>
      <w:r w:rsidR="00EB30C7">
        <w:rPr/>
        <w:t xml:space="preserve">fails to</w:t>
      </w:r>
      <w:r w:rsidR="00EB30C7">
        <w:rPr/>
        <w:t xml:space="preserve"> </w:t>
      </w:r>
      <w:r w:rsidR="3A67BC73">
        <w:rPr/>
        <w:t xml:space="preserve">consider</w:t>
      </w:r>
      <w:r w:rsidR="00EB30C7">
        <w:rPr/>
        <w:t xml:space="preserve"> the unique facts and circumstances of each case </w:t>
      </w:r>
      <w:sdt>
        <w:sdtPr>
          <w:id w:val="760955128"/>
          <w:citation/>
          <w:lock w:val="contentLocked"/>
          <w:placeholder>
            <w:docPart w:val="DefaultPlaceholder_1081868574"/>
          </w:placeholder>
        </w:sdtPr>
        <w:sdtContent>
          <w:r w:rsidR="00EB30C7">
            <w:fldChar w:fldCharType="begin"/>
          </w:r>
          <w:r w:rsidR="00EB30C7">
            <w:instrText xml:space="preserve"> CITATION Cap \l 2057 </w:instrText>
          </w:r>
          <w:r w:rsidR="00EB30C7">
            <w:fldChar w:fldCharType="separate"/>
          </w:r>
          <w:r w:rsidR="008C2A92">
            <w:rPr>
              <w:noProof/>
            </w:rPr>
            <w:t>(Cappelletti, 1979)</w:t>
          </w:r>
          <w:r w:rsidR="00EB30C7">
            <w:fldChar w:fldCharType="end"/>
          </w:r>
        </w:sdtContent>
      </w:sdt>
      <w:r w:rsidR="00EB30C7">
        <w:rPr/>
        <w:t xml:space="preserve">. </w:t>
      </w:r>
      <w:r w:rsidR="00205AA7">
        <w:rPr/>
        <w:t xml:space="preserve">As legislatures </w:t>
      </w:r>
      <w:r w:rsidR="00205AA7">
        <w:rPr/>
        <w:t>are responsible for</w:t>
      </w:r>
      <w:r w:rsidR="004E3F0E">
        <w:rPr/>
        <w:t xml:space="preserve"> enacting and amending the law, rather than relying only on judicial decisions, </w:t>
      </w:r>
      <w:r w:rsidR="00CA01B0">
        <w:rPr/>
        <w:t>civil law allows for more centralized law-making</w:t>
      </w:r>
      <w:r w:rsidR="00BC2D59">
        <w:rPr/>
        <w:t xml:space="preserve"> </w:t>
      </w:r>
      <w:sdt>
        <w:sdtPr>
          <w:id w:val="-1425492165"/>
          <w:citation/>
          <w:lock w:val="contentLocked"/>
          <w:placeholder>
            <w:docPart w:val="DefaultPlaceholder_1081868574"/>
          </w:placeholder>
        </w:sdtPr>
        <w:sdtContent>
          <w:r w:rsidR="00BC2D59">
            <w:fldChar w:fldCharType="begin"/>
          </w:r>
          <w:r w:rsidR="00BC2D59">
            <w:instrText xml:space="preserve"> CITATION Bar15 \l 2057 </w:instrText>
          </w:r>
          <w:r w:rsidR="00BC2D59">
            <w:fldChar w:fldCharType="separate"/>
          </w:r>
          <w:r w:rsidR="008C2A92">
            <w:rPr>
              <w:noProof/>
            </w:rPr>
            <w:t>(Barkan &amp; Melton, 2015)</w:t>
          </w:r>
          <w:r w:rsidR="00BC2D59">
            <w:fldChar w:fldCharType="end"/>
          </w:r>
        </w:sdtContent>
      </w:sdt>
      <w:r w:rsidR="00BC2D59">
        <w:rPr/>
        <w:t>.</w:t>
      </w:r>
      <w:r w:rsidR="00DF77BA">
        <w:rPr/>
        <w:t xml:space="preserve"> Additionally, </w:t>
      </w:r>
      <w:r w:rsidR="00F0261E">
        <w:rPr/>
        <w:t xml:space="preserve">civil law tends to prioritize legal </w:t>
      </w:r>
      <w:r w:rsidR="00F0261E">
        <w:rPr/>
        <w:lastRenderedPageBreak/>
        <w:t xml:space="preserve">certainty and predictability over individual discretion and </w:t>
      </w:r>
      <w:r w:rsidR="007B5979">
        <w:rPr/>
        <w:t xml:space="preserve">interpretation, it can be less protective of human rights and freedoms </w:t>
      </w:r>
      <w:sdt>
        <w:sdtPr>
          <w:id w:val="-141510835"/>
          <w:citation/>
          <w:lock w:val="contentLocked"/>
          <w:placeholder>
            <w:docPart w:val="DefaultPlaceholder_1081868574"/>
          </w:placeholder>
        </w:sdtPr>
        <w:sdtContent>
          <w:r w:rsidR="007B5979">
            <w:fldChar w:fldCharType="begin"/>
          </w:r>
          <w:r w:rsidR="007B5979">
            <w:instrText xml:space="preserve"> CITATION Fri14 \l 2057 </w:instrText>
          </w:r>
          <w:r w:rsidR="007B5979">
            <w:fldChar w:fldCharType="separate"/>
          </w:r>
          <w:r w:rsidR="008C2A92">
            <w:rPr>
              <w:noProof/>
            </w:rPr>
            <w:t>(Friedman, 2014)</w:t>
          </w:r>
          <w:r w:rsidR="007B5979">
            <w:fldChar w:fldCharType="end"/>
          </w:r>
        </w:sdtContent>
      </w:sdt>
      <w:r w:rsidR="007B5979">
        <w:rPr/>
        <w:t>.</w:t>
      </w:r>
    </w:p>
    <w:p w:rsidR="00D37113" w:rsidP="00624AE9" w:rsidRDefault="00916991" w14:paraId="3130DC74" w14:textId="7F19E1BC">
      <w:r>
        <w:t xml:space="preserve"> </w:t>
      </w:r>
      <w:r>
        <w:tab/>
      </w:r>
      <w:r>
        <w:t xml:space="preserve">One key strength of a common law system is that it is based </w:t>
      </w:r>
      <w:r w:rsidR="00DF4E3B">
        <w:t>on applying the principles of equality, fairness, and justice.</w:t>
      </w:r>
      <w:r w:rsidR="00FA6C07">
        <w:t xml:space="preserve"> Judges in a common law system are required to use their discretion </w:t>
      </w:r>
      <w:r w:rsidR="00242335">
        <w:t>to</w:t>
      </w:r>
      <w:r w:rsidR="00FA6C07">
        <w:t xml:space="preserve"> make the best decision</w:t>
      </w:r>
      <w:r w:rsidR="006A01CD">
        <w:t xml:space="preserve"> in a way that is consistent with </w:t>
      </w:r>
      <w:r w:rsidR="00C10F15">
        <w:t xml:space="preserve">the </w:t>
      </w:r>
      <w:r w:rsidR="006A01CD">
        <w:t>principles of morality and justice</w:t>
      </w:r>
      <w:sdt>
        <w:sdtPr>
          <w:id w:val="1736042476"/>
          <w:citation/>
        </w:sdtPr>
        <w:sdtContent>
          <w:r w:rsidR="00242335">
            <w:fldChar w:fldCharType="begin"/>
          </w:r>
          <w:r w:rsidR="00242335">
            <w:instrText xml:space="preserve"> CITATION Dri83 \l 2057 </w:instrText>
          </w:r>
          <w:r w:rsidR="00242335">
            <w:fldChar w:fldCharType="separate"/>
          </w:r>
          <w:r w:rsidR="008C2A92">
            <w:rPr>
              <w:noProof/>
            </w:rPr>
            <w:t xml:space="preserve"> (Driedger, 1983)</w:t>
          </w:r>
          <w:r w:rsidR="00242335">
            <w:fldChar w:fldCharType="end"/>
          </w:r>
        </w:sdtContent>
      </w:sdt>
      <w:r w:rsidR="00242335">
        <w:t xml:space="preserve">. This is clearly not the case in civil law, which is based </w:t>
      </w:r>
      <w:r w:rsidR="00094A4C">
        <w:t xml:space="preserve">on a set of codified rules and principles </w:t>
      </w:r>
      <w:sdt>
        <w:sdtPr>
          <w:id w:val="440888868"/>
          <w:citation/>
        </w:sdtPr>
        <w:sdtContent>
          <w:r w:rsidR="00094A4C">
            <w:fldChar w:fldCharType="begin"/>
          </w:r>
          <w:r w:rsidR="00094A4C">
            <w:instrText xml:space="preserve"> CITATION Sto06 \l 2057 </w:instrText>
          </w:r>
          <w:r w:rsidR="00094A4C">
            <w:fldChar w:fldCharType="separate"/>
          </w:r>
          <w:r w:rsidR="008C2A92">
            <w:rPr>
              <w:noProof/>
            </w:rPr>
            <w:t>(Stone, 2006)</w:t>
          </w:r>
          <w:r w:rsidR="00094A4C">
            <w:fldChar w:fldCharType="end"/>
          </w:r>
        </w:sdtContent>
      </w:sdt>
      <w:r w:rsidR="00094A4C">
        <w:t xml:space="preserve">. </w:t>
      </w:r>
      <w:r w:rsidR="00574CCB">
        <w:t xml:space="preserve">The focus on fairness and justice in common law is reflected </w:t>
      </w:r>
      <w:r w:rsidR="004A418F">
        <w:t xml:space="preserve">in the development of equity, which is a body of law that was developed to address the limitations of common law </w:t>
      </w:r>
      <w:sdt>
        <w:sdtPr>
          <w:id w:val="558988246"/>
          <w:citation/>
        </w:sdtPr>
        <w:sdtContent>
          <w:r w:rsidR="004A418F">
            <w:fldChar w:fldCharType="begin"/>
          </w:r>
          <w:r w:rsidR="004A418F">
            <w:instrText xml:space="preserve"> CITATION Pol92 \l 2057 </w:instrText>
          </w:r>
          <w:r w:rsidR="004A418F">
            <w:fldChar w:fldCharType="separate"/>
          </w:r>
          <w:r w:rsidR="008C2A92">
            <w:rPr>
              <w:noProof/>
            </w:rPr>
            <w:t>(Pollock, 1892)</w:t>
          </w:r>
          <w:r w:rsidR="004A418F">
            <w:fldChar w:fldCharType="end"/>
          </w:r>
        </w:sdtContent>
      </w:sdt>
      <w:r w:rsidR="004A418F">
        <w:t>.</w:t>
      </w:r>
      <w:r w:rsidR="005318CB">
        <w:t xml:space="preserve"> In some instances</w:t>
      </w:r>
      <w:r w:rsidR="00A56673">
        <w:t>, there is no equitable relief at common law that a court can grant, therefore</w:t>
      </w:r>
      <w:r w:rsidR="00406AE8">
        <w:t xml:space="preserve"> there are equitable maxims and doctrines available that allow a court to grant equity </w:t>
      </w:r>
      <w:sdt>
        <w:sdtPr>
          <w:id w:val="858325528"/>
          <w:citation/>
        </w:sdtPr>
        <w:sdtContent>
          <w:r w:rsidR="00406AE8">
            <w:fldChar w:fldCharType="begin"/>
          </w:r>
          <w:r w:rsidR="008C2A92">
            <w:instrText xml:space="preserve">CITATION Mah08 \l 2057 </w:instrText>
          </w:r>
          <w:r w:rsidR="00406AE8">
            <w:fldChar w:fldCharType="separate"/>
          </w:r>
          <w:r w:rsidR="008C2A92">
            <w:rPr>
              <w:noProof/>
            </w:rPr>
            <w:t>(Mah, 2008)</w:t>
          </w:r>
          <w:r w:rsidR="00406AE8">
            <w:fldChar w:fldCharType="end"/>
          </w:r>
        </w:sdtContent>
      </w:sdt>
      <w:r w:rsidR="00151228">
        <w:t xml:space="preserve">. </w:t>
      </w:r>
      <w:r w:rsidR="00A81158">
        <w:t xml:space="preserve">Some equitable maxims and doctrines include; </w:t>
      </w:r>
      <w:r w:rsidR="00844329">
        <w:t>“</w:t>
      </w:r>
      <w:r w:rsidR="00A57FE9">
        <w:t xml:space="preserve">those who come to equity must come with clean </w:t>
      </w:r>
      <w:r w:rsidR="00844329">
        <w:t>hands”</w:t>
      </w:r>
      <w:r w:rsidR="00A93C8C">
        <w:t xml:space="preserve">, </w:t>
      </w:r>
      <w:r w:rsidR="00844329">
        <w:t>“</w:t>
      </w:r>
      <w:r w:rsidR="00A93C8C">
        <w:t>those</w:t>
      </w:r>
      <w:r w:rsidR="00A57FE9">
        <w:t xml:space="preserve"> who seek equity must do equity</w:t>
      </w:r>
      <w:r w:rsidR="00844329">
        <w:t>”</w:t>
      </w:r>
      <w:r w:rsidR="00F0791F">
        <w:t xml:space="preserve">, and </w:t>
      </w:r>
      <w:r w:rsidR="00B20C00">
        <w:t>“equity follows the law”</w:t>
      </w:r>
      <w:r w:rsidR="00AE75FF">
        <w:t xml:space="preserve"> </w:t>
      </w:r>
      <w:sdt>
        <w:sdtPr>
          <w:id w:val="1161659038"/>
          <w:citation/>
        </w:sdtPr>
        <w:sdtContent>
          <w:r w:rsidR="00AE75FF">
            <w:fldChar w:fldCharType="begin"/>
          </w:r>
          <w:r w:rsidR="00AE75FF">
            <w:instrText xml:space="preserve"> CITATION Chu21 \l 2057 </w:instrText>
          </w:r>
          <w:r w:rsidR="00AE75FF">
            <w:fldChar w:fldCharType="separate"/>
          </w:r>
          <w:r w:rsidR="008C2A92">
            <w:rPr>
              <w:noProof/>
            </w:rPr>
            <w:t>(Chukwuemueka, 2021)</w:t>
          </w:r>
          <w:r w:rsidR="00AE75FF">
            <w:fldChar w:fldCharType="end"/>
          </w:r>
        </w:sdtContent>
      </w:sdt>
      <w:r w:rsidR="00AE75FF">
        <w:t xml:space="preserve">. </w:t>
      </w:r>
      <w:r w:rsidR="00D223AF">
        <w:t xml:space="preserve">As a result of </w:t>
      </w:r>
      <w:r w:rsidR="008D082F">
        <w:t xml:space="preserve">the common law’s rigidity, equity was created. Common law </w:t>
      </w:r>
      <w:r w:rsidR="008048D8">
        <w:t xml:space="preserve">can develop slowly and may not necessarily </w:t>
      </w:r>
      <w:r w:rsidR="007830EA">
        <w:t>result in a just outcome in every case</w:t>
      </w:r>
      <w:r w:rsidR="00FF35BF">
        <w:t>, which is one of its main drawbacks.</w:t>
      </w:r>
      <w:r w:rsidR="00F4545A">
        <w:t xml:space="preserve"> By enabling</w:t>
      </w:r>
      <w:r w:rsidR="0028135E">
        <w:t xml:space="preserve"> judges to </w:t>
      </w:r>
      <w:r w:rsidR="00C8661A">
        <w:t>consider</w:t>
      </w:r>
      <w:r w:rsidR="004C0B22">
        <w:t xml:space="preserve"> the </w:t>
      </w:r>
      <w:r w:rsidR="008927F9">
        <w:t>circumstances</w:t>
      </w:r>
      <w:r w:rsidR="007D7A6E">
        <w:t xml:space="preserve"> of each case and to use a wider choice of remedies, equity was devised to </w:t>
      </w:r>
      <w:r w:rsidR="000B55E1">
        <w:t xml:space="preserve">resolve these limits </w:t>
      </w:r>
      <w:sdt>
        <w:sdtPr>
          <w:id w:val="943113853"/>
          <w:citation/>
        </w:sdtPr>
        <w:sdtContent>
          <w:r w:rsidR="000B55E1">
            <w:fldChar w:fldCharType="begin"/>
          </w:r>
          <w:r w:rsidR="000B55E1">
            <w:instrText xml:space="preserve"> CITATION Bur10 \l 2057 </w:instrText>
          </w:r>
          <w:r w:rsidR="000B55E1">
            <w:fldChar w:fldCharType="separate"/>
          </w:r>
          <w:r w:rsidR="008C2A92">
            <w:rPr>
              <w:noProof/>
            </w:rPr>
            <w:t>(Burrows, 2010)</w:t>
          </w:r>
          <w:r w:rsidR="000B55E1">
            <w:fldChar w:fldCharType="end"/>
          </w:r>
        </w:sdtContent>
      </w:sdt>
      <w:r w:rsidR="000B55E1">
        <w:t>.</w:t>
      </w:r>
      <w:r w:rsidR="003C6C2F">
        <w:t xml:space="preserve"> In the common law system, eq</w:t>
      </w:r>
      <w:r w:rsidR="00191190">
        <w:t xml:space="preserve">uity has been referred to as a “source of invention” that enables the law to stay current and adaptable to </w:t>
      </w:r>
      <w:r w:rsidR="009D518A">
        <w:t>new situations</w:t>
      </w:r>
      <w:r w:rsidR="00C8661A">
        <w:t xml:space="preserve"> </w:t>
      </w:r>
      <w:sdt>
        <w:sdtPr>
          <w:id w:val="1251628118"/>
          <w:citation/>
        </w:sdtPr>
        <w:sdtContent>
          <w:r w:rsidR="00C8661A">
            <w:fldChar w:fldCharType="begin"/>
          </w:r>
          <w:r w:rsidR="00C8661A">
            <w:instrText xml:space="preserve"> CITATION Mer07 \l 2057 </w:instrText>
          </w:r>
          <w:r w:rsidR="00C8661A">
            <w:fldChar w:fldCharType="separate"/>
          </w:r>
          <w:r w:rsidR="008C2A92">
            <w:rPr>
              <w:noProof/>
            </w:rPr>
            <w:t>(Merryman &amp; Perez-Perdomo, 2007)</w:t>
          </w:r>
          <w:r w:rsidR="00C8661A">
            <w:fldChar w:fldCharType="end"/>
          </w:r>
        </w:sdtContent>
      </w:sdt>
      <w:r w:rsidR="008927F9">
        <w:t xml:space="preserve">. </w:t>
      </w:r>
    </w:p>
    <w:p w:rsidR="003E69FC" w:rsidP="00CE494C" w:rsidRDefault="00B6375E" w14:paraId="4CF8B38F" w14:textId="7B6C2361">
      <w:r>
        <w:tab/>
      </w:r>
      <w:r>
        <w:t xml:space="preserve">Despite its strengths, </w:t>
      </w:r>
      <w:r w:rsidR="00CE494C">
        <w:t>the use of a common law system in England and Wales has its drawbacks</w:t>
      </w:r>
      <w:r w:rsidR="00C32F3E">
        <w:t xml:space="preserve">. </w:t>
      </w:r>
      <w:r w:rsidR="00562B54">
        <w:t xml:space="preserve">One of the main </w:t>
      </w:r>
      <w:r w:rsidR="007450DA">
        <w:t>criticisms</w:t>
      </w:r>
      <w:r w:rsidR="00562B54">
        <w:t xml:space="preserve"> of a common law system is how </w:t>
      </w:r>
      <w:r w:rsidR="00975ED6">
        <w:t xml:space="preserve">inflexible it </w:t>
      </w:r>
      <w:r w:rsidR="003E69FC">
        <w:t xml:space="preserve">can be. </w:t>
      </w:r>
      <w:r w:rsidR="007450DA">
        <w:t>Judges</w:t>
      </w:r>
      <w:r w:rsidR="003E69FC">
        <w:t xml:space="preserve"> are required </w:t>
      </w:r>
      <w:r w:rsidR="00FE77D6">
        <w:t>to apply the law as it is written, therefore</w:t>
      </w:r>
      <w:r w:rsidR="005B2D7C">
        <w:t xml:space="preserve"> there is </w:t>
      </w:r>
      <w:r w:rsidR="001241C6">
        <w:t>less</w:t>
      </w:r>
      <w:r w:rsidR="005B2D7C">
        <w:t xml:space="preserve"> room for interpretation or adaptation in response to changing circumstances. This can make </w:t>
      </w:r>
      <w:r w:rsidR="003D225C">
        <w:t>it difficult for the law</w:t>
      </w:r>
      <w:r w:rsidR="003F5813">
        <w:t xml:space="preserve"> to remain relevant and respond to the changes in society’s needs </w:t>
      </w:r>
      <w:sdt>
        <w:sdtPr>
          <w:id w:val="-1887239328"/>
          <w:citation/>
        </w:sdtPr>
        <w:sdtContent>
          <w:r w:rsidR="003F5813">
            <w:fldChar w:fldCharType="begin"/>
          </w:r>
          <w:r w:rsidR="003F5813">
            <w:instrText xml:space="preserve"> CITATION Har10 \l 2057 </w:instrText>
          </w:r>
          <w:r w:rsidR="003F5813">
            <w:fldChar w:fldCharType="separate"/>
          </w:r>
          <w:r w:rsidR="008C2A92">
            <w:rPr>
              <w:noProof/>
            </w:rPr>
            <w:t>(Harris &amp; Williams, 2010)</w:t>
          </w:r>
          <w:r w:rsidR="003F5813">
            <w:fldChar w:fldCharType="end"/>
          </w:r>
        </w:sdtContent>
      </w:sdt>
      <w:r w:rsidR="003F5813">
        <w:t>.</w:t>
      </w:r>
      <w:r w:rsidR="00023D6F">
        <w:t xml:space="preserve"> Furthermore, it can be difficult to predict the outcomes of </w:t>
      </w:r>
      <w:r w:rsidR="00AB2F42">
        <w:t xml:space="preserve">cases or to determine what the law is </w:t>
      </w:r>
      <w:r w:rsidR="00110D14">
        <w:t>areas</w:t>
      </w:r>
      <w:r w:rsidR="00AB2F42">
        <w:t xml:space="preserve"> as </w:t>
      </w:r>
      <w:r w:rsidR="000F07A4">
        <w:t>common law is based on judicial decisions.</w:t>
      </w:r>
      <w:r w:rsidR="002C1D77">
        <w:t xml:space="preserve"> Common law can be slow to develop, as it requires a case to be </w:t>
      </w:r>
      <w:r w:rsidR="00110D14">
        <w:t>brought before a court</w:t>
      </w:r>
      <w:r w:rsidR="002C734C">
        <w:t>, and a decision to be made by the judge</w:t>
      </w:r>
      <w:r w:rsidR="00BC769F">
        <w:t xml:space="preserve"> for the law to adapt and for new case law to be created </w:t>
      </w:r>
      <w:sdt>
        <w:sdtPr>
          <w:id w:val="377521126"/>
          <w:citation/>
        </w:sdtPr>
        <w:sdtContent>
          <w:r w:rsidR="00BC769F">
            <w:fldChar w:fldCharType="begin"/>
          </w:r>
          <w:r w:rsidR="00BC769F">
            <w:instrText xml:space="preserve"> CITATION Can19 \l 2057 </w:instrText>
          </w:r>
          <w:r w:rsidR="00BC769F">
            <w:fldChar w:fldCharType="separate"/>
          </w:r>
          <w:r w:rsidR="008C2A92">
            <w:rPr>
              <w:noProof/>
            </w:rPr>
            <w:t>(Cane, 2019)</w:t>
          </w:r>
          <w:r w:rsidR="00BC769F">
            <w:fldChar w:fldCharType="end"/>
          </w:r>
        </w:sdtContent>
      </w:sdt>
      <w:r w:rsidR="00BC769F">
        <w:t>.</w:t>
      </w:r>
      <w:r w:rsidR="001241C6">
        <w:t xml:space="preserve"> </w:t>
      </w:r>
      <w:r w:rsidR="00580DF4">
        <w:t xml:space="preserve">Consequentially, this can make it difficult for individuals and businesses to navigate, which can then result in </w:t>
      </w:r>
      <w:r w:rsidR="00A1415A">
        <w:t xml:space="preserve">long and expensive legal disputes </w:t>
      </w:r>
      <w:sdt>
        <w:sdtPr>
          <w:id w:val="-774944639"/>
          <w:citation/>
        </w:sdtPr>
        <w:sdtContent>
          <w:r w:rsidR="00C43B3C">
            <w:fldChar w:fldCharType="begin"/>
          </w:r>
          <w:r w:rsidR="00C43B3C">
            <w:instrText xml:space="preserve"> CITATION Rog17 \l 2057 </w:instrText>
          </w:r>
          <w:r w:rsidR="00C43B3C">
            <w:fldChar w:fldCharType="separate"/>
          </w:r>
          <w:r w:rsidR="008C2A92">
            <w:rPr>
              <w:noProof/>
            </w:rPr>
            <w:t>(Rogers, 2017)</w:t>
          </w:r>
          <w:r w:rsidR="00C43B3C">
            <w:fldChar w:fldCharType="end"/>
          </w:r>
        </w:sdtContent>
      </w:sdt>
      <w:r w:rsidR="00C43B3C">
        <w:t>.</w:t>
      </w:r>
      <w:r w:rsidR="00BC769F">
        <w:t xml:space="preserve"> </w:t>
      </w:r>
      <w:r w:rsidR="00F23FB7">
        <w:t>For those seeking immediate legal advice in areas that are changing rapidly, such as technology</w:t>
      </w:r>
      <w:r w:rsidR="001923BA">
        <w:t xml:space="preserve"> or intellectual property, it can be difficult due to </w:t>
      </w:r>
      <w:r w:rsidR="00315C54">
        <w:t>the slow rate of change of common law.</w:t>
      </w:r>
      <w:r w:rsidR="001E4267">
        <w:t xml:space="preserve"> Some argue that this trade-off is necessary</w:t>
      </w:r>
      <w:r w:rsidR="00ED6AA7">
        <w:t xml:space="preserve"> for a legal system </w:t>
      </w:r>
      <w:r w:rsidR="00785A9A">
        <w:t xml:space="preserve">that is based on fairness and justice </w:t>
      </w:r>
      <w:sdt>
        <w:sdtPr>
          <w:id w:val="-1996018681"/>
          <w:citation/>
        </w:sdtPr>
        <w:sdtContent>
          <w:r w:rsidR="00785A9A">
            <w:fldChar w:fldCharType="begin"/>
          </w:r>
          <w:r w:rsidR="00785A9A">
            <w:instrText xml:space="preserve"> CITATION Wei14 \l 2057 </w:instrText>
          </w:r>
          <w:r w:rsidR="00785A9A">
            <w:fldChar w:fldCharType="separate"/>
          </w:r>
          <w:r w:rsidR="008C2A92">
            <w:rPr>
              <w:noProof/>
            </w:rPr>
            <w:t>(Weir, 2014)</w:t>
          </w:r>
          <w:r w:rsidR="00785A9A">
            <w:fldChar w:fldCharType="end"/>
          </w:r>
        </w:sdtContent>
      </w:sdt>
      <w:r w:rsidR="00785A9A">
        <w:t xml:space="preserve">. </w:t>
      </w:r>
    </w:p>
    <w:p w:rsidR="00267CBF" w:rsidP="00CE494C" w:rsidRDefault="005636A6" w14:paraId="17923F33" w14:textId="2FB87BB4">
      <w:r>
        <w:tab/>
      </w:r>
      <w:r w:rsidRPr="00D066F7" w:rsidR="00D066F7">
        <w:t xml:space="preserve">In conclusion, the common law system remains a fundamental part of the legal system in England and Wales. The system has strengths, such as its focus on fairness and justice, and its flexibility and adaptability. It also has weaknesses, such as its potential rigidity and inflexibility.. </w:t>
      </w:r>
      <w:r w:rsidR="005319CC">
        <w:t xml:space="preserve">The English legal system is unique for its reliance on common law </w:t>
      </w:r>
      <w:r w:rsidR="006554EE">
        <w:t>principles</w:t>
      </w:r>
      <w:r w:rsidR="005F6CC3">
        <w:t xml:space="preserve"> as it </w:t>
      </w:r>
      <w:r w:rsidRPr="005F6CC3" w:rsidR="005F6CC3">
        <w:t>has evolved over centuries of legal precedent, case law, and interpretation of statutes. This system of law is based on the principle of judicial precedent, where decisions made by higher courts become binding on lower courts. This means that the law is built on a foundation of previous decisions, which helps to ensure consistency and predictability in the law. The common law system also has a focus on fairness and justice, as judges are required to apply the law in a way that is fair and just in the circumstances of each case.</w:t>
      </w:r>
      <w:r w:rsidR="005F6CC3">
        <w:t xml:space="preserve"> </w:t>
      </w:r>
      <w:r w:rsidRPr="00D066F7" w:rsidR="005F6CC3">
        <w:t>As Cappelletti (1979) noted, "the common law is one of the great legal systems of the world, not only because of its history and sophistication but also because of its ability to adapt to changing circumstances and provide justice to all."</w:t>
      </w:r>
      <w:r w:rsidR="00425FCB">
        <w:t xml:space="preserve"> </w:t>
      </w:r>
      <w:r w:rsidRPr="00D066F7" w:rsidR="00425FCB">
        <w:t>Nevertheless, the common law system continues to evolve in response to changing circumstances and remains an essential component of the English Legal System</w:t>
      </w:r>
      <w:r w:rsidR="00425FCB">
        <w:t xml:space="preserve">. </w:t>
      </w:r>
    </w:p>
    <w:p w:rsidR="00267CBF" w:rsidRDefault="00267CBF" w14:paraId="536E762A" w14:textId="77777777">
      <w:r>
        <w:br w:type="page"/>
      </w:r>
    </w:p>
    <w:sdt>
      <w:sdtPr>
        <w:id w:val="-1401128408"/>
        <w:docPartObj>
          <w:docPartGallery w:val="Bibliographies"/>
          <w:docPartUnique/>
        </w:docPartObj>
      </w:sdtPr>
      <w:sdtEndPr>
        <w:rPr>
          <w:rFonts w:asciiTheme="minorHAnsi" w:hAnsiTheme="minorHAnsi" w:eastAsiaTheme="minorHAnsi" w:cstheme="minorBidi"/>
          <w:color w:val="auto"/>
          <w:sz w:val="22"/>
          <w:szCs w:val="22"/>
          <w:lang w:eastAsia="en-US"/>
        </w:rPr>
      </w:sdtEndPr>
      <w:sdtContent>
        <w:p w:rsidR="00267CBF" w:rsidRDefault="00267CBF" w14:paraId="7F73F0D2" w14:textId="3C09924F">
          <w:pPr>
            <w:pStyle w:val="Heading1"/>
          </w:pPr>
          <w:r>
            <w:t>References</w:t>
          </w:r>
        </w:p>
        <w:sdt>
          <w:sdtPr>
            <w:id w:val="-573587230"/>
            <w:bibliography/>
          </w:sdtPr>
          <w:sdtContent>
            <w:p w:rsidR="008C2A92" w:rsidP="008C2A92" w:rsidRDefault="00267CBF" w14:paraId="2E55C8EC" w14:textId="77777777">
              <w:pPr>
                <w:pStyle w:val="Bibliography"/>
                <w:ind w:left="720" w:hanging="720"/>
                <w:rPr>
                  <w:noProof/>
                  <w:sz w:val="24"/>
                  <w:szCs w:val="24"/>
                </w:rPr>
              </w:pPr>
              <w:r>
                <w:fldChar w:fldCharType="begin"/>
              </w:r>
              <w:r>
                <w:instrText>BIBLIOGRAPHY</w:instrText>
              </w:r>
              <w:r>
                <w:fldChar w:fldCharType="separate"/>
              </w:r>
              <w:r w:rsidR="008C2A92">
                <w:rPr>
                  <w:noProof/>
                </w:rPr>
                <w:t xml:space="preserve">Barkan, S. E., &amp; Melton, J. T. (2015). Civil Law Systems. In </w:t>
              </w:r>
              <w:r w:rsidR="008C2A92">
                <w:rPr>
                  <w:i/>
                  <w:iCs/>
                  <w:noProof/>
                </w:rPr>
                <w:t>International Encyclopedia of the Social &amp; Behavioural Sciences</w:t>
              </w:r>
              <w:r w:rsidR="008C2A92">
                <w:rPr>
                  <w:noProof/>
                </w:rPr>
                <w:t xml:space="preserve"> (pp. 943-949). Elsevier.</w:t>
              </w:r>
            </w:p>
            <w:p w:rsidR="008C2A92" w:rsidP="008C2A92" w:rsidRDefault="008C2A92" w14:paraId="2C09C294" w14:textId="77777777">
              <w:pPr>
                <w:pStyle w:val="Bibliography"/>
                <w:ind w:left="720" w:hanging="720"/>
                <w:rPr>
                  <w:noProof/>
                </w:rPr>
              </w:pPr>
              <w:r>
                <w:rPr>
                  <w:noProof/>
                </w:rPr>
                <w:t xml:space="preserve">Blackshield, T. (2010). Commonwealth and Common Law. In J. Fitzpatrick, &amp; D. Nolan (Eds.), </w:t>
              </w:r>
              <w:r>
                <w:rPr>
                  <w:i/>
                  <w:iCs/>
                  <w:noProof/>
                </w:rPr>
                <w:t>Fifty years of the International Court of Justice: Essays in honour of Sir Robert Jennings</w:t>
              </w:r>
              <w:r>
                <w:rPr>
                  <w:noProof/>
                </w:rPr>
                <w:t xml:space="preserve"> (pp. 343-356). Cambridge University Press.</w:t>
              </w:r>
            </w:p>
            <w:p w:rsidR="008C2A92" w:rsidP="008C2A92" w:rsidRDefault="008C2A92" w14:paraId="0D7A6E20" w14:textId="77777777">
              <w:pPr>
                <w:pStyle w:val="Bibliography"/>
                <w:ind w:left="720" w:hanging="720"/>
                <w:rPr>
                  <w:noProof/>
                </w:rPr>
              </w:pPr>
              <w:r>
                <w:rPr>
                  <w:noProof/>
                </w:rPr>
                <w:t xml:space="preserve">Blackstone, W. (1765). </w:t>
              </w:r>
              <w:r>
                <w:rPr>
                  <w:i/>
                  <w:iCs/>
                  <w:noProof/>
                </w:rPr>
                <w:t>Commentaries on the laws of England.</w:t>
              </w:r>
              <w:r>
                <w:rPr>
                  <w:noProof/>
                </w:rPr>
                <w:t xml:space="preserve"> Oxford University Press.</w:t>
              </w:r>
            </w:p>
            <w:p w:rsidR="008C2A92" w:rsidP="008C2A92" w:rsidRDefault="008C2A92" w14:paraId="2CDF8A9B" w14:textId="77777777">
              <w:pPr>
                <w:pStyle w:val="Bibliography"/>
                <w:ind w:left="720" w:hanging="720"/>
                <w:rPr>
                  <w:noProof/>
                </w:rPr>
              </w:pPr>
              <w:r>
                <w:rPr>
                  <w:noProof/>
                </w:rPr>
                <w:t xml:space="preserve">Burrows, A. (2010). </w:t>
              </w:r>
              <w:r>
                <w:rPr>
                  <w:i/>
                  <w:iCs/>
                  <w:noProof/>
                </w:rPr>
                <w:t>A casebook on the common law of contract.</w:t>
              </w:r>
              <w:r>
                <w:rPr>
                  <w:noProof/>
                </w:rPr>
                <w:t xml:space="preserve"> Hart Publishing.</w:t>
              </w:r>
            </w:p>
            <w:p w:rsidR="008C2A92" w:rsidP="008C2A92" w:rsidRDefault="008C2A92" w14:paraId="16D53301" w14:textId="77777777">
              <w:pPr>
                <w:pStyle w:val="Bibliography"/>
                <w:ind w:left="720" w:hanging="720"/>
                <w:rPr>
                  <w:noProof/>
                </w:rPr>
              </w:pPr>
              <w:r>
                <w:rPr>
                  <w:noProof/>
                </w:rPr>
                <w:t xml:space="preserve">Cane, P. (2019). </w:t>
              </w:r>
              <w:r>
                <w:rPr>
                  <w:i/>
                  <w:iCs/>
                  <w:noProof/>
                </w:rPr>
                <w:t>The Anatomy of a Common Law Case.</w:t>
              </w:r>
              <w:r>
                <w:rPr>
                  <w:noProof/>
                </w:rPr>
                <w:t xml:space="preserve"> Oxford University Press.</w:t>
              </w:r>
            </w:p>
            <w:p w:rsidR="008C2A92" w:rsidP="008C2A92" w:rsidRDefault="008C2A92" w14:paraId="0C1266E9" w14:textId="77777777">
              <w:pPr>
                <w:pStyle w:val="Bibliography"/>
                <w:ind w:left="720" w:hanging="720"/>
                <w:rPr>
                  <w:noProof/>
                </w:rPr>
              </w:pPr>
              <w:r>
                <w:rPr>
                  <w:noProof/>
                </w:rPr>
                <w:t xml:space="preserve">Cappelletti, M. (1979). The future of the civil law system. </w:t>
              </w:r>
              <w:r>
                <w:rPr>
                  <w:i/>
                  <w:iCs/>
                  <w:noProof/>
                </w:rPr>
                <w:t>Journal of Comparative Law, 9</w:t>
              </w:r>
              <w:r>
                <w:rPr>
                  <w:noProof/>
                </w:rPr>
                <w:t>(1), 1-24.</w:t>
              </w:r>
            </w:p>
            <w:p w:rsidR="008C2A92" w:rsidP="008C2A92" w:rsidRDefault="008C2A92" w14:paraId="3902BF4D" w14:textId="77777777">
              <w:pPr>
                <w:pStyle w:val="Bibliography"/>
                <w:ind w:left="720" w:hanging="720"/>
                <w:rPr>
                  <w:noProof/>
                </w:rPr>
              </w:pPr>
              <w:r>
                <w:rPr>
                  <w:noProof/>
                </w:rPr>
                <w:t xml:space="preserve">Chukwuemueka, E. S. (2021, December 20). </w:t>
              </w:r>
              <w:r>
                <w:rPr>
                  <w:i/>
                  <w:iCs/>
                  <w:noProof/>
                </w:rPr>
                <w:t>Maxims of Equity Explained</w:t>
              </w:r>
              <w:r>
                <w:rPr>
                  <w:noProof/>
                </w:rPr>
                <w:t>. Retrieved from Bscholarly: https://bscholarly.com/maxims-of-equity/</w:t>
              </w:r>
            </w:p>
            <w:p w:rsidR="008C2A92" w:rsidP="008C2A92" w:rsidRDefault="008C2A92" w14:paraId="3971D1D4" w14:textId="77777777">
              <w:pPr>
                <w:pStyle w:val="Bibliography"/>
                <w:ind w:left="720" w:hanging="720"/>
                <w:rPr>
                  <w:noProof/>
                </w:rPr>
              </w:pPr>
              <w:r>
                <w:rPr>
                  <w:noProof/>
                </w:rPr>
                <w:t xml:space="preserve">Driedger, E. A. (1983). </w:t>
              </w:r>
              <w:r>
                <w:rPr>
                  <w:i/>
                  <w:iCs/>
                  <w:noProof/>
                </w:rPr>
                <w:t>The construction of statutes.</w:t>
              </w:r>
              <w:r>
                <w:rPr>
                  <w:noProof/>
                </w:rPr>
                <w:t xml:space="preserve"> Butterworths.</w:t>
              </w:r>
            </w:p>
            <w:p w:rsidR="008C2A92" w:rsidP="008C2A92" w:rsidRDefault="008C2A92" w14:paraId="5E8B7839" w14:textId="77777777">
              <w:pPr>
                <w:pStyle w:val="Bibliography"/>
                <w:ind w:left="720" w:hanging="720"/>
                <w:rPr>
                  <w:noProof/>
                </w:rPr>
              </w:pPr>
              <w:r>
                <w:rPr>
                  <w:noProof/>
                </w:rPr>
                <w:t xml:space="preserve">Friedman, L. M. (2014). Legal culture and American exceptionalism. </w:t>
              </w:r>
              <w:r>
                <w:rPr>
                  <w:i/>
                  <w:iCs/>
                  <w:noProof/>
                </w:rPr>
                <w:t>University of Chicago Law Review, 81</w:t>
              </w:r>
              <w:r>
                <w:rPr>
                  <w:noProof/>
                </w:rPr>
                <w:t>(1), 1-32.</w:t>
              </w:r>
            </w:p>
            <w:p w:rsidR="008C2A92" w:rsidP="008C2A92" w:rsidRDefault="008C2A92" w14:paraId="2790041E" w14:textId="77777777">
              <w:pPr>
                <w:pStyle w:val="Bibliography"/>
                <w:ind w:left="720" w:hanging="720"/>
                <w:rPr>
                  <w:noProof/>
                </w:rPr>
              </w:pPr>
              <w:r>
                <w:rPr>
                  <w:noProof/>
                </w:rPr>
                <w:t xml:space="preserve">Harris, P., &amp; Williams, M. (2010). </w:t>
              </w:r>
              <w:r>
                <w:rPr>
                  <w:i/>
                  <w:iCs/>
                  <w:noProof/>
                </w:rPr>
                <w:t>Law and Governance.</w:t>
              </w:r>
              <w:r>
                <w:rPr>
                  <w:noProof/>
                </w:rPr>
                <w:t xml:space="preserve"> Oxford University Press.</w:t>
              </w:r>
            </w:p>
            <w:p w:rsidR="008C2A92" w:rsidP="008C2A92" w:rsidRDefault="008C2A92" w14:paraId="5AFAAB78" w14:textId="77777777">
              <w:pPr>
                <w:pStyle w:val="Bibliography"/>
                <w:ind w:left="720" w:hanging="720"/>
                <w:rPr>
                  <w:noProof/>
                </w:rPr>
              </w:pPr>
              <w:r>
                <w:rPr>
                  <w:noProof/>
                </w:rPr>
                <w:t xml:space="preserve">Hart, H. L. (1994). </w:t>
              </w:r>
              <w:r>
                <w:rPr>
                  <w:i/>
                  <w:iCs/>
                  <w:noProof/>
                </w:rPr>
                <w:t>The concept of law</w:t>
              </w:r>
              <w:r>
                <w:rPr>
                  <w:noProof/>
                </w:rPr>
                <w:t xml:space="preserve"> (2nd ed.). Oxford University Press.</w:t>
              </w:r>
            </w:p>
            <w:p w:rsidR="008C2A92" w:rsidP="008C2A92" w:rsidRDefault="008C2A92" w14:paraId="5D90F9C0" w14:textId="77777777">
              <w:pPr>
                <w:pStyle w:val="Bibliography"/>
                <w:ind w:left="720" w:hanging="720"/>
                <w:rPr>
                  <w:noProof/>
                </w:rPr>
              </w:pPr>
              <w:r>
                <w:rPr>
                  <w:noProof/>
                </w:rPr>
                <w:t xml:space="preserve">Hodge, S. (2015). </w:t>
              </w:r>
              <w:r>
                <w:rPr>
                  <w:i/>
                  <w:iCs/>
                  <w:noProof/>
                </w:rPr>
                <w:t>The English legal system.</w:t>
              </w:r>
              <w:r>
                <w:rPr>
                  <w:noProof/>
                </w:rPr>
                <w:t xml:space="preserve"> Oxford University Press.</w:t>
              </w:r>
            </w:p>
            <w:p w:rsidR="008C2A92" w:rsidP="008C2A92" w:rsidRDefault="008C2A92" w14:paraId="1DCA2ED1" w14:textId="77777777">
              <w:pPr>
                <w:pStyle w:val="Bibliography"/>
                <w:ind w:left="720" w:hanging="720"/>
                <w:rPr>
                  <w:noProof/>
                </w:rPr>
              </w:pPr>
              <w:r>
                <w:rPr>
                  <w:noProof/>
                </w:rPr>
                <w:t xml:space="preserve">Ibbetson, D. (1999). </w:t>
              </w:r>
              <w:r>
                <w:rPr>
                  <w:i/>
                  <w:iCs/>
                  <w:noProof/>
                </w:rPr>
                <w:t>A historical introduction to the law of obligations.</w:t>
              </w:r>
              <w:r>
                <w:rPr>
                  <w:noProof/>
                </w:rPr>
                <w:t xml:space="preserve"> Oxford University Press.</w:t>
              </w:r>
            </w:p>
            <w:p w:rsidR="008C2A92" w:rsidP="008C2A92" w:rsidRDefault="008C2A92" w14:paraId="7072C943" w14:textId="77777777">
              <w:pPr>
                <w:pStyle w:val="Bibliography"/>
                <w:ind w:left="720" w:hanging="720"/>
                <w:rPr>
                  <w:noProof/>
                </w:rPr>
              </w:pPr>
              <w:r>
                <w:rPr>
                  <w:noProof/>
                </w:rPr>
                <w:t xml:space="preserve">Jowell, J., &amp; O'Cinneide, C. (2015). </w:t>
              </w:r>
              <w:r>
                <w:rPr>
                  <w:i/>
                  <w:iCs/>
                  <w:noProof/>
                </w:rPr>
                <w:t>The changing constitution</w:t>
              </w:r>
              <w:r>
                <w:rPr>
                  <w:noProof/>
                </w:rPr>
                <w:t xml:space="preserve"> (8th ed.). Oxford University Press.</w:t>
              </w:r>
            </w:p>
            <w:p w:rsidR="008C2A92" w:rsidP="008C2A92" w:rsidRDefault="008C2A92" w14:paraId="7E9FF829" w14:textId="77777777">
              <w:pPr>
                <w:pStyle w:val="Bibliography"/>
                <w:ind w:left="720" w:hanging="720"/>
                <w:rPr>
                  <w:noProof/>
                </w:rPr>
              </w:pPr>
              <w:r>
                <w:rPr>
                  <w:noProof/>
                </w:rPr>
                <w:t xml:space="preserve">Mah, L. C. (2008, May 1). </w:t>
              </w:r>
              <w:r>
                <w:rPr>
                  <w:i/>
                  <w:iCs/>
                  <w:noProof/>
                </w:rPr>
                <w:t>Equitable Doctrines and Maxims</w:t>
              </w:r>
              <w:r>
                <w:rPr>
                  <w:noProof/>
                </w:rPr>
                <w:t>. Retrieved from LawNow: https://www.lawnow.org/equitable-doctrines-and-maxims/</w:t>
              </w:r>
            </w:p>
            <w:p w:rsidR="008C2A92" w:rsidP="008C2A92" w:rsidRDefault="008C2A92" w14:paraId="5A004197" w14:textId="77777777">
              <w:pPr>
                <w:pStyle w:val="Bibliography"/>
                <w:ind w:left="720" w:hanging="720"/>
                <w:rPr>
                  <w:noProof/>
                </w:rPr>
              </w:pPr>
              <w:r>
                <w:rPr>
                  <w:noProof/>
                </w:rPr>
                <w:t xml:space="preserve">McKendrick, E. (2018). </w:t>
              </w:r>
              <w:r>
                <w:rPr>
                  <w:i/>
                  <w:iCs/>
                  <w:noProof/>
                </w:rPr>
                <w:t>Contract Law: Text, cases, and materials.</w:t>
              </w:r>
              <w:r>
                <w:rPr>
                  <w:noProof/>
                </w:rPr>
                <w:t xml:space="preserve"> Oxford University Press.</w:t>
              </w:r>
            </w:p>
            <w:p w:rsidR="008C2A92" w:rsidP="008C2A92" w:rsidRDefault="008C2A92" w14:paraId="56E13211" w14:textId="77777777">
              <w:pPr>
                <w:pStyle w:val="Bibliography"/>
                <w:ind w:left="720" w:hanging="720"/>
                <w:rPr>
                  <w:noProof/>
                </w:rPr>
              </w:pPr>
              <w:r>
                <w:rPr>
                  <w:noProof/>
                </w:rPr>
                <w:t xml:space="preserve">Merryman, J. H., &amp; Perez-Perdomo, R. (2007). </w:t>
              </w:r>
              <w:r>
                <w:rPr>
                  <w:i/>
                  <w:iCs/>
                  <w:noProof/>
                </w:rPr>
                <w:t>The civil law tradition: An introduction to the legal systems of Europe and Latin America.</w:t>
              </w:r>
              <w:r>
                <w:rPr>
                  <w:noProof/>
                </w:rPr>
                <w:t xml:space="preserve"> Stanford University Press.</w:t>
              </w:r>
            </w:p>
            <w:p w:rsidR="008C2A92" w:rsidP="008C2A92" w:rsidRDefault="008C2A92" w14:paraId="184AABD1" w14:textId="77777777">
              <w:pPr>
                <w:pStyle w:val="Bibliography"/>
                <w:ind w:left="720" w:hanging="720"/>
                <w:rPr>
                  <w:noProof/>
                </w:rPr>
              </w:pPr>
              <w:r>
                <w:rPr>
                  <w:noProof/>
                </w:rPr>
                <w:t xml:space="preserve">Pollock, F. (1892). </w:t>
              </w:r>
              <w:r>
                <w:rPr>
                  <w:i/>
                  <w:iCs/>
                  <w:noProof/>
                </w:rPr>
                <w:t>Principles of contract.</w:t>
              </w:r>
              <w:r>
                <w:rPr>
                  <w:noProof/>
                </w:rPr>
                <w:t xml:space="preserve"> Stevens and Sons.</w:t>
              </w:r>
            </w:p>
            <w:p w:rsidR="008C2A92" w:rsidP="008C2A92" w:rsidRDefault="008C2A92" w14:paraId="03AE2B26" w14:textId="77777777">
              <w:pPr>
                <w:pStyle w:val="Bibliography"/>
                <w:ind w:left="720" w:hanging="720"/>
                <w:rPr>
                  <w:noProof/>
                </w:rPr>
              </w:pPr>
              <w:r>
                <w:rPr>
                  <w:noProof/>
                </w:rPr>
                <w:t xml:space="preserve">Rogers, W. (2017). </w:t>
              </w:r>
              <w:r>
                <w:rPr>
                  <w:i/>
                  <w:iCs/>
                  <w:noProof/>
                </w:rPr>
                <w:t>Winifield and Jolowicz on tort</w:t>
              </w:r>
              <w:r>
                <w:rPr>
                  <w:noProof/>
                </w:rPr>
                <w:t xml:space="preserve"> (19th ed.). Sweet &amp; Maxwell.</w:t>
              </w:r>
            </w:p>
            <w:p w:rsidR="008C2A92" w:rsidP="008C2A92" w:rsidRDefault="008C2A92" w14:paraId="4BBA0973" w14:textId="77777777">
              <w:pPr>
                <w:pStyle w:val="Bibliography"/>
                <w:ind w:left="720" w:hanging="720"/>
                <w:rPr>
                  <w:noProof/>
                </w:rPr>
              </w:pPr>
              <w:r>
                <w:rPr>
                  <w:noProof/>
                </w:rPr>
                <w:t xml:space="preserve">Salmond, J. W. (1966). </w:t>
              </w:r>
              <w:r>
                <w:rPr>
                  <w:i/>
                  <w:iCs/>
                  <w:noProof/>
                </w:rPr>
                <w:t>The Law or Torts.</w:t>
              </w:r>
              <w:r>
                <w:rPr>
                  <w:noProof/>
                </w:rPr>
                <w:t xml:space="preserve"> Sweet and Maxwell.</w:t>
              </w:r>
            </w:p>
            <w:p w:rsidR="008C2A92" w:rsidP="008C2A92" w:rsidRDefault="008C2A92" w14:paraId="3B0966E8" w14:textId="77777777">
              <w:pPr>
                <w:pStyle w:val="Bibliography"/>
                <w:ind w:left="720" w:hanging="720"/>
                <w:rPr>
                  <w:noProof/>
                </w:rPr>
              </w:pPr>
              <w:r>
                <w:rPr>
                  <w:noProof/>
                </w:rPr>
                <w:t xml:space="preserve">Schwartz, V. R., &amp; Scott, H. S. (2012). Comparative Law and Legal Systems. In </w:t>
              </w:r>
              <w:r>
                <w:rPr>
                  <w:i/>
                  <w:iCs/>
                  <w:noProof/>
                </w:rPr>
                <w:t>Comparative Law</w:t>
              </w:r>
              <w:r>
                <w:rPr>
                  <w:noProof/>
                </w:rPr>
                <w:t xml:space="preserve"> (pp. 1-17). Edward Elgar Publishing.</w:t>
              </w:r>
            </w:p>
            <w:p w:rsidR="008C2A92" w:rsidP="008C2A92" w:rsidRDefault="008C2A92" w14:paraId="72BD9BDC" w14:textId="77777777">
              <w:pPr>
                <w:pStyle w:val="Bibliography"/>
                <w:ind w:left="720" w:hanging="720"/>
                <w:rPr>
                  <w:noProof/>
                </w:rPr>
              </w:pPr>
              <w:r>
                <w:rPr>
                  <w:noProof/>
                </w:rPr>
                <w:t xml:space="preserve">Stone, J. (2006). </w:t>
              </w:r>
              <w:r>
                <w:rPr>
                  <w:i/>
                  <w:iCs/>
                  <w:noProof/>
                </w:rPr>
                <w:t>Legal systems and lawyer's reasoning.</w:t>
              </w:r>
              <w:r>
                <w:rPr>
                  <w:noProof/>
                </w:rPr>
                <w:t xml:space="preserve"> Hart Publishing.</w:t>
              </w:r>
            </w:p>
            <w:p w:rsidR="008C2A92" w:rsidP="008C2A92" w:rsidRDefault="008C2A92" w14:paraId="6F112EFF" w14:textId="77777777">
              <w:pPr>
                <w:pStyle w:val="Bibliography"/>
                <w:ind w:left="720" w:hanging="720"/>
                <w:rPr>
                  <w:noProof/>
                </w:rPr>
              </w:pPr>
              <w:r>
                <w:rPr>
                  <w:noProof/>
                </w:rPr>
                <w:t xml:space="preserve">Tromans, S. (2018). </w:t>
              </w:r>
              <w:r>
                <w:rPr>
                  <w:i/>
                  <w:iCs/>
                  <w:noProof/>
                </w:rPr>
                <w:t>The European Union and the English legal system.</w:t>
              </w:r>
              <w:r>
                <w:rPr>
                  <w:noProof/>
                </w:rPr>
                <w:t xml:space="preserve"> Oxford University Press.</w:t>
              </w:r>
            </w:p>
            <w:p w:rsidR="008C2A92" w:rsidP="008C2A92" w:rsidRDefault="008C2A92" w14:paraId="0144D205" w14:textId="77777777">
              <w:pPr>
                <w:pStyle w:val="Bibliography"/>
                <w:ind w:left="720" w:hanging="720"/>
                <w:rPr>
                  <w:noProof/>
                </w:rPr>
              </w:pPr>
              <w:r>
                <w:rPr>
                  <w:noProof/>
                </w:rPr>
                <w:t xml:space="preserve">Weir, T. (2014). </w:t>
              </w:r>
              <w:r>
                <w:rPr>
                  <w:i/>
                  <w:iCs/>
                  <w:noProof/>
                </w:rPr>
                <w:t>Legal histories of the British Empire: Laws, engagements and legacies.</w:t>
              </w:r>
              <w:r>
                <w:rPr>
                  <w:noProof/>
                </w:rPr>
                <w:t xml:space="preserve"> Oxford University Press.</w:t>
              </w:r>
            </w:p>
            <w:p w:rsidRPr="00CE494C" w:rsidR="005636A6" w:rsidP="00CE494C" w:rsidRDefault="00267CBF" w14:paraId="38B5C0F6" w14:textId="2F96897B">
              <w:r>
                <w:rPr>
                  <w:b/>
                  <w:bCs/>
                </w:rPr>
                <w:lastRenderedPageBreak/>
                <w:fldChar w:fldCharType="end"/>
              </w:r>
            </w:p>
          </w:sdtContent>
        </w:sdt>
      </w:sdtContent>
    </w:sdt>
    <w:sectPr w:rsidRPr="00CE494C" w:rsidR="005636A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1DD"/>
    <w:rsid w:val="00007C05"/>
    <w:rsid w:val="00023D6F"/>
    <w:rsid w:val="00025B90"/>
    <w:rsid w:val="0007415C"/>
    <w:rsid w:val="0009147C"/>
    <w:rsid w:val="00094A4C"/>
    <w:rsid w:val="000B55E1"/>
    <w:rsid w:val="000F07A4"/>
    <w:rsid w:val="00110D14"/>
    <w:rsid w:val="001241C6"/>
    <w:rsid w:val="001248AE"/>
    <w:rsid w:val="001369FD"/>
    <w:rsid w:val="00141813"/>
    <w:rsid w:val="00151228"/>
    <w:rsid w:val="0017260A"/>
    <w:rsid w:val="00186EA0"/>
    <w:rsid w:val="00191190"/>
    <w:rsid w:val="0019137D"/>
    <w:rsid w:val="001923BA"/>
    <w:rsid w:val="001E4267"/>
    <w:rsid w:val="00205AA7"/>
    <w:rsid w:val="0021533C"/>
    <w:rsid w:val="00242335"/>
    <w:rsid w:val="00263256"/>
    <w:rsid w:val="00267CBF"/>
    <w:rsid w:val="0028135E"/>
    <w:rsid w:val="00281859"/>
    <w:rsid w:val="00283D0F"/>
    <w:rsid w:val="0029699D"/>
    <w:rsid w:val="002C1D77"/>
    <w:rsid w:val="002C734C"/>
    <w:rsid w:val="002F327B"/>
    <w:rsid w:val="00315C54"/>
    <w:rsid w:val="00342CCC"/>
    <w:rsid w:val="003A0A50"/>
    <w:rsid w:val="003A1E7C"/>
    <w:rsid w:val="003C6C2F"/>
    <w:rsid w:val="003D225C"/>
    <w:rsid w:val="003D36C3"/>
    <w:rsid w:val="003D7059"/>
    <w:rsid w:val="003D7FF6"/>
    <w:rsid w:val="003E69FC"/>
    <w:rsid w:val="003F5813"/>
    <w:rsid w:val="00405588"/>
    <w:rsid w:val="00406AE8"/>
    <w:rsid w:val="00425FCB"/>
    <w:rsid w:val="004949BF"/>
    <w:rsid w:val="004A418F"/>
    <w:rsid w:val="004A67D4"/>
    <w:rsid w:val="004C0B22"/>
    <w:rsid w:val="004C5596"/>
    <w:rsid w:val="004D65BD"/>
    <w:rsid w:val="004E3F0E"/>
    <w:rsid w:val="004E46EB"/>
    <w:rsid w:val="00511161"/>
    <w:rsid w:val="005127A5"/>
    <w:rsid w:val="005318CB"/>
    <w:rsid w:val="005319CC"/>
    <w:rsid w:val="00541BDA"/>
    <w:rsid w:val="00545D64"/>
    <w:rsid w:val="00562B54"/>
    <w:rsid w:val="005636A6"/>
    <w:rsid w:val="005668F3"/>
    <w:rsid w:val="00574CCB"/>
    <w:rsid w:val="00580DF4"/>
    <w:rsid w:val="005B2D7C"/>
    <w:rsid w:val="005B3972"/>
    <w:rsid w:val="005F6CC3"/>
    <w:rsid w:val="00624AE9"/>
    <w:rsid w:val="006323BB"/>
    <w:rsid w:val="006554EE"/>
    <w:rsid w:val="006A01CD"/>
    <w:rsid w:val="006A6BFD"/>
    <w:rsid w:val="006B757C"/>
    <w:rsid w:val="00703FAE"/>
    <w:rsid w:val="00726FA7"/>
    <w:rsid w:val="00743129"/>
    <w:rsid w:val="007450DA"/>
    <w:rsid w:val="007638E1"/>
    <w:rsid w:val="007830EA"/>
    <w:rsid w:val="00785A9A"/>
    <w:rsid w:val="00794903"/>
    <w:rsid w:val="007A66CF"/>
    <w:rsid w:val="007B5979"/>
    <w:rsid w:val="007C18E2"/>
    <w:rsid w:val="007D7A6E"/>
    <w:rsid w:val="007F2C28"/>
    <w:rsid w:val="007F55C6"/>
    <w:rsid w:val="007F57A1"/>
    <w:rsid w:val="008048D8"/>
    <w:rsid w:val="00844329"/>
    <w:rsid w:val="00850D67"/>
    <w:rsid w:val="00856F90"/>
    <w:rsid w:val="008610BA"/>
    <w:rsid w:val="00881E13"/>
    <w:rsid w:val="008927F9"/>
    <w:rsid w:val="00894307"/>
    <w:rsid w:val="008C2A92"/>
    <w:rsid w:val="008C64ED"/>
    <w:rsid w:val="008D082F"/>
    <w:rsid w:val="008D6B52"/>
    <w:rsid w:val="008F3832"/>
    <w:rsid w:val="00916991"/>
    <w:rsid w:val="009270D3"/>
    <w:rsid w:val="00931308"/>
    <w:rsid w:val="0093223A"/>
    <w:rsid w:val="0093458D"/>
    <w:rsid w:val="00935093"/>
    <w:rsid w:val="00946191"/>
    <w:rsid w:val="009541DD"/>
    <w:rsid w:val="00975ED6"/>
    <w:rsid w:val="009C27FE"/>
    <w:rsid w:val="009D2CFE"/>
    <w:rsid w:val="009D518A"/>
    <w:rsid w:val="009E4E89"/>
    <w:rsid w:val="009F073A"/>
    <w:rsid w:val="00A1415A"/>
    <w:rsid w:val="00A31717"/>
    <w:rsid w:val="00A553FC"/>
    <w:rsid w:val="00A56673"/>
    <w:rsid w:val="00A57FE9"/>
    <w:rsid w:val="00A81158"/>
    <w:rsid w:val="00A93C8C"/>
    <w:rsid w:val="00A94CFE"/>
    <w:rsid w:val="00AB1D17"/>
    <w:rsid w:val="00AB2F42"/>
    <w:rsid w:val="00AC22C1"/>
    <w:rsid w:val="00AE75FF"/>
    <w:rsid w:val="00B20C00"/>
    <w:rsid w:val="00B63294"/>
    <w:rsid w:val="00B6375E"/>
    <w:rsid w:val="00B8699D"/>
    <w:rsid w:val="00BB4CAF"/>
    <w:rsid w:val="00BC2D59"/>
    <w:rsid w:val="00BC769F"/>
    <w:rsid w:val="00BD5FF9"/>
    <w:rsid w:val="00BF4755"/>
    <w:rsid w:val="00C10F15"/>
    <w:rsid w:val="00C222E5"/>
    <w:rsid w:val="00C243D9"/>
    <w:rsid w:val="00C32F3E"/>
    <w:rsid w:val="00C43B3C"/>
    <w:rsid w:val="00C620DD"/>
    <w:rsid w:val="00C81568"/>
    <w:rsid w:val="00C81732"/>
    <w:rsid w:val="00C8661A"/>
    <w:rsid w:val="00CA01B0"/>
    <w:rsid w:val="00CA0B46"/>
    <w:rsid w:val="00CE494C"/>
    <w:rsid w:val="00CF75D8"/>
    <w:rsid w:val="00D042DD"/>
    <w:rsid w:val="00D066F7"/>
    <w:rsid w:val="00D21A5F"/>
    <w:rsid w:val="00D223AF"/>
    <w:rsid w:val="00D23C01"/>
    <w:rsid w:val="00D37113"/>
    <w:rsid w:val="00D4386A"/>
    <w:rsid w:val="00D51321"/>
    <w:rsid w:val="00D77465"/>
    <w:rsid w:val="00D84FD4"/>
    <w:rsid w:val="00DA21FD"/>
    <w:rsid w:val="00DA2D4C"/>
    <w:rsid w:val="00DB1B22"/>
    <w:rsid w:val="00DB5CFB"/>
    <w:rsid w:val="00DF44DF"/>
    <w:rsid w:val="00DF4E3B"/>
    <w:rsid w:val="00DF77BA"/>
    <w:rsid w:val="00E4474A"/>
    <w:rsid w:val="00E5585A"/>
    <w:rsid w:val="00E9121C"/>
    <w:rsid w:val="00EA303E"/>
    <w:rsid w:val="00EB30C7"/>
    <w:rsid w:val="00ED6AA7"/>
    <w:rsid w:val="00EF2DE9"/>
    <w:rsid w:val="00F0261E"/>
    <w:rsid w:val="00F0791F"/>
    <w:rsid w:val="00F160C2"/>
    <w:rsid w:val="00F17B5A"/>
    <w:rsid w:val="00F20372"/>
    <w:rsid w:val="00F23FB7"/>
    <w:rsid w:val="00F24855"/>
    <w:rsid w:val="00F4545A"/>
    <w:rsid w:val="00F46C75"/>
    <w:rsid w:val="00F923FB"/>
    <w:rsid w:val="00F959B2"/>
    <w:rsid w:val="00FA67D3"/>
    <w:rsid w:val="00FA6C07"/>
    <w:rsid w:val="00FB463B"/>
    <w:rsid w:val="00FE77D6"/>
    <w:rsid w:val="00FF35BF"/>
    <w:rsid w:val="3A67BC73"/>
    <w:rsid w:val="556FD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9A570"/>
  <w15:chartTrackingRefBased/>
  <w15:docId w15:val="{FD41D8F5-7276-458A-90FC-A0F0F87E26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67CBF"/>
    <w:pPr>
      <w:keepNext/>
      <w:keepLines/>
      <w:spacing w:before="240" w:after="0"/>
      <w:outlineLvl w:val="0"/>
    </w:pPr>
    <w:rPr>
      <w:rFonts w:asciiTheme="majorHAnsi" w:hAnsiTheme="majorHAnsi" w:eastAsiaTheme="majorEastAsia" w:cstheme="majorBidi"/>
      <w:color w:val="2F5496" w:themeColor="accent1" w:themeShade="BF"/>
      <w:sz w:val="32"/>
      <w:szCs w:val="32"/>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67CBF"/>
    <w:rPr>
      <w:rFonts w:asciiTheme="majorHAnsi" w:hAnsiTheme="majorHAnsi" w:eastAsiaTheme="majorEastAsia" w:cstheme="majorBidi"/>
      <w:color w:val="2F5496" w:themeColor="accent1" w:themeShade="BF"/>
      <w:sz w:val="32"/>
      <w:szCs w:val="32"/>
      <w:lang w:eastAsia="en-GB"/>
    </w:rPr>
  </w:style>
  <w:style w:type="paragraph" w:styleId="Bibliography">
    <w:name w:val="Bibliography"/>
    <w:basedOn w:val="Normal"/>
    <w:next w:val="Normal"/>
    <w:uiPriority w:val="37"/>
    <w:unhideWhenUsed/>
    <w:rsid w:val="0026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3592">
      <w:bodyDiv w:val="1"/>
      <w:marLeft w:val="0"/>
      <w:marRight w:val="0"/>
      <w:marTop w:val="0"/>
      <w:marBottom w:val="0"/>
      <w:divBdr>
        <w:top w:val="none" w:sz="0" w:space="0" w:color="auto"/>
        <w:left w:val="none" w:sz="0" w:space="0" w:color="auto"/>
        <w:bottom w:val="none" w:sz="0" w:space="0" w:color="auto"/>
        <w:right w:val="none" w:sz="0" w:space="0" w:color="auto"/>
      </w:divBdr>
    </w:div>
    <w:div w:id="11999395">
      <w:bodyDiv w:val="1"/>
      <w:marLeft w:val="0"/>
      <w:marRight w:val="0"/>
      <w:marTop w:val="0"/>
      <w:marBottom w:val="0"/>
      <w:divBdr>
        <w:top w:val="none" w:sz="0" w:space="0" w:color="auto"/>
        <w:left w:val="none" w:sz="0" w:space="0" w:color="auto"/>
        <w:bottom w:val="none" w:sz="0" w:space="0" w:color="auto"/>
        <w:right w:val="none" w:sz="0" w:space="0" w:color="auto"/>
      </w:divBdr>
    </w:div>
    <w:div w:id="101844496">
      <w:bodyDiv w:val="1"/>
      <w:marLeft w:val="0"/>
      <w:marRight w:val="0"/>
      <w:marTop w:val="0"/>
      <w:marBottom w:val="0"/>
      <w:divBdr>
        <w:top w:val="none" w:sz="0" w:space="0" w:color="auto"/>
        <w:left w:val="none" w:sz="0" w:space="0" w:color="auto"/>
        <w:bottom w:val="none" w:sz="0" w:space="0" w:color="auto"/>
        <w:right w:val="none" w:sz="0" w:space="0" w:color="auto"/>
      </w:divBdr>
    </w:div>
    <w:div w:id="168763771">
      <w:bodyDiv w:val="1"/>
      <w:marLeft w:val="0"/>
      <w:marRight w:val="0"/>
      <w:marTop w:val="0"/>
      <w:marBottom w:val="0"/>
      <w:divBdr>
        <w:top w:val="none" w:sz="0" w:space="0" w:color="auto"/>
        <w:left w:val="none" w:sz="0" w:space="0" w:color="auto"/>
        <w:bottom w:val="none" w:sz="0" w:space="0" w:color="auto"/>
        <w:right w:val="none" w:sz="0" w:space="0" w:color="auto"/>
      </w:divBdr>
    </w:div>
    <w:div w:id="199632246">
      <w:bodyDiv w:val="1"/>
      <w:marLeft w:val="0"/>
      <w:marRight w:val="0"/>
      <w:marTop w:val="0"/>
      <w:marBottom w:val="0"/>
      <w:divBdr>
        <w:top w:val="none" w:sz="0" w:space="0" w:color="auto"/>
        <w:left w:val="none" w:sz="0" w:space="0" w:color="auto"/>
        <w:bottom w:val="none" w:sz="0" w:space="0" w:color="auto"/>
        <w:right w:val="none" w:sz="0" w:space="0" w:color="auto"/>
      </w:divBdr>
    </w:div>
    <w:div w:id="199705767">
      <w:bodyDiv w:val="1"/>
      <w:marLeft w:val="0"/>
      <w:marRight w:val="0"/>
      <w:marTop w:val="0"/>
      <w:marBottom w:val="0"/>
      <w:divBdr>
        <w:top w:val="none" w:sz="0" w:space="0" w:color="auto"/>
        <w:left w:val="none" w:sz="0" w:space="0" w:color="auto"/>
        <w:bottom w:val="none" w:sz="0" w:space="0" w:color="auto"/>
        <w:right w:val="none" w:sz="0" w:space="0" w:color="auto"/>
      </w:divBdr>
    </w:div>
    <w:div w:id="256326677">
      <w:bodyDiv w:val="1"/>
      <w:marLeft w:val="0"/>
      <w:marRight w:val="0"/>
      <w:marTop w:val="0"/>
      <w:marBottom w:val="0"/>
      <w:divBdr>
        <w:top w:val="none" w:sz="0" w:space="0" w:color="auto"/>
        <w:left w:val="none" w:sz="0" w:space="0" w:color="auto"/>
        <w:bottom w:val="none" w:sz="0" w:space="0" w:color="auto"/>
        <w:right w:val="none" w:sz="0" w:space="0" w:color="auto"/>
      </w:divBdr>
    </w:div>
    <w:div w:id="278489716">
      <w:bodyDiv w:val="1"/>
      <w:marLeft w:val="0"/>
      <w:marRight w:val="0"/>
      <w:marTop w:val="0"/>
      <w:marBottom w:val="0"/>
      <w:divBdr>
        <w:top w:val="none" w:sz="0" w:space="0" w:color="auto"/>
        <w:left w:val="none" w:sz="0" w:space="0" w:color="auto"/>
        <w:bottom w:val="none" w:sz="0" w:space="0" w:color="auto"/>
        <w:right w:val="none" w:sz="0" w:space="0" w:color="auto"/>
      </w:divBdr>
    </w:div>
    <w:div w:id="296299587">
      <w:bodyDiv w:val="1"/>
      <w:marLeft w:val="0"/>
      <w:marRight w:val="0"/>
      <w:marTop w:val="0"/>
      <w:marBottom w:val="0"/>
      <w:divBdr>
        <w:top w:val="none" w:sz="0" w:space="0" w:color="auto"/>
        <w:left w:val="none" w:sz="0" w:space="0" w:color="auto"/>
        <w:bottom w:val="none" w:sz="0" w:space="0" w:color="auto"/>
        <w:right w:val="none" w:sz="0" w:space="0" w:color="auto"/>
      </w:divBdr>
    </w:div>
    <w:div w:id="424422323">
      <w:bodyDiv w:val="1"/>
      <w:marLeft w:val="0"/>
      <w:marRight w:val="0"/>
      <w:marTop w:val="0"/>
      <w:marBottom w:val="0"/>
      <w:divBdr>
        <w:top w:val="none" w:sz="0" w:space="0" w:color="auto"/>
        <w:left w:val="none" w:sz="0" w:space="0" w:color="auto"/>
        <w:bottom w:val="none" w:sz="0" w:space="0" w:color="auto"/>
        <w:right w:val="none" w:sz="0" w:space="0" w:color="auto"/>
      </w:divBdr>
    </w:div>
    <w:div w:id="440681908">
      <w:bodyDiv w:val="1"/>
      <w:marLeft w:val="0"/>
      <w:marRight w:val="0"/>
      <w:marTop w:val="0"/>
      <w:marBottom w:val="0"/>
      <w:divBdr>
        <w:top w:val="none" w:sz="0" w:space="0" w:color="auto"/>
        <w:left w:val="none" w:sz="0" w:space="0" w:color="auto"/>
        <w:bottom w:val="none" w:sz="0" w:space="0" w:color="auto"/>
        <w:right w:val="none" w:sz="0" w:space="0" w:color="auto"/>
      </w:divBdr>
    </w:div>
    <w:div w:id="451284800">
      <w:bodyDiv w:val="1"/>
      <w:marLeft w:val="0"/>
      <w:marRight w:val="0"/>
      <w:marTop w:val="0"/>
      <w:marBottom w:val="0"/>
      <w:divBdr>
        <w:top w:val="none" w:sz="0" w:space="0" w:color="auto"/>
        <w:left w:val="none" w:sz="0" w:space="0" w:color="auto"/>
        <w:bottom w:val="none" w:sz="0" w:space="0" w:color="auto"/>
        <w:right w:val="none" w:sz="0" w:space="0" w:color="auto"/>
      </w:divBdr>
    </w:div>
    <w:div w:id="461580747">
      <w:bodyDiv w:val="1"/>
      <w:marLeft w:val="0"/>
      <w:marRight w:val="0"/>
      <w:marTop w:val="0"/>
      <w:marBottom w:val="0"/>
      <w:divBdr>
        <w:top w:val="none" w:sz="0" w:space="0" w:color="auto"/>
        <w:left w:val="none" w:sz="0" w:space="0" w:color="auto"/>
        <w:bottom w:val="none" w:sz="0" w:space="0" w:color="auto"/>
        <w:right w:val="none" w:sz="0" w:space="0" w:color="auto"/>
      </w:divBdr>
    </w:div>
    <w:div w:id="519242706">
      <w:bodyDiv w:val="1"/>
      <w:marLeft w:val="0"/>
      <w:marRight w:val="0"/>
      <w:marTop w:val="0"/>
      <w:marBottom w:val="0"/>
      <w:divBdr>
        <w:top w:val="none" w:sz="0" w:space="0" w:color="auto"/>
        <w:left w:val="none" w:sz="0" w:space="0" w:color="auto"/>
        <w:bottom w:val="none" w:sz="0" w:space="0" w:color="auto"/>
        <w:right w:val="none" w:sz="0" w:space="0" w:color="auto"/>
      </w:divBdr>
    </w:div>
    <w:div w:id="519396093">
      <w:bodyDiv w:val="1"/>
      <w:marLeft w:val="0"/>
      <w:marRight w:val="0"/>
      <w:marTop w:val="0"/>
      <w:marBottom w:val="0"/>
      <w:divBdr>
        <w:top w:val="none" w:sz="0" w:space="0" w:color="auto"/>
        <w:left w:val="none" w:sz="0" w:space="0" w:color="auto"/>
        <w:bottom w:val="none" w:sz="0" w:space="0" w:color="auto"/>
        <w:right w:val="none" w:sz="0" w:space="0" w:color="auto"/>
      </w:divBdr>
    </w:div>
    <w:div w:id="529999150">
      <w:bodyDiv w:val="1"/>
      <w:marLeft w:val="0"/>
      <w:marRight w:val="0"/>
      <w:marTop w:val="0"/>
      <w:marBottom w:val="0"/>
      <w:divBdr>
        <w:top w:val="none" w:sz="0" w:space="0" w:color="auto"/>
        <w:left w:val="none" w:sz="0" w:space="0" w:color="auto"/>
        <w:bottom w:val="none" w:sz="0" w:space="0" w:color="auto"/>
        <w:right w:val="none" w:sz="0" w:space="0" w:color="auto"/>
      </w:divBdr>
    </w:div>
    <w:div w:id="550577349">
      <w:bodyDiv w:val="1"/>
      <w:marLeft w:val="0"/>
      <w:marRight w:val="0"/>
      <w:marTop w:val="0"/>
      <w:marBottom w:val="0"/>
      <w:divBdr>
        <w:top w:val="none" w:sz="0" w:space="0" w:color="auto"/>
        <w:left w:val="none" w:sz="0" w:space="0" w:color="auto"/>
        <w:bottom w:val="none" w:sz="0" w:space="0" w:color="auto"/>
        <w:right w:val="none" w:sz="0" w:space="0" w:color="auto"/>
      </w:divBdr>
    </w:div>
    <w:div w:id="573777055">
      <w:bodyDiv w:val="1"/>
      <w:marLeft w:val="0"/>
      <w:marRight w:val="0"/>
      <w:marTop w:val="0"/>
      <w:marBottom w:val="0"/>
      <w:divBdr>
        <w:top w:val="none" w:sz="0" w:space="0" w:color="auto"/>
        <w:left w:val="none" w:sz="0" w:space="0" w:color="auto"/>
        <w:bottom w:val="none" w:sz="0" w:space="0" w:color="auto"/>
        <w:right w:val="none" w:sz="0" w:space="0" w:color="auto"/>
      </w:divBdr>
    </w:div>
    <w:div w:id="595551841">
      <w:bodyDiv w:val="1"/>
      <w:marLeft w:val="0"/>
      <w:marRight w:val="0"/>
      <w:marTop w:val="0"/>
      <w:marBottom w:val="0"/>
      <w:divBdr>
        <w:top w:val="none" w:sz="0" w:space="0" w:color="auto"/>
        <w:left w:val="none" w:sz="0" w:space="0" w:color="auto"/>
        <w:bottom w:val="none" w:sz="0" w:space="0" w:color="auto"/>
        <w:right w:val="none" w:sz="0" w:space="0" w:color="auto"/>
      </w:divBdr>
    </w:div>
    <w:div w:id="611089565">
      <w:bodyDiv w:val="1"/>
      <w:marLeft w:val="0"/>
      <w:marRight w:val="0"/>
      <w:marTop w:val="0"/>
      <w:marBottom w:val="0"/>
      <w:divBdr>
        <w:top w:val="none" w:sz="0" w:space="0" w:color="auto"/>
        <w:left w:val="none" w:sz="0" w:space="0" w:color="auto"/>
        <w:bottom w:val="none" w:sz="0" w:space="0" w:color="auto"/>
        <w:right w:val="none" w:sz="0" w:space="0" w:color="auto"/>
      </w:divBdr>
    </w:div>
    <w:div w:id="655304843">
      <w:bodyDiv w:val="1"/>
      <w:marLeft w:val="0"/>
      <w:marRight w:val="0"/>
      <w:marTop w:val="0"/>
      <w:marBottom w:val="0"/>
      <w:divBdr>
        <w:top w:val="none" w:sz="0" w:space="0" w:color="auto"/>
        <w:left w:val="none" w:sz="0" w:space="0" w:color="auto"/>
        <w:bottom w:val="none" w:sz="0" w:space="0" w:color="auto"/>
        <w:right w:val="none" w:sz="0" w:space="0" w:color="auto"/>
      </w:divBdr>
    </w:div>
    <w:div w:id="678389340">
      <w:bodyDiv w:val="1"/>
      <w:marLeft w:val="0"/>
      <w:marRight w:val="0"/>
      <w:marTop w:val="0"/>
      <w:marBottom w:val="0"/>
      <w:divBdr>
        <w:top w:val="none" w:sz="0" w:space="0" w:color="auto"/>
        <w:left w:val="none" w:sz="0" w:space="0" w:color="auto"/>
        <w:bottom w:val="none" w:sz="0" w:space="0" w:color="auto"/>
        <w:right w:val="none" w:sz="0" w:space="0" w:color="auto"/>
      </w:divBdr>
    </w:div>
    <w:div w:id="691339375">
      <w:bodyDiv w:val="1"/>
      <w:marLeft w:val="0"/>
      <w:marRight w:val="0"/>
      <w:marTop w:val="0"/>
      <w:marBottom w:val="0"/>
      <w:divBdr>
        <w:top w:val="none" w:sz="0" w:space="0" w:color="auto"/>
        <w:left w:val="none" w:sz="0" w:space="0" w:color="auto"/>
        <w:bottom w:val="none" w:sz="0" w:space="0" w:color="auto"/>
        <w:right w:val="none" w:sz="0" w:space="0" w:color="auto"/>
      </w:divBdr>
    </w:div>
    <w:div w:id="711348976">
      <w:bodyDiv w:val="1"/>
      <w:marLeft w:val="0"/>
      <w:marRight w:val="0"/>
      <w:marTop w:val="0"/>
      <w:marBottom w:val="0"/>
      <w:divBdr>
        <w:top w:val="none" w:sz="0" w:space="0" w:color="auto"/>
        <w:left w:val="none" w:sz="0" w:space="0" w:color="auto"/>
        <w:bottom w:val="none" w:sz="0" w:space="0" w:color="auto"/>
        <w:right w:val="none" w:sz="0" w:space="0" w:color="auto"/>
      </w:divBdr>
    </w:div>
    <w:div w:id="739443104">
      <w:bodyDiv w:val="1"/>
      <w:marLeft w:val="0"/>
      <w:marRight w:val="0"/>
      <w:marTop w:val="0"/>
      <w:marBottom w:val="0"/>
      <w:divBdr>
        <w:top w:val="none" w:sz="0" w:space="0" w:color="auto"/>
        <w:left w:val="none" w:sz="0" w:space="0" w:color="auto"/>
        <w:bottom w:val="none" w:sz="0" w:space="0" w:color="auto"/>
        <w:right w:val="none" w:sz="0" w:space="0" w:color="auto"/>
      </w:divBdr>
    </w:div>
    <w:div w:id="763262657">
      <w:bodyDiv w:val="1"/>
      <w:marLeft w:val="0"/>
      <w:marRight w:val="0"/>
      <w:marTop w:val="0"/>
      <w:marBottom w:val="0"/>
      <w:divBdr>
        <w:top w:val="none" w:sz="0" w:space="0" w:color="auto"/>
        <w:left w:val="none" w:sz="0" w:space="0" w:color="auto"/>
        <w:bottom w:val="none" w:sz="0" w:space="0" w:color="auto"/>
        <w:right w:val="none" w:sz="0" w:space="0" w:color="auto"/>
      </w:divBdr>
    </w:div>
    <w:div w:id="764039508">
      <w:bodyDiv w:val="1"/>
      <w:marLeft w:val="0"/>
      <w:marRight w:val="0"/>
      <w:marTop w:val="0"/>
      <w:marBottom w:val="0"/>
      <w:divBdr>
        <w:top w:val="none" w:sz="0" w:space="0" w:color="auto"/>
        <w:left w:val="none" w:sz="0" w:space="0" w:color="auto"/>
        <w:bottom w:val="none" w:sz="0" w:space="0" w:color="auto"/>
        <w:right w:val="none" w:sz="0" w:space="0" w:color="auto"/>
      </w:divBdr>
    </w:div>
    <w:div w:id="1007640046">
      <w:bodyDiv w:val="1"/>
      <w:marLeft w:val="0"/>
      <w:marRight w:val="0"/>
      <w:marTop w:val="0"/>
      <w:marBottom w:val="0"/>
      <w:divBdr>
        <w:top w:val="none" w:sz="0" w:space="0" w:color="auto"/>
        <w:left w:val="none" w:sz="0" w:space="0" w:color="auto"/>
        <w:bottom w:val="none" w:sz="0" w:space="0" w:color="auto"/>
        <w:right w:val="none" w:sz="0" w:space="0" w:color="auto"/>
      </w:divBdr>
    </w:div>
    <w:div w:id="1030227747">
      <w:bodyDiv w:val="1"/>
      <w:marLeft w:val="0"/>
      <w:marRight w:val="0"/>
      <w:marTop w:val="0"/>
      <w:marBottom w:val="0"/>
      <w:divBdr>
        <w:top w:val="none" w:sz="0" w:space="0" w:color="auto"/>
        <w:left w:val="none" w:sz="0" w:space="0" w:color="auto"/>
        <w:bottom w:val="none" w:sz="0" w:space="0" w:color="auto"/>
        <w:right w:val="none" w:sz="0" w:space="0" w:color="auto"/>
      </w:divBdr>
    </w:div>
    <w:div w:id="1055470545">
      <w:bodyDiv w:val="1"/>
      <w:marLeft w:val="0"/>
      <w:marRight w:val="0"/>
      <w:marTop w:val="0"/>
      <w:marBottom w:val="0"/>
      <w:divBdr>
        <w:top w:val="none" w:sz="0" w:space="0" w:color="auto"/>
        <w:left w:val="none" w:sz="0" w:space="0" w:color="auto"/>
        <w:bottom w:val="none" w:sz="0" w:space="0" w:color="auto"/>
        <w:right w:val="none" w:sz="0" w:space="0" w:color="auto"/>
      </w:divBdr>
    </w:div>
    <w:div w:id="1116799051">
      <w:bodyDiv w:val="1"/>
      <w:marLeft w:val="0"/>
      <w:marRight w:val="0"/>
      <w:marTop w:val="0"/>
      <w:marBottom w:val="0"/>
      <w:divBdr>
        <w:top w:val="none" w:sz="0" w:space="0" w:color="auto"/>
        <w:left w:val="none" w:sz="0" w:space="0" w:color="auto"/>
        <w:bottom w:val="none" w:sz="0" w:space="0" w:color="auto"/>
        <w:right w:val="none" w:sz="0" w:space="0" w:color="auto"/>
      </w:divBdr>
    </w:div>
    <w:div w:id="1138451338">
      <w:bodyDiv w:val="1"/>
      <w:marLeft w:val="0"/>
      <w:marRight w:val="0"/>
      <w:marTop w:val="0"/>
      <w:marBottom w:val="0"/>
      <w:divBdr>
        <w:top w:val="none" w:sz="0" w:space="0" w:color="auto"/>
        <w:left w:val="none" w:sz="0" w:space="0" w:color="auto"/>
        <w:bottom w:val="none" w:sz="0" w:space="0" w:color="auto"/>
        <w:right w:val="none" w:sz="0" w:space="0" w:color="auto"/>
      </w:divBdr>
    </w:div>
    <w:div w:id="1201744426">
      <w:bodyDiv w:val="1"/>
      <w:marLeft w:val="0"/>
      <w:marRight w:val="0"/>
      <w:marTop w:val="0"/>
      <w:marBottom w:val="0"/>
      <w:divBdr>
        <w:top w:val="none" w:sz="0" w:space="0" w:color="auto"/>
        <w:left w:val="none" w:sz="0" w:space="0" w:color="auto"/>
        <w:bottom w:val="none" w:sz="0" w:space="0" w:color="auto"/>
        <w:right w:val="none" w:sz="0" w:space="0" w:color="auto"/>
      </w:divBdr>
    </w:div>
    <w:div w:id="1221206230">
      <w:bodyDiv w:val="1"/>
      <w:marLeft w:val="0"/>
      <w:marRight w:val="0"/>
      <w:marTop w:val="0"/>
      <w:marBottom w:val="0"/>
      <w:divBdr>
        <w:top w:val="none" w:sz="0" w:space="0" w:color="auto"/>
        <w:left w:val="none" w:sz="0" w:space="0" w:color="auto"/>
        <w:bottom w:val="none" w:sz="0" w:space="0" w:color="auto"/>
        <w:right w:val="none" w:sz="0" w:space="0" w:color="auto"/>
      </w:divBdr>
    </w:div>
    <w:div w:id="1249267098">
      <w:bodyDiv w:val="1"/>
      <w:marLeft w:val="0"/>
      <w:marRight w:val="0"/>
      <w:marTop w:val="0"/>
      <w:marBottom w:val="0"/>
      <w:divBdr>
        <w:top w:val="none" w:sz="0" w:space="0" w:color="auto"/>
        <w:left w:val="none" w:sz="0" w:space="0" w:color="auto"/>
        <w:bottom w:val="none" w:sz="0" w:space="0" w:color="auto"/>
        <w:right w:val="none" w:sz="0" w:space="0" w:color="auto"/>
      </w:divBdr>
    </w:div>
    <w:div w:id="1254044945">
      <w:bodyDiv w:val="1"/>
      <w:marLeft w:val="0"/>
      <w:marRight w:val="0"/>
      <w:marTop w:val="0"/>
      <w:marBottom w:val="0"/>
      <w:divBdr>
        <w:top w:val="none" w:sz="0" w:space="0" w:color="auto"/>
        <w:left w:val="none" w:sz="0" w:space="0" w:color="auto"/>
        <w:bottom w:val="none" w:sz="0" w:space="0" w:color="auto"/>
        <w:right w:val="none" w:sz="0" w:space="0" w:color="auto"/>
      </w:divBdr>
    </w:div>
    <w:div w:id="1254119884">
      <w:bodyDiv w:val="1"/>
      <w:marLeft w:val="0"/>
      <w:marRight w:val="0"/>
      <w:marTop w:val="0"/>
      <w:marBottom w:val="0"/>
      <w:divBdr>
        <w:top w:val="none" w:sz="0" w:space="0" w:color="auto"/>
        <w:left w:val="none" w:sz="0" w:space="0" w:color="auto"/>
        <w:bottom w:val="none" w:sz="0" w:space="0" w:color="auto"/>
        <w:right w:val="none" w:sz="0" w:space="0" w:color="auto"/>
      </w:divBdr>
    </w:div>
    <w:div w:id="1265576987">
      <w:bodyDiv w:val="1"/>
      <w:marLeft w:val="0"/>
      <w:marRight w:val="0"/>
      <w:marTop w:val="0"/>
      <w:marBottom w:val="0"/>
      <w:divBdr>
        <w:top w:val="none" w:sz="0" w:space="0" w:color="auto"/>
        <w:left w:val="none" w:sz="0" w:space="0" w:color="auto"/>
        <w:bottom w:val="none" w:sz="0" w:space="0" w:color="auto"/>
        <w:right w:val="none" w:sz="0" w:space="0" w:color="auto"/>
      </w:divBdr>
    </w:div>
    <w:div w:id="1270234096">
      <w:bodyDiv w:val="1"/>
      <w:marLeft w:val="0"/>
      <w:marRight w:val="0"/>
      <w:marTop w:val="0"/>
      <w:marBottom w:val="0"/>
      <w:divBdr>
        <w:top w:val="none" w:sz="0" w:space="0" w:color="auto"/>
        <w:left w:val="none" w:sz="0" w:space="0" w:color="auto"/>
        <w:bottom w:val="none" w:sz="0" w:space="0" w:color="auto"/>
        <w:right w:val="none" w:sz="0" w:space="0" w:color="auto"/>
      </w:divBdr>
    </w:div>
    <w:div w:id="1303121272">
      <w:bodyDiv w:val="1"/>
      <w:marLeft w:val="0"/>
      <w:marRight w:val="0"/>
      <w:marTop w:val="0"/>
      <w:marBottom w:val="0"/>
      <w:divBdr>
        <w:top w:val="none" w:sz="0" w:space="0" w:color="auto"/>
        <w:left w:val="none" w:sz="0" w:space="0" w:color="auto"/>
        <w:bottom w:val="none" w:sz="0" w:space="0" w:color="auto"/>
        <w:right w:val="none" w:sz="0" w:space="0" w:color="auto"/>
      </w:divBdr>
    </w:div>
    <w:div w:id="1305161109">
      <w:bodyDiv w:val="1"/>
      <w:marLeft w:val="0"/>
      <w:marRight w:val="0"/>
      <w:marTop w:val="0"/>
      <w:marBottom w:val="0"/>
      <w:divBdr>
        <w:top w:val="none" w:sz="0" w:space="0" w:color="auto"/>
        <w:left w:val="none" w:sz="0" w:space="0" w:color="auto"/>
        <w:bottom w:val="none" w:sz="0" w:space="0" w:color="auto"/>
        <w:right w:val="none" w:sz="0" w:space="0" w:color="auto"/>
      </w:divBdr>
    </w:div>
    <w:div w:id="1331257731">
      <w:bodyDiv w:val="1"/>
      <w:marLeft w:val="0"/>
      <w:marRight w:val="0"/>
      <w:marTop w:val="0"/>
      <w:marBottom w:val="0"/>
      <w:divBdr>
        <w:top w:val="none" w:sz="0" w:space="0" w:color="auto"/>
        <w:left w:val="none" w:sz="0" w:space="0" w:color="auto"/>
        <w:bottom w:val="none" w:sz="0" w:space="0" w:color="auto"/>
        <w:right w:val="none" w:sz="0" w:space="0" w:color="auto"/>
      </w:divBdr>
    </w:div>
    <w:div w:id="1332903732">
      <w:bodyDiv w:val="1"/>
      <w:marLeft w:val="0"/>
      <w:marRight w:val="0"/>
      <w:marTop w:val="0"/>
      <w:marBottom w:val="0"/>
      <w:divBdr>
        <w:top w:val="none" w:sz="0" w:space="0" w:color="auto"/>
        <w:left w:val="none" w:sz="0" w:space="0" w:color="auto"/>
        <w:bottom w:val="none" w:sz="0" w:space="0" w:color="auto"/>
        <w:right w:val="none" w:sz="0" w:space="0" w:color="auto"/>
      </w:divBdr>
    </w:div>
    <w:div w:id="1336152831">
      <w:bodyDiv w:val="1"/>
      <w:marLeft w:val="0"/>
      <w:marRight w:val="0"/>
      <w:marTop w:val="0"/>
      <w:marBottom w:val="0"/>
      <w:divBdr>
        <w:top w:val="none" w:sz="0" w:space="0" w:color="auto"/>
        <w:left w:val="none" w:sz="0" w:space="0" w:color="auto"/>
        <w:bottom w:val="none" w:sz="0" w:space="0" w:color="auto"/>
        <w:right w:val="none" w:sz="0" w:space="0" w:color="auto"/>
      </w:divBdr>
    </w:div>
    <w:div w:id="1396588342">
      <w:bodyDiv w:val="1"/>
      <w:marLeft w:val="0"/>
      <w:marRight w:val="0"/>
      <w:marTop w:val="0"/>
      <w:marBottom w:val="0"/>
      <w:divBdr>
        <w:top w:val="none" w:sz="0" w:space="0" w:color="auto"/>
        <w:left w:val="none" w:sz="0" w:space="0" w:color="auto"/>
        <w:bottom w:val="none" w:sz="0" w:space="0" w:color="auto"/>
        <w:right w:val="none" w:sz="0" w:space="0" w:color="auto"/>
      </w:divBdr>
    </w:div>
    <w:div w:id="1398095263">
      <w:bodyDiv w:val="1"/>
      <w:marLeft w:val="0"/>
      <w:marRight w:val="0"/>
      <w:marTop w:val="0"/>
      <w:marBottom w:val="0"/>
      <w:divBdr>
        <w:top w:val="none" w:sz="0" w:space="0" w:color="auto"/>
        <w:left w:val="none" w:sz="0" w:space="0" w:color="auto"/>
        <w:bottom w:val="none" w:sz="0" w:space="0" w:color="auto"/>
        <w:right w:val="none" w:sz="0" w:space="0" w:color="auto"/>
      </w:divBdr>
    </w:div>
    <w:div w:id="1468890486">
      <w:bodyDiv w:val="1"/>
      <w:marLeft w:val="0"/>
      <w:marRight w:val="0"/>
      <w:marTop w:val="0"/>
      <w:marBottom w:val="0"/>
      <w:divBdr>
        <w:top w:val="none" w:sz="0" w:space="0" w:color="auto"/>
        <w:left w:val="none" w:sz="0" w:space="0" w:color="auto"/>
        <w:bottom w:val="none" w:sz="0" w:space="0" w:color="auto"/>
        <w:right w:val="none" w:sz="0" w:space="0" w:color="auto"/>
      </w:divBdr>
    </w:div>
    <w:div w:id="1497653506">
      <w:bodyDiv w:val="1"/>
      <w:marLeft w:val="0"/>
      <w:marRight w:val="0"/>
      <w:marTop w:val="0"/>
      <w:marBottom w:val="0"/>
      <w:divBdr>
        <w:top w:val="none" w:sz="0" w:space="0" w:color="auto"/>
        <w:left w:val="none" w:sz="0" w:space="0" w:color="auto"/>
        <w:bottom w:val="none" w:sz="0" w:space="0" w:color="auto"/>
        <w:right w:val="none" w:sz="0" w:space="0" w:color="auto"/>
      </w:divBdr>
    </w:div>
    <w:div w:id="1532915867">
      <w:bodyDiv w:val="1"/>
      <w:marLeft w:val="0"/>
      <w:marRight w:val="0"/>
      <w:marTop w:val="0"/>
      <w:marBottom w:val="0"/>
      <w:divBdr>
        <w:top w:val="none" w:sz="0" w:space="0" w:color="auto"/>
        <w:left w:val="none" w:sz="0" w:space="0" w:color="auto"/>
        <w:bottom w:val="none" w:sz="0" w:space="0" w:color="auto"/>
        <w:right w:val="none" w:sz="0" w:space="0" w:color="auto"/>
      </w:divBdr>
    </w:div>
    <w:div w:id="1534030440">
      <w:bodyDiv w:val="1"/>
      <w:marLeft w:val="0"/>
      <w:marRight w:val="0"/>
      <w:marTop w:val="0"/>
      <w:marBottom w:val="0"/>
      <w:divBdr>
        <w:top w:val="none" w:sz="0" w:space="0" w:color="auto"/>
        <w:left w:val="none" w:sz="0" w:space="0" w:color="auto"/>
        <w:bottom w:val="none" w:sz="0" w:space="0" w:color="auto"/>
        <w:right w:val="none" w:sz="0" w:space="0" w:color="auto"/>
      </w:divBdr>
    </w:div>
    <w:div w:id="1577547434">
      <w:bodyDiv w:val="1"/>
      <w:marLeft w:val="0"/>
      <w:marRight w:val="0"/>
      <w:marTop w:val="0"/>
      <w:marBottom w:val="0"/>
      <w:divBdr>
        <w:top w:val="none" w:sz="0" w:space="0" w:color="auto"/>
        <w:left w:val="none" w:sz="0" w:space="0" w:color="auto"/>
        <w:bottom w:val="none" w:sz="0" w:space="0" w:color="auto"/>
        <w:right w:val="none" w:sz="0" w:space="0" w:color="auto"/>
      </w:divBdr>
    </w:div>
    <w:div w:id="1578049655">
      <w:bodyDiv w:val="1"/>
      <w:marLeft w:val="0"/>
      <w:marRight w:val="0"/>
      <w:marTop w:val="0"/>
      <w:marBottom w:val="0"/>
      <w:divBdr>
        <w:top w:val="none" w:sz="0" w:space="0" w:color="auto"/>
        <w:left w:val="none" w:sz="0" w:space="0" w:color="auto"/>
        <w:bottom w:val="none" w:sz="0" w:space="0" w:color="auto"/>
        <w:right w:val="none" w:sz="0" w:space="0" w:color="auto"/>
      </w:divBdr>
    </w:div>
    <w:div w:id="1581216712">
      <w:bodyDiv w:val="1"/>
      <w:marLeft w:val="0"/>
      <w:marRight w:val="0"/>
      <w:marTop w:val="0"/>
      <w:marBottom w:val="0"/>
      <w:divBdr>
        <w:top w:val="none" w:sz="0" w:space="0" w:color="auto"/>
        <w:left w:val="none" w:sz="0" w:space="0" w:color="auto"/>
        <w:bottom w:val="none" w:sz="0" w:space="0" w:color="auto"/>
        <w:right w:val="none" w:sz="0" w:space="0" w:color="auto"/>
      </w:divBdr>
    </w:div>
    <w:div w:id="1700739251">
      <w:bodyDiv w:val="1"/>
      <w:marLeft w:val="0"/>
      <w:marRight w:val="0"/>
      <w:marTop w:val="0"/>
      <w:marBottom w:val="0"/>
      <w:divBdr>
        <w:top w:val="none" w:sz="0" w:space="0" w:color="auto"/>
        <w:left w:val="none" w:sz="0" w:space="0" w:color="auto"/>
        <w:bottom w:val="none" w:sz="0" w:space="0" w:color="auto"/>
        <w:right w:val="none" w:sz="0" w:space="0" w:color="auto"/>
      </w:divBdr>
    </w:div>
    <w:div w:id="1770468326">
      <w:bodyDiv w:val="1"/>
      <w:marLeft w:val="0"/>
      <w:marRight w:val="0"/>
      <w:marTop w:val="0"/>
      <w:marBottom w:val="0"/>
      <w:divBdr>
        <w:top w:val="none" w:sz="0" w:space="0" w:color="auto"/>
        <w:left w:val="none" w:sz="0" w:space="0" w:color="auto"/>
        <w:bottom w:val="none" w:sz="0" w:space="0" w:color="auto"/>
        <w:right w:val="none" w:sz="0" w:space="0" w:color="auto"/>
      </w:divBdr>
    </w:div>
    <w:div w:id="1780905929">
      <w:bodyDiv w:val="1"/>
      <w:marLeft w:val="0"/>
      <w:marRight w:val="0"/>
      <w:marTop w:val="0"/>
      <w:marBottom w:val="0"/>
      <w:divBdr>
        <w:top w:val="none" w:sz="0" w:space="0" w:color="auto"/>
        <w:left w:val="none" w:sz="0" w:space="0" w:color="auto"/>
        <w:bottom w:val="none" w:sz="0" w:space="0" w:color="auto"/>
        <w:right w:val="none" w:sz="0" w:space="0" w:color="auto"/>
      </w:divBdr>
    </w:div>
    <w:div w:id="1782721934">
      <w:bodyDiv w:val="1"/>
      <w:marLeft w:val="0"/>
      <w:marRight w:val="0"/>
      <w:marTop w:val="0"/>
      <w:marBottom w:val="0"/>
      <w:divBdr>
        <w:top w:val="none" w:sz="0" w:space="0" w:color="auto"/>
        <w:left w:val="none" w:sz="0" w:space="0" w:color="auto"/>
        <w:bottom w:val="none" w:sz="0" w:space="0" w:color="auto"/>
        <w:right w:val="none" w:sz="0" w:space="0" w:color="auto"/>
      </w:divBdr>
    </w:div>
    <w:div w:id="1795561622">
      <w:bodyDiv w:val="1"/>
      <w:marLeft w:val="0"/>
      <w:marRight w:val="0"/>
      <w:marTop w:val="0"/>
      <w:marBottom w:val="0"/>
      <w:divBdr>
        <w:top w:val="none" w:sz="0" w:space="0" w:color="auto"/>
        <w:left w:val="none" w:sz="0" w:space="0" w:color="auto"/>
        <w:bottom w:val="none" w:sz="0" w:space="0" w:color="auto"/>
        <w:right w:val="none" w:sz="0" w:space="0" w:color="auto"/>
      </w:divBdr>
    </w:div>
    <w:div w:id="1895121923">
      <w:bodyDiv w:val="1"/>
      <w:marLeft w:val="0"/>
      <w:marRight w:val="0"/>
      <w:marTop w:val="0"/>
      <w:marBottom w:val="0"/>
      <w:divBdr>
        <w:top w:val="none" w:sz="0" w:space="0" w:color="auto"/>
        <w:left w:val="none" w:sz="0" w:space="0" w:color="auto"/>
        <w:bottom w:val="none" w:sz="0" w:space="0" w:color="auto"/>
        <w:right w:val="none" w:sz="0" w:space="0" w:color="auto"/>
      </w:divBdr>
    </w:div>
    <w:div w:id="1915428251">
      <w:bodyDiv w:val="1"/>
      <w:marLeft w:val="0"/>
      <w:marRight w:val="0"/>
      <w:marTop w:val="0"/>
      <w:marBottom w:val="0"/>
      <w:divBdr>
        <w:top w:val="none" w:sz="0" w:space="0" w:color="auto"/>
        <w:left w:val="none" w:sz="0" w:space="0" w:color="auto"/>
        <w:bottom w:val="none" w:sz="0" w:space="0" w:color="auto"/>
        <w:right w:val="none" w:sz="0" w:space="0" w:color="auto"/>
      </w:divBdr>
    </w:div>
    <w:div w:id="1983725985">
      <w:bodyDiv w:val="1"/>
      <w:marLeft w:val="0"/>
      <w:marRight w:val="0"/>
      <w:marTop w:val="0"/>
      <w:marBottom w:val="0"/>
      <w:divBdr>
        <w:top w:val="none" w:sz="0" w:space="0" w:color="auto"/>
        <w:left w:val="none" w:sz="0" w:space="0" w:color="auto"/>
        <w:bottom w:val="none" w:sz="0" w:space="0" w:color="auto"/>
        <w:right w:val="none" w:sz="0" w:space="0" w:color="auto"/>
      </w:divBdr>
    </w:div>
    <w:div w:id="2019580686">
      <w:bodyDiv w:val="1"/>
      <w:marLeft w:val="0"/>
      <w:marRight w:val="0"/>
      <w:marTop w:val="0"/>
      <w:marBottom w:val="0"/>
      <w:divBdr>
        <w:top w:val="none" w:sz="0" w:space="0" w:color="auto"/>
        <w:left w:val="none" w:sz="0" w:space="0" w:color="auto"/>
        <w:bottom w:val="none" w:sz="0" w:space="0" w:color="auto"/>
        <w:right w:val="none" w:sz="0" w:space="0" w:color="auto"/>
      </w:divBdr>
    </w:div>
    <w:div w:id="2045790230">
      <w:bodyDiv w:val="1"/>
      <w:marLeft w:val="0"/>
      <w:marRight w:val="0"/>
      <w:marTop w:val="0"/>
      <w:marBottom w:val="0"/>
      <w:divBdr>
        <w:top w:val="none" w:sz="0" w:space="0" w:color="auto"/>
        <w:left w:val="none" w:sz="0" w:space="0" w:color="auto"/>
        <w:bottom w:val="none" w:sz="0" w:space="0" w:color="auto"/>
        <w:right w:val="none" w:sz="0" w:space="0" w:color="auto"/>
      </w:divBdr>
    </w:div>
    <w:div w:id="2059163381">
      <w:bodyDiv w:val="1"/>
      <w:marLeft w:val="0"/>
      <w:marRight w:val="0"/>
      <w:marTop w:val="0"/>
      <w:marBottom w:val="0"/>
      <w:divBdr>
        <w:top w:val="none" w:sz="0" w:space="0" w:color="auto"/>
        <w:left w:val="none" w:sz="0" w:space="0" w:color="auto"/>
        <w:bottom w:val="none" w:sz="0" w:space="0" w:color="auto"/>
        <w:right w:val="none" w:sz="0" w:space="0" w:color="auto"/>
      </w:divBdr>
    </w:div>
    <w:div w:id="2086877821">
      <w:bodyDiv w:val="1"/>
      <w:marLeft w:val="0"/>
      <w:marRight w:val="0"/>
      <w:marTop w:val="0"/>
      <w:marBottom w:val="0"/>
      <w:divBdr>
        <w:top w:val="none" w:sz="0" w:space="0" w:color="auto"/>
        <w:left w:val="none" w:sz="0" w:space="0" w:color="auto"/>
        <w:bottom w:val="none" w:sz="0" w:space="0" w:color="auto"/>
        <w:right w:val="none" w:sz="0" w:space="0" w:color="auto"/>
      </w:divBdr>
    </w:div>
    <w:div w:id="212372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theme" Target="theme/theme1.xml" Id="rId9" /><Relationship Type="http://schemas.openxmlformats.org/officeDocument/2006/relationships/glossaryDocument" Target="glossary/document.xml" Id="R1f9f4b340b3149d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5489ff5-1f17-4a83-83ea-809beb10cd9d}"/>
      </w:docPartPr>
      <w:docPartBody>
        <w:p w14:paraId="0C7A69B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eba1161c81c6469d74261bea3b30c8c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c9c83ea47bd98b70c65cde76df8b3b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Bla65</b:Tag>
    <b:SourceType>Book</b:SourceType>
    <b:Guid>{22502EA1-4E53-4B36-9646-3FF58D86C163}</b:Guid>
    <b:Title>Commentaries on the laws of England</b:Title>
    <b:Year>1765</b:Year>
    <b:Publisher>Oxford University Press</b:Publisher>
    <b:Author>
      <b:Author>
        <b:NameList>
          <b:Person>
            <b:Last>Blackstone</b:Last>
            <b:First>William</b:First>
          </b:Person>
        </b:NameList>
      </b:Author>
    </b:Author>
    <b:RefOrder>1</b:RefOrder>
  </b:Source>
  <b:Source>
    <b:Tag>Bur10</b:Tag>
    <b:SourceType>Book</b:SourceType>
    <b:Guid>{3B3C175A-7B96-473F-BA64-91E38A79AD6D}</b:Guid>
    <b:Title>A casebook on the common law of contract</b:Title>
    <b:Year>2010</b:Year>
    <b:Publisher>Hart Publishing</b:Publisher>
    <b:Author>
      <b:Author>
        <b:NameList>
          <b:Person>
            <b:Last>Burrows</b:Last>
            <b:First>Andrew</b:First>
          </b:Person>
        </b:NameList>
      </b:Author>
    </b:Author>
    <b:RefOrder>2</b:RefOrder>
  </b:Source>
  <b:Source>
    <b:Tag>Ibb99</b:Tag>
    <b:SourceType>Book</b:SourceType>
    <b:Guid>{37DDC43A-CE27-4AEA-9C28-02969390E8FC}</b:Guid>
    <b:Title>A historical introduction to the law of obligations</b:Title>
    <b:Year>1999</b:Year>
    <b:Publisher>Oxford University Press</b:Publisher>
    <b:Author>
      <b:Author>
        <b:NameList>
          <b:Person>
            <b:Last>Ibbetson</b:Last>
            <b:First>David</b:First>
          </b:Person>
        </b:NameList>
      </b:Author>
    </b:Author>
    <b:RefOrder>3</b:RefOrder>
  </b:Source>
  <b:Source>
    <b:Tag>Jow15</b:Tag>
    <b:SourceType>Book</b:SourceType>
    <b:Guid>{75270FB3-69BF-49FE-8638-D2B89FB34B6C}</b:Guid>
    <b:Title>The changing constitution</b:Title>
    <b:Year>2015</b:Year>
    <b:Publisher>Oxford University Press</b:Publisher>
    <b:Author>
      <b:Author>
        <b:NameList>
          <b:Person>
            <b:Last>Jowell</b:Last>
            <b:First>Jeffrey</b:First>
          </b:Person>
          <b:Person>
            <b:Last>O'Cinneide</b:Last>
            <b:First>Colm</b:First>
          </b:Person>
        </b:NameList>
      </b:Author>
    </b:Author>
    <b:Edition>8th</b:Edition>
    <b:RefOrder>4</b:RefOrder>
  </b:Source>
  <b:Source>
    <b:Tag>Sal66</b:Tag>
    <b:SourceType>Book</b:SourceType>
    <b:Guid>{6F500B90-0F53-400C-8650-E98806C41605}</b:Guid>
    <b:Title>The Law or Torts</b:Title>
    <b:Year>1966</b:Year>
    <b:Publisher>Sweet and Maxwell</b:Publisher>
    <b:Author>
      <b:Author>
        <b:NameList>
          <b:Person>
            <b:Last>Salmond</b:Last>
            <b:Middle>W</b:Middle>
            <b:First>John</b:First>
          </b:Person>
        </b:NameList>
      </b:Author>
    </b:Author>
    <b:RefOrder>5</b:RefOrder>
  </b:Source>
  <b:Source>
    <b:Tag>Dri83</b:Tag>
    <b:SourceType>Book</b:SourceType>
    <b:Guid>{25DF9CAD-A36D-435A-B0D2-EC051CB457F8}</b:Guid>
    <b:Title>The construction of statutes</b:Title>
    <b:Year>1983</b:Year>
    <b:Publisher>Butterworths</b:Publisher>
    <b:Author>
      <b:Author>
        <b:NameList>
          <b:Person>
            <b:Last>Driedger</b:Last>
            <b:Middle>A</b:Middle>
            <b:First>E</b:First>
          </b:Person>
        </b:NameList>
      </b:Author>
    </b:Author>
    <b:RefOrder>9</b:RefOrder>
  </b:Source>
  <b:Source>
    <b:Tag>Wei14</b:Tag>
    <b:SourceType>Book</b:SourceType>
    <b:Guid>{7BE4B5C0-9ADE-4CB5-A5EC-4EB982F8A1FA}</b:Guid>
    <b:Title>Legal histories of the British Empire: Laws, engagements and legacies</b:Title>
    <b:Year>2014</b:Year>
    <b:Publisher>Oxford University Press</b:Publisher>
    <b:Author>
      <b:Author>
        <b:NameList>
          <b:Person>
            <b:Last>Weir</b:Last>
            <b:First>T</b:First>
          </b:Person>
        </b:NameList>
      </b:Author>
    </b:Author>
    <b:RefOrder>12</b:RefOrder>
  </b:Source>
  <b:Source>
    <b:Tag>Har94</b:Tag>
    <b:SourceType>Book</b:SourceType>
    <b:Guid>{953BFCF5-556D-4B4D-9513-0974F0D231A2}</b:Guid>
    <b:Title>The concept of law</b:Title>
    <b:Year>1994</b:Year>
    <b:Publisher>Oxford University Press</b:Publisher>
    <b:Author>
      <b:Author>
        <b:NameList>
          <b:Person>
            <b:Last>Hart</b:Last>
            <b:Middle>L. A.</b:Middle>
            <b:First>H</b:First>
          </b:Person>
        </b:NameList>
      </b:Author>
    </b:Author>
    <b:Edition>2nd</b:Edition>
    <b:RefOrder>11</b:RefOrder>
  </b:Source>
  <b:Source>
    <b:Tag>Sto06</b:Tag>
    <b:SourceType>Book</b:SourceType>
    <b:Guid>{CDB485B6-01BA-4884-A62E-ACE29C1C7C5A}</b:Guid>
    <b:Title>Legal systems and lawyer's reasoning</b:Title>
    <b:Year>2006</b:Year>
    <b:Publisher>Hart Publishing</b:Publisher>
    <b:Author>
      <b:Author>
        <b:NameList>
          <b:Person>
            <b:Last>Stone</b:Last>
            <b:First>J</b:First>
          </b:Person>
        </b:NameList>
      </b:Author>
    </b:Author>
    <b:RefOrder>17</b:RefOrder>
  </b:Source>
  <b:Source>
    <b:Tag>Pol92</b:Tag>
    <b:SourceType>Book</b:SourceType>
    <b:Guid>{2A7A94AE-B272-4EDF-9F0B-FAC12D5043E3}</b:Guid>
    <b:Title>Principles of contract</b:Title>
    <b:Year>1892</b:Year>
    <b:Publisher>Stevens and Sons</b:Publisher>
    <b:Author>
      <b:Author>
        <b:NameList>
          <b:Person>
            <b:Last>Pollock</b:Last>
            <b:First>F</b:First>
          </b:Person>
        </b:NameList>
      </b:Author>
    </b:Author>
    <b:RefOrder>18</b:RefOrder>
  </b:Source>
  <b:Source>
    <b:Tag>Chu21</b:Tag>
    <b:SourceType>InternetSite</b:SourceType>
    <b:Guid>{514DC209-A785-4A4D-856B-6777B9A774E2}</b:Guid>
    <b:Title>Maxims of Equity Explained</b:Title>
    <b:InternetSiteTitle>Bscholarly</b:InternetSiteTitle>
    <b:Year>2021</b:Year>
    <b:Month>December</b:Month>
    <b:Day>20</b:Day>
    <b:URL>https://bscholarly.com/maxims-of-equity/</b:URL>
    <b:Author>
      <b:Author>
        <b:NameList>
          <b:Person>
            <b:Last>Chukwuemueka</b:Last>
            <b:Middle>Samuel</b:Middle>
            <b:First>Edeh</b:First>
          </b:Person>
        </b:NameList>
      </b:Author>
    </b:Author>
    <b:RefOrder>20</b:RefOrder>
  </b:Source>
  <b:Source>
    <b:Tag>McK18</b:Tag>
    <b:SourceType>Book</b:SourceType>
    <b:Guid>{5CFC0D41-9CF4-4752-BEE7-BD4F619B03C3}</b:Guid>
    <b:Title>Contract Law: Text, cases, and materials</b:Title>
    <b:Year>2018</b:Year>
    <b:Publisher>Oxford University Press</b:Publisher>
    <b:Author>
      <b:Author>
        <b:NameList>
          <b:Person>
            <b:Last>McKendrick</b:Last>
            <b:First>E</b:First>
          </b:Person>
        </b:NameList>
      </b:Author>
    </b:Author>
    <b:RefOrder>13</b:RefOrder>
  </b:Source>
  <b:Source>
    <b:Tag>Mer07</b:Tag>
    <b:SourceType>Book</b:SourceType>
    <b:Guid>{9B6C6965-5D30-41B0-9BAF-05BADCC48D50}</b:Guid>
    <b:Title>The civil law tradition: An introduction to the legal systems of Europe and Latin America</b:Title>
    <b:Year>2007</b:Year>
    <b:Publisher>Stanford University Press</b:Publisher>
    <b:Author>
      <b:Author>
        <b:NameList>
          <b:Person>
            <b:Last>Merryman</b:Last>
            <b:Middle>H</b:Middle>
            <b:First>J</b:First>
          </b:Person>
          <b:Person>
            <b:Last>Perez-Perdomo</b:Last>
            <b:First>R</b:First>
          </b:Person>
        </b:NameList>
      </b:Author>
    </b:Author>
    <b:RefOrder>21</b:RefOrder>
  </b:Source>
  <b:Source>
    <b:Tag>Har10</b:Tag>
    <b:SourceType>Book</b:SourceType>
    <b:Guid>{8047291C-02A6-43E6-9369-F2150AB02B00}</b:Guid>
    <b:Title>Law and Governance</b:Title>
    <b:Year>2010</b:Year>
    <b:Publisher>Oxford University Press</b:Publisher>
    <b:Author>
      <b:Author>
        <b:NameList>
          <b:Person>
            <b:Last>Harris</b:Last>
            <b:First>P</b:First>
          </b:Person>
          <b:Person>
            <b:Last>Williams</b:Last>
            <b:First>M</b:First>
          </b:Person>
        </b:NameList>
      </b:Author>
    </b:Author>
    <b:RefOrder>22</b:RefOrder>
  </b:Source>
  <b:Source>
    <b:Tag>Can19</b:Tag>
    <b:SourceType>Book</b:SourceType>
    <b:Guid>{8E493CC1-2F45-4435-95AA-E75C9508ADD9}</b:Guid>
    <b:Title>The Anatomy of a Common Law Case</b:Title>
    <b:Year>2019</b:Year>
    <b:Publisher>Oxford University Press</b:Publisher>
    <b:Author>
      <b:Author>
        <b:NameList>
          <b:Person>
            <b:Last>Cane</b:Last>
            <b:First>P</b:First>
          </b:Person>
        </b:NameList>
      </b:Author>
    </b:Author>
    <b:RefOrder>23</b:RefOrder>
  </b:Source>
  <b:Source>
    <b:Tag>Sch12</b:Tag>
    <b:SourceType>BookSection</b:SourceType>
    <b:Guid>{0C383AF1-8CE1-4D82-B76A-E58E5C51284D}</b:Guid>
    <b:Title>Comparative Law and Legal Systems</b:Title>
    <b:Year>2012</b:Year>
    <b:Publisher>Edward Elgar Publishing</b:Publisher>
    <b:JournalName>In Comparative Law</b:JournalName>
    <b:Pages>1-17</b:Pages>
    <b:Author>
      <b:Author>
        <b:NameList>
          <b:Person>
            <b:Last>Schwartz</b:Last>
            <b:Middle>R</b:Middle>
            <b:First>V</b:First>
          </b:Person>
          <b:Person>
            <b:Last>Scott</b:Last>
            <b:Middle>S</b:Middle>
            <b:First>H</b:First>
          </b:Person>
        </b:NameList>
      </b:Author>
    </b:Author>
    <b:BookTitle>Comparative Law</b:BookTitle>
    <b:RefOrder>10</b:RefOrder>
  </b:Source>
  <b:Source>
    <b:Tag>Bar15</b:Tag>
    <b:SourceType>BookSection</b:SourceType>
    <b:Guid>{EEA29DED-49B6-4F34-9F23-72971BC3772D}</b:Guid>
    <b:Title>Civil Law Systems</b:Title>
    <b:BookTitle>International Encyclopedia of the Social &amp; Behavioural Sciences</b:BookTitle>
    <b:Year>2015</b:Year>
    <b:Pages>943-949</b:Pages>
    <b:Publisher>Elsevier</b:Publisher>
    <b:Author>
      <b:Author>
        <b:NameList>
          <b:Person>
            <b:Last>Barkan</b:Last>
            <b:Middle>E</b:Middle>
            <b:First>S</b:First>
          </b:Person>
          <b:Person>
            <b:Last>Melton</b:Last>
            <b:Middle>T</b:Middle>
            <b:First>J</b:First>
          </b:Person>
        </b:NameList>
      </b:Author>
    </b:Author>
    <b:RefOrder>15</b:RefOrder>
  </b:Source>
  <b:Source>
    <b:Tag>Cap</b:Tag>
    <b:SourceType>JournalArticle</b:SourceType>
    <b:Guid>{701809C3-CEA2-4CD8-8997-2FCEBD6BB6B1}</b:Guid>
    <b:Title>The future of the civil law system</b:Title>
    <b:Author>
      <b:Author>
        <b:NameList>
          <b:Person>
            <b:Last>Cappelletti</b:Last>
            <b:First>M</b:First>
          </b:Person>
        </b:NameList>
      </b:Author>
    </b:Author>
    <b:JournalName>Journal of Comparative Law</b:JournalName>
    <b:Year>1979</b:Year>
    <b:Pages>1-24</b:Pages>
    <b:Volume>9</b:Volume>
    <b:Issue>1</b:Issue>
    <b:RefOrder>14</b:RefOrder>
  </b:Source>
  <b:Source>
    <b:Tag>Fri14</b:Tag>
    <b:SourceType>JournalArticle</b:SourceType>
    <b:Guid>{AFECA4AE-5072-46B1-BBCA-EDF7E04C9601}</b:Guid>
    <b:Title>Legal culture and American exceptionalism</b:Title>
    <b:JournalName>University of Chicago Law Review</b:JournalName>
    <b:Year>2014</b:Year>
    <b:Pages>1-32</b:Pages>
    <b:Author>
      <b:Author>
        <b:NameList>
          <b:Person>
            <b:Last>Friedman</b:Last>
            <b:Middle>M</b:Middle>
            <b:First>L</b:First>
          </b:Person>
        </b:NameList>
      </b:Author>
    </b:Author>
    <b:Volume>81</b:Volume>
    <b:Issue>1</b:Issue>
    <b:RefOrder>16</b:RefOrder>
  </b:Source>
  <b:Source>
    <b:Tag>Rog17</b:Tag>
    <b:SourceType>Book</b:SourceType>
    <b:Guid>{F80878B4-063D-4984-8644-069B3A48C8D3}</b:Guid>
    <b:Title>Winifield and Jolowicz on tort</b:Title>
    <b:Year>2017</b:Year>
    <b:Publisher>Sweet &amp; Maxwell</b:Publisher>
    <b:Author>
      <b:Author>
        <b:NameList>
          <b:Person>
            <b:Last>Rogers</b:Last>
            <b:First>W</b:First>
          </b:Person>
        </b:NameList>
      </b:Author>
    </b:Author>
    <b:Edition>19th</b:Edition>
    <b:RefOrder>24</b:RefOrder>
  </b:Source>
  <b:Source>
    <b:Tag>Bla10</b:Tag>
    <b:SourceType>BookSection</b:SourceType>
    <b:Guid>{52C47D87-570E-4D9F-BCE1-2070051359B1}</b:Guid>
    <b:Title>Commonwealth and Common Law</b:Title>
    <b:Year>2010</b:Year>
    <b:Publisher>Cambridge University Press</b:Publisher>
    <b:BookTitle>Fifty years of the International Court of Justice: Essays in honour of Sir Robert Jennings</b:BookTitle>
    <b:Pages>343-356</b:Pages>
    <b:Author>
      <b:Author>
        <b:NameList>
          <b:Person>
            <b:Last>Blackshield</b:Last>
            <b:First>T</b:First>
          </b:Person>
        </b:NameList>
      </b:Author>
      <b:Editor>
        <b:NameList>
          <b:Person>
            <b:Last>Fitzpatrick</b:Last>
            <b:First>J</b:First>
          </b:Person>
          <b:Person>
            <b:Last>Nolan</b:Last>
            <b:First>D</b:First>
          </b:Person>
        </b:NameList>
      </b:Editor>
    </b:Author>
    <b:RefOrder>6</b:RefOrder>
  </b:Source>
  <b:Source>
    <b:Tag>Hod15</b:Tag>
    <b:SourceType>Book</b:SourceType>
    <b:Guid>{7590D25E-8F01-4683-8AE9-FB46D89A0955}</b:Guid>
    <b:Title>The English legal system</b:Title>
    <b:Year>2015</b:Year>
    <b:Publisher>Oxford University Press</b:Publisher>
    <b:Author>
      <b:Author>
        <b:NameList>
          <b:Person>
            <b:Last>Hodge</b:Last>
            <b:First>S</b:First>
          </b:Person>
        </b:NameList>
      </b:Author>
    </b:Author>
    <b:RefOrder>8</b:RefOrder>
  </b:Source>
  <b:Source>
    <b:Tag>Tro18</b:Tag>
    <b:SourceType>Book</b:SourceType>
    <b:Guid>{B59AD228-76C4-4E56-81B5-285D6DA9176B}</b:Guid>
    <b:Title>The European Union and the English legal system</b:Title>
    <b:Year>2018</b:Year>
    <b:Publisher>Oxford University Press</b:Publisher>
    <b:Author>
      <b:Author>
        <b:NameList>
          <b:Person>
            <b:Last>Tromans</b:Last>
            <b:First>S</b:First>
          </b:Person>
        </b:NameList>
      </b:Author>
    </b:Author>
    <b:RefOrder>7</b:RefOrder>
  </b:Source>
  <b:Source>
    <b:Tag>Mah08</b:Tag>
    <b:SourceType>InternetSite</b:SourceType>
    <b:Guid>{A22E7823-3661-44B3-B6F1-2B57775EA2B2}</b:Guid>
    <b:Title>Equitable Doctrines and Maxims</b:Title>
    <b:Year>2008</b:Year>
    <b:InternetSiteTitle>LawNow</b:InternetSiteTitle>
    <b:Month>May</b:Month>
    <b:Day>1</b:Day>
    <b:URL>https://www.lawnow.org/equitable-doctrines-and-maxims/</b:URL>
    <b:Author>
      <b:Author>
        <b:NameList>
          <b:Person>
            <b:Last>Mah</b:Last>
            <b:Middle>Connie</b:Middle>
            <b:First>L</b:First>
          </b:Person>
        </b:NameList>
      </b:Author>
    </b:Author>
    <b:RefOrder>19</b:RefOrder>
  </b:Source>
</b:Sources>
</file>

<file path=customXml/itemProps1.xml><?xml version="1.0" encoding="utf-8"?>
<ds:datastoreItem xmlns:ds="http://schemas.openxmlformats.org/officeDocument/2006/customXml" ds:itemID="{9DA1E4B0-14F2-40E7-B45F-11451E6A8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C6B864-A2EA-4C51-8841-5AAAF386A674}">
  <ds:schemaRefs>
    <ds:schemaRef ds:uri="http://schemas.microsoft.com/sharepoint/v3/contenttype/forms"/>
  </ds:schemaRefs>
</ds:datastoreItem>
</file>

<file path=customXml/itemProps3.xml><?xml version="1.0" encoding="utf-8"?>
<ds:datastoreItem xmlns:ds="http://schemas.openxmlformats.org/officeDocument/2006/customXml" ds:itemID="{3E65FB99-A80D-472D-A54A-2B9D73E98F03}">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57D0C8B4-9473-405C-8CFA-99385431875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Steffan Williams (2203204)</dc:creator>
  <keywords/>
  <dc:description/>
  <lastModifiedBy>Steffan Williams (2203204)</lastModifiedBy>
  <revision>190</revision>
  <dcterms:created xsi:type="dcterms:W3CDTF">2023-02-24T16:10:00.0000000Z</dcterms:created>
  <dcterms:modified xsi:type="dcterms:W3CDTF">2023-02-28T09:11:45.5839240Z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230240d0-9c0e-43ac-b8f8-d087c72341a1</vt:lpwstr>
  </property>
  <property fmtid="{D5CDD505-2E9C-101B-9397-08002B2CF9AE}" pid="3" name="ContentTypeId">
    <vt:lpwstr>0x01010060EEA2F366178047808FA03462A57F61</vt:lpwstr>
  </property>
</Properties>
</file>