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2B18D" w14:textId="77777777" w:rsidR="00EC6423" w:rsidRDefault="00EC6423" w:rsidP="00EC6423">
      <w:pPr>
        <w:spacing w:line="360" w:lineRule="auto"/>
        <w:jc w:val="center"/>
        <w:rPr>
          <w:rFonts w:ascii="Times New Roman" w:eastAsia="Times New Roman" w:hAnsi="Times New Roman" w:cs="Times New Roman"/>
          <w:b/>
          <w:bCs/>
          <w:sz w:val="28"/>
          <w:szCs w:val="28"/>
          <w:lang w:val="en-GB"/>
        </w:rPr>
      </w:pPr>
    </w:p>
    <w:p w14:paraId="115F1B09" w14:textId="77777777" w:rsidR="00EC6423" w:rsidRDefault="00EC6423" w:rsidP="00EC6423">
      <w:pPr>
        <w:spacing w:line="360" w:lineRule="auto"/>
        <w:jc w:val="center"/>
        <w:rPr>
          <w:rFonts w:ascii="Times New Roman" w:eastAsia="Times New Roman" w:hAnsi="Times New Roman" w:cs="Times New Roman"/>
          <w:b/>
          <w:bCs/>
          <w:sz w:val="28"/>
          <w:szCs w:val="28"/>
          <w:lang w:val="en-GB"/>
        </w:rPr>
      </w:pPr>
    </w:p>
    <w:p w14:paraId="03E668BA" w14:textId="6552F5D7" w:rsidR="00EC6423" w:rsidRDefault="00505DE8" w:rsidP="00EC6423">
      <w:pPr>
        <w:spacing w:line="360" w:lineRule="auto"/>
        <w:jc w:val="center"/>
        <w:rPr>
          <w:rFonts w:ascii="Times New Roman" w:eastAsia="Times New Roman" w:hAnsi="Times New Roman" w:cs="Times New Roman"/>
          <w:b/>
          <w:bCs/>
          <w:sz w:val="28"/>
          <w:szCs w:val="28"/>
          <w:lang w:val="en-GB"/>
        </w:rPr>
      </w:pPr>
      <w:r w:rsidRPr="00505DE8">
        <w:rPr>
          <w:rFonts w:ascii="Times New Roman" w:eastAsia="Times New Roman" w:hAnsi="Times New Roman" w:cs="Times New Roman"/>
          <w:b/>
          <w:bCs/>
          <w:noProof/>
          <w:sz w:val="28"/>
          <w:szCs w:val="28"/>
          <w:lang w:val="en-GB"/>
        </w:rPr>
        <w:drawing>
          <wp:inline distT="0" distB="0" distL="0" distR="0" wp14:anchorId="3AAE31F7" wp14:editId="47BFAA0B">
            <wp:extent cx="2461473" cy="9983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61473" cy="998307"/>
                    </a:xfrm>
                    <a:prstGeom prst="rect">
                      <a:avLst/>
                    </a:prstGeom>
                  </pic:spPr>
                </pic:pic>
              </a:graphicData>
            </a:graphic>
          </wp:inline>
        </w:drawing>
      </w:r>
    </w:p>
    <w:p w14:paraId="425EC0BF" w14:textId="77777777" w:rsidR="00EC6423" w:rsidRDefault="00EC6423" w:rsidP="00EC6423">
      <w:pPr>
        <w:spacing w:line="360" w:lineRule="auto"/>
        <w:jc w:val="center"/>
        <w:rPr>
          <w:rFonts w:ascii="Times New Roman" w:eastAsia="Times New Roman" w:hAnsi="Times New Roman" w:cs="Times New Roman"/>
          <w:b/>
          <w:bCs/>
          <w:sz w:val="28"/>
          <w:szCs w:val="28"/>
          <w:lang w:val="en-GB"/>
        </w:rPr>
      </w:pPr>
    </w:p>
    <w:p w14:paraId="70022618" w14:textId="77777777" w:rsidR="00EC6423" w:rsidRDefault="00EC6423" w:rsidP="00EC6423">
      <w:pPr>
        <w:spacing w:line="360" w:lineRule="auto"/>
        <w:jc w:val="center"/>
        <w:rPr>
          <w:rFonts w:ascii="Times New Roman" w:eastAsia="Times New Roman" w:hAnsi="Times New Roman" w:cs="Times New Roman"/>
          <w:b/>
          <w:bCs/>
          <w:sz w:val="28"/>
          <w:szCs w:val="28"/>
          <w:lang w:val="en-GB"/>
        </w:rPr>
      </w:pPr>
    </w:p>
    <w:p w14:paraId="07355062" w14:textId="481530E9" w:rsidR="00EC6423" w:rsidRPr="00EC6423" w:rsidRDefault="00EC6423" w:rsidP="00867588">
      <w:pPr>
        <w:spacing w:line="360" w:lineRule="auto"/>
        <w:jc w:val="center"/>
        <w:rPr>
          <w:rFonts w:ascii="Times New Roman" w:eastAsia="Times New Roman" w:hAnsi="Times New Roman" w:cs="Times New Roman"/>
          <w:b/>
          <w:bCs/>
          <w:sz w:val="28"/>
          <w:szCs w:val="28"/>
          <w:lang w:val="en-GB"/>
        </w:rPr>
      </w:pPr>
      <w:r w:rsidRPr="00EC6423">
        <w:rPr>
          <w:rFonts w:ascii="Times New Roman" w:eastAsia="Times New Roman" w:hAnsi="Times New Roman" w:cs="Times New Roman"/>
          <w:b/>
          <w:bCs/>
          <w:sz w:val="28"/>
          <w:szCs w:val="28"/>
          <w:lang w:val="en-GB"/>
        </w:rPr>
        <w:t>Programme: Master of Business Administration</w:t>
      </w:r>
    </w:p>
    <w:p w14:paraId="02091402" w14:textId="4DF2B2DA" w:rsidR="00EC6423" w:rsidRPr="00EC6423" w:rsidRDefault="00EC6423" w:rsidP="00867588">
      <w:pPr>
        <w:spacing w:line="360" w:lineRule="auto"/>
        <w:jc w:val="center"/>
        <w:rPr>
          <w:rFonts w:ascii="Times New Roman" w:eastAsia="Times New Roman" w:hAnsi="Times New Roman" w:cs="Times New Roman"/>
          <w:b/>
          <w:bCs/>
          <w:sz w:val="28"/>
          <w:szCs w:val="28"/>
          <w:lang w:val="en-GB"/>
        </w:rPr>
      </w:pPr>
      <w:r w:rsidRPr="00EC6423">
        <w:rPr>
          <w:rFonts w:ascii="Times New Roman" w:eastAsia="Times New Roman" w:hAnsi="Times New Roman" w:cs="Times New Roman"/>
          <w:b/>
          <w:bCs/>
          <w:sz w:val="28"/>
          <w:szCs w:val="28"/>
          <w:lang w:val="en-GB"/>
        </w:rPr>
        <w:t>Module: Marketing Management</w:t>
      </w:r>
    </w:p>
    <w:p w14:paraId="72C42212" w14:textId="707ABB2E" w:rsidR="00EC6423" w:rsidRPr="00EC6423" w:rsidRDefault="00EC6423" w:rsidP="00867588">
      <w:pPr>
        <w:spacing w:line="360" w:lineRule="auto"/>
        <w:jc w:val="center"/>
        <w:rPr>
          <w:rFonts w:ascii="Times New Roman" w:eastAsia="Times New Roman" w:hAnsi="Times New Roman" w:cs="Times New Roman"/>
          <w:b/>
          <w:bCs/>
          <w:sz w:val="28"/>
          <w:szCs w:val="28"/>
          <w:lang w:val="en-GB"/>
        </w:rPr>
      </w:pPr>
      <w:r w:rsidRPr="00EC6423">
        <w:rPr>
          <w:rFonts w:ascii="Times New Roman" w:eastAsia="Times New Roman" w:hAnsi="Times New Roman" w:cs="Times New Roman"/>
          <w:b/>
          <w:bCs/>
          <w:sz w:val="28"/>
          <w:szCs w:val="28"/>
          <w:lang w:val="en-GB"/>
        </w:rPr>
        <w:t>Module code: LCMB7024</w:t>
      </w:r>
    </w:p>
    <w:p w14:paraId="2F6BD138" w14:textId="5F3E09E4" w:rsidR="00EC6423" w:rsidRPr="00EC6423" w:rsidRDefault="00EC6423" w:rsidP="00867588">
      <w:pPr>
        <w:spacing w:line="360" w:lineRule="auto"/>
        <w:jc w:val="center"/>
        <w:rPr>
          <w:rFonts w:ascii="Times New Roman" w:eastAsia="Times New Roman" w:hAnsi="Times New Roman" w:cs="Times New Roman"/>
          <w:b/>
          <w:bCs/>
          <w:sz w:val="28"/>
          <w:szCs w:val="28"/>
          <w:lang w:val="en-GB"/>
        </w:rPr>
      </w:pPr>
      <w:r w:rsidRPr="00EC6423">
        <w:rPr>
          <w:rFonts w:ascii="Times New Roman" w:eastAsia="Times New Roman" w:hAnsi="Times New Roman" w:cs="Times New Roman"/>
          <w:b/>
          <w:bCs/>
          <w:sz w:val="28"/>
          <w:szCs w:val="28"/>
          <w:lang w:val="en-GB"/>
        </w:rPr>
        <w:t>Student Name:</w:t>
      </w:r>
      <w:r w:rsidR="00B15B05">
        <w:rPr>
          <w:rFonts w:ascii="Times New Roman" w:eastAsia="Times New Roman" w:hAnsi="Times New Roman" w:cs="Times New Roman"/>
          <w:b/>
          <w:bCs/>
          <w:sz w:val="28"/>
          <w:szCs w:val="28"/>
          <w:lang w:val="en-GB"/>
        </w:rPr>
        <w:t xml:space="preserve"> GHEVARIYA PARAG </w:t>
      </w:r>
      <w:r w:rsidR="005A48FB">
        <w:rPr>
          <w:rFonts w:ascii="Times New Roman" w:eastAsia="Times New Roman" w:hAnsi="Times New Roman" w:cs="Times New Roman"/>
          <w:b/>
          <w:bCs/>
          <w:sz w:val="28"/>
          <w:szCs w:val="28"/>
          <w:lang w:val="en-GB"/>
        </w:rPr>
        <w:t>JAYANTIBHAI</w:t>
      </w:r>
    </w:p>
    <w:p w14:paraId="65197257" w14:textId="4BEA4638" w:rsidR="00EC6423" w:rsidRDefault="00EC6423" w:rsidP="00867588">
      <w:pPr>
        <w:spacing w:line="360" w:lineRule="auto"/>
        <w:jc w:val="center"/>
        <w:rPr>
          <w:rFonts w:ascii="Times New Roman" w:eastAsia="Times New Roman" w:hAnsi="Times New Roman" w:cs="Times New Roman"/>
          <w:b/>
          <w:bCs/>
          <w:sz w:val="28"/>
          <w:szCs w:val="28"/>
          <w:lang w:val="en-GB"/>
        </w:rPr>
      </w:pPr>
      <w:r w:rsidRPr="00EC6423">
        <w:rPr>
          <w:rFonts w:ascii="Times New Roman" w:eastAsia="Times New Roman" w:hAnsi="Times New Roman" w:cs="Times New Roman"/>
          <w:b/>
          <w:bCs/>
          <w:sz w:val="28"/>
          <w:szCs w:val="28"/>
          <w:lang w:val="en-GB"/>
        </w:rPr>
        <w:t>Student ID Number:</w:t>
      </w:r>
      <w:r w:rsidR="00B15B05">
        <w:rPr>
          <w:rFonts w:ascii="Times New Roman" w:eastAsia="Times New Roman" w:hAnsi="Times New Roman" w:cs="Times New Roman"/>
          <w:b/>
          <w:bCs/>
          <w:sz w:val="28"/>
          <w:szCs w:val="28"/>
          <w:lang w:val="en-GB"/>
        </w:rPr>
        <w:t xml:space="preserve"> 2539367</w:t>
      </w:r>
    </w:p>
    <w:p w14:paraId="534E521D" w14:textId="7EB1030A" w:rsidR="0045681C" w:rsidRDefault="0045681C">
      <w:pPr>
        <w:rPr>
          <w:rFonts w:ascii="Times New Roman" w:eastAsia="Times New Roman" w:hAnsi="Times New Roman" w:cs="Times New Roman"/>
          <w:b/>
          <w:bCs/>
          <w:sz w:val="28"/>
          <w:szCs w:val="28"/>
          <w:lang w:val="en-GB"/>
        </w:rPr>
      </w:pPr>
      <w:r>
        <w:rPr>
          <w:rFonts w:ascii="Times New Roman" w:eastAsia="Times New Roman" w:hAnsi="Times New Roman" w:cs="Times New Roman"/>
          <w:b/>
          <w:bCs/>
          <w:sz w:val="28"/>
          <w:szCs w:val="28"/>
          <w:lang w:val="en-GB"/>
        </w:rPr>
        <w:br w:type="page"/>
      </w:r>
    </w:p>
    <w:p w14:paraId="542661DC" w14:textId="77777777" w:rsidR="0045681C" w:rsidRPr="0045681C" w:rsidRDefault="0045681C" w:rsidP="0045681C">
      <w:pPr>
        <w:spacing w:line="360" w:lineRule="auto"/>
        <w:jc w:val="center"/>
        <w:rPr>
          <w:rFonts w:ascii="Times New Roman" w:hAnsi="Times New Roman" w:cs="Times New Roman"/>
          <w:sz w:val="24"/>
          <w:szCs w:val="24"/>
        </w:rPr>
      </w:pPr>
      <w:r w:rsidRPr="0045681C">
        <w:rPr>
          <w:rFonts w:ascii="Times New Roman" w:hAnsi="Times New Roman" w:cs="Times New Roman"/>
          <w:b/>
          <w:bCs/>
          <w:sz w:val="24"/>
          <w:szCs w:val="24"/>
        </w:rPr>
        <w:t>Executive Summary</w:t>
      </w:r>
    </w:p>
    <w:p w14:paraId="67CE9509" w14:textId="1AE16683" w:rsidR="0045681C" w:rsidRPr="0045681C" w:rsidRDefault="0045681C" w:rsidP="0045681C">
      <w:pPr>
        <w:spacing w:line="360" w:lineRule="auto"/>
        <w:jc w:val="both"/>
        <w:rPr>
          <w:rFonts w:ascii="Times New Roman" w:eastAsia="Times New Roman" w:hAnsi="Times New Roman" w:cs="Times New Roman"/>
          <w:b/>
          <w:bCs/>
          <w:sz w:val="32"/>
          <w:szCs w:val="32"/>
          <w:lang w:val="en-GB"/>
        </w:rPr>
      </w:pPr>
      <w:r w:rsidRPr="0045681C">
        <w:rPr>
          <w:rFonts w:ascii="Times New Roman" w:hAnsi="Times New Roman" w:cs="Times New Roman"/>
          <w:sz w:val="24"/>
          <w:szCs w:val="24"/>
        </w:rPr>
        <w:t>This report evaluates the BHP’s external marketing environment using Kotler’s Macro-Marketing Environment Framework. This report is focusing on the natural and political factors influencing its transition to a lower-carbon business model. The analysis also identifies opportunities arising from increasing demand for critical minerals and supportive government policies, alongside challenges related to environmental regulations, climate risks and investment costs. Based on the Ansoff Matrix, a product development strategy is recommended to expand BHP’s portfolio of lower-carbon mineral products. Porter’s Generic Strategies are further applied to strengthen competitive advantage through cost leadership and differentiation. Therefore, it can be stated from the analysis that responsible and ethical use of artificial intelligence throughout the research process is performed.</w:t>
      </w:r>
    </w:p>
    <w:p w14:paraId="4803E360" w14:textId="77777777" w:rsidR="00EC6423" w:rsidRDefault="00EC6423">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br w:type="page"/>
      </w:r>
    </w:p>
    <w:sdt>
      <w:sdtPr>
        <w:rPr>
          <w:rFonts w:ascii="Times New Roman" w:eastAsia="Arial" w:hAnsi="Times New Roman" w:cs="Times New Roman"/>
          <w:b/>
          <w:bCs/>
          <w:color w:val="000000" w:themeColor="text1"/>
          <w:sz w:val="24"/>
          <w:szCs w:val="24"/>
          <w:lang w:val="en" w:eastAsia="en-IN"/>
        </w:rPr>
        <w:id w:val="-1888866725"/>
        <w:docPartObj>
          <w:docPartGallery w:val="Table of Contents"/>
          <w:docPartUnique/>
        </w:docPartObj>
      </w:sdtPr>
      <w:sdtEndPr>
        <w:rPr>
          <w:rFonts w:ascii="Arial" w:hAnsi="Arial" w:cs="Arial"/>
          <w:noProof/>
          <w:color w:val="auto"/>
          <w:sz w:val="22"/>
          <w:szCs w:val="22"/>
        </w:rPr>
      </w:sdtEndPr>
      <w:sdtContent>
        <w:p w14:paraId="7C79BA90" w14:textId="6095F8E3" w:rsidR="00EC6423" w:rsidRPr="009F1E0E" w:rsidRDefault="00EC6423" w:rsidP="00CA1EF0">
          <w:pPr>
            <w:pStyle w:val="TOCHeading"/>
            <w:spacing w:line="360" w:lineRule="auto"/>
            <w:jc w:val="center"/>
            <w:rPr>
              <w:rFonts w:ascii="Times New Roman" w:hAnsi="Times New Roman" w:cs="Times New Roman"/>
              <w:b/>
              <w:bCs/>
              <w:color w:val="000000" w:themeColor="text1"/>
              <w:sz w:val="24"/>
              <w:szCs w:val="24"/>
            </w:rPr>
          </w:pPr>
          <w:r w:rsidRPr="009F1E0E">
            <w:rPr>
              <w:rFonts w:ascii="Times New Roman" w:hAnsi="Times New Roman" w:cs="Times New Roman"/>
              <w:b/>
              <w:bCs/>
              <w:color w:val="000000" w:themeColor="text1"/>
              <w:sz w:val="24"/>
              <w:szCs w:val="24"/>
            </w:rPr>
            <w:t>Table of Contents</w:t>
          </w:r>
        </w:p>
        <w:p w14:paraId="7612BF94" w14:textId="4666D698" w:rsidR="009F1E0E" w:rsidRPr="009F1E0E" w:rsidRDefault="00EC6423" w:rsidP="009F1E0E">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r w:rsidRPr="009F1E0E">
            <w:rPr>
              <w:rFonts w:ascii="Times New Roman" w:hAnsi="Times New Roman" w:cs="Times New Roman"/>
              <w:sz w:val="24"/>
              <w:szCs w:val="24"/>
            </w:rPr>
            <w:fldChar w:fldCharType="begin"/>
          </w:r>
          <w:r w:rsidRPr="009F1E0E">
            <w:rPr>
              <w:rFonts w:ascii="Times New Roman" w:hAnsi="Times New Roman" w:cs="Times New Roman"/>
              <w:sz w:val="24"/>
              <w:szCs w:val="24"/>
            </w:rPr>
            <w:instrText xml:space="preserve"> TOC \o "1-3" \h \z \u </w:instrText>
          </w:r>
          <w:r w:rsidRPr="009F1E0E">
            <w:rPr>
              <w:rFonts w:ascii="Times New Roman" w:hAnsi="Times New Roman" w:cs="Times New Roman"/>
              <w:sz w:val="24"/>
              <w:szCs w:val="24"/>
            </w:rPr>
            <w:fldChar w:fldCharType="separate"/>
          </w:r>
          <w:hyperlink w:anchor="_Toc234854819" w:history="1">
            <w:r w:rsidR="009F1E0E" w:rsidRPr="009F1E0E">
              <w:rPr>
                <w:rStyle w:val="Hyperlink"/>
                <w:rFonts w:ascii="Times New Roman" w:hAnsi="Times New Roman" w:cs="Times New Roman"/>
                <w:noProof/>
                <w:sz w:val="24"/>
                <w:szCs w:val="24"/>
              </w:rPr>
              <w:t>Introduction</w:t>
            </w:r>
            <w:r w:rsidR="009F1E0E" w:rsidRPr="009F1E0E">
              <w:rPr>
                <w:rFonts w:ascii="Times New Roman" w:hAnsi="Times New Roman" w:cs="Times New Roman"/>
                <w:noProof/>
                <w:webHidden/>
                <w:sz w:val="24"/>
                <w:szCs w:val="24"/>
              </w:rPr>
              <w:tab/>
            </w:r>
            <w:r w:rsidR="009F1E0E" w:rsidRPr="009F1E0E">
              <w:rPr>
                <w:rFonts w:ascii="Times New Roman" w:hAnsi="Times New Roman" w:cs="Times New Roman"/>
                <w:noProof/>
                <w:webHidden/>
                <w:sz w:val="24"/>
                <w:szCs w:val="24"/>
              </w:rPr>
              <w:fldChar w:fldCharType="begin"/>
            </w:r>
            <w:r w:rsidR="009F1E0E" w:rsidRPr="009F1E0E">
              <w:rPr>
                <w:rFonts w:ascii="Times New Roman" w:hAnsi="Times New Roman" w:cs="Times New Roman"/>
                <w:noProof/>
                <w:webHidden/>
                <w:sz w:val="24"/>
                <w:szCs w:val="24"/>
              </w:rPr>
              <w:instrText xml:space="preserve"> PAGEREF _Toc234854819 \h </w:instrText>
            </w:r>
            <w:r w:rsidR="009F1E0E" w:rsidRPr="009F1E0E">
              <w:rPr>
                <w:rFonts w:ascii="Times New Roman" w:hAnsi="Times New Roman" w:cs="Times New Roman"/>
                <w:noProof/>
                <w:webHidden/>
                <w:sz w:val="24"/>
                <w:szCs w:val="24"/>
              </w:rPr>
            </w:r>
            <w:r w:rsidR="009F1E0E" w:rsidRPr="009F1E0E">
              <w:rPr>
                <w:rFonts w:ascii="Times New Roman" w:hAnsi="Times New Roman" w:cs="Times New Roman"/>
                <w:noProof/>
                <w:webHidden/>
                <w:sz w:val="24"/>
                <w:szCs w:val="24"/>
              </w:rPr>
              <w:fldChar w:fldCharType="separate"/>
            </w:r>
            <w:r w:rsidR="009F1E0E" w:rsidRPr="009F1E0E">
              <w:rPr>
                <w:rFonts w:ascii="Times New Roman" w:hAnsi="Times New Roman" w:cs="Times New Roman"/>
                <w:noProof/>
                <w:webHidden/>
                <w:sz w:val="24"/>
                <w:szCs w:val="24"/>
              </w:rPr>
              <w:t>4</w:t>
            </w:r>
            <w:r w:rsidR="009F1E0E" w:rsidRPr="009F1E0E">
              <w:rPr>
                <w:rFonts w:ascii="Times New Roman" w:hAnsi="Times New Roman" w:cs="Times New Roman"/>
                <w:noProof/>
                <w:webHidden/>
                <w:sz w:val="24"/>
                <w:szCs w:val="24"/>
              </w:rPr>
              <w:fldChar w:fldCharType="end"/>
            </w:r>
          </w:hyperlink>
        </w:p>
        <w:p w14:paraId="484C8BCC" w14:textId="1F3AC1C2" w:rsidR="009F1E0E" w:rsidRPr="009F1E0E" w:rsidRDefault="009F1E0E" w:rsidP="009F1E0E">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0" w:history="1">
            <w:r w:rsidRPr="009F1E0E">
              <w:rPr>
                <w:rStyle w:val="Hyperlink"/>
                <w:rFonts w:ascii="Times New Roman" w:hAnsi="Times New Roman" w:cs="Times New Roman"/>
                <w:noProof/>
                <w:sz w:val="24"/>
                <w:szCs w:val="24"/>
              </w:rPr>
              <w:t>Task 1: Marketing Environment Analysis</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_Toc234854820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4</w:t>
            </w:r>
            <w:r w:rsidRPr="009F1E0E">
              <w:rPr>
                <w:rFonts w:ascii="Times New Roman" w:hAnsi="Times New Roman" w:cs="Times New Roman"/>
                <w:noProof/>
                <w:webHidden/>
                <w:sz w:val="24"/>
                <w:szCs w:val="24"/>
              </w:rPr>
              <w:fldChar w:fldCharType="end"/>
            </w:r>
          </w:hyperlink>
        </w:p>
        <w:p w14:paraId="3B9BF4D7" w14:textId="15734BB0"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1" w:history="1">
            <w:r w:rsidRPr="009F1E0E">
              <w:rPr>
                <w:rStyle w:val="Hyperlink"/>
                <w:rFonts w:ascii="Times New Roman" w:hAnsi="Times New Roman" w:cs="Times New Roman"/>
                <w:noProof/>
                <w:sz w:val="24"/>
                <w:szCs w:val="24"/>
              </w:rPr>
              <w:t>External Marketing Environment - Kotler Framework</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_Toc234854821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4</w:t>
            </w:r>
            <w:r w:rsidRPr="009F1E0E">
              <w:rPr>
                <w:rFonts w:ascii="Times New Roman" w:hAnsi="Times New Roman" w:cs="Times New Roman"/>
                <w:noProof/>
                <w:webHidden/>
                <w:sz w:val="24"/>
                <w:szCs w:val="24"/>
              </w:rPr>
              <w:fldChar w:fldCharType="end"/>
            </w:r>
          </w:hyperlink>
        </w:p>
        <w:p w14:paraId="690CACE0" w14:textId="3375169B"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2" w:history="1">
            <w:r w:rsidRPr="009F1E0E">
              <w:rPr>
                <w:rStyle w:val="Hyperlink"/>
                <w:rFonts w:ascii="Times New Roman" w:hAnsi="Times New Roman" w:cs="Times New Roman"/>
                <w:noProof/>
                <w:sz w:val="24"/>
                <w:szCs w:val="24"/>
              </w:rPr>
              <w:t>Analysis of two External Marketing Environment Actors</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_Toc234854822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5</w:t>
            </w:r>
            <w:r w:rsidRPr="009F1E0E">
              <w:rPr>
                <w:rFonts w:ascii="Times New Roman" w:hAnsi="Times New Roman" w:cs="Times New Roman"/>
                <w:noProof/>
                <w:webHidden/>
                <w:sz w:val="24"/>
                <w:szCs w:val="24"/>
              </w:rPr>
              <w:fldChar w:fldCharType="end"/>
            </w:r>
          </w:hyperlink>
        </w:p>
        <w:p w14:paraId="2651063C" w14:textId="14FE9CB9" w:rsidR="009F1E0E" w:rsidRPr="009F1E0E" w:rsidRDefault="009F1E0E" w:rsidP="009F1E0E">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3" w:history="1">
            <w:r w:rsidRPr="009F1E0E">
              <w:rPr>
                <w:rStyle w:val="Hyperlink"/>
                <w:rFonts w:ascii="Times New Roman" w:hAnsi="Times New Roman" w:cs="Times New Roman"/>
                <w:noProof/>
                <w:sz w:val="24"/>
                <w:szCs w:val="24"/>
              </w:rPr>
              <w:t>Task 2: Strategic Growth and Competitive Positioning</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_Toc234854823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7</w:t>
            </w:r>
            <w:r w:rsidRPr="009F1E0E">
              <w:rPr>
                <w:rFonts w:ascii="Times New Roman" w:hAnsi="Times New Roman" w:cs="Times New Roman"/>
                <w:noProof/>
                <w:webHidden/>
                <w:sz w:val="24"/>
                <w:szCs w:val="24"/>
              </w:rPr>
              <w:fldChar w:fldCharType="end"/>
            </w:r>
          </w:hyperlink>
        </w:p>
        <w:p w14:paraId="0D69051D" w14:textId="53B60EF1"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4" w:history="1">
            <w:r w:rsidRPr="009F1E0E">
              <w:rPr>
                <w:rStyle w:val="Hyperlink"/>
                <w:rFonts w:ascii="Times New Roman" w:hAnsi="Times New Roman" w:cs="Times New Roman"/>
                <w:noProof/>
                <w:sz w:val="24"/>
                <w:szCs w:val="24"/>
              </w:rPr>
              <w:t>Building on environmental analysis, recommend a strategic growth approach for the company using the Ansoff Matrix</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_Toc234854824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7</w:t>
            </w:r>
            <w:r w:rsidRPr="009F1E0E">
              <w:rPr>
                <w:rFonts w:ascii="Times New Roman" w:hAnsi="Times New Roman" w:cs="Times New Roman"/>
                <w:noProof/>
                <w:webHidden/>
                <w:sz w:val="24"/>
                <w:szCs w:val="24"/>
              </w:rPr>
              <w:fldChar w:fldCharType="end"/>
            </w:r>
          </w:hyperlink>
        </w:p>
        <w:p w14:paraId="10F5F0CC" w14:textId="558B9EDA"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5" w:history="1">
            <w:r w:rsidRPr="009F1E0E">
              <w:rPr>
                <w:rStyle w:val="Hyperlink"/>
                <w:rFonts w:ascii="Times New Roman" w:hAnsi="Times New Roman" w:cs="Times New Roman"/>
                <w:noProof/>
                <w:sz w:val="24"/>
                <w:szCs w:val="24"/>
              </w:rPr>
              <w:t>Proposing the ways organisation can achieve competitive advantages while transitioning to a lower-carbon business model.</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_Toc234854825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9</w:t>
            </w:r>
            <w:r w:rsidRPr="009F1E0E">
              <w:rPr>
                <w:rFonts w:ascii="Times New Roman" w:hAnsi="Times New Roman" w:cs="Times New Roman"/>
                <w:noProof/>
                <w:webHidden/>
                <w:sz w:val="24"/>
                <w:szCs w:val="24"/>
              </w:rPr>
              <w:fldChar w:fldCharType="end"/>
            </w:r>
          </w:hyperlink>
        </w:p>
        <w:p w14:paraId="46236B9F" w14:textId="5DDF5B53" w:rsidR="009F1E0E" w:rsidRPr="009F1E0E" w:rsidRDefault="009F1E0E" w:rsidP="009F1E0E">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6" w:history="1">
            <w:r w:rsidRPr="009F1E0E">
              <w:rPr>
                <w:rStyle w:val="Hyperlink"/>
                <w:rFonts w:ascii="Times New Roman" w:hAnsi="Times New Roman" w:cs="Times New Roman"/>
                <w:noProof/>
                <w:sz w:val="24"/>
                <w:szCs w:val="24"/>
              </w:rPr>
              <w:t>Task 3: Critical Reflection on AI Usage</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_Toc234854826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11</w:t>
            </w:r>
            <w:r w:rsidRPr="009F1E0E">
              <w:rPr>
                <w:rFonts w:ascii="Times New Roman" w:hAnsi="Times New Roman" w:cs="Times New Roman"/>
                <w:noProof/>
                <w:webHidden/>
                <w:sz w:val="24"/>
                <w:szCs w:val="24"/>
              </w:rPr>
              <w:fldChar w:fldCharType="end"/>
            </w:r>
          </w:hyperlink>
        </w:p>
        <w:p w14:paraId="57E47E5D" w14:textId="38A841B0"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7" w:history="1">
            <w:r w:rsidRPr="009F1E0E">
              <w:rPr>
                <w:rStyle w:val="Hyperlink"/>
                <w:rFonts w:ascii="Times New Roman" w:hAnsi="Times New Roman" w:cs="Times New Roman"/>
                <w:noProof/>
                <w:sz w:val="24"/>
                <w:szCs w:val="24"/>
              </w:rPr>
              <w:t>Tool Disclosure</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_Toc234854827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11</w:t>
            </w:r>
            <w:r w:rsidRPr="009F1E0E">
              <w:rPr>
                <w:rFonts w:ascii="Times New Roman" w:hAnsi="Times New Roman" w:cs="Times New Roman"/>
                <w:noProof/>
                <w:webHidden/>
                <w:sz w:val="24"/>
                <w:szCs w:val="24"/>
              </w:rPr>
              <w:fldChar w:fldCharType="end"/>
            </w:r>
          </w:hyperlink>
        </w:p>
        <w:p w14:paraId="73D09A30" w14:textId="7F76B0C3"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8" w:history="1">
            <w:r w:rsidRPr="009F1E0E">
              <w:rPr>
                <w:rStyle w:val="Hyperlink"/>
                <w:rFonts w:ascii="Times New Roman" w:hAnsi="Times New Roman" w:cs="Times New Roman"/>
                <w:noProof/>
                <w:sz w:val="24"/>
                <w:szCs w:val="24"/>
              </w:rPr>
              <w:t>Critical Evaluation of AI Output</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_Toc234854828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11</w:t>
            </w:r>
            <w:r w:rsidRPr="009F1E0E">
              <w:rPr>
                <w:rFonts w:ascii="Times New Roman" w:hAnsi="Times New Roman" w:cs="Times New Roman"/>
                <w:noProof/>
                <w:webHidden/>
                <w:sz w:val="24"/>
                <w:szCs w:val="24"/>
              </w:rPr>
              <w:fldChar w:fldCharType="end"/>
            </w:r>
          </w:hyperlink>
        </w:p>
        <w:p w14:paraId="24B80C90" w14:textId="4043909B"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29" w:history="1">
            <w:r w:rsidRPr="009F1E0E">
              <w:rPr>
                <w:rStyle w:val="Hyperlink"/>
                <w:rFonts w:ascii="Times New Roman" w:hAnsi="Times New Roman" w:cs="Times New Roman"/>
                <w:noProof/>
                <w:sz w:val="24"/>
                <w:szCs w:val="24"/>
              </w:rPr>
              <w:t>Contribution Analysis</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_Toc234854829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12</w:t>
            </w:r>
            <w:r w:rsidRPr="009F1E0E">
              <w:rPr>
                <w:rFonts w:ascii="Times New Roman" w:hAnsi="Times New Roman" w:cs="Times New Roman"/>
                <w:noProof/>
                <w:webHidden/>
                <w:sz w:val="24"/>
                <w:szCs w:val="24"/>
              </w:rPr>
              <w:fldChar w:fldCharType="end"/>
            </w:r>
          </w:hyperlink>
        </w:p>
        <w:p w14:paraId="43C6C428" w14:textId="17488593" w:rsidR="009F1E0E" w:rsidRPr="009F1E0E" w:rsidRDefault="009F1E0E" w:rsidP="009F1E0E">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30" w:history="1">
            <w:r w:rsidRPr="009F1E0E">
              <w:rPr>
                <w:rStyle w:val="Hyperlink"/>
                <w:rFonts w:ascii="Times New Roman" w:hAnsi="Times New Roman" w:cs="Times New Roman"/>
                <w:noProof/>
                <w:sz w:val="24"/>
                <w:szCs w:val="24"/>
              </w:rPr>
              <w:t>Ethical and Professional Reflection</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_Toc234854830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12</w:t>
            </w:r>
            <w:r w:rsidRPr="009F1E0E">
              <w:rPr>
                <w:rFonts w:ascii="Times New Roman" w:hAnsi="Times New Roman" w:cs="Times New Roman"/>
                <w:noProof/>
                <w:webHidden/>
                <w:sz w:val="24"/>
                <w:szCs w:val="24"/>
              </w:rPr>
              <w:fldChar w:fldCharType="end"/>
            </w:r>
          </w:hyperlink>
        </w:p>
        <w:p w14:paraId="3B601630" w14:textId="2F8E9A1D" w:rsidR="009F1E0E" w:rsidRPr="009F1E0E" w:rsidRDefault="009F1E0E" w:rsidP="009F1E0E">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31" w:history="1">
            <w:r w:rsidRPr="009F1E0E">
              <w:rPr>
                <w:rStyle w:val="Hyperlink"/>
                <w:rFonts w:ascii="Times New Roman" w:hAnsi="Times New Roman" w:cs="Times New Roman"/>
                <w:noProof/>
                <w:sz w:val="24"/>
                <w:szCs w:val="24"/>
              </w:rPr>
              <w:t>Conclusion</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_Toc234854831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12</w:t>
            </w:r>
            <w:r w:rsidRPr="009F1E0E">
              <w:rPr>
                <w:rFonts w:ascii="Times New Roman" w:hAnsi="Times New Roman" w:cs="Times New Roman"/>
                <w:noProof/>
                <w:webHidden/>
                <w:sz w:val="24"/>
                <w:szCs w:val="24"/>
              </w:rPr>
              <w:fldChar w:fldCharType="end"/>
            </w:r>
          </w:hyperlink>
        </w:p>
        <w:p w14:paraId="703FF93D" w14:textId="7FBD6795" w:rsidR="009F1E0E" w:rsidRPr="009F1E0E" w:rsidRDefault="009F1E0E" w:rsidP="009F1E0E">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GB" w:bidi="bn-IN"/>
              <w14:ligatures w14:val="standardContextual"/>
            </w:rPr>
          </w:pPr>
          <w:hyperlink w:anchor="_Toc234854832" w:history="1">
            <w:r w:rsidRPr="009F1E0E">
              <w:rPr>
                <w:rStyle w:val="Hyperlink"/>
                <w:rFonts w:ascii="Times New Roman" w:hAnsi="Times New Roman" w:cs="Times New Roman"/>
                <w:noProof/>
                <w:sz w:val="24"/>
                <w:szCs w:val="24"/>
              </w:rPr>
              <w:t>References</w:t>
            </w:r>
            <w:r w:rsidRPr="009F1E0E">
              <w:rPr>
                <w:rFonts w:ascii="Times New Roman" w:hAnsi="Times New Roman" w:cs="Times New Roman"/>
                <w:noProof/>
                <w:webHidden/>
                <w:sz w:val="24"/>
                <w:szCs w:val="24"/>
              </w:rPr>
              <w:tab/>
            </w:r>
            <w:r w:rsidRPr="009F1E0E">
              <w:rPr>
                <w:rFonts w:ascii="Times New Roman" w:hAnsi="Times New Roman" w:cs="Times New Roman"/>
                <w:noProof/>
                <w:webHidden/>
                <w:sz w:val="24"/>
                <w:szCs w:val="24"/>
              </w:rPr>
              <w:fldChar w:fldCharType="begin"/>
            </w:r>
            <w:r w:rsidRPr="009F1E0E">
              <w:rPr>
                <w:rFonts w:ascii="Times New Roman" w:hAnsi="Times New Roman" w:cs="Times New Roman"/>
                <w:noProof/>
                <w:webHidden/>
                <w:sz w:val="24"/>
                <w:szCs w:val="24"/>
              </w:rPr>
              <w:instrText xml:space="preserve"> PAGEREF _Toc234854832 \h </w:instrText>
            </w:r>
            <w:r w:rsidRPr="009F1E0E">
              <w:rPr>
                <w:rFonts w:ascii="Times New Roman" w:hAnsi="Times New Roman" w:cs="Times New Roman"/>
                <w:noProof/>
                <w:webHidden/>
                <w:sz w:val="24"/>
                <w:szCs w:val="24"/>
              </w:rPr>
            </w:r>
            <w:r w:rsidRPr="009F1E0E">
              <w:rPr>
                <w:rFonts w:ascii="Times New Roman" w:hAnsi="Times New Roman" w:cs="Times New Roman"/>
                <w:noProof/>
                <w:webHidden/>
                <w:sz w:val="24"/>
                <w:szCs w:val="24"/>
              </w:rPr>
              <w:fldChar w:fldCharType="separate"/>
            </w:r>
            <w:r w:rsidRPr="009F1E0E">
              <w:rPr>
                <w:rFonts w:ascii="Times New Roman" w:hAnsi="Times New Roman" w:cs="Times New Roman"/>
                <w:noProof/>
                <w:webHidden/>
                <w:sz w:val="24"/>
                <w:szCs w:val="24"/>
              </w:rPr>
              <w:t>13</w:t>
            </w:r>
            <w:r w:rsidRPr="009F1E0E">
              <w:rPr>
                <w:rFonts w:ascii="Times New Roman" w:hAnsi="Times New Roman" w:cs="Times New Roman"/>
                <w:noProof/>
                <w:webHidden/>
                <w:sz w:val="24"/>
                <w:szCs w:val="24"/>
              </w:rPr>
              <w:fldChar w:fldCharType="end"/>
            </w:r>
          </w:hyperlink>
        </w:p>
        <w:p w14:paraId="64F7192D" w14:textId="61499624" w:rsidR="00EC6423" w:rsidRDefault="00EC6423" w:rsidP="009F1E0E">
          <w:pPr>
            <w:spacing w:line="360" w:lineRule="auto"/>
            <w:jc w:val="both"/>
          </w:pPr>
          <w:r w:rsidRPr="009F1E0E">
            <w:rPr>
              <w:rFonts w:ascii="Times New Roman" w:hAnsi="Times New Roman" w:cs="Times New Roman"/>
              <w:b/>
              <w:bCs/>
              <w:noProof/>
              <w:sz w:val="24"/>
              <w:szCs w:val="24"/>
            </w:rPr>
            <w:fldChar w:fldCharType="end"/>
          </w:r>
        </w:p>
      </w:sdtContent>
    </w:sdt>
    <w:p w14:paraId="67471AE6" w14:textId="77777777" w:rsidR="00EC6423" w:rsidRDefault="00EC6423">
      <w:pPr>
        <w:rPr>
          <w:rFonts w:ascii="Times New Roman" w:eastAsia="Times New Roman" w:hAnsi="Times New Roman" w:cs="Times New Roman"/>
          <w:b/>
          <w:bCs/>
          <w:sz w:val="24"/>
          <w:szCs w:val="24"/>
          <w:lang w:val="en-GB"/>
        </w:rPr>
      </w:pPr>
      <w:r>
        <w:br w:type="page"/>
      </w:r>
    </w:p>
    <w:p w14:paraId="6ACC0D03" w14:textId="24D2895D" w:rsidR="00867588" w:rsidRDefault="00867588" w:rsidP="00EC6423">
      <w:pPr>
        <w:pStyle w:val="Heading1"/>
      </w:pPr>
      <w:bookmarkStart w:id="0" w:name="_Toc234854819"/>
      <w:r>
        <w:t>Introduction</w:t>
      </w:r>
      <w:bookmarkEnd w:id="0"/>
    </w:p>
    <w:p w14:paraId="78ECB28D" w14:textId="662AD08D" w:rsidR="00867588" w:rsidRPr="0045681C" w:rsidRDefault="00867588" w:rsidP="0045681C">
      <w:pPr>
        <w:spacing w:line="360" w:lineRule="auto"/>
        <w:jc w:val="both"/>
        <w:rPr>
          <w:rFonts w:ascii="Times New Roman" w:hAnsi="Times New Roman" w:cs="Times New Roman"/>
          <w:sz w:val="24"/>
          <w:szCs w:val="24"/>
          <w:lang w:val="en-GB"/>
        </w:rPr>
      </w:pPr>
      <w:r w:rsidRPr="0045681C">
        <w:rPr>
          <w:rFonts w:ascii="Times New Roman" w:hAnsi="Times New Roman" w:cs="Times New Roman"/>
          <w:sz w:val="24"/>
          <w:szCs w:val="24"/>
          <w:lang w:val="en-GB"/>
        </w:rPr>
        <w:t xml:space="preserve">Macro-environmental analysis involves focusing on </w:t>
      </w:r>
      <w:r w:rsidR="0045681C" w:rsidRPr="0045681C">
        <w:rPr>
          <w:rFonts w:ascii="Times New Roman" w:hAnsi="Times New Roman" w:cs="Times New Roman"/>
          <w:sz w:val="24"/>
          <w:szCs w:val="24"/>
          <w:lang w:val="en-GB"/>
        </w:rPr>
        <w:t xml:space="preserve">understanding key factors threatening or boosting business performance. The chosen company </w:t>
      </w:r>
      <w:r w:rsidR="0045681C">
        <w:rPr>
          <w:rFonts w:ascii="Times New Roman" w:hAnsi="Times New Roman" w:cs="Times New Roman"/>
          <w:sz w:val="24"/>
          <w:szCs w:val="24"/>
          <w:lang w:val="en-GB"/>
        </w:rPr>
        <w:t xml:space="preserve">involves Australia-based </w:t>
      </w:r>
      <w:r w:rsidR="0045681C" w:rsidRPr="0045681C">
        <w:rPr>
          <w:rFonts w:ascii="Times New Roman" w:hAnsi="Times New Roman" w:cs="Times New Roman"/>
          <w:sz w:val="24"/>
          <w:szCs w:val="24"/>
          <w:lang w:val="en-GB"/>
        </w:rPr>
        <w:t>Broken Hill Proprietary Company</w:t>
      </w:r>
      <w:r w:rsidR="0045681C">
        <w:rPr>
          <w:rFonts w:ascii="Times New Roman" w:hAnsi="Times New Roman" w:cs="Times New Roman"/>
          <w:sz w:val="24"/>
          <w:szCs w:val="24"/>
          <w:lang w:val="en-GB"/>
        </w:rPr>
        <w:t xml:space="preserve"> (BHP), a silver and lead mining venture. In this regard, focus of the report involves analysis impact of macro-environmental factors, along with building a strategic approach based on Ansoff and Generic Strategic Framework. </w:t>
      </w:r>
    </w:p>
    <w:p w14:paraId="19C9A18B" w14:textId="71447867" w:rsidR="00C43F52" w:rsidRPr="00EC6423" w:rsidRDefault="003C441E" w:rsidP="00EC6423">
      <w:pPr>
        <w:pStyle w:val="Heading1"/>
      </w:pPr>
      <w:bookmarkStart w:id="1" w:name="_Toc234854820"/>
      <w:r w:rsidRPr="00EC6423">
        <w:t>Task 1: Marketing Environment Analysis</w:t>
      </w:r>
      <w:bookmarkEnd w:id="1"/>
      <w:r w:rsidRPr="00EC6423">
        <w:t xml:space="preserve"> </w:t>
      </w:r>
    </w:p>
    <w:p w14:paraId="6746FE60" w14:textId="77777777" w:rsidR="00C43F52" w:rsidRPr="00EC6423" w:rsidRDefault="003C441E" w:rsidP="00EC6423">
      <w:pPr>
        <w:pStyle w:val="Heading2"/>
      </w:pPr>
      <w:bookmarkStart w:id="2" w:name="_Toc234854821"/>
      <w:r w:rsidRPr="00EC6423">
        <w:t>External Marketing Environment - Kotler Framework</w:t>
      </w:r>
      <w:bookmarkEnd w:id="2"/>
    </w:p>
    <w:p w14:paraId="2999A183"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Macro-marketing environment analysis is crucial for assessing the wider external factors impacting an organisation's marketing activities, and Kotler </w:t>
      </w:r>
      <w:r w:rsidRPr="00EC6423">
        <w:rPr>
          <w:rFonts w:ascii="Times New Roman" w:eastAsia="Times New Roman" w:hAnsi="Times New Roman" w:cs="Times New Roman"/>
          <w:i/>
          <w:iCs/>
          <w:sz w:val="24"/>
          <w:szCs w:val="24"/>
          <w:lang w:val="en-GB"/>
        </w:rPr>
        <w:t>et al.</w:t>
      </w:r>
      <w:r w:rsidRPr="00EC6423">
        <w:rPr>
          <w:rFonts w:ascii="Times New Roman" w:eastAsia="Times New Roman" w:hAnsi="Times New Roman" w:cs="Times New Roman"/>
          <w:sz w:val="24"/>
          <w:szCs w:val="24"/>
          <w:lang w:val="en-GB"/>
        </w:rPr>
        <w:t xml:space="preserve"> (2024) provided a useful framework to identify these factors, which can help BHP identify opportunities and threats for its decarbonisation efforts and transition to sustainable resource production.</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0"/>
        <w:gridCol w:w="4110"/>
        <w:gridCol w:w="3120"/>
      </w:tblGrid>
      <w:tr w:rsidR="00C43F52" w:rsidRPr="00EC6423" w14:paraId="58D96BD5" w14:textId="77777777" w:rsidTr="00A61D17">
        <w:tc>
          <w:tcPr>
            <w:tcW w:w="2130" w:type="dxa"/>
            <w:shd w:val="clear" w:color="auto" w:fill="DDD9C3" w:themeFill="background2" w:themeFillShade="E6"/>
            <w:tcMar>
              <w:top w:w="100" w:type="dxa"/>
              <w:left w:w="100" w:type="dxa"/>
              <w:bottom w:w="100" w:type="dxa"/>
              <w:right w:w="100" w:type="dxa"/>
            </w:tcMar>
          </w:tcPr>
          <w:p w14:paraId="05D5E301" w14:textId="77777777" w:rsidR="00C43F52" w:rsidRPr="00EC6423" w:rsidRDefault="003C441E">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C6423">
              <w:rPr>
                <w:rFonts w:ascii="Times New Roman" w:eastAsia="Times New Roman" w:hAnsi="Times New Roman" w:cs="Times New Roman"/>
                <w:b/>
                <w:bCs/>
                <w:sz w:val="24"/>
                <w:szCs w:val="24"/>
                <w:lang w:val="en-GB"/>
              </w:rPr>
              <w:t>Macro-Marketing Actor</w:t>
            </w:r>
          </w:p>
        </w:tc>
        <w:tc>
          <w:tcPr>
            <w:tcW w:w="4110" w:type="dxa"/>
            <w:shd w:val="clear" w:color="auto" w:fill="DDD9C3" w:themeFill="background2" w:themeFillShade="E6"/>
            <w:tcMar>
              <w:top w:w="100" w:type="dxa"/>
              <w:left w:w="100" w:type="dxa"/>
              <w:bottom w:w="100" w:type="dxa"/>
              <w:right w:w="100" w:type="dxa"/>
            </w:tcMar>
          </w:tcPr>
          <w:p w14:paraId="79724A9E" w14:textId="77777777" w:rsidR="00C43F52" w:rsidRPr="00EC6423" w:rsidRDefault="003C441E">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C6423">
              <w:rPr>
                <w:rFonts w:ascii="Times New Roman" w:eastAsia="Times New Roman" w:hAnsi="Times New Roman" w:cs="Times New Roman"/>
                <w:b/>
                <w:bCs/>
                <w:sz w:val="24"/>
                <w:szCs w:val="24"/>
                <w:lang w:val="en-GB"/>
              </w:rPr>
              <w:t>Illustration</w:t>
            </w:r>
          </w:p>
        </w:tc>
        <w:tc>
          <w:tcPr>
            <w:tcW w:w="3120" w:type="dxa"/>
            <w:shd w:val="clear" w:color="auto" w:fill="DDD9C3" w:themeFill="background2" w:themeFillShade="E6"/>
            <w:tcMar>
              <w:top w:w="100" w:type="dxa"/>
              <w:left w:w="100" w:type="dxa"/>
              <w:bottom w:w="100" w:type="dxa"/>
              <w:right w:w="100" w:type="dxa"/>
            </w:tcMar>
          </w:tcPr>
          <w:p w14:paraId="30A58483" w14:textId="77777777" w:rsidR="00C43F52" w:rsidRPr="00EC6423" w:rsidRDefault="003C441E">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C6423">
              <w:rPr>
                <w:rFonts w:ascii="Times New Roman" w:eastAsia="Times New Roman" w:hAnsi="Times New Roman" w:cs="Times New Roman"/>
                <w:b/>
                <w:bCs/>
                <w:sz w:val="24"/>
                <w:szCs w:val="24"/>
                <w:lang w:val="en-GB"/>
              </w:rPr>
              <w:t>Opportunity or Threat</w:t>
            </w:r>
          </w:p>
        </w:tc>
      </w:tr>
      <w:tr w:rsidR="00C43F52" w:rsidRPr="00EC6423" w14:paraId="5C4527CA" w14:textId="77777777" w:rsidTr="00A61D17">
        <w:tc>
          <w:tcPr>
            <w:tcW w:w="2130" w:type="dxa"/>
            <w:shd w:val="clear" w:color="auto" w:fill="E5DFEC" w:themeFill="accent4" w:themeFillTint="33"/>
            <w:tcMar>
              <w:top w:w="100" w:type="dxa"/>
              <w:left w:w="100" w:type="dxa"/>
              <w:bottom w:w="100" w:type="dxa"/>
              <w:right w:w="100" w:type="dxa"/>
            </w:tcMar>
          </w:tcPr>
          <w:p w14:paraId="280AA6D8" w14:textId="77777777" w:rsidR="00C43F52" w:rsidRPr="00A61D17"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i/>
                <w:iCs/>
                <w:sz w:val="24"/>
                <w:szCs w:val="24"/>
                <w:lang w:val="en-GB"/>
              </w:rPr>
            </w:pPr>
            <w:r w:rsidRPr="00A61D17">
              <w:rPr>
                <w:rFonts w:ascii="Times New Roman" w:eastAsia="Times New Roman" w:hAnsi="Times New Roman" w:cs="Times New Roman"/>
                <w:i/>
                <w:iCs/>
                <w:sz w:val="24"/>
                <w:szCs w:val="24"/>
                <w:lang w:val="en-GB"/>
              </w:rPr>
              <w:t>Demographic</w:t>
            </w:r>
          </w:p>
        </w:tc>
        <w:tc>
          <w:tcPr>
            <w:tcW w:w="4110" w:type="dxa"/>
            <w:tcMar>
              <w:top w:w="100" w:type="dxa"/>
              <w:left w:w="100" w:type="dxa"/>
              <w:bottom w:w="100" w:type="dxa"/>
              <w:right w:w="100" w:type="dxa"/>
            </w:tcMar>
          </w:tcPr>
          <w:p w14:paraId="3BAF657D"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Global population growth will reach 9.7 billion by 2050, driving demand for minerals used in building, infrastructure and renewable energy technologies (UN, 2026).</w:t>
            </w:r>
          </w:p>
        </w:tc>
        <w:tc>
          <w:tcPr>
            <w:tcW w:w="3120" w:type="dxa"/>
            <w:tcMar>
              <w:top w:w="100" w:type="dxa"/>
              <w:left w:w="100" w:type="dxa"/>
              <w:bottom w:w="100" w:type="dxa"/>
              <w:right w:w="100" w:type="dxa"/>
            </w:tcMar>
          </w:tcPr>
          <w:p w14:paraId="52D54F04"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b/>
                <w:bCs/>
                <w:i/>
                <w:iCs/>
                <w:sz w:val="24"/>
                <w:szCs w:val="24"/>
                <w:lang w:val="en-GB"/>
              </w:rPr>
              <w:t>Opportunity:</w:t>
            </w:r>
            <w:r w:rsidRPr="00EC6423">
              <w:rPr>
                <w:rFonts w:ascii="Times New Roman" w:eastAsia="Times New Roman" w:hAnsi="Times New Roman" w:cs="Times New Roman"/>
                <w:sz w:val="24"/>
                <w:szCs w:val="24"/>
                <w:lang w:val="en-GB"/>
              </w:rPr>
              <w:t xml:space="preserve"> Long-term market growth is provided by the growing demand for copper, nickel and potash.</w:t>
            </w:r>
          </w:p>
        </w:tc>
      </w:tr>
      <w:tr w:rsidR="00C43F52" w:rsidRPr="00EC6423" w14:paraId="42A1924F" w14:textId="77777777" w:rsidTr="00A61D17">
        <w:tc>
          <w:tcPr>
            <w:tcW w:w="2130" w:type="dxa"/>
            <w:shd w:val="clear" w:color="auto" w:fill="E5DFEC" w:themeFill="accent4" w:themeFillTint="33"/>
            <w:tcMar>
              <w:top w:w="100" w:type="dxa"/>
              <w:left w:w="100" w:type="dxa"/>
              <w:bottom w:w="100" w:type="dxa"/>
              <w:right w:w="100" w:type="dxa"/>
            </w:tcMar>
          </w:tcPr>
          <w:p w14:paraId="64145A54" w14:textId="77777777" w:rsidR="00C43F52" w:rsidRPr="00A61D17"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i/>
                <w:iCs/>
                <w:sz w:val="24"/>
                <w:szCs w:val="24"/>
                <w:lang w:val="en-GB"/>
              </w:rPr>
            </w:pPr>
            <w:r w:rsidRPr="00A61D17">
              <w:rPr>
                <w:rFonts w:ascii="Times New Roman" w:eastAsia="Times New Roman" w:hAnsi="Times New Roman" w:cs="Times New Roman"/>
                <w:i/>
                <w:iCs/>
                <w:sz w:val="24"/>
                <w:szCs w:val="24"/>
                <w:lang w:val="en-GB"/>
              </w:rPr>
              <w:t>Economic</w:t>
            </w:r>
          </w:p>
        </w:tc>
        <w:tc>
          <w:tcPr>
            <w:tcW w:w="4110" w:type="dxa"/>
            <w:tcMar>
              <w:top w:w="100" w:type="dxa"/>
              <w:left w:w="100" w:type="dxa"/>
              <w:bottom w:w="100" w:type="dxa"/>
              <w:right w:w="100" w:type="dxa"/>
            </w:tcMar>
          </w:tcPr>
          <w:p w14:paraId="7BDA4292"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The International Energy Agency (IEA) estimates global mineral demand for clean energy technology to rise by 3.5 times by 2030 to reach net zero emissions (IEA, 2026).</w:t>
            </w:r>
          </w:p>
        </w:tc>
        <w:tc>
          <w:tcPr>
            <w:tcW w:w="3120" w:type="dxa"/>
            <w:tcMar>
              <w:top w:w="100" w:type="dxa"/>
              <w:left w:w="100" w:type="dxa"/>
              <w:bottom w:w="100" w:type="dxa"/>
              <w:right w:w="100" w:type="dxa"/>
            </w:tcMar>
          </w:tcPr>
          <w:p w14:paraId="7F38D71E"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b/>
                <w:bCs/>
                <w:i/>
                <w:iCs/>
                <w:sz w:val="24"/>
                <w:szCs w:val="24"/>
                <w:lang w:val="en-GB"/>
              </w:rPr>
              <w:t xml:space="preserve">Opportunity and Threat: </w:t>
            </w:r>
            <w:r w:rsidRPr="00EC6423">
              <w:rPr>
                <w:rFonts w:ascii="Times New Roman" w:eastAsia="Times New Roman" w:hAnsi="Times New Roman" w:cs="Times New Roman"/>
                <w:sz w:val="24"/>
                <w:szCs w:val="24"/>
                <w:lang w:val="en-GB"/>
              </w:rPr>
              <w:t>Investment in clean energy drives a rise in demand for BHP’s transition minerals, whereas economic downfalls are a risk.</w:t>
            </w:r>
          </w:p>
        </w:tc>
      </w:tr>
      <w:tr w:rsidR="00C43F52" w:rsidRPr="00EC6423" w14:paraId="1D7865C1" w14:textId="77777777" w:rsidTr="00A61D17">
        <w:tc>
          <w:tcPr>
            <w:tcW w:w="2130" w:type="dxa"/>
            <w:shd w:val="clear" w:color="auto" w:fill="E5DFEC" w:themeFill="accent4" w:themeFillTint="33"/>
            <w:tcMar>
              <w:top w:w="100" w:type="dxa"/>
              <w:left w:w="100" w:type="dxa"/>
              <w:bottom w:w="100" w:type="dxa"/>
              <w:right w:w="100" w:type="dxa"/>
            </w:tcMar>
          </w:tcPr>
          <w:p w14:paraId="4B76B6A4" w14:textId="4763B6F5" w:rsidR="00C43F52" w:rsidRPr="00A61D17" w:rsidRDefault="00867588">
            <w:pPr>
              <w:widowControl w:val="0"/>
              <w:pBdr>
                <w:top w:val="nil"/>
                <w:left w:val="nil"/>
                <w:bottom w:val="nil"/>
                <w:right w:val="nil"/>
                <w:between w:val="nil"/>
              </w:pBdr>
              <w:spacing w:line="360" w:lineRule="auto"/>
              <w:jc w:val="both"/>
              <w:rPr>
                <w:rFonts w:ascii="Times New Roman" w:eastAsia="Times New Roman" w:hAnsi="Times New Roman" w:cs="Times New Roman"/>
                <w:i/>
                <w:iCs/>
                <w:sz w:val="24"/>
                <w:szCs w:val="24"/>
                <w:lang w:val="en-GB"/>
              </w:rPr>
            </w:pPr>
            <w:r>
              <w:rPr>
                <w:rFonts w:ascii="Times New Roman" w:eastAsia="Times New Roman" w:hAnsi="Times New Roman" w:cs="Times New Roman"/>
                <w:i/>
                <w:iCs/>
                <w:sz w:val="24"/>
                <w:szCs w:val="24"/>
                <w:lang w:val="en-GB"/>
              </w:rPr>
              <w:t>Environmental/ Natural</w:t>
            </w:r>
          </w:p>
        </w:tc>
        <w:tc>
          <w:tcPr>
            <w:tcW w:w="4110" w:type="dxa"/>
            <w:tcMar>
              <w:top w:w="100" w:type="dxa"/>
              <w:left w:w="100" w:type="dxa"/>
              <w:bottom w:w="100" w:type="dxa"/>
              <w:right w:w="100" w:type="dxa"/>
            </w:tcMar>
          </w:tcPr>
          <w:p w14:paraId="24499888"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BHP’s Climate Transition Action Plan involves committing to be net operational greenhouse gas emission by 2050 (BHP, 2026).</w:t>
            </w:r>
          </w:p>
        </w:tc>
        <w:tc>
          <w:tcPr>
            <w:tcW w:w="3120" w:type="dxa"/>
            <w:tcMar>
              <w:top w:w="100" w:type="dxa"/>
              <w:left w:w="100" w:type="dxa"/>
              <w:bottom w:w="100" w:type="dxa"/>
              <w:right w:w="100" w:type="dxa"/>
            </w:tcMar>
          </w:tcPr>
          <w:p w14:paraId="366D62E9"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b/>
                <w:bCs/>
                <w:i/>
                <w:iCs/>
                <w:sz w:val="24"/>
                <w:szCs w:val="24"/>
                <w:lang w:val="en-GB"/>
              </w:rPr>
              <w:t>Opportunity and Threat:</w:t>
            </w:r>
            <w:r w:rsidRPr="00EC6423">
              <w:rPr>
                <w:rFonts w:ascii="Times New Roman" w:eastAsia="Times New Roman" w:hAnsi="Times New Roman" w:cs="Times New Roman"/>
                <w:sz w:val="24"/>
                <w:szCs w:val="24"/>
                <w:lang w:val="en-GB"/>
              </w:rPr>
              <w:t xml:space="preserve"> Sustainable programs bolster competitive advantage whereas climate risks and environmental degradation raise operating expenses.</w:t>
            </w:r>
          </w:p>
        </w:tc>
      </w:tr>
      <w:tr w:rsidR="00C43F52" w:rsidRPr="00EC6423" w14:paraId="4E0EF0B9" w14:textId="77777777" w:rsidTr="00A61D17">
        <w:tc>
          <w:tcPr>
            <w:tcW w:w="2130" w:type="dxa"/>
            <w:shd w:val="clear" w:color="auto" w:fill="E5DFEC" w:themeFill="accent4" w:themeFillTint="33"/>
            <w:tcMar>
              <w:top w:w="100" w:type="dxa"/>
              <w:left w:w="100" w:type="dxa"/>
              <w:bottom w:w="100" w:type="dxa"/>
              <w:right w:w="100" w:type="dxa"/>
            </w:tcMar>
          </w:tcPr>
          <w:p w14:paraId="2EE4602D" w14:textId="77777777" w:rsidR="00C43F52" w:rsidRPr="00A61D17"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i/>
                <w:iCs/>
                <w:sz w:val="24"/>
                <w:szCs w:val="24"/>
                <w:lang w:val="en-GB"/>
              </w:rPr>
            </w:pPr>
            <w:r w:rsidRPr="00A61D17">
              <w:rPr>
                <w:rFonts w:ascii="Times New Roman" w:eastAsia="Times New Roman" w:hAnsi="Times New Roman" w:cs="Times New Roman"/>
                <w:i/>
                <w:iCs/>
                <w:sz w:val="24"/>
                <w:szCs w:val="24"/>
                <w:lang w:val="en-GB"/>
              </w:rPr>
              <w:t xml:space="preserve">Technological </w:t>
            </w:r>
          </w:p>
        </w:tc>
        <w:tc>
          <w:tcPr>
            <w:tcW w:w="4110" w:type="dxa"/>
            <w:tcMar>
              <w:top w:w="100" w:type="dxa"/>
              <w:left w:w="100" w:type="dxa"/>
              <w:bottom w:w="100" w:type="dxa"/>
              <w:right w:w="100" w:type="dxa"/>
            </w:tcMar>
          </w:tcPr>
          <w:p w14:paraId="0A4A67A2"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BHP implements the </w:t>
            </w:r>
            <w:proofErr w:type="spellStart"/>
            <w:r w:rsidRPr="00EC6423">
              <w:rPr>
                <w:rFonts w:ascii="Times New Roman" w:eastAsia="Times New Roman" w:hAnsi="Times New Roman" w:cs="Times New Roman"/>
                <w:sz w:val="24"/>
                <w:szCs w:val="24"/>
                <w:lang w:val="en-GB"/>
              </w:rPr>
              <w:t>FutureFit</w:t>
            </w:r>
            <w:proofErr w:type="spellEnd"/>
            <w:r w:rsidRPr="00EC6423">
              <w:rPr>
                <w:rFonts w:ascii="Times New Roman" w:eastAsia="Times New Roman" w:hAnsi="Times New Roman" w:cs="Times New Roman"/>
                <w:sz w:val="24"/>
                <w:szCs w:val="24"/>
                <w:lang w:val="en-GB"/>
              </w:rPr>
              <w:t>™ initiative, focusing on automation, artificial intelligence, digital operations and electrification at its mining operations (BHP, 2026).</w:t>
            </w:r>
          </w:p>
        </w:tc>
        <w:tc>
          <w:tcPr>
            <w:tcW w:w="3120" w:type="dxa"/>
            <w:tcMar>
              <w:top w:w="100" w:type="dxa"/>
              <w:left w:w="100" w:type="dxa"/>
              <w:bottom w:w="100" w:type="dxa"/>
              <w:right w:w="100" w:type="dxa"/>
            </w:tcMar>
          </w:tcPr>
          <w:p w14:paraId="637657B0"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b/>
                <w:bCs/>
                <w:i/>
                <w:iCs/>
                <w:sz w:val="24"/>
                <w:szCs w:val="24"/>
                <w:lang w:val="en-GB"/>
              </w:rPr>
              <w:t>Opportunity:</w:t>
            </w:r>
            <w:r w:rsidRPr="00EC6423">
              <w:rPr>
                <w:rFonts w:ascii="Times New Roman" w:eastAsia="Times New Roman" w:hAnsi="Times New Roman" w:cs="Times New Roman"/>
                <w:sz w:val="24"/>
                <w:szCs w:val="24"/>
                <w:lang w:val="en-GB"/>
              </w:rPr>
              <w:t xml:space="preserve"> Emissions reduction, operational efficiency and productivity are enhanced as a result of advanced technologies.</w:t>
            </w:r>
          </w:p>
        </w:tc>
      </w:tr>
      <w:tr w:rsidR="00C43F52" w:rsidRPr="00EC6423" w14:paraId="1EC5E2CD" w14:textId="77777777" w:rsidTr="00A61D17">
        <w:tc>
          <w:tcPr>
            <w:tcW w:w="2130" w:type="dxa"/>
            <w:shd w:val="clear" w:color="auto" w:fill="E5DFEC" w:themeFill="accent4" w:themeFillTint="33"/>
            <w:tcMar>
              <w:top w:w="100" w:type="dxa"/>
              <w:left w:w="100" w:type="dxa"/>
              <w:bottom w:w="100" w:type="dxa"/>
              <w:right w:w="100" w:type="dxa"/>
            </w:tcMar>
          </w:tcPr>
          <w:p w14:paraId="2E35D7BA" w14:textId="77777777" w:rsidR="00C43F52" w:rsidRPr="00A61D17"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i/>
                <w:iCs/>
                <w:sz w:val="24"/>
                <w:szCs w:val="24"/>
                <w:lang w:val="en-GB"/>
              </w:rPr>
            </w:pPr>
            <w:r w:rsidRPr="00A61D17">
              <w:rPr>
                <w:rFonts w:ascii="Times New Roman" w:eastAsia="Times New Roman" w:hAnsi="Times New Roman" w:cs="Times New Roman"/>
                <w:i/>
                <w:iCs/>
                <w:sz w:val="24"/>
                <w:szCs w:val="24"/>
                <w:lang w:val="en-GB"/>
              </w:rPr>
              <w:t>Political</w:t>
            </w:r>
          </w:p>
        </w:tc>
        <w:tc>
          <w:tcPr>
            <w:tcW w:w="4110" w:type="dxa"/>
            <w:tcMar>
              <w:top w:w="100" w:type="dxa"/>
              <w:left w:w="100" w:type="dxa"/>
              <w:bottom w:w="100" w:type="dxa"/>
              <w:right w:w="100" w:type="dxa"/>
            </w:tcMar>
          </w:tcPr>
          <w:p w14:paraId="62A1D156"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The Safeguard Mechanism Reforms (2023) introduce significant changes to the industrial emissions (Gov AU, 2026).</w:t>
            </w:r>
          </w:p>
        </w:tc>
        <w:tc>
          <w:tcPr>
            <w:tcW w:w="3120" w:type="dxa"/>
            <w:tcMar>
              <w:top w:w="100" w:type="dxa"/>
              <w:left w:w="100" w:type="dxa"/>
              <w:bottom w:w="100" w:type="dxa"/>
              <w:right w:w="100" w:type="dxa"/>
            </w:tcMar>
          </w:tcPr>
          <w:p w14:paraId="74E8B71E" w14:textId="27DF4F88"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b/>
                <w:bCs/>
                <w:i/>
                <w:iCs/>
                <w:sz w:val="24"/>
                <w:szCs w:val="24"/>
                <w:lang w:val="en-GB"/>
              </w:rPr>
              <w:t>Opportunity and Threat:</w:t>
            </w:r>
            <w:r w:rsidRPr="00EC6423">
              <w:rPr>
                <w:rFonts w:ascii="Times New Roman" w:eastAsia="Times New Roman" w:hAnsi="Times New Roman" w:cs="Times New Roman"/>
                <w:sz w:val="24"/>
                <w:szCs w:val="24"/>
                <w:lang w:val="en-GB"/>
              </w:rPr>
              <w:t xml:space="preserve"> Compliance with regulations raises investment barriers, </w:t>
            </w:r>
            <w:r w:rsidR="00EC6423" w:rsidRPr="00EC6423">
              <w:rPr>
                <w:rFonts w:ascii="Times New Roman" w:eastAsia="Times New Roman" w:hAnsi="Times New Roman" w:cs="Times New Roman"/>
                <w:sz w:val="24"/>
                <w:szCs w:val="24"/>
                <w:lang w:val="en-GB"/>
              </w:rPr>
              <w:t>however,</w:t>
            </w:r>
            <w:r w:rsidRPr="00EC6423">
              <w:rPr>
                <w:rFonts w:ascii="Times New Roman" w:eastAsia="Times New Roman" w:hAnsi="Times New Roman" w:cs="Times New Roman"/>
                <w:sz w:val="24"/>
                <w:szCs w:val="24"/>
                <w:lang w:val="en-GB"/>
              </w:rPr>
              <w:t xml:space="preserve"> stimulates innovation and improves the corporate reputation.</w:t>
            </w:r>
          </w:p>
        </w:tc>
      </w:tr>
      <w:tr w:rsidR="00C43F52" w:rsidRPr="00EC6423" w14:paraId="1A70502B" w14:textId="77777777" w:rsidTr="00A61D17">
        <w:tc>
          <w:tcPr>
            <w:tcW w:w="2130" w:type="dxa"/>
            <w:shd w:val="clear" w:color="auto" w:fill="E5DFEC" w:themeFill="accent4" w:themeFillTint="33"/>
            <w:tcMar>
              <w:top w:w="100" w:type="dxa"/>
              <w:left w:w="100" w:type="dxa"/>
              <w:bottom w:w="100" w:type="dxa"/>
              <w:right w:w="100" w:type="dxa"/>
            </w:tcMar>
          </w:tcPr>
          <w:p w14:paraId="289A9157" w14:textId="77777777" w:rsidR="00C43F52" w:rsidRPr="00A61D17"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i/>
                <w:iCs/>
                <w:sz w:val="24"/>
                <w:szCs w:val="24"/>
                <w:lang w:val="en-GB"/>
              </w:rPr>
            </w:pPr>
            <w:r w:rsidRPr="00A61D17">
              <w:rPr>
                <w:rFonts w:ascii="Times New Roman" w:eastAsia="Times New Roman" w:hAnsi="Times New Roman" w:cs="Times New Roman"/>
                <w:i/>
                <w:iCs/>
                <w:sz w:val="24"/>
                <w:szCs w:val="24"/>
                <w:lang w:val="en-GB"/>
              </w:rPr>
              <w:t>Cultural</w:t>
            </w:r>
          </w:p>
        </w:tc>
        <w:tc>
          <w:tcPr>
            <w:tcW w:w="4110" w:type="dxa"/>
            <w:tcMar>
              <w:top w:w="100" w:type="dxa"/>
              <w:left w:w="100" w:type="dxa"/>
              <w:bottom w:w="100" w:type="dxa"/>
              <w:right w:w="100" w:type="dxa"/>
            </w:tcMar>
          </w:tcPr>
          <w:p w14:paraId="4CC6794B"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The Task Force on Climate-related Financial Disclosures (TCFD) suggestions and the growing expectations of ESG aspects have a strong impact on investor and stakeholder decision making.</w:t>
            </w:r>
          </w:p>
        </w:tc>
        <w:tc>
          <w:tcPr>
            <w:tcW w:w="3120" w:type="dxa"/>
            <w:tcMar>
              <w:top w:w="100" w:type="dxa"/>
              <w:left w:w="100" w:type="dxa"/>
              <w:bottom w:w="100" w:type="dxa"/>
              <w:right w:w="100" w:type="dxa"/>
            </w:tcMar>
          </w:tcPr>
          <w:p w14:paraId="7527FF0B" w14:textId="77777777" w:rsidR="00C43F52" w:rsidRPr="00EC6423" w:rsidRDefault="003C441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b/>
                <w:bCs/>
                <w:i/>
                <w:iCs/>
                <w:sz w:val="24"/>
                <w:szCs w:val="24"/>
                <w:lang w:val="en-GB"/>
              </w:rPr>
              <w:t>Opportunity:</w:t>
            </w:r>
            <w:r w:rsidRPr="00EC6423">
              <w:rPr>
                <w:rFonts w:ascii="Times New Roman" w:eastAsia="Times New Roman" w:hAnsi="Times New Roman" w:cs="Times New Roman"/>
                <w:sz w:val="24"/>
                <w:szCs w:val="24"/>
                <w:lang w:val="en-GB"/>
              </w:rPr>
              <w:t xml:space="preserve"> Stakeholder trust, investor confidence and brand reputation are enhanced by strong sustainability performance.</w:t>
            </w:r>
          </w:p>
        </w:tc>
      </w:tr>
    </w:tbl>
    <w:p w14:paraId="61C04F2C" w14:textId="77777777" w:rsidR="00C43F52" w:rsidRDefault="003C441E">
      <w:pPr>
        <w:spacing w:line="360" w:lineRule="auto"/>
        <w:jc w:val="center"/>
        <w:rPr>
          <w:rFonts w:ascii="Times New Roman" w:eastAsia="Times New Roman" w:hAnsi="Times New Roman" w:cs="Times New Roman"/>
          <w:b/>
          <w:bCs/>
          <w:sz w:val="24"/>
          <w:szCs w:val="24"/>
          <w:lang w:val="en-GB"/>
        </w:rPr>
      </w:pPr>
      <w:r w:rsidRPr="00EC6423">
        <w:rPr>
          <w:rFonts w:ascii="Times New Roman" w:eastAsia="Times New Roman" w:hAnsi="Times New Roman" w:cs="Times New Roman"/>
          <w:b/>
          <w:bCs/>
          <w:sz w:val="24"/>
          <w:szCs w:val="24"/>
          <w:lang w:val="en-GB"/>
        </w:rPr>
        <w:t>Table 1: Kotler Framework for BHP</w:t>
      </w:r>
    </w:p>
    <w:p w14:paraId="34F58423" w14:textId="44E7A725" w:rsidR="00475C07" w:rsidRPr="00475C07" w:rsidRDefault="00475C07">
      <w:pPr>
        <w:spacing w:line="360" w:lineRule="auto"/>
        <w:jc w:val="center"/>
        <w:rPr>
          <w:rFonts w:ascii="Times New Roman" w:eastAsia="Times New Roman" w:hAnsi="Times New Roman" w:cs="Times New Roman"/>
          <w:sz w:val="24"/>
          <w:szCs w:val="24"/>
          <w:lang w:val="en-GB"/>
        </w:rPr>
      </w:pPr>
      <w:r w:rsidRPr="00475C07">
        <w:rPr>
          <w:rFonts w:ascii="Times New Roman" w:eastAsia="Times New Roman" w:hAnsi="Times New Roman" w:cs="Times New Roman"/>
          <w:sz w:val="24"/>
          <w:szCs w:val="24"/>
          <w:lang w:val="en-GB"/>
        </w:rPr>
        <w:t xml:space="preserve">(Source: Created by author) </w:t>
      </w:r>
    </w:p>
    <w:p w14:paraId="29AA24C0"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This study concentrates on the Natural Environment and the Political Environment as two external marketing factors which impact BHP. These two are chosen because BHP’s external drivers that are influencing its transition to lower carbon products, investment decisions and long-term competitive advantage are predominantly environmental sustainability pressures and climate related regulations.</w:t>
      </w:r>
    </w:p>
    <w:p w14:paraId="7F50A473" w14:textId="77777777" w:rsidR="00C43F52" w:rsidRPr="00EC6423" w:rsidRDefault="003C441E" w:rsidP="00EC6423">
      <w:pPr>
        <w:pStyle w:val="Heading2"/>
      </w:pPr>
      <w:bookmarkStart w:id="3" w:name="_Toc234854822"/>
      <w:r w:rsidRPr="00EC6423">
        <w:t>Analysis of two External Marketing Environment Actors</w:t>
      </w:r>
      <w:bookmarkEnd w:id="3"/>
    </w:p>
    <w:p w14:paraId="53C1D3A6" w14:textId="76AA4B8B" w:rsidR="00C43F52" w:rsidRPr="00EC6423" w:rsidRDefault="00867588">
      <w:pPr>
        <w:spacing w:line="360" w:lineRule="auto"/>
        <w:jc w:val="both"/>
        <w:rPr>
          <w:rFonts w:ascii="Times New Roman" w:eastAsia="Times New Roman" w:hAnsi="Times New Roman" w:cs="Times New Roman"/>
          <w:b/>
          <w:bCs/>
          <w:i/>
          <w:iCs/>
          <w:sz w:val="24"/>
          <w:szCs w:val="24"/>
          <w:lang w:val="en-GB"/>
        </w:rPr>
      </w:pPr>
      <w:r>
        <w:rPr>
          <w:rFonts w:ascii="Times New Roman" w:eastAsia="Times New Roman" w:hAnsi="Times New Roman" w:cs="Times New Roman"/>
          <w:b/>
          <w:bCs/>
          <w:i/>
          <w:iCs/>
          <w:sz w:val="24"/>
          <w:szCs w:val="24"/>
          <w:lang w:val="en-GB"/>
        </w:rPr>
        <w:t>Environmental or Natural</w:t>
      </w:r>
      <w:r w:rsidR="003C441E" w:rsidRPr="00EC6423">
        <w:rPr>
          <w:rFonts w:ascii="Times New Roman" w:eastAsia="Times New Roman" w:hAnsi="Times New Roman" w:cs="Times New Roman"/>
          <w:b/>
          <w:bCs/>
          <w:i/>
          <w:iCs/>
          <w:sz w:val="24"/>
          <w:szCs w:val="24"/>
          <w:lang w:val="en-GB"/>
        </w:rPr>
        <w:t xml:space="preserve"> Environment Actor</w:t>
      </w:r>
    </w:p>
    <w:p w14:paraId="4DE17B85"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The natural environment impacts market demand, operational business decisions and corporate sustainability goals. BHP’s environmental pressures have changed from compliance to drivers which inform the shift to lower carbon products. According to </w:t>
      </w:r>
      <w:r w:rsidRPr="00EC6423">
        <w:rPr>
          <w:rFonts w:ascii="Times New Roman" w:eastAsia="Times New Roman" w:hAnsi="Times New Roman" w:cs="Times New Roman"/>
          <w:sz w:val="24"/>
          <w:szCs w:val="24"/>
          <w:highlight w:val="white"/>
          <w:lang w:val="en-GB"/>
        </w:rPr>
        <w:t xml:space="preserve">Ma </w:t>
      </w:r>
      <w:r w:rsidRPr="00EC6423">
        <w:rPr>
          <w:rFonts w:ascii="Times New Roman" w:eastAsia="Times New Roman" w:hAnsi="Times New Roman" w:cs="Times New Roman"/>
          <w:i/>
          <w:iCs/>
          <w:sz w:val="24"/>
          <w:szCs w:val="24"/>
          <w:highlight w:val="white"/>
          <w:lang w:val="en-GB"/>
        </w:rPr>
        <w:t>et al.</w:t>
      </w:r>
      <w:r w:rsidRPr="00EC6423">
        <w:rPr>
          <w:rFonts w:ascii="Times New Roman" w:eastAsia="Times New Roman" w:hAnsi="Times New Roman" w:cs="Times New Roman"/>
          <w:sz w:val="24"/>
          <w:szCs w:val="24"/>
          <w:highlight w:val="white"/>
          <w:lang w:val="en-GB"/>
        </w:rPr>
        <w:t xml:space="preserve"> </w:t>
      </w:r>
      <w:r w:rsidRPr="00EC6423">
        <w:rPr>
          <w:rFonts w:ascii="Times New Roman" w:eastAsia="Times New Roman" w:hAnsi="Times New Roman" w:cs="Times New Roman"/>
          <w:sz w:val="24"/>
          <w:szCs w:val="24"/>
          <w:lang w:val="en-GB"/>
        </w:rPr>
        <w:t>(2026), the environmental issues can affect operational performance as well as value to customers and positioning of the brand. In order to react to the rising environmental issues, BHP implements the Climate Transition Action Plan (BHP, 2026). It aims to achieve operational GHG emissions (Scopes 1 and 2) as a net zero by 2050 by at least 30% reduction from FY2020 by 2030 (BHP, 2026). These concrete commitments help build BHP’s environmental credibility and foster better relations with its industrial customers and investors who demand minerals responsibly produced. However, it requires significant capital investment in renewable energy, electrification and low carbon technologies, resulting in lower immediate profitability and financial risks.</w:t>
      </w:r>
    </w:p>
    <w:p w14:paraId="5E4C6C97" w14:textId="6F7AB415"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The natural environment also presents a great growth opportunity as the global demand for critical minerals will keep rising because of the increasing renewable energy system. The move to a new way of doing things presents BHP with a golden opportunity to tap into growing global markets with its rich copper, nickel and potash investment portfolio. However, it is subject to the changing commodity prices and changing environmental laws and regulations which may impact ultimate investment performance. Regardless of these opportunities, there are significant environmental issues that still need to be addressed. BHP’s Water Stewardship Strategy enables it to manage its water resources in a responsible manner, minimise the environmental impacts and foster stakeholder confidence (BHP, 2026). </w:t>
      </w:r>
      <w:r w:rsidR="0045681C">
        <w:rPr>
          <w:rFonts w:ascii="Times New Roman" w:eastAsia="Times New Roman" w:hAnsi="Times New Roman" w:cs="Times New Roman"/>
          <w:sz w:val="24"/>
          <w:szCs w:val="24"/>
          <w:lang w:val="en-GB"/>
        </w:rPr>
        <w:t>Hence</w:t>
      </w:r>
      <w:r w:rsidRPr="00EC6423">
        <w:rPr>
          <w:rFonts w:ascii="Times New Roman" w:eastAsia="Times New Roman" w:hAnsi="Times New Roman" w:cs="Times New Roman"/>
          <w:sz w:val="24"/>
          <w:szCs w:val="24"/>
          <w:lang w:val="en-GB"/>
        </w:rPr>
        <w:t xml:space="preserve">, water scarcity, environmental protection needs, and climate changes remain a threat to projects and operations, leading to ongoing need for innovation to maintain project competitiveness. </w:t>
      </w:r>
    </w:p>
    <w:p w14:paraId="34EEBD70" w14:textId="77777777" w:rsidR="00C43F52" w:rsidRPr="00EC6423" w:rsidRDefault="003C441E">
      <w:pPr>
        <w:spacing w:line="360" w:lineRule="auto"/>
        <w:jc w:val="both"/>
        <w:rPr>
          <w:rFonts w:ascii="Times New Roman" w:eastAsia="Times New Roman" w:hAnsi="Times New Roman" w:cs="Times New Roman"/>
          <w:b/>
          <w:bCs/>
          <w:i/>
          <w:iCs/>
          <w:sz w:val="24"/>
          <w:szCs w:val="24"/>
          <w:lang w:val="en-GB"/>
        </w:rPr>
      </w:pPr>
      <w:r w:rsidRPr="00EC6423">
        <w:rPr>
          <w:rFonts w:ascii="Times New Roman" w:eastAsia="Times New Roman" w:hAnsi="Times New Roman" w:cs="Times New Roman"/>
          <w:b/>
          <w:bCs/>
          <w:i/>
          <w:iCs/>
          <w:sz w:val="24"/>
          <w:szCs w:val="24"/>
          <w:lang w:val="en-GB"/>
        </w:rPr>
        <w:t>Political Environment Actor</w:t>
      </w:r>
    </w:p>
    <w:p w14:paraId="45E650B2"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The political environment is another most crucial macro-environmental actor as it has a direct impact on the strategies of businesses and on the competitiveness of markets. Political decisions are becoming part of the investment agenda of operations and the lower carbon products (</w:t>
      </w:r>
      <w:r w:rsidRPr="00EC6423">
        <w:rPr>
          <w:rFonts w:ascii="Times New Roman" w:eastAsia="Times New Roman" w:hAnsi="Times New Roman" w:cs="Times New Roman"/>
          <w:sz w:val="24"/>
          <w:szCs w:val="24"/>
          <w:highlight w:val="white"/>
          <w:lang w:val="en-GB"/>
        </w:rPr>
        <w:t>Samuel, 2025</w:t>
      </w:r>
      <w:r w:rsidRPr="00EC6423">
        <w:rPr>
          <w:rFonts w:ascii="Times New Roman" w:eastAsia="Times New Roman" w:hAnsi="Times New Roman" w:cs="Times New Roman"/>
          <w:sz w:val="24"/>
          <w:szCs w:val="24"/>
          <w:lang w:val="en-GB"/>
        </w:rPr>
        <w:t>). In order to meet stringent climate policies, mining companies are facing the necessity of making their production processes aligned with the new environmental requirements while still staying profitable. The Safeguard Mechanism, a major political tool, allows for the progressive cut of greenhouse gas emissions and adherence to a reduction in emissions set from large industrial facilities (Gov AU, 2026). This policy would incentivise BHP to invest more rapidly in renewable energy (RE) and electrification and operational decarbonisation. The sustainability pledges of BHP help to boost the regulatory compliance and corporate image, however they also demand significant amounts of money, putting pressure on operating costs and capital investments.</w:t>
      </w:r>
    </w:p>
    <w:p w14:paraId="2FB2A2CB" w14:textId="46AA58DE"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The political support for critical minerals also provides great market opportunities. The Critical Minerals Strategy 2023-2030 will boost Australia’s critical supply chains of minerals that are vital for clean energy technologies (IEA, 2026). BHP is one of the world’s biggest producers of copper and </w:t>
      </w:r>
      <w:r w:rsidR="00EC6423" w:rsidRPr="00EC6423">
        <w:rPr>
          <w:rFonts w:ascii="Times New Roman" w:eastAsia="Times New Roman" w:hAnsi="Times New Roman" w:cs="Times New Roman"/>
          <w:sz w:val="24"/>
          <w:szCs w:val="24"/>
          <w:lang w:val="en-GB"/>
        </w:rPr>
        <w:t>nickel and</w:t>
      </w:r>
      <w:r w:rsidRPr="00EC6423">
        <w:rPr>
          <w:rFonts w:ascii="Times New Roman" w:eastAsia="Times New Roman" w:hAnsi="Times New Roman" w:cs="Times New Roman"/>
          <w:sz w:val="24"/>
          <w:szCs w:val="24"/>
          <w:lang w:val="en-GB"/>
        </w:rPr>
        <w:t xml:space="preserve"> is well-positioned to take advantage of government investment and higher international demand (BHP, 2026). However, uncertainty over political changes at the national and local level, such as new trade policies, resource taxation, and environmental legislation, can stall investment decisions and diminish the projects’ profitability. The complexity of regulations and compliance costs are rising, and while government policy can facilitate sustainable innovation and bolster long-term competitiveness, BHP needs to ensure profitability and lower carbon products. In conclusion, the political environment has a significant impact on BHP’s strategic direction as government policies and regulatory frameworks are critical to maintain competitiveness and future growth in the low carbon mining industry.</w:t>
      </w:r>
    </w:p>
    <w:p w14:paraId="731C0F53" w14:textId="77777777" w:rsidR="00C43F52" w:rsidRPr="00EC6423" w:rsidRDefault="003C441E" w:rsidP="00EC6423">
      <w:pPr>
        <w:pStyle w:val="Heading1"/>
      </w:pPr>
      <w:bookmarkStart w:id="4" w:name="_Toc234854823"/>
      <w:r w:rsidRPr="00EC6423">
        <w:t>Task 2: Strategic Growth and Competitive Positioning</w:t>
      </w:r>
      <w:bookmarkEnd w:id="4"/>
    </w:p>
    <w:p w14:paraId="1684CB3B" w14:textId="77777777" w:rsidR="00C43F52" w:rsidRPr="00EC6423" w:rsidRDefault="003C441E" w:rsidP="00EC6423">
      <w:pPr>
        <w:pStyle w:val="Heading2"/>
      </w:pPr>
      <w:bookmarkStart w:id="5" w:name="_Toc234854824"/>
      <w:r w:rsidRPr="00EC6423">
        <w:t>Building on environmental analysis, recommend a strategic growth approach for the company using the Ansoff Matrix</w:t>
      </w:r>
      <w:bookmarkEnd w:id="5"/>
    </w:p>
    <w:p w14:paraId="00ACB9AA" w14:textId="77777777" w:rsidR="00EC6423" w:rsidRDefault="00EC6423" w:rsidP="00EC6423">
      <w:pPr>
        <w:pStyle w:val="NormalWeb"/>
        <w:spacing w:before="0" w:beforeAutospacing="0" w:after="0" w:afterAutospacing="0" w:line="360" w:lineRule="auto"/>
        <w:jc w:val="both"/>
      </w:pPr>
      <w:r>
        <w:rPr>
          <w:color w:val="000000"/>
        </w:rPr>
        <w:t>The Ansoff Matrix is a strategic tool which can be used to help organisations recognise growth opportunities, which is oriented within the intersection of existing and new products and existing and new markets. The Ansoff Matrix framework includes four strategic alternatives, such as, market penetration, market development, product development and diversification (Aditiya and Kirana, 2025). Additionally, product development is the most suitable approach for BHP as it addresses a growing demand for lower-carbon minerals and sustainable resource solutions while meeting traditional global mining customers' needs. BHP can instead expand its market footprint by creating more low-carbon products and low-carbon production processes to meet changing environmental requirements.</w:t>
      </w:r>
    </w:p>
    <w:p w14:paraId="7D5B60F5" w14:textId="12E74408" w:rsidR="00EC6423" w:rsidRDefault="00EC6423" w:rsidP="00EC6423">
      <w:pPr>
        <w:pStyle w:val="NormalWeb"/>
        <w:spacing w:before="0" w:beforeAutospacing="0" w:after="0" w:afterAutospacing="0" w:line="360" w:lineRule="auto"/>
        <w:jc w:val="center"/>
      </w:pPr>
      <w:r>
        <w:rPr>
          <w:b/>
          <w:bCs/>
          <w:noProof/>
          <w:lang w:val="en-GB"/>
        </w:rPr>
        <w:drawing>
          <wp:inline distT="0" distB="0" distL="0" distR="0" wp14:anchorId="36DE13DC" wp14:editId="0C310907">
            <wp:extent cx="4972050" cy="2915339"/>
            <wp:effectExtent l="19050" t="19050" r="19050"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6483" cy="2917938"/>
                    </a:xfrm>
                    <a:prstGeom prst="rect">
                      <a:avLst/>
                    </a:prstGeom>
                    <a:noFill/>
                    <a:ln>
                      <a:solidFill>
                        <a:schemeClr val="tx1"/>
                      </a:solidFill>
                    </a:ln>
                  </pic:spPr>
                </pic:pic>
              </a:graphicData>
            </a:graphic>
          </wp:inline>
        </w:drawing>
      </w:r>
    </w:p>
    <w:p w14:paraId="35A38BAB" w14:textId="77777777" w:rsidR="00EC6423" w:rsidRDefault="00EC6423" w:rsidP="00EC6423">
      <w:pPr>
        <w:pStyle w:val="NormalWeb"/>
        <w:spacing w:before="0" w:beforeAutospacing="0" w:after="0" w:afterAutospacing="0" w:line="360" w:lineRule="auto"/>
        <w:jc w:val="center"/>
      </w:pPr>
      <w:r>
        <w:rPr>
          <w:b/>
          <w:bCs/>
          <w:color w:val="000000"/>
        </w:rPr>
        <w:t>Figure 1: The Ansoff Matrix</w:t>
      </w:r>
    </w:p>
    <w:p w14:paraId="5E31FD74" w14:textId="77777777" w:rsidR="00EC6423" w:rsidRDefault="00EC6423" w:rsidP="00EC6423">
      <w:pPr>
        <w:pStyle w:val="NormalWeb"/>
        <w:spacing w:before="0" w:beforeAutospacing="0" w:after="0" w:afterAutospacing="0" w:line="360" w:lineRule="auto"/>
        <w:jc w:val="center"/>
      </w:pPr>
      <w:r>
        <w:rPr>
          <w:color w:val="000000"/>
        </w:rPr>
        <w:t>(Source: Influenced by Aditiya and Kirana, 2025)</w:t>
      </w:r>
    </w:p>
    <w:p w14:paraId="3ED53F48" w14:textId="77777777" w:rsidR="00EC6423" w:rsidRDefault="00EC6423" w:rsidP="00EC6423">
      <w:pPr>
        <w:pStyle w:val="NormalWeb"/>
        <w:spacing w:before="0" w:beforeAutospacing="0" w:after="0" w:afterAutospacing="0" w:line="360" w:lineRule="auto"/>
        <w:jc w:val="both"/>
      </w:pPr>
      <w:r>
        <w:rPr>
          <w:b/>
          <w:bCs/>
          <w:i/>
          <w:iCs/>
          <w:color w:val="000000"/>
          <w:u w:val="single"/>
        </w:rPr>
        <w:t>Product Development Strategy for Lower-Carbon Products </w:t>
      </w:r>
    </w:p>
    <w:p w14:paraId="15E97577" w14:textId="77777777" w:rsidR="00EC6423" w:rsidRDefault="00EC6423" w:rsidP="00EC6423">
      <w:pPr>
        <w:pStyle w:val="NormalWeb"/>
        <w:spacing w:before="0" w:beforeAutospacing="0" w:after="0" w:afterAutospacing="0" w:line="360" w:lineRule="auto"/>
        <w:jc w:val="both"/>
      </w:pPr>
      <w:r>
        <w:rPr>
          <w:color w:val="000000"/>
        </w:rPr>
        <w:t xml:space="preserve">Product development is the introduction of new or improved products to an existing market. Unlike most of the other strategies, the BHP position is strengthened by its supply of key minerals like copper, iron ore and nickel to existing industrial customers, as well as potash. BHP has pledged to </w:t>
      </w:r>
      <w:r>
        <w:rPr>
          <w:b/>
          <w:bCs/>
          <w:i/>
          <w:iCs/>
          <w:color w:val="000000"/>
        </w:rPr>
        <w:t>reach scope 1 and 2 (operational GHG) net zero by 205</w:t>
      </w:r>
      <w:r>
        <w:rPr>
          <w:color w:val="000000"/>
        </w:rPr>
        <w:t>0 and at</w:t>
      </w:r>
      <w:r>
        <w:rPr>
          <w:b/>
          <w:bCs/>
          <w:i/>
          <w:iCs/>
          <w:color w:val="000000"/>
        </w:rPr>
        <w:t xml:space="preserve"> least 30% reduction from 2020 emissions by 2030</w:t>
      </w:r>
      <w:r>
        <w:rPr>
          <w:color w:val="000000"/>
        </w:rPr>
        <w:t xml:space="preserve"> in accordance with their Climate Transition Action Plan (BHP, 2022). Through these environmental pledges, BHP brings operational changes to create products that can be developed with lower carbon footprints and satisfy customer and regulatory requirements. The increasing demand for products around the world reinforces the need for product development. </w:t>
      </w:r>
      <w:r>
        <w:rPr>
          <w:b/>
          <w:bCs/>
          <w:i/>
          <w:iCs/>
          <w:color w:val="000000"/>
        </w:rPr>
        <w:t>The International Energy Agency projects</w:t>
      </w:r>
      <w:r>
        <w:rPr>
          <w:color w:val="000000"/>
        </w:rPr>
        <w:t xml:space="preserve"> a need for critical minerals to grow almost 3.5 times by 2030 as demand for these is needed in clean energy technologies to reach global net-zero emissions (IEA, 2026). Additionally, the rise in demand for electric vehicles is projected to increase copper demand by approximately 2.5 times compared with internal combustion engine vehicles, and there is also a significant demand for copper in renewable electricity networks (CNBC, 2022). Thus, BHP can grow its range of responsibly sourced transition metals and provide its current customers with a better and more efficient service.</w:t>
      </w:r>
    </w:p>
    <w:p w14:paraId="384C1492" w14:textId="77777777" w:rsidR="00EC6423" w:rsidRDefault="00EC6423" w:rsidP="00EC6423">
      <w:pPr>
        <w:pStyle w:val="NormalWeb"/>
        <w:spacing w:before="0" w:beforeAutospacing="0" w:after="0" w:afterAutospacing="0" w:line="360" w:lineRule="auto"/>
        <w:jc w:val="both"/>
      </w:pPr>
      <w:r>
        <w:rPr>
          <w:b/>
          <w:bCs/>
          <w:i/>
          <w:iCs/>
          <w:color w:val="000000"/>
          <w:u w:val="single"/>
        </w:rPr>
        <w:t>Implementation Priorities</w:t>
      </w:r>
    </w:p>
    <w:p w14:paraId="59BE03AC" w14:textId="77777777" w:rsidR="00EC6423" w:rsidRDefault="00EC6423" w:rsidP="00EC6423">
      <w:pPr>
        <w:pStyle w:val="NormalWeb"/>
        <w:spacing w:before="0" w:beforeAutospacing="0" w:after="0" w:afterAutospacing="0" w:line="360" w:lineRule="auto"/>
        <w:jc w:val="both"/>
      </w:pPr>
      <w:r>
        <w:rPr>
          <w:b/>
          <w:bCs/>
          <w:i/>
          <w:iCs/>
          <w:color w:val="000000"/>
        </w:rPr>
        <w:t>Development of lower carbon mineral products</w:t>
      </w:r>
    </w:p>
    <w:p w14:paraId="699FC722" w14:textId="77777777" w:rsidR="00EC6423" w:rsidRDefault="00EC6423" w:rsidP="00EC6423">
      <w:pPr>
        <w:pStyle w:val="NormalWeb"/>
        <w:spacing w:before="0" w:beforeAutospacing="0" w:after="0" w:afterAutospacing="0" w:line="360" w:lineRule="auto"/>
        <w:jc w:val="both"/>
      </w:pPr>
      <w:r>
        <w:rPr>
          <w:color w:val="000000"/>
        </w:rPr>
        <w:t>BHP should persist in investment in technologies to lower emissions associated with extraction and processing processes, such as electrification of mines, integration of renewable electricity and hydrogen in industrial processes. Such investments deliver environmental benefits to the product and make it more appealing to producers looking to have low-carbon supply chains.</w:t>
      </w:r>
    </w:p>
    <w:p w14:paraId="31A7418A" w14:textId="77777777" w:rsidR="00EC6423" w:rsidRDefault="00EC6423" w:rsidP="00EC6423">
      <w:pPr>
        <w:pStyle w:val="NormalWeb"/>
        <w:spacing w:before="0" w:beforeAutospacing="0" w:after="0" w:afterAutospacing="0" w:line="360" w:lineRule="auto"/>
        <w:jc w:val="both"/>
      </w:pPr>
      <w:r>
        <w:rPr>
          <w:b/>
          <w:bCs/>
          <w:i/>
          <w:iCs/>
          <w:color w:val="000000"/>
        </w:rPr>
        <w:t>Increase in renewables infrastructure</w:t>
      </w:r>
    </w:p>
    <w:p w14:paraId="788A0AF8" w14:textId="77777777" w:rsidR="00EC6423" w:rsidRDefault="00EC6423" w:rsidP="00EC6423">
      <w:pPr>
        <w:pStyle w:val="NormalWeb"/>
        <w:spacing w:before="0" w:beforeAutospacing="0" w:after="0" w:afterAutospacing="0" w:line="360" w:lineRule="auto"/>
        <w:jc w:val="both"/>
      </w:pPr>
      <w:r>
        <w:rPr>
          <w:color w:val="000000"/>
        </w:rPr>
        <w:t>Renewables today are making a growing contribution to the electricity supply in mining. A growth in solar, wind and battery storage activities throughout all Australian operations would shorten the long-term energy cost and mitigate the risk of fossil fuel price volatility, whilst lowering operating emissions.</w:t>
      </w:r>
    </w:p>
    <w:p w14:paraId="62D3C301" w14:textId="77777777" w:rsidR="00EC6423" w:rsidRDefault="00EC6423" w:rsidP="00EC6423">
      <w:pPr>
        <w:pStyle w:val="NormalWeb"/>
        <w:spacing w:before="0" w:beforeAutospacing="0" w:after="0" w:afterAutospacing="0" w:line="360" w:lineRule="auto"/>
        <w:jc w:val="both"/>
      </w:pPr>
      <w:r>
        <w:rPr>
          <w:b/>
          <w:bCs/>
          <w:i/>
          <w:iCs/>
          <w:color w:val="000000"/>
        </w:rPr>
        <w:t>Business alliances to produce green steel</w:t>
      </w:r>
    </w:p>
    <w:p w14:paraId="70ECE164" w14:textId="77777777" w:rsidR="00EC6423" w:rsidRDefault="00EC6423" w:rsidP="00EC6423">
      <w:pPr>
        <w:pStyle w:val="NormalWeb"/>
        <w:spacing w:before="0" w:beforeAutospacing="0" w:after="0" w:afterAutospacing="0" w:line="360" w:lineRule="auto"/>
        <w:jc w:val="both"/>
      </w:pPr>
      <w:r>
        <w:rPr>
          <w:color w:val="000000"/>
        </w:rPr>
        <w:t xml:space="preserve">BHP already has partnerships with key steel makers, such as China’s </w:t>
      </w:r>
      <w:proofErr w:type="spellStart"/>
      <w:r>
        <w:rPr>
          <w:color w:val="000000"/>
        </w:rPr>
        <w:t>Baowu</w:t>
      </w:r>
      <w:proofErr w:type="spellEnd"/>
      <w:r>
        <w:rPr>
          <w:color w:val="000000"/>
        </w:rPr>
        <w:t xml:space="preserve"> Steel Group, HBIS Group, South Korea’s POSCO and JFE Steel to help advance low-carbon steel making technologies (BHP, 2026). This expansion of these partnerships will provide the company the opportunity to produce high-quality low-carbon iron ore products that will add value for customers and help decarbonise the steel industry, which emits the majority of the world's carbon dioxide emissions.</w:t>
      </w:r>
    </w:p>
    <w:p w14:paraId="4A8FA5F9" w14:textId="77777777" w:rsidR="00EC6423" w:rsidRDefault="00EC6423" w:rsidP="00EC6423">
      <w:pPr>
        <w:pStyle w:val="NormalWeb"/>
        <w:spacing w:before="0" w:beforeAutospacing="0" w:after="0" w:afterAutospacing="0" w:line="360" w:lineRule="auto"/>
        <w:jc w:val="both"/>
      </w:pPr>
      <w:r>
        <w:rPr>
          <w:b/>
          <w:bCs/>
          <w:i/>
          <w:iCs/>
          <w:color w:val="000000"/>
        </w:rPr>
        <w:t>Strategic benefits and competitive positioning</w:t>
      </w:r>
    </w:p>
    <w:p w14:paraId="7F755572" w14:textId="74EEFF98" w:rsidR="00C43F52" w:rsidRPr="00EC6423" w:rsidRDefault="00EC6423" w:rsidP="00EC6423">
      <w:pPr>
        <w:pStyle w:val="NormalWeb"/>
        <w:spacing w:before="0" w:beforeAutospacing="0" w:after="0" w:afterAutospacing="0" w:line="360" w:lineRule="auto"/>
        <w:jc w:val="both"/>
      </w:pPr>
      <w:r>
        <w:rPr>
          <w:color w:val="000000"/>
        </w:rPr>
        <w:t xml:space="preserve">The proposed product development strategy allows BHP to enhance its competitive advantage by being innovative, sustainable, and aiming towards customer relationships in the long run. Making lower carbon mineral products sets the company apart from others which still heavily depend on traditional mining (Hodge </w:t>
      </w:r>
      <w:r>
        <w:rPr>
          <w:i/>
          <w:iCs/>
          <w:color w:val="000000"/>
        </w:rPr>
        <w:t xml:space="preserve">et al. </w:t>
      </w:r>
      <w:r>
        <w:rPr>
          <w:color w:val="000000"/>
        </w:rPr>
        <w:t>2022). BHP's Environmental, Social and Governance (ESG) profile is further enhanced by its strong environmental performance, making it more appealing to institutional investors, governments and multinational manufacturers who are increasingly focusing on sustainable sourcing. Additionally, the introduction of ‘environmentally differentiated products' allows it to capture premium prices and to increase customer loyalty in already established markets. Demand for responsibly sourced minerals is likely to continue to grow as governments tighten carbon regulations, and companies pledge to achieve zero-carbon supply chains. Thus, the product development aspect can be a viable, evidence-based growth strategy for BHP that will help drive commercial expansion and enhance market competitiveness. </w:t>
      </w:r>
    </w:p>
    <w:p w14:paraId="535BED66" w14:textId="7DE264DD" w:rsidR="00C43F52" w:rsidRPr="00EC6423" w:rsidRDefault="003C441E" w:rsidP="00EC6423">
      <w:pPr>
        <w:pStyle w:val="Heading2"/>
        <w:rPr>
          <w:color w:val="FF0000"/>
        </w:rPr>
      </w:pPr>
      <w:bookmarkStart w:id="6" w:name="_Toc234854825"/>
      <w:r w:rsidRPr="00EC6423">
        <w:t xml:space="preserve">Proposing </w:t>
      </w:r>
      <w:r w:rsidR="00867588">
        <w:t>the ways</w:t>
      </w:r>
      <w:r w:rsidRPr="00EC6423">
        <w:t xml:space="preserve"> organisation can achieve competitive advantages while transitioning to a lower-carbon business model.</w:t>
      </w:r>
      <w:bookmarkEnd w:id="6"/>
    </w:p>
    <w:p w14:paraId="08AF4CFB" w14:textId="77777777" w:rsidR="00C43F52" w:rsidRPr="00EC6423" w:rsidRDefault="003C441E">
      <w:pPr>
        <w:spacing w:line="360" w:lineRule="auto"/>
        <w:jc w:val="both"/>
        <w:rPr>
          <w:rFonts w:ascii="Times New Roman" w:eastAsia="Times New Roman" w:hAnsi="Times New Roman" w:cs="Times New Roman"/>
          <w:color w:val="222222"/>
          <w:sz w:val="24"/>
          <w:szCs w:val="24"/>
          <w:highlight w:val="white"/>
          <w:lang w:val="en-GB"/>
        </w:rPr>
      </w:pPr>
      <w:r w:rsidRPr="00EC6423">
        <w:rPr>
          <w:rFonts w:ascii="Times New Roman" w:eastAsia="Times New Roman" w:hAnsi="Times New Roman" w:cs="Times New Roman"/>
          <w:sz w:val="24"/>
          <w:szCs w:val="24"/>
          <w:lang w:val="en-GB"/>
        </w:rPr>
        <w:t xml:space="preserve">Implementing Porter’s Generic Strategies seems to be advantageous for BHP in enhancing its competitive edge through the development and integration of a lower-carbon business model. In accordance with the statement of </w:t>
      </w:r>
      <w:r w:rsidRPr="00EC6423">
        <w:rPr>
          <w:rFonts w:ascii="Times New Roman" w:eastAsia="Times New Roman" w:hAnsi="Times New Roman" w:cs="Times New Roman"/>
          <w:color w:val="222222"/>
          <w:sz w:val="24"/>
          <w:szCs w:val="24"/>
          <w:highlight w:val="white"/>
          <w:lang w:val="en-GB"/>
        </w:rPr>
        <w:t xml:space="preserve">Ștefan </w:t>
      </w:r>
      <w:r w:rsidRPr="00EC6423">
        <w:rPr>
          <w:rFonts w:ascii="Times New Roman" w:eastAsia="Times New Roman" w:hAnsi="Times New Roman" w:cs="Times New Roman"/>
          <w:i/>
          <w:iCs/>
          <w:color w:val="222222"/>
          <w:sz w:val="24"/>
          <w:szCs w:val="24"/>
          <w:highlight w:val="white"/>
          <w:lang w:val="en-GB"/>
        </w:rPr>
        <w:t xml:space="preserve">et al. </w:t>
      </w:r>
      <w:r w:rsidRPr="00EC6423">
        <w:rPr>
          <w:rFonts w:ascii="Times New Roman" w:eastAsia="Times New Roman" w:hAnsi="Times New Roman" w:cs="Times New Roman"/>
          <w:color w:val="222222"/>
          <w:sz w:val="24"/>
          <w:szCs w:val="24"/>
          <w:highlight w:val="white"/>
          <w:lang w:val="en-GB"/>
        </w:rPr>
        <w:t>(2023), cost leadership, differentiation and focus are the core dimensions of Porter’s Generic Strategies. Hereby, the key strategies in relevance to enhancing BHP’s competitive advantages are as follows:</w:t>
      </w:r>
    </w:p>
    <w:p w14:paraId="4828F460" w14:textId="77777777" w:rsidR="00C43F52" w:rsidRPr="00EC6423" w:rsidRDefault="003C441E">
      <w:pPr>
        <w:spacing w:line="360" w:lineRule="auto"/>
        <w:jc w:val="center"/>
        <w:rPr>
          <w:rFonts w:ascii="Times New Roman" w:eastAsia="Times New Roman" w:hAnsi="Times New Roman" w:cs="Times New Roman"/>
          <w:color w:val="222222"/>
          <w:sz w:val="24"/>
          <w:szCs w:val="24"/>
          <w:highlight w:val="white"/>
          <w:lang w:val="en-GB"/>
        </w:rPr>
      </w:pPr>
      <w:r w:rsidRPr="00EC6423">
        <w:rPr>
          <w:rFonts w:ascii="Times New Roman" w:eastAsia="Times New Roman" w:hAnsi="Times New Roman" w:cs="Times New Roman"/>
          <w:noProof/>
          <w:color w:val="222222"/>
          <w:sz w:val="24"/>
          <w:szCs w:val="24"/>
          <w:highlight w:val="white"/>
          <w:lang w:val="en-GB"/>
        </w:rPr>
        <w:drawing>
          <wp:inline distT="114300" distB="114300" distL="114300" distR="114300" wp14:anchorId="06F7EFE5" wp14:editId="70BAD7AA">
            <wp:extent cx="3907931" cy="30241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07931" cy="3024188"/>
                    </a:xfrm>
                    <a:prstGeom prst="rect">
                      <a:avLst/>
                    </a:prstGeom>
                    <a:ln/>
                  </pic:spPr>
                </pic:pic>
              </a:graphicData>
            </a:graphic>
          </wp:inline>
        </w:drawing>
      </w:r>
    </w:p>
    <w:p w14:paraId="6633F3BE" w14:textId="29122045" w:rsidR="00C43F52" w:rsidRPr="00EC6423" w:rsidRDefault="003C441E">
      <w:pPr>
        <w:spacing w:line="360" w:lineRule="auto"/>
        <w:jc w:val="center"/>
        <w:rPr>
          <w:rFonts w:ascii="Times New Roman" w:eastAsia="Times New Roman" w:hAnsi="Times New Roman" w:cs="Times New Roman"/>
          <w:b/>
          <w:bCs/>
          <w:color w:val="222222"/>
          <w:sz w:val="24"/>
          <w:szCs w:val="24"/>
          <w:highlight w:val="white"/>
          <w:lang w:val="en-GB"/>
        </w:rPr>
      </w:pPr>
      <w:r w:rsidRPr="00EC6423">
        <w:rPr>
          <w:rFonts w:ascii="Times New Roman" w:eastAsia="Times New Roman" w:hAnsi="Times New Roman" w:cs="Times New Roman"/>
          <w:b/>
          <w:bCs/>
          <w:color w:val="222222"/>
          <w:sz w:val="24"/>
          <w:szCs w:val="24"/>
          <w:highlight w:val="white"/>
          <w:lang w:val="en-GB"/>
        </w:rPr>
        <w:t xml:space="preserve">Figure </w:t>
      </w:r>
      <w:r w:rsidR="00EC6423">
        <w:rPr>
          <w:rFonts w:ascii="Times New Roman" w:eastAsia="Times New Roman" w:hAnsi="Times New Roman" w:cs="Times New Roman"/>
          <w:b/>
          <w:bCs/>
          <w:color w:val="222222"/>
          <w:sz w:val="24"/>
          <w:szCs w:val="24"/>
          <w:highlight w:val="white"/>
          <w:lang w:val="en-GB"/>
        </w:rPr>
        <w:t>2</w:t>
      </w:r>
      <w:r w:rsidRPr="00EC6423">
        <w:rPr>
          <w:rFonts w:ascii="Times New Roman" w:eastAsia="Times New Roman" w:hAnsi="Times New Roman" w:cs="Times New Roman"/>
          <w:b/>
          <w:bCs/>
          <w:color w:val="222222"/>
          <w:sz w:val="24"/>
          <w:szCs w:val="24"/>
          <w:highlight w:val="white"/>
          <w:lang w:val="en-GB"/>
        </w:rPr>
        <w:t>: Overview of the core elements of Porter’s Generic Strategies</w:t>
      </w:r>
    </w:p>
    <w:p w14:paraId="721ABD4D" w14:textId="06042095" w:rsidR="00C43F52" w:rsidRPr="00EC6423" w:rsidRDefault="003C441E">
      <w:pPr>
        <w:spacing w:line="360" w:lineRule="auto"/>
        <w:jc w:val="center"/>
        <w:rPr>
          <w:rFonts w:ascii="Times New Roman" w:eastAsia="Times New Roman" w:hAnsi="Times New Roman" w:cs="Times New Roman"/>
          <w:color w:val="222222"/>
          <w:sz w:val="24"/>
          <w:szCs w:val="24"/>
          <w:highlight w:val="white"/>
          <w:lang w:val="en-GB"/>
        </w:rPr>
      </w:pPr>
      <w:r w:rsidRPr="00EC6423">
        <w:rPr>
          <w:rFonts w:ascii="Times New Roman" w:eastAsia="Times New Roman" w:hAnsi="Times New Roman" w:cs="Times New Roman"/>
          <w:color w:val="222222"/>
          <w:sz w:val="24"/>
          <w:szCs w:val="24"/>
          <w:highlight w:val="white"/>
          <w:lang w:val="en-GB"/>
        </w:rPr>
        <w:t xml:space="preserve">(Source: Influenced by Ștefan </w:t>
      </w:r>
      <w:r w:rsidRPr="00EC6423">
        <w:rPr>
          <w:rFonts w:ascii="Times New Roman" w:eastAsia="Times New Roman" w:hAnsi="Times New Roman" w:cs="Times New Roman"/>
          <w:i/>
          <w:iCs/>
          <w:color w:val="222222"/>
          <w:sz w:val="24"/>
          <w:szCs w:val="24"/>
          <w:highlight w:val="white"/>
          <w:lang w:val="en-GB"/>
        </w:rPr>
        <w:t xml:space="preserve">et al. </w:t>
      </w:r>
      <w:r w:rsidRPr="00EC6423">
        <w:rPr>
          <w:rFonts w:ascii="Times New Roman" w:eastAsia="Times New Roman" w:hAnsi="Times New Roman" w:cs="Times New Roman"/>
          <w:color w:val="222222"/>
          <w:sz w:val="24"/>
          <w:szCs w:val="24"/>
          <w:highlight w:val="white"/>
          <w:lang w:val="en-GB"/>
        </w:rPr>
        <w:t>2023)</w:t>
      </w:r>
    </w:p>
    <w:p w14:paraId="06DD27CA" w14:textId="77777777" w:rsidR="00C43F52" w:rsidRPr="00EC6423" w:rsidRDefault="003C441E">
      <w:pPr>
        <w:spacing w:line="360" w:lineRule="auto"/>
        <w:jc w:val="both"/>
        <w:rPr>
          <w:rFonts w:ascii="Times New Roman" w:eastAsia="Times New Roman" w:hAnsi="Times New Roman" w:cs="Times New Roman"/>
          <w:b/>
          <w:bCs/>
          <w:i/>
          <w:iCs/>
          <w:color w:val="222222"/>
          <w:sz w:val="24"/>
          <w:szCs w:val="24"/>
          <w:highlight w:val="white"/>
          <w:lang w:val="en-GB"/>
        </w:rPr>
      </w:pPr>
      <w:r w:rsidRPr="00EC6423">
        <w:rPr>
          <w:rFonts w:ascii="Times New Roman" w:eastAsia="Times New Roman" w:hAnsi="Times New Roman" w:cs="Times New Roman"/>
          <w:b/>
          <w:bCs/>
          <w:i/>
          <w:iCs/>
          <w:color w:val="222222"/>
          <w:sz w:val="24"/>
          <w:szCs w:val="24"/>
          <w:highlight w:val="white"/>
          <w:lang w:val="en-GB"/>
        </w:rPr>
        <w:t>Cost Leadership</w:t>
      </w:r>
    </w:p>
    <w:p w14:paraId="6D4C2AC0" w14:textId="77777777" w:rsidR="00C43F52" w:rsidRPr="00EC6423" w:rsidRDefault="003C441E">
      <w:pPr>
        <w:spacing w:line="360" w:lineRule="auto"/>
        <w:jc w:val="both"/>
        <w:rPr>
          <w:rFonts w:ascii="Times New Roman" w:eastAsia="Times New Roman" w:hAnsi="Times New Roman" w:cs="Times New Roman"/>
          <w:color w:val="222222"/>
          <w:sz w:val="24"/>
          <w:szCs w:val="24"/>
          <w:highlight w:val="white"/>
          <w:lang w:val="en-GB"/>
        </w:rPr>
      </w:pPr>
      <w:r w:rsidRPr="00EC6423">
        <w:rPr>
          <w:rFonts w:ascii="Times New Roman" w:eastAsia="Times New Roman" w:hAnsi="Times New Roman" w:cs="Times New Roman"/>
          <w:color w:val="222222"/>
          <w:sz w:val="24"/>
          <w:szCs w:val="24"/>
          <w:highlight w:val="white"/>
          <w:lang w:val="en-GB"/>
        </w:rPr>
        <w:t xml:space="preserve">Implementing cost leadership can help BHP to gain competitive advantages by offering carbon-free services to clients at lower prices as compared to its competitors. As per the opinion of Gartner </w:t>
      </w:r>
      <w:r w:rsidRPr="00EC6423">
        <w:rPr>
          <w:rFonts w:ascii="Times New Roman" w:eastAsia="Times New Roman" w:hAnsi="Times New Roman" w:cs="Times New Roman"/>
          <w:i/>
          <w:iCs/>
          <w:color w:val="222222"/>
          <w:sz w:val="24"/>
          <w:szCs w:val="24"/>
          <w:highlight w:val="white"/>
          <w:lang w:val="en-GB"/>
        </w:rPr>
        <w:t xml:space="preserve">et al. </w:t>
      </w:r>
      <w:r w:rsidRPr="00EC6423">
        <w:rPr>
          <w:rFonts w:ascii="Times New Roman" w:eastAsia="Times New Roman" w:hAnsi="Times New Roman" w:cs="Times New Roman"/>
          <w:color w:val="222222"/>
          <w:sz w:val="24"/>
          <w:szCs w:val="24"/>
          <w:highlight w:val="white"/>
          <w:lang w:val="en-GB"/>
        </w:rPr>
        <w:t xml:space="preserve">(2024), the adoption of cost leadership practices enables business firms to lower costs and positively offer competitive prices to consumers. In this regard, BHP might look forward to embracing the cost leadership approach to implement its lower-carbon business model and attract new consumers through the implementation of Porter’s Generic Strategies. Thus, leveraging Porter’s Generic Strategies seems to be favourable for BHP in the context of gaining competitive advantages by lowering service prices in an effective manner.  </w:t>
      </w:r>
    </w:p>
    <w:p w14:paraId="1E10F4B3" w14:textId="77777777" w:rsidR="00C43F52" w:rsidRPr="00EC6423" w:rsidRDefault="003C441E">
      <w:pPr>
        <w:spacing w:line="360" w:lineRule="auto"/>
        <w:jc w:val="both"/>
        <w:rPr>
          <w:rFonts w:ascii="Times New Roman" w:eastAsia="Times New Roman" w:hAnsi="Times New Roman" w:cs="Times New Roman"/>
          <w:b/>
          <w:bCs/>
          <w:i/>
          <w:iCs/>
          <w:color w:val="222222"/>
          <w:sz w:val="24"/>
          <w:szCs w:val="24"/>
          <w:highlight w:val="white"/>
          <w:lang w:val="en-GB"/>
        </w:rPr>
      </w:pPr>
      <w:r w:rsidRPr="00EC6423">
        <w:rPr>
          <w:rFonts w:ascii="Times New Roman" w:eastAsia="Times New Roman" w:hAnsi="Times New Roman" w:cs="Times New Roman"/>
          <w:b/>
          <w:bCs/>
          <w:i/>
          <w:iCs/>
          <w:color w:val="222222"/>
          <w:sz w:val="24"/>
          <w:szCs w:val="24"/>
          <w:highlight w:val="white"/>
          <w:lang w:val="en-GB"/>
        </w:rPr>
        <w:t>Differentiation</w:t>
      </w:r>
    </w:p>
    <w:p w14:paraId="0B882EB4" w14:textId="77777777" w:rsidR="00C43F52" w:rsidRPr="00EC6423" w:rsidRDefault="003C441E">
      <w:pPr>
        <w:spacing w:line="360" w:lineRule="auto"/>
        <w:jc w:val="both"/>
        <w:rPr>
          <w:rFonts w:ascii="Times New Roman" w:eastAsia="Times New Roman" w:hAnsi="Times New Roman" w:cs="Times New Roman"/>
          <w:color w:val="222222"/>
          <w:sz w:val="24"/>
          <w:szCs w:val="24"/>
          <w:highlight w:val="white"/>
          <w:lang w:val="en-GB"/>
        </w:rPr>
      </w:pPr>
      <w:r w:rsidRPr="00EC6423">
        <w:rPr>
          <w:rFonts w:ascii="Times New Roman" w:eastAsia="Times New Roman" w:hAnsi="Times New Roman" w:cs="Times New Roman"/>
          <w:color w:val="222222"/>
          <w:sz w:val="24"/>
          <w:szCs w:val="24"/>
          <w:highlight w:val="white"/>
          <w:lang w:val="en-GB"/>
        </w:rPr>
        <w:t xml:space="preserve">Implementing the lower-carbon business model is likely to be a major differentiation strategy for BHP, which might enable the organisation to enhance its competitiveness by attracting the interest of consumers. Based on the depiction of de Oliveira Lima </w:t>
      </w:r>
      <w:r w:rsidRPr="00EC6423">
        <w:rPr>
          <w:rFonts w:ascii="Times New Roman" w:eastAsia="Times New Roman" w:hAnsi="Times New Roman" w:cs="Times New Roman"/>
          <w:i/>
          <w:iCs/>
          <w:color w:val="222222"/>
          <w:sz w:val="24"/>
          <w:szCs w:val="24"/>
          <w:highlight w:val="white"/>
          <w:lang w:val="en-GB"/>
        </w:rPr>
        <w:t xml:space="preserve">et al. </w:t>
      </w:r>
      <w:r w:rsidRPr="00EC6423">
        <w:rPr>
          <w:rFonts w:ascii="Times New Roman" w:eastAsia="Times New Roman" w:hAnsi="Times New Roman" w:cs="Times New Roman"/>
          <w:color w:val="222222"/>
          <w:sz w:val="24"/>
          <w:szCs w:val="24"/>
          <w:highlight w:val="white"/>
          <w:lang w:val="en-GB"/>
        </w:rPr>
        <w:t xml:space="preserve">(2024), companies adopt differentiation tactics in an operational market to enhance competitive advantages and successfully acquire customer attention. In this regard, BHP might look forward to the strategy of differentiation in order to accelerate the organisation’s competitiveness by introducing the new lower-carbon business model through the implication of Porter’s Generic Strategies. </w:t>
      </w:r>
    </w:p>
    <w:p w14:paraId="0274614C" w14:textId="77777777" w:rsidR="00C43F52" w:rsidRPr="00EC6423" w:rsidRDefault="003C441E">
      <w:pPr>
        <w:spacing w:line="360" w:lineRule="auto"/>
        <w:jc w:val="both"/>
        <w:rPr>
          <w:rFonts w:ascii="Times New Roman" w:eastAsia="Times New Roman" w:hAnsi="Times New Roman" w:cs="Times New Roman"/>
          <w:b/>
          <w:bCs/>
          <w:i/>
          <w:iCs/>
          <w:color w:val="222222"/>
          <w:sz w:val="24"/>
          <w:szCs w:val="24"/>
          <w:highlight w:val="white"/>
          <w:lang w:val="en-GB"/>
        </w:rPr>
      </w:pPr>
      <w:r w:rsidRPr="00EC6423">
        <w:rPr>
          <w:rFonts w:ascii="Times New Roman" w:eastAsia="Times New Roman" w:hAnsi="Times New Roman" w:cs="Times New Roman"/>
          <w:b/>
          <w:bCs/>
          <w:i/>
          <w:iCs/>
          <w:color w:val="222222"/>
          <w:sz w:val="24"/>
          <w:szCs w:val="24"/>
          <w:highlight w:val="white"/>
          <w:lang w:val="en-GB"/>
        </w:rPr>
        <w:t>Focus</w:t>
      </w:r>
    </w:p>
    <w:p w14:paraId="45C55309" w14:textId="2F055D47" w:rsidR="00C43F52" w:rsidRPr="00EC6423" w:rsidRDefault="003C441E">
      <w:pPr>
        <w:spacing w:line="360" w:lineRule="auto"/>
        <w:jc w:val="both"/>
        <w:rPr>
          <w:rFonts w:ascii="Times New Roman" w:eastAsia="Times New Roman" w:hAnsi="Times New Roman" w:cs="Times New Roman"/>
          <w:b/>
          <w:bCs/>
          <w:sz w:val="24"/>
          <w:szCs w:val="24"/>
          <w:lang w:val="en-GB"/>
        </w:rPr>
      </w:pPr>
      <w:r w:rsidRPr="00EC6423">
        <w:rPr>
          <w:rFonts w:ascii="Times New Roman" w:eastAsia="Times New Roman" w:hAnsi="Times New Roman" w:cs="Times New Roman"/>
          <w:color w:val="222222"/>
          <w:sz w:val="24"/>
          <w:szCs w:val="24"/>
          <w:highlight w:val="white"/>
          <w:lang w:val="en-GB"/>
        </w:rPr>
        <w:t xml:space="preserve">Focusing on the transition to the lower-carbon business model is expected to play a determining role in terms of enhancing BHP’s competitive advantages by maximising the margin of environmental sustainability in an effective manner. In this regard, BHP might emphasise the implementation of the differentiation tactics and cost leadership approaches to ensure its positioning in the market through increased consumer acquisition. </w:t>
      </w:r>
    </w:p>
    <w:p w14:paraId="3E0F637A" w14:textId="77777777" w:rsidR="00C43F52" w:rsidRPr="00EC6423" w:rsidRDefault="003C441E" w:rsidP="00EC6423">
      <w:pPr>
        <w:pStyle w:val="Heading1"/>
      </w:pPr>
      <w:bookmarkStart w:id="7" w:name="_Toc234854826"/>
      <w:r w:rsidRPr="00EC6423">
        <w:t>Task 3: Critical Reflection on AI Usage</w:t>
      </w:r>
      <w:bookmarkEnd w:id="7"/>
      <w:r w:rsidRPr="00EC6423">
        <w:t xml:space="preserve"> </w:t>
      </w:r>
    </w:p>
    <w:p w14:paraId="6F681CAE" w14:textId="61D2EE75" w:rsidR="00C43F52" w:rsidRPr="00EC6423" w:rsidRDefault="003C441E" w:rsidP="00EC6423">
      <w:pPr>
        <w:pStyle w:val="Heading2"/>
      </w:pPr>
      <w:bookmarkStart w:id="8" w:name="_Toc234854827"/>
      <w:r w:rsidRPr="00EC6423">
        <w:t>Tool Disclosure</w:t>
      </w:r>
      <w:bookmarkEnd w:id="8"/>
      <w:r w:rsidRPr="00EC6423">
        <w:t xml:space="preserve"> </w:t>
      </w:r>
    </w:p>
    <w:p w14:paraId="0821257E"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In accordance with the AI policy in this module, Artificial Intelligence (AI) technologies were only used to assist in the preliminary stages of this report. I used AI to gain better understanding on the assignment, to create an initial report structure and to understand the use of marketing theories, such as Kotler’s Macro-Marketing Environment Framework and the Ansoff Matrix. Marketing theories help to examine a firm’s shift towards lower carbon products while staying competitive in the market (Aditiya and Kirana, 2025; Kotler </w:t>
      </w:r>
      <w:r w:rsidRPr="00EC6423">
        <w:rPr>
          <w:rFonts w:ascii="Times New Roman" w:eastAsia="Times New Roman" w:hAnsi="Times New Roman" w:cs="Times New Roman"/>
          <w:i/>
          <w:iCs/>
          <w:sz w:val="24"/>
          <w:szCs w:val="24"/>
          <w:lang w:val="en-GB"/>
        </w:rPr>
        <w:t>et al.</w:t>
      </w:r>
      <w:r w:rsidRPr="00EC6423">
        <w:rPr>
          <w:rFonts w:ascii="Times New Roman" w:eastAsia="Times New Roman" w:hAnsi="Times New Roman" w:cs="Times New Roman"/>
          <w:sz w:val="24"/>
          <w:szCs w:val="24"/>
          <w:lang w:val="en-GB"/>
        </w:rPr>
        <w:t xml:space="preserve"> 2024). Grammar, clarity of sentences and overall readability were also assessed by AI in proofreading. However, I used AI to research but did not include the AI-developed content directly. I have used academic journal articles, BHP’s official reports, and credible industry publications to independently develop all critical analysis and company specific evaluation to draw effective conclusions. In order to provide transparency on the level of AI support, AI use acknowledgement was added.</w:t>
      </w:r>
    </w:p>
    <w:p w14:paraId="7AA80400" w14:textId="321B7136" w:rsidR="00C43F52" w:rsidRPr="00EC6423" w:rsidRDefault="003C441E" w:rsidP="00EC6423">
      <w:pPr>
        <w:pStyle w:val="Heading2"/>
      </w:pPr>
      <w:bookmarkStart w:id="9" w:name="_Toc234854828"/>
      <w:r w:rsidRPr="00EC6423">
        <w:t>Critical Evaluation of AI Output</w:t>
      </w:r>
      <w:bookmarkEnd w:id="9"/>
    </w:p>
    <w:p w14:paraId="1AAE5ACE"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Prior to incorporating AI-generated data into the report, the accuracy of the information was thoroughly examined. All the factual statements, all the numbers, all the company initiatives and all the policy references have been checked using BHP’s official Reports. Some answers provided by the AI were outdated, included unsupported statements or general information without specific examples from the company (</w:t>
      </w:r>
      <w:r w:rsidRPr="00EC6423">
        <w:rPr>
          <w:rFonts w:ascii="Times New Roman" w:eastAsia="Times New Roman" w:hAnsi="Times New Roman" w:cs="Times New Roman"/>
          <w:sz w:val="24"/>
          <w:szCs w:val="24"/>
          <w:highlight w:val="white"/>
          <w:lang w:val="en-GB"/>
        </w:rPr>
        <w:t xml:space="preserve">Magesh </w:t>
      </w:r>
      <w:r w:rsidRPr="00EC6423">
        <w:rPr>
          <w:rFonts w:ascii="Times New Roman" w:eastAsia="Times New Roman" w:hAnsi="Times New Roman" w:cs="Times New Roman"/>
          <w:i/>
          <w:iCs/>
          <w:sz w:val="24"/>
          <w:szCs w:val="24"/>
          <w:highlight w:val="white"/>
          <w:lang w:val="en-GB"/>
        </w:rPr>
        <w:t>et al.</w:t>
      </w:r>
      <w:r w:rsidRPr="00EC6423">
        <w:rPr>
          <w:rFonts w:ascii="Times New Roman" w:eastAsia="Times New Roman" w:hAnsi="Times New Roman" w:cs="Times New Roman"/>
          <w:sz w:val="24"/>
          <w:szCs w:val="24"/>
          <w:highlight w:val="white"/>
          <w:lang w:val="en-GB"/>
        </w:rPr>
        <w:t xml:space="preserve"> 2025</w:t>
      </w:r>
      <w:r w:rsidRPr="00EC6423">
        <w:rPr>
          <w:rFonts w:ascii="Times New Roman" w:eastAsia="Times New Roman" w:hAnsi="Times New Roman" w:cs="Times New Roman"/>
          <w:sz w:val="24"/>
          <w:szCs w:val="24"/>
          <w:lang w:val="en-GB"/>
        </w:rPr>
        <w:t>). I detected these issues by cross checking with reliable sources and rectified them by replacing the inaccurate information with valid information. This process helped me to minimise the chances of hallucinations and helped assure that the final report contained evidence-based, accurate, and academically sound analysis.</w:t>
      </w:r>
    </w:p>
    <w:p w14:paraId="2DDE4C68" w14:textId="2684075E" w:rsidR="00C43F52" w:rsidRPr="00EC6423" w:rsidRDefault="003C441E" w:rsidP="00EC6423">
      <w:pPr>
        <w:pStyle w:val="Heading2"/>
      </w:pPr>
      <w:bookmarkStart w:id="10" w:name="_Toc234854829"/>
      <w:r w:rsidRPr="00EC6423">
        <w:t>Contribution Analysis</w:t>
      </w:r>
      <w:bookmarkEnd w:id="10"/>
    </w:p>
    <w:p w14:paraId="4425F4C4" w14:textId="77777777" w:rsidR="00C43F52" w:rsidRPr="00EC6423" w:rsidRDefault="003C441E">
      <w:pPr>
        <w:spacing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I used AI to assist in the organisation of ideas however the final report is my own independent work and critical thinking. I carried out my own research with the help of academic </w:t>
      </w:r>
      <w:proofErr w:type="gramStart"/>
      <w:r w:rsidRPr="00EC6423">
        <w:rPr>
          <w:rFonts w:ascii="Times New Roman" w:eastAsia="Times New Roman" w:hAnsi="Times New Roman" w:cs="Times New Roman"/>
          <w:sz w:val="24"/>
          <w:szCs w:val="24"/>
          <w:lang w:val="en-GB"/>
        </w:rPr>
        <w:t>literature,</w:t>
      </w:r>
      <w:proofErr w:type="gramEnd"/>
      <w:r w:rsidRPr="00EC6423">
        <w:rPr>
          <w:rFonts w:ascii="Times New Roman" w:eastAsia="Times New Roman" w:hAnsi="Times New Roman" w:cs="Times New Roman"/>
          <w:sz w:val="24"/>
          <w:szCs w:val="24"/>
          <w:lang w:val="en-GB"/>
        </w:rPr>
        <w:t xml:space="preserve"> company reports to evaluate the actors of the Natural Environment and the Political Environment. I also applied Kotler's macro-environment and Ansoff Matrix to come up with strategic recommendations. I also chose appropriate evidence, interpreted organisational response to its initiatives, assessed the opportunities and threats and structured the report according to the evaluation requirements. Thus, the critical discussion, interpretation and conclusion of the Report is the original contribution of my academic work and not generated by AI.</w:t>
      </w:r>
    </w:p>
    <w:p w14:paraId="7F2BEBE0" w14:textId="1A5769D6" w:rsidR="00C43F52" w:rsidRPr="00EC6423" w:rsidRDefault="003C441E" w:rsidP="00EC6423">
      <w:pPr>
        <w:pStyle w:val="Heading2"/>
      </w:pPr>
      <w:bookmarkStart w:id="11" w:name="_Toc234854830"/>
      <w:r w:rsidRPr="00EC6423">
        <w:t>Ethical and Professional Reflection</w:t>
      </w:r>
      <w:bookmarkEnd w:id="11"/>
    </w:p>
    <w:p w14:paraId="5304E710" w14:textId="432E9A38" w:rsidR="00C43F52" w:rsidRPr="0045681C" w:rsidRDefault="003C441E">
      <w:pPr>
        <w:spacing w:line="360" w:lineRule="auto"/>
        <w:jc w:val="both"/>
        <w:rPr>
          <w:rFonts w:ascii="Times New Roman" w:hAnsi="Times New Roman" w:cs="Times New Roman"/>
          <w:sz w:val="24"/>
          <w:szCs w:val="24"/>
          <w:lang w:val="en-GB"/>
        </w:rPr>
      </w:pPr>
      <w:r w:rsidRPr="00EC6423">
        <w:rPr>
          <w:rFonts w:ascii="Times New Roman" w:eastAsia="Times New Roman" w:hAnsi="Times New Roman" w:cs="Times New Roman"/>
          <w:sz w:val="24"/>
          <w:szCs w:val="24"/>
          <w:lang w:val="en-GB"/>
        </w:rPr>
        <w:t>The use of AI needs to be used responsibly and with transparency, respect for academic integrity, and professional judgment. AI can assist with research, language editing, and idea generation, however relying significantly can lead to a decrease in critical thinking skills and inaccurate or biased information (</w:t>
      </w:r>
      <w:r w:rsidRPr="00EC6423">
        <w:rPr>
          <w:rFonts w:ascii="Times New Roman" w:eastAsia="Times New Roman" w:hAnsi="Times New Roman" w:cs="Times New Roman"/>
          <w:sz w:val="24"/>
          <w:szCs w:val="24"/>
          <w:highlight w:val="white"/>
          <w:lang w:val="en-GB"/>
        </w:rPr>
        <w:t xml:space="preserve">Zhai </w:t>
      </w:r>
      <w:r w:rsidRPr="00EC6423">
        <w:rPr>
          <w:rFonts w:ascii="Times New Roman" w:eastAsia="Times New Roman" w:hAnsi="Times New Roman" w:cs="Times New Roman"/>
          <w:i/>
          <w:iCs/>
          <w:sz w:val="24"/>
          <w:szCs w:val="24"/>
          <w:highlight w:val="white"/>
          <w:lang w:val="en-GB"/>
        </w:rPr>
        <w:t>et al.</w:t>
      </w:r>
      <w:r w:rsidRPr="00EC6423">
        <w:rPr>
          <w:rFonts w:ascii="Times New Roman" w:eastAsia="Times New Roman" w:hAnsi="Times New Roman" w:cs="Times New Roman"/>
          <w:sz w:val="24"/>
          <w:szCs w:val="24"/>
          <w:highlight w:val="white"/>
          <w:lang w:val="en-GB"/>
        </w:rPr>
        <w:t xml:space="preserve"> 2024</w:t>
      </w:r>
      <w:r w:rsidRPr="00EC6423">
        <w:rPr>
          <w:rFonts w:ascii="Times New Roman" w:eastAsia="Times New Roman" w:hAnsi="Times New Roman" w:cs="Times New Roman"/>
          <w:sz w:val="24"/>
          <w:szCs w:val="24"/>
          <w:lang w:val="en-GB"/>
        </w:rPr>
        <w:t xml:space="preserve">). </w:t>
      </w:r>
      <w:r w:rsidR="0045681C" w:rsidRPr="0045681C">
        <w:rPr>
          <w:rFonts w:ascii="Times New Roman" w:hAnsi="Times New Roman" w:cs="Times New Roman"/>
          <w:sz w:val="24"/>
          <w:szCs w:val="24"/>
          <w:lang w:val="en-GB"/>
        </w:rPr>
        <w:t>This method ensured academic integrity, enhanced the credibility of the report, and ensured adherence to ethical standards in post-graduate research and practice in marketing.</w:t>
      </w:r>
      <w:r w:rsidR="0045681C">
        <w:rPr>
          <w:rFonts w:ascii="Times New Roman" w:hAnsi="Times New Roman" w:cs="Times New Roman"/>
          <w:sz w:val="24"/>
          <w:szCs w:val="24"/>
          <w:lang w:val="en-GB"/>
        </w:rPr>
        <w:t xml:space="preserve"> </w:t>
      </w:r>
      <w:r w:rsidRPr="00EC6423">
        <w:rPr>
          <w:rFonts w:ascii="Times New Roman" w:eastAsia="Times New Roman" w:hAnsi="Times New Roman" w:cs="Times New Roman"/>
          <w:sz w:val="24"/>
          <w:szCs w:val="24"/>
          <w:lang w:val="en-GB"/>
        </w:rPr>
        <w:t xml:space="preserve">Thus, AI is meant to be used as a support tool and not a substitute for independent learning and analysis. </w:t>
      </w:r>
    </w:p>
    <w:p w14:paraId="08337D9A" w14:textId="77777777" w:rsidR="0045681C" w:rsidRDefault="0045681C" w:rsidP="0045681C">
      <w:pPr>
        <w:pStyle w:val="Heading1"/>
      </w:pPr>
      <w:bookmarkStart w:id="12" w:name="_Toc234854831"/>
      <w:r w:rsidRPr="0045681C">
        <w:t>Conclusion</w:t>
      </w:r>
      <w:bookmarkEnd w:id="12"/>
    </w:p>
    <w:p w14:paraId="3146D526" w14:textId="0480B517" w:rsidR="0045681C" w:rsidRPr="0045681C" w:rsidRDefault="0045681C" w:rsidP="0045681C">
      <w:pPr>
        <w:spacing w:line="360" w:lineRule="auto"/>
        <w:jc w:val="both"/>
        <w:rPr>
          <w:rFonts w:ascii="Times New Roman" w:hAnsi="Times New Roman" w:cs="Times New Roman"/>
          <w:sz w:val="24"/>
          <w:szCs w:val="24"/>
          <w:lang w:val="en-GB"/>
        </w:rPr>
      </w:pPr>
      <w:r w:rsidRPr="0045681C">
        <w:rPr>
          <w:rFonts w:ascii="Times New Roman" w:hAnsi="Times New Roman" w:cs="Times New Roman"/>
          <w:sz w:val="24"/>
          <w:szCs w:val="24"/>
          <w:lang w:val="en-GB"/>
        </w:rPr>
        <w:t>In conclusion, the environment is a significant external marketing factor for BHP to balance the sustainable management to ensure competitiveness and success in the global transition towards lower carbon production.</w:t>
      </w:r>
      <w:r>
        <w:rPr>
          <w:rFonts w:ascii="Times New Roman" w:hAnsi="Times New Roman" w:cs="Times New Roman"/>
          <w:sz w:val="24"/>
          <w:szCs w:val="24"/>
          <w:lang w:val="en-GB"/>
        </w:rPr>
        <w:t xml:space="preserve"> </w:t>
      </w:r>
      <w:r w:rsidRPr="00EC6423">
        <w:rPr>
          <w:rFonts w:ascii="Times New Roman" w:eastAsia="Times New Roman" w:hAnsi="Times New Roman" w:cs="Times New Roman"/>
          <w:color w:val="222222"/>
          <w:sz w:val="24"/>
          <w:szCs w:val="24"/>
          <w:highlight w:val="white"/>
          <w:lang w:val="en-GB"/>
        </w:rPr>
        <w:t xml:space="preserve">In this regard, applying Porter’s Generic Strategies might prove to be beneficial for BHP in enhancing its competitive edge through the development and integration of a lower-carbon business model. Thus, BHP can achieve success in maximising its competitiveness by focusing on cost leadership and differentiation. </w:t>
      </w:r>
      <w:r>
        <w:rPr>
          <w:rFonts w:ascii="Times New Roman" w:hAnsi="Times New Roman" w:cs="Times New Roman"/>
          <w:sz w:val="24"/>
          <w:szCs w:val="24"/>
          <w:lang w:val="en-GB"/>
        </w:rPr>
        <w:t>Lastly, a</w:t>
      </w:r>
      <w:r w:rsidRPr="0045681C">
        <w:rPr>
          <w:rFonts w:ascii="Times New Roman" w:hAnsi="Times New Roman" w:cs="Times New Roman"/>
          <w:sz w:val="24"/>
          <w:szCs w:val="24"/>
          <w:lang w:val="en-GB"/>
        </w:rPr>
        <w:t xml:space="preserve">ll the information used from AI platforms has been thoroughly checked and verified on credible academic and organisation sources, and attention has been paid to the use of AI. </w:t>
      </w:r>
    </w:p>
    <w:p w14:paraId="40EBF006" w14:textId="77777777" w:rsidR="0045681C" w:rsidRDefault="0045681C">
      <w:r>
        <w:br w:type="page"/>
      </w:r>
    </w:p>
    <w:p w14:paraId="7E211FDC" w14:textId="28EA55D7" w:rsidR="00C43F52" w:rsidRPr="0045681C" w:rsidRDefault="003C441E" w:rsidP="0045681C">
      <w:pPr>
        <w:pStyle w:val="Heading1"/>
      </w:pPr>
      <w:bookmarkStart w:id="13" w:name="_Toc234854832"/>
      <w:r w:rsidRPr="00EC6423">
        <w:t>References</w:t>
      </w:r>
      <w:bookmarkEnd w:id="13"/>
    </w:p>
    <w:p w14:paraId="0B0D84C4" w14:textId="77777777" w:rsidR="00EC6423" w:rsidRDefault="00EC6423" w:rsidP="00EC6423">
      <w:pPr>
        <w:pStyle w:val="NormalWeb"/>
        <w:spacing w:before="240" w:beforeAutospacing="0" w:after="0" w:afterAutospacing="0" w:line="360" w:lineRule="auto"/>
        <w:jc w:val="both"/>
      </w:pPr>
      <w:r>
        <w:rPr>
          <w:color w:val="222222"/>
          <w:shd w:val="clear" w:color="auto" w:fill="FFFFFF"/>
        </w:rPr>
        <w:t>Aditiya, S. and Kirana, D.H.K., (2025). ‘</w:t>
      </w:r>
      <w:proofErr w:type="spellStart"/>
      <w:r>
        <w:rPr>
          <w:color w:val="222222"/>
          <w:shd w:val="clear" w:color="auto" w:fill="FFFFFF"/>
        </w:rPr>
        <w:t>Smarteye</w:t>
      </w:r>
      <w:proofErr w:type="spellEnd"/>
      <w:r>
        <w:rPr>
          <w:color w:val="222222"/>
          <w:shd w:val="clear" w:color="auto" w:fill="FFFFFF"/>
        </w:rPr>
        <w:t xml:space="preserve">. id’s Business Expansion Strategy for Global Market Penetration through the Ansoff Matrix’. </w:t>
      </w:r>
      <w:r>
        <w:rPr>
          <w:i/>
          <w:iCs/>
          <w:color w:val="222222"/>
          <w:shd w:val="clear" w:color="auto" w:fill="FFFFFF"/>
        </w:rPr>
        <w:t>International Journal of Management and Business Economics</w:t>
      </w:r>
      <w:r>
        <w:rPr>
          <w:color w:val="222222"/>
          <w:shd w:val="clear" w:color="auto" w:fill="FFFFFF"/>
        </w:rPr>
        <w:t xml:space="preserve">, </w:t>
      </w:r>
      <w:r>
        <w:rPr>
          <w:i/>
          <w:iCs/>
          <w:color w:val="222222"/>
          <w:shd w:val="clear" w:color="auto" w:fill="FFFFFF"/>
        </w:rPr>
        <w:t>3</w:t>
      </w:r>
      <w:r>
        <w:rPr>
          <w:color w:val="222222"/>
          <w:shd w:val="clear" w:color="auto" w:fill="FFFFFF"/>
        </w:rPr>
        <w:t>(2), pp.60-65.</w:t>
      </w:r>
      <w:r>
        <w:rPr>
          <w:color w:val="000000"/>
        </w:rPr>
        <w:t xml:space="preserve"> Available at: </w:t>
      </w:r>
      <w:hyperlink r:id="rId10" w:history="1">
        <w:r>
          <w:rPr>
            <w:rStyle w:val="Hyperlink"/>
            <w:color w:val="1155CC"/>
          </w:rPr>
          <w:t>https://www.putrapublisher.org/ojs/index.php/jamis/article/download/705/868</w:t>
        </w:r>
      </w:hyperlink>
    </w:p>
    <w:p w14:paraId="20AB14FE" w14:textId="77777777" w:rsidR="00EC6423" w:rsidRDefault="00EC6423" w:rsidP="00EC6423">
      <w:pPr>
        <w:pStyle w:val="NormalWeb"/>
        <w:spacing w:before="240" w:beforeAutospacing="0" w:after="0" w:afterAutospacing="0" w:line="360" w:lineRule="auto"/>
        <w:jc w:val="both"/>
      </w:pPr>
      <w:r>
        <w:rPr>
          <w:color w:val="000000"/>
        </w:rPr>
        <w:t xml:space="preserve">BHP (2022). </w:t>
      </w:r>
      <w:r>
        <w:rPr>
          <w:i/>
          <w:iCs/>
          <w:color w:val="000000"/>
        </w:rPr>
        <w:t xml:space="preserve">BHP releases Climate Transition Action Plan 2021. </w:t>
      </w:r>
      <w:r>
        <w:rPr>
          <w:color w:val="000000"/>
        </w:rPr>
        <w:t xml:space="preserve">Available at: </w:t>
      </w:r>
      <w:hyperlink r:id="rId11" w:history="1">
        <w:r>
          <w:rPr>
            <w:rStyle w:val="Hyperlink"/>
            <w:color w:val="1155CC"/>
          </w:rPr>
          <w:t>https://www.bhp.com/news/media-centre/releases/2021/09/bhp-releases-climate-transition-action-plan-2021</w:t>
        </w:r>
      </w:hyperlink>
      <w:r>
        <w:rPr>
          <w:color w:val="000000"/>
        </w:rPr>
        <w:t xml:space="preserve"> (Accessed: 12 July 2026)</w:t>
      </w:r>
    </w:p>
    <w:p w14:paraId="5E511A2E"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BHP (2026) </w:t>
      </w:r>
      <w:r w:rsidRPr="00EC6423">
        <w:rPr>
          <w:rFonts w:ascii="Times New Roman" w:eastAsia="Times New Roman" w:hAnsi="Times New Roman" w:cs="Times New Roman"/>
          <w:i/>
          <w:iCs/>
          <w:sz w:val="24"/>
          <w:szCs w:val="24"/>
          <w:lang w:val="en-GB"/>
        </w:rPr>
        <w:t xml:space="preserve">About us </w:t>
      </w:r>
      <w:r w:rsidRPr="00EC6423">
        <w:rPr>
          <w:rFonts w:ascii="Times New Roman" w:eastAsia="Times New Roman" w:hAnsi="Times New Roman" w:cs="Times New Roman"/>
          <w:sz w:val="24"/>
          <w:szCs w:val="24"/>
          <w:lang w:val="en-GB"/>
        </w:rPr>
        <w:t xml:space="preserve">Available at: </w:t>
      </w:r>
      <w:hyperlink r:id="rId12">
        <w:r w:rsidRPr="00EC6423">
          <w:rPr>
            <w:rFonts w:ascii="Times New Roman" w:eastAsia="Times New Roman" w:hAnsi="Times New Roman" w:cs="Times New Roman"/>
            <w:color w:val="1155CC"/>
            <w:sz w:val="24"/>
            <w:szCs w:val="24"/>
            <w:u w:val="single"/>
            <w:lang w:val="en-GB"/>
          </w:rPr>
          <w:t>https://www.bhp.com/about</w:t>
        </w:r>
      </w:hyperlink>
      <w:r w:rsidRPr="00EC6423">
        <w:rPr>
          <w:rFonts w:ascii="Times New Roman" w:eastAsia="Times New Roman" w:hAnsi="Times New Roman" w:cs="Times New Roman"/>
          <w:sz w:val="24"/>
          <w:szCs w:val="24"/>
          <w:lang w:val="en-GB"/>
        </w:rPr>
        <w:t xml:space="preserve"> (Accessed: 13 July 2026)</w:t>
      </w:r>
    </w:p>
    <w:p w14:paraId="6866429B"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BHP (2026) </w:t>
      </w:r>
      <w:r w:rsidRPr="00EC6423">
        <w:rPr>
          <w:rFonts w:ascii="Times New Roman" w:eastAsia="Times New Roman" w:hAnsi="Times New Roman" w:cs="Times New Roman"/>
          <w:i/>
          <w:iCs/>
          <w:sz w:val="24"/>
          <w:szCs w:val="24"/>
          <w:lang w:val="en-GB"/>
        </w:rPr>
        <w:t xml:space="preserve">BHP </w:t>
      </w:r>
      <w:proofErr w:type="spellStart"/>
      <w:r w:rsidRPr="00EC6423">
        <w:rPr>
          <w:rFonts w:ascii="Times New Roman" w:eastAsia="Times New Roman" w:hAnsi="Times New Roman" w:cs="Times New Roman"/>
          <w:i/>
          <w:iCs/>
          <w:sz w:val="24"/>
          <w:szCs w:val="24"/>
          <w:lang w:val="en-GB"/>
        </w:rPr>
        <w:t>FutureFit</w:t>
      </w:r>
      <w:proofErr w:type="spellEnd"/>
      <w:r w:rsidRPr="00EC6423">
        <w:rPr>
          <w:rFonts w:ascii="Times New Roman" w:eastAsia="Times New Roman" w:hAnsi="Times New Roman" w:cs="Times New Roman"/>
          <w:i/>
          <w:iCs/>
          <w:sz w:val="24"/>
          <w:szCs w:val="24"/>
          <w:lang w:val="en-GB"/>
        </w:rPr>
        <w:t xml:space="preserve"> Academy </w:t>
      </w:r>
      <w:r w:rsidRPr="00EC6423">
        <w:rPr>
          <w:rFonts w:ascii="Times New Roman" w:eastAsia="Times New Roman" w:hAnsi="Times New Roman" w:cs="Times New Roman"/>
          <w:sz w:val="24"/>
          <w:szCs w:val="24"/>
          <w:lang w:val="en-GB"/>
        </w:rPr>
        <w:t xml:space="preserve">Available at: </w:t>
      </w:r>
      <w:hyperlink r:id="rId13">
        <w:r w:rsidRPr="00EC6423">
          <w:rPr>
            <w:rFonts w:ascii="Times New Roman" w:eastAsia="Times New Roman" w:hAnsi="Times New Roman" w:cs="Times New Roman"/>
            <w:color w:val="1155CC"/>
            <w:sz w:val="24"/>
            <w:szCs w:val="24"/>
            <w:u w:val="single"/>
            <w:lang w:val="en-GB"/>
          </w:rPr>
          <w:t>https://www.bhp.com/careers/global-careers/careers-in-australia/operations-services/bhp-futurefit-academy</w:t>
        </w:r>
      </w:hyperlink>
      <w:r w:rsidRPr="00EC6423">
        <w:rPr>
          <w:rFonts w:ascii="Times New Roman" w:eastAsia="Times New Roman" w:hAnsi="Times New Roman" w:cs="Times New Roman"/>
          <w:sz w:val="24"/>
          <w:szCs w:val="24"/>
          <w:lang w:val="en-GB"/>
        </w:rPr>
        <w:t xml:space="preserve"> (Accessed: 13 July 2026)</w:t>
      </w:r>
    </w:p>
    <w:p w14:paraId="361623BA"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BHP (2026) </w:t>
      </w:r>
      <w:r w:rsidRPr="00EC6423">
        <w:rPr>
          <w:rFonts w:ascii="Times New Roman" w:eastAsia="Times New Roman" w:hAnsi="Times New Roman" w:cs="Times New Roman"/>
          <w:i/>
          <w:iCs/>
          <w:sz w:val="24"/>
          <w:szCs w:val="24"/>
          <w:lang w:val="en-GB"/>
        </w:rPr>
        <w:t xml:space="preserve">Operational GHG emissions (Scopes 1 and 2 emissions from our operated assets) </w:t>
      </w:r>
      <w:r w:rsidRPr="00EC6423">
        <w:rPr>
          <w:rFonts w:ascii="Times New Roman" w:eastAsia="Times New Roman" w:hAnsi="Times New Roman" w:cs="Times New Roman"/>
          <w:sz w:val="24"/>
          <w:szCs w:val="24"/>
          <w:lang w:val="en-GB"/>
        </w:rPr>
        <w:t xml:space="preserve">Available at: </w:t>
      </w:r>
      <w:hyperlink r:id="rId14">
        <w:r w:rsidRPr="00EC6423">
          <w:rPr>
            <w:rFonts w:ascii="Times New Roman" w:eastAsia="Times New Roman" w:hAnsi="Times New Roman" w:cs="Times New Roman"/>
            <w:color w:val="1155CC"/>
            <w:sz w:val="24"/>
            <w:szCs w:val="24"/>
            <w:u w:val="single"/>
            <w:lang w:val="en-GB"/>
          </w:rPr>
          <w:t>https://www.bhp.com/sustainability/climate-change/operational-ghg-emissions</w:t>
        </w:r>
      </w:hyperlink>
      <w:r w:rsidRPr="00EC6423">
        <w:rPr>
          <w:rFonts w:ascii="Times New Roman" w:eastAsia="Times New Roman" w:hAnsi="Times New Roman" w:cs="Times New Roman"/>
          <w:sz w:val="24"/>
          <w:szCs w:val="24"/>
          <w:lang w:val="en-GB"/>
        </w:rPr>
        <w:t xml:space="preserve"> (Accessed: 13 July 2026)</w:t>
      </w:r>
    </w:p>
    <w:p w14:paraId="0A65743C"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BHP (2026) </w:t>
      </w:r>
      <w:r w:rsidRPr="00EC6423">
        <w:rPr>
          <w:rFonts w:ascii="Times New Roman" w:eastAsia="Times New Roman" w:hAnsi="Times New Roman" w:cs="Times New Roman"/>
          <w:i/>
          <w:iCs/>
          <w:sz w:val="24"/>
          <w:szCs w:val="24"/>
          <w:lang w:val="en-GB"/>
        </w:rPr>
        <w:t xml:space="preserve">Our latest Climate Transition Action Plan (CTAP) </w:t>
      </w:r>
      <w:r w:rsidRPr="00EC6423">
        <w:rPr>
          <w:rFonts w:ascii="Times New Roman" w:eastAsia="Times New Roman" w:hAnsi="Times New Roman" w:cs="Times New Roman"/>
          <w:sz w:val="24"/>
          <w:szCs w:val="24"/>
          <w:lang w:val="en-GB"/>
        </w:rPr>
        <w:t xml:space="preserve">Available at: </w:t>
      </w:r>
      <w:hyperlink r:id="rId15">
        <w:r w:rsidRPr="00EC6423">
          <w:rPr>
            <w:rFonts w:ascii="Times New Roman" w:eastAsia="Times New Roman" w:hAnsi="Times New Roman" w:cs="Times New Roman"/>
            <w:color w:val="1155CC"/>
            <w:sz w:val="24"/>
            <w:szCs w:val="24"/>
            <w:u w:val="single"/>
            <w:lang w:val="en-GB"/>
          </w:rPr>
          <w:t>https://www.bhp.com/sustainability/climate-change/climate-transition-action-plan</w:t>
        </w:r>
      </w:hyperlink>
      <w:r w:rsidRPr="00EC6423">
        <w:rPr>
          <w:rFonts w:ascii="Times New Roman" w:eastAsia="Times New Roman" w:hAnsi="Times New Roman" w:cs="Times New Roman"/>
          <w:sz w:val="24"/>
          <w:szCs w:val="24"/>
          <w:lang w:val="en-GB"/>
        </w:rPr>
        <w:t xml:space="preserve"> (Accessed: 13 July 2026)</w:t>
      </w:r>
    </w:p>
    <w:p w14:paraId="7128D738"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BHP (2026) </w:t>
      </w:r>
      <w:r w:rsidRPr="00EC6423">
        <w:rPr>
          <w:rFonts w:ascii="Times New Roman" w:eastAsia="Times New Roman" w:hAnsi="Times New Roman" w:cs="Times New Roman"/>
          <w:i/>
          <w:iCs/>
          <w:sz w:val="24"/>
          <w:szCs w:val="24"/>
          <w:lang w:val="en-GB"/>
        </w:rPr>
        <w:t xml:space="preserve">Water Stewardship Position Statement </w:t>
      </w:r>
      <w:r w:rsidRPr="00EC6423">
        <w:rPr>
          <w:rFonts w:ascii="Times New Roman" w:eastAsia="Times New Roman" w:hAnsi="Times New Roman" w:cs="Times New Roman"/>
          <w:sz w:val="24"/>
          <w:szCs w:val="24"/>
          <w:lang w:val="en-GB"/>
        </w:rPr>
        <w:t xml:space="preserve">Available at: </w:t>
      </w:r>
      <w:hyperlink r:id="rId16">
        <w:r w:rsidRPr="00EC6423">
          <w:rPr>
            <w:rFonts w:ascii="Times New Roman" w:eastAsia="Times New Roman" w:hAnsi="Times New Roman" w:cs="Times New Roman"/>
            <w:color w:val="1155CC"/>
            <w:sz w:val="24"/>
            <w:szCs w:val="24"/>
            <w:u w:val="single"/>
            <w:lang w:val="en-GB"/>
          </w:rPr>
          <w:t>https://www.bhp.com/-/media/documents/environment/2022/water-stewardship-position-statement-2022.pdf</w:t>
        </w:r>
      </w:hyperlink>
      <w:r w:rsidRPr="00EC6423">
        <w:rPr>
          <w:rFonts w:ascii="Times New Roman" w:eastAsia="Times New Roman" w:hAnsi="Times New Roman" w:cs="Times New Roman"/>
          <w:sz w:val="24"/>
          <w:szCs w:val="24"/>
          <w:lang w:val="en-GB"/>
        </w:rPr>
        <w:t xml:space="preserve"> (Accessed: 13 July 2026)</w:t>
      </w:r>
    </w:p>
    <w:p w14:paraId="46D56CBD" w14:textId="77777777" w:rsidR="00EC6423" w:rsidRDefault="00EC6423" w:rsidP="00EC6423">
      <w:pPr>
        <w:pStyle w:val="NormalWeb"/>
        <w:spacing w:before="240" w:beforeAutospacing="0" w:after="0" w:afterAutospacing="0" w:line="360" w:lineRule="auto"/>
        <w:jc w:val="both"/>
      </w:pPr>
      <w:r>
        <w:rPr>
          <w:color w:val="000000"/>
        </w:rPr>
        <w:t xml:space="preserve">BHP (2026). </w:t>
      </w:r>
      <w:r>
        <w:rPr>
          <w:i/>
          <w:iCs/>
          <w:color w:val="000000"/>
        </w:rPr>
        <w:t xml:space="preserve">BHP and POSCO ink MoU to explore decarbonised steelmaking. </w:t>
      </w:r>
      <w:r>
        <w:rPr>
          <w:color w:val="000000"/>
        </w:rPr>
        <w:t xml:space="preserve">Available at: </w:t>
      </w:r>
      <w:hyperlink r:id="rId17" w:history="1">
        <w:r>
          <w:rPr>
            <w:rStyle w:val="Hyperlink"/>
            <w:color w:val="1155CC"/>
          </w:rPr>
          <w:t>https://www.bhp.com/news/media-centre/releases/2021/10/bhp-and-posco-ink-mou-to-explore-decarbonised-steelmaking</w:t>
        </w:r>
      </w:hyperlink>
      <w:r>
        <w:rPr>
          <w:color w:val="000000"/>
        </w:rPr>
        <w:t>  (Accessed: 13 July 2026)</w:t>
      </w:r>
    </w:p>
    <w:p w14:paraId="04B96FFF" w14:textId="77777777" w:rsidR="00EC6423" w:rsidRDefault="00EC6423" w:rsidP="00EC6423">
      <w:pPr>
        <w:pStyle w:val="NormalWeb"/>
        <w:spacing w:before="240" w:beforeAutospacing="0" w:after="0" w:afterAutospacing="0" w:line="360" w:lineRule="auto"/>
        <w:jc w:val="both"/>
      </w:pPr>
      <w:r>
        <w:rPr>
          <w:color w:val="000000"/>
        </w:rPr>
        <w:t xml:space="preserve">CNBC (2022). </w:t>
      </w:r>
      <w:r>
        <w:rPr>
          <w:i/>
          <w:iCs/>
          <w:color w:val="000000"/>
        </w:rPr>
        <w:t xml:space="preserve">A coming copper shortage could derail the energy transition, report finds. </w:t>
      </w:r>
      <w:r>
        <w:rPr>
          <w:color w:val="000000"/>
        </w:rPr>
        <w:t xml:space="preserve">Available at: </w:t>
      </w:r>
      <w:hyperlink r:id="rId18" w:history="1">
        <w:r>
          <w:rPr>
            <w:rStyle w:val="Hyperlink"/>
            <w:color w:val="1155CC"/>
          </w:rPr>
          <w:t>https://www.cnbc.com/2022/07/14/copper-is-key-to-electric-vehicles-wind-and-solar-power-were-short-supply.html</w:t>
        </w:r>
      </w:hyperlink>
      <w:r>
        <w:rPr>
          <w:color w:val="000000"/>
        </w:rPr>
        <w:t xml:space="preserve"> </w:t>
      </w:r>
      <w:r w:rsidRPr="00EC6423">
        <w:rPr>
          <w:lang w:val="en-GB"/>
        </w:rPr>
        <w:t>(Accessed: 13 July 2026)</w:t>
      </w:r>
    </w:p>
    <w:p w14:paraId="590A3B3D" w14:textId="77777777" w:rsid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color w:val="222222"/>
          <w:sz w:val="24"/>
          <w:szCs w:val="24"/>
          <w:highlight w:val="white"/>
          <w:lang w:val="en-GB"/>
        </w:rPr>
        <w:t xml:space="preserve">de Oliveira Lima, L.A., dos Santos, A.F., Nunes, M.M., da Silva, I.B., da Silva Gomes, V.M.M., de Oliveira Busto, M., de Oliveira, M.A.M.I.S. and do Nascimento João, B., (2024). Sustainable management practices: green marketing as a source for organizational competitive advantage. </w:t>
      </w:r>
      <w:r w:rsidRPr="00EC6423">
        <w:rPr>
          <w:rFonts w:ascii="Times New Roman" w:eastAsia="Times New Roman" w:hAnsi="Times New Roman" w:cs="Times New Roman"/>
          <w:i/>
          <w:iCs/>
          <w:color w:val="222222"/>
          <w:sz w:val="24"/>
          <w:szCs w:val="24"/>
          <w:highlight w:val="white"/>
          <w:lang w:val="en-GB"/>
        </w:rPr>
        <w:t xml:space="preserve">Revista de </w:t>
      </w:r>
      <w:proofErr w:type="spellStart"/>
      <w:r w:rsidRPr="00EC6423">
        <w:rPr>
          <w:rFonts w:ascii="Times New Roman" w:eastAsia="Times New Roman" w:hAnsi="Times New Roman" w:cs="Times New Roman"/>
          <w:i/>
          <w:iCs/>
          <w:color w:val="222222"/>
          <w:sz w:val="24"/>
          <w:szCs w:val="24"/>
          <w:highlight w:val="white"/>
          <w:lang w:val="en-GB"/>
        </w:rPr>
        <w:t>Gestão</w:t>
      </w:r>
      <w:proofErr w:type="spellEnd"/>
      <w:r w:rsidRPr="00EC6423">
        <w:rPr>
          <w:rFonts w:ascii="Times New Roman" w:eastAsia="Times New Roman" w:hAnsi="Times New Roman" w:cs="Times New Roman"/>
          <w:i/>
          <w:iCs/>
          <w:color w:val="222222"/>
          <w:sz w:val="24"/>
          <w:szCs w:val="24"/>
          <w:highlight w:val="white"/>
          <w:lang w:val="en-GB"/>
        </w:rPr>
        <w:t xml:space="preserve"> Social e Ambiental</w:t>
      </w:r>
      <w:r w:rsidRPr="00EC6423">
        <w:rPr>
          <w:rFonts w:ascii="Times New Roman" w:eastAsia="Times New Roman" w:hAnsi="Times New Roman" w:cs="Times New Roman"/>
          <w:color w:val="222222"/>
          <w:sz w:val="24"/>
          <w:szCs w:val="24"/>
          <w:highlight w:val="white"/>
          <w:lang w:val="en-GB"/>
        </w:rPr>
        <w:t xml:space="preserve">, </w:t>
      </w:r>
      <w:r w:rsidRPr="00EC6423">
        <w:rPr>
          <w:rFonts w:ascii="Times New Roman" w:eastAsia="Times New Roman" w:hAnsi="Times New Roman" w:cs="Times New Roman"/>
          <w:i/>
          <w:iCs/>
          <w:color w:val="222222"/>
          <w:sz w:val="24"/>
          <w:szCs w:val="24"/>
          <w:highlight w:val="white"/>
          <w:lang w:val="en-GB"/>
        </w:rPr>
        <w:t>18</w:t>
      </w:r>
      <w:r w:rsidRPr="00EC6423">
        <w:rPr>
          <w:rFonts w:ascii="Times New Roman" w:eastAsia="Times New Roman" w:hAnsi="Times New Roman" w:cs="Times New Roman"/>
          <w:color w:val="222222"/>
          <w:sz w:val="24"/>
          <w:szCs w:val="24"/>
          <w:highlight w:val="white"/>
          <w:lang w:val="en-GB"/>
        </w:rPr>
        <w:t>(4), pp.1-11.</w:t>
      </w:r>
      <w:r w:rsidRPr="00EC6423">
        <w:rPr>
          <w:rFonts w:ascii="Times New Roman" w:eastAsia="Times New Roman" w:hAnsi="Times New Roman" w:cs="Times New Roman"/>
          <w:sz w:val="24"/>
          <w:szCs w:val="24"/>
          <w:lang w:val="en-GB"/>
        </w:rPr>
        <w:t xml:space="preserve"> Available at: </w:t>
      </w:r>
      <w:hyperlink r:id="rId19">
        <w:r w:rsidRPr="00EC6423">
          <w:rPr>
            <w:rFonts w:ascii="Times New Roman" w:eastAsia="Times New Roman" w:hAnsi="Times New Roman" w:cs="Times New Roman"/>
            <w:color w:val="1155CC"/>
            <w:sz w:val="24"/>
            <w:szCs w:val="24"/>
            <w:u w:val="single"/>
            <w:lang w:val="en-GB"/>
          </w:rPr>
          <w:t>https://doi.org/10.24857/rgsa.v18n4-087</w:t>
        </w:r>
      </w:hyperlink>
      <w:r w:rsidRPr="00EC6423">
        <w:rPr>
          <w:rFonts w:ascii="Times New Roman" w:eastAsia="Times New Roman" w:hAnsi="Times New Roman" w:cs="Times New Roman"/>
          <w:sz w:val="24"/>
          <w:szCs w:val="24"/>
          <w:lang w:val="en-GB"/>
        </w:rPr>
        <w:t xml:space="preserve"> </w:t>
      </w:r>
    </w:p>
    <w:p w14:paraId="788F7670"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color w:val="222222"/>
          <w:sz w:val="24"/>
          <w:szCs w:val="24"/>
          <w:highlight w:val="white"/>
          <w:lang w:val="en-GB"/>
        </w:rPr>
        <w:t xml:space="preserve">Gartner, J., Maresch, D. and Tierney, R., (2024). The key to scaling in the digital era: Simultaneous automation, individualization and interdisciplinarity. </w:t>
      </w:r>
      <w:r w:rsidRPr="00EC6423">
        <w:rPr>
          <w:rFonts w:ascii="Times New Roman" w:eastAsia="Times New Roman" w:hAnsi="Times New Roman" w:cs="Times New Roman"/>
          <w:i/>
          <w:iCs/>
          <w:color w:val="222222"/>
          <w:sz w:val="24"/>
          <w:szCs w:val="24"/>
          <w:highlight w:val="white"/>
          <w:lang w:val="en-GB"/>
        </w:rPr>
        <w:t>Journal of Small Business Management</w:t>
      </w:r>
      <w:r w:rsidRPr="00EC6423">
        <w:rPr>
          <w:rFonts w:ascii="Times New Roman" w:eastAsia="Times New Roman" w:hAnsi="Times New Roman" w:cs="Times New Roman"/>
          <w:color w:val="222222"/>
          <w:sz w:val="24"/>
          <w:szCs w:val="24"/>
          <w:highlight w:val="white"/>
          <w:lang w:val="en-GB"/>
        </w:rPr>
        <w:t xml:space="preserve">, </w:t>
      </w:r>
      <w:r w:rsidRPr="00EC6423">
        <w:rPr>
          <w:rFonts w:ascii="Times New Roman" w:eastAsia="Times New Roman" w:hAnsi="Times New Roman" w:cs="Times New Roman"/>
          <w:i/>
          <w:iCs/>
          <w:color w:val="222222"/>
          <w:sz w:val="24"/>
          <w:szCs w:val="24"/>
          <w:highlight w:val="white"/>
          <w:lang w:val="en-GB"/>
        </w:rPr>
        <w:t>62</w:t>
      </w:r>
      <w:r w:rsidRPr="00EC6423">
        <w:rPr>
          <w:rFonts w:ascii="Times New Roman" w:eastAsia="Times New Roman" w:hAnsi="Times New Roman" w:cs="Times New Roman"/>
          <w:color w:val="222222"/>
          <w:sz w:val="24"/>
          <w:szCs w:val="24"/>
          <w:highlight w:val="white"/>
          <w:lang w:val="en-GB"/>
        </w:rPr>
        <w:t>(2), pp.628-655.</w:t>
      </w:r>
      <w:r w:rsidRPr="00EC6423">
        <w:rPr>
          <w:rFonts w:ascii="Times New Roman" w:eastAsia="Times New Roman" w:hAnsi="Times New Roman" w:cs="Times New Roman"/>
          <w:sz w:val="24"/>
          <w:szCs w:val="24"/>
          <w:lang w:val="en-GB"/>
        </w:rPr>
        <w:t xml:space="preserve"> Available at: </w:t>
      </w:r>
      <w:hyperlink r:id="rId20">
        <w:r w:rsidRPr="00EC6423">
          <w:rPr>
            <w:rFonts w:ascii="Times New Roman" w:eastAsia="Times New Roman" w:hAnsi="Times New Roman" w:cs="Times New Roman"/>
            <w:color w:val="1155CC"/>
            <w:sz w:val="24"/>
            <w:szCs w:val="24"/>
            <w:u w:val="single"/>
            <w:lang w:val="en-GB"/>
          </w:rPr>
          <w:t>https://doi.org/10.1080/00472778.2022.2073361</w:t>
        </w:r>
      </w:hyperlink>
      <w:r w:rsidRPr="00EC6423">
        <w:rPr>
          <w:rFonts w:ascii="Times New Roman" w:eastAsia="Times New Roman" w:hAnsi="Times New Roman" w:cs="Times New Roman"/>
          <w:sz w:val="24"/>
          <w:szCs w:val="24"/>
          <w:lang w:val="en-GB"/>
        </w:rPr>
        <w:t xml:space="preserve"> </w:t>
      </w:r>
    </w:p>
    <w:p w14:paraId="32BF9A61"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Gov AU (2026) </w:t>
      </w:r>
      <w:r w:rsidRPr="00EC6423">
        <w:rPr>
          <w:rFonts w:ascii="Times New Roman" w:eastAsia="Times New Roman" w:hAnsi="Times New Roman" w:cs="Times New Roman"/>
          <w:i/>
          <w:iCs/>
          <w:sz w:val="24"/>
          <w:szCs w:val="24"/>
          <w:lang w:val="en-GB"/>
        </w:rPr>
        <w:t xml:space="preserve">Safeguard Mechanism </w:t>
      </w:r>
      <w:r w:rsidRPr="00EC6423">
        <w:rPr>
          <w:rFonts w:ascii="Times New Roman" w:eastAsia="Times New Roman" w:hAnsi="Times New Roman" w:cs="Times New Roman"/>
          <w:sz w:val="24"/>
          <w:szCs w:val="24"/>
          <w:lang w:val="en-GB"/>
        </w:rPr>
        <w:t xml:space="preserve">Available at: </w:t>
      </w:r>
      <w:hyperlink r:id="rId21">
        <w:r w:rsidRPr="00EC6423">
          <w:rPr>
            <w:rFonts w:ascii="Times New Roman" w:eastAsia="Times New Roman" w:hAnsi="Times New Roman" w:cs="Times New Roman"/>
            <w:color w:val="1155CC"/>
            <w:sz w:val="24"/>
            <w:szCs w:val="24"/>
            <w:u w:val="single"/>
            <w:lang w:val="en-GB"/>
          </w:rPr>
          <w:t>https://cer.gov.au/schemes/safeguard-mechanism</w:t>
        </w:r>
      </w:hyperlink>
      <w:r w:rsidRPr="00EC6423">
        <w:rPr>
          <w:rFonts w:ascii="Times New Roman" w:eastAsia="Times New Roman" w:hAnsi="Times New Roman" w:cs="Times New Roman"/>
          <w:sz w:val="24"/>
          <w:szCs w:val="24"/>
          <w:lang w:val="en-GB"/>
        </w:rPr>
        <w:t xml:space="preserve"> (Accessed: 13 July 2026)</w:t>
      </w:r>
    </w:p>
    <w:p w14:paraId="7B924018" w14:textId="77777777" w:rsidR="00EC6423" w:rsidRDefault="00EC6423" w:rsidP="00EC6423">
      <w:pPr>
        <w:pStyle w:val="NormalWeb"/>
        <w:spacing w:before="240" w:beforeAutospacing="0" w:after="0" w:afterAutospacing="0" w:line="360" w:lineRule="auto"/>
        <w:jc w:val="both"/>
      </w:pPr>
      <w:r>
        <w:rPr>
          <w:color w:val="222222"/>
          <w:shd w:val="clear" w:color="auto" w:fill="FFFFFF"/>
        </w:rPr>
        <w:t xml:space="preserve">Hodge, R.A., Ericsson, M., Löf, O., Löf, A. and </w:t>
      </w:r>
      <w:proofErr w:type="spellStart"/>
      <w:r>
        <w:rPr>
          <w:color w:val="222222"/>
          <w:shd w:val="clear" w:color="auto" w:fill="FFFFFF"/>
        </w:rPr>
        <w:t>Semkowich</w:t>
      </w:r>
      <w:proofErr w:type="spellEnd"/>
      <w:r>
        <w:rPr>
          <w:color w:val="222222"/>
          <w:shd w:val="clear" w:color="auto" w:fill="FFFFFF"/>
        </w:rPr>
        <w:t xml:space="preserve">, P., (2022). ‘The global mining industry: corporate profile, complexity, and change: The global mining industry: corporate profile, complexity, and change’. </w:t>
      </w:r>
      <w:r>
        <w:rPr>
          <w:i/>
          <w:iCs/>
          <w:color w:val="222222"/>
          <w:shd w:val="clear" w:color="auto" w:fill="FFFFFF"/>
        </w:rPr>
        <w:t>Mineral Economics</w:t>
      </w:r>
      <w:r>
        <w:rPr>
          <w:color w:val="222222"/>
          <w:shd w:val="clear" w:color="auto" w:fill="FFFFFF"/>
        </w:rPr>
        <w:t xml:space="preserve">, </w:t>
      </w:r>
      <w:r>
        <w:rPr>
          <w:i/>
          <w:iCs/>
          <w:color w:val="222222"/>
          <w:shd w:val="clear" w:color="auto" w:fill="FFFFFF"/>
        </w:rPr>
        <w:t>35</w:t>
      </w:r>
      <w:r>
        <w:rPr>
          <w:color w:val="222222"/>
          <w:shd w:val="clear" w:color="auto" w:fill="FFFFFF"/>
        </w:rPr>
        <w:t>(3), pp.587-606.</w:t>
      </w:r>
      <w:r>
        <w:rPr>
          <w:color w:val="000000"/>
        </w:rPr>
        <w:t xml:space="preserve"> Available at: </w:t>
      </w:r>
      <w:hyperlink r:id="rId22" w:history="1">
        <w:r>
          <w:rPr>
            <w:rStyle w:val="Hyperlink"/>
            <w:color w:val="1155CC"/>
          </w:rPr>
          <w:t>https://link.springer.com/content/pdf/10.1007/s13563-022-00343-1.pdf</w:t>
        </w:r>
      </w:hyperlink>
      <w:r>
        <w:rPr>
          <w:color w:val="000000"/>
        </w:rPr>
        <w:t xml:space="preserve"> </w:t>
      </w:r>
    </w:p>
    <w:p w14:paraId="34B1D626"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IEA (2026) C</w:t>
      </w:r>
      <w:r w:rsidRPr="00EC6423">
        <w:rPr>
          <w:rFonts w:ascii="Times New Roman" w:eastAsia="Times New Roman" w:hAnsi="Times New Roman" w:cs="Times New Roman"/>
          <w:i/>
          <w:iCs/>
          <w:sz w:val="24"/>
          <w:szCs w:val="24"/>
          <w:lang w:val="en-GB"/>
        </w:rPr>
        <w:t xml:space="preserve">ritical Minerals Strategy 2023-2030 </w:t>
      </w:r>
      <w:r w:rsidRPr="00EC6423">
        <w:rPr>
          <w:rFonts w:ascii="Times New Roman" w:eastAsia="Times New Roman" w:hAnsi="Times New Roman" w:cs="Times New Roman"/>
          <w:sz w:val="24"/>
          <w:szCs w:val="24"/>
          <w:lang w:val="en-GB"/>
        </w:rPr>
        <w:t xml:space="preserve">Available at: </w:t>
      </w:r>
      <w:hyperlink r:id="rId23">
        <w:r w:rsidRPr="00EC6423">
          <w:rPr>
            <w:rFonts w:ascii="Times New Roman" w:eastAsia="Times New Roman" w:hAnsi="Times New Roman" w:cs="Times New Roman"/>
            <w:color w:val="1155CC"/>
            <w:sz w:val="24"/>
            <w:szCs w:val="24"/>
            <w:u w:val="single"/>
            <w:lang w:val="en-GB"/>
          </w:rPr>
          <w:t>https://www.iea.org/policies/17959-critical-minerals-strategy-2023-2030</w:t>
        </w:r>
      </w:hyperlink>
      <w:r w:rsidRPr="00EC6423">
        <w:rPr>
          <w:rFonts w:ascii="Times New Roman" w:eastAsia="Times New Roman" w:hAnsi="Times New Roman" w:cs="Times New Roman"/>
          <w:sz w:val="24"/>
          <w:szCs w:val="24"/>
          <w:lang w:val="en-GB"/>
        </w:rPr>
        <w:t xml:space="preserve"> (Accessed: 13 July 2026)</w:t>
      </w:r>
    </w:p>
    <w:p w14:paraId="25714C58"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IEA (2026) </w:t>
      </w:r>
      <w:r w:rsidRPr="00EC6423">
        <w:rPr>
          <w:rFonts w:ascii="Times New Roman" w:eastAsia="Times New Roman" w:hAnsi="Times New Roman" w:cs="Times New Roman"/>
          <w:i/>
          <w:iCs/>
          <w:sz w:val="24"/>
          <w:szCs w:val="24"/>
          <w:lang w:val="en-GB"/>
        </w:rPr>
        <w:t xml:space="preserve">Mineral demand for clean energy technologies doubles between today and 2030 in the STEPS and APS and grows by almost three times in the NZE Scenario </w:t>
      </w:r>
      <w:r w:rsidRPr="00EC6423">
        <w:rPr>
          <w:rFonts w:ascii="Times New Roman" w:eastAsia="Times New Roman" w:hAnsi="Times New Roman" w:cs="Times New Roman"/>
          <w:sz w:val="24"/>
          <w:szCs w:val="24"/>
          <w:lang w:val="en-GB"/>
        </w:rPr>
        <w:t xml:space="preserve">Available at: </w:t>
      </w:r>
      <w:hyperlink r:id="rId24">
        <w:r w:rsidRPr="00EC6423">
          <w:rPr>
            <w:rFonts w:ascii="Times New Roman" w:eastAsia="Times New Roman" w:hAnsi="Times New Roman" w:cs="Times New Roman"/>
            <w:color w:val="1155CC"/>
            <w:sz w:val="24"/>
            <w:szCs w:val="24"/>
            <w:u w:val="single"/>
            <w:lang w:val="en-GB"/>
          </w:rPr>
          <w:t>https://www.iea.org/reports/global-critical-minerals-outlook-2024/outlook-for-key-minerals</w:t>
        </w:r>
      </w:hyperlink>
      <w:r w:rsidRPr="00EC6423">
        <w:rPr>
          <w:rFonts w:ascii="Times New Roman" w:eastAsia="Times New Roman" w:hAnsi="Times New Roman" w:cs="Times New Roman"/>
          <w:sz w:val="24"/>
          <w:szCs w:val="24"/>
          <w:lang w:val="en-GB"/>
        </w:rPr>
        <w:t xml:space="preserve"> (Accessed: 13 July 2026)</w:t>
      </w:r>
    </w:p>
    <w:p w14:paraId="068A8BF6"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Kotler, P., Armstrong, G., Harris, L.C. and He, H. (2024) ‘Principles of marketing.’ 19th </w:t>
      </w:r>
      <w:proofErr w:type="spellStart"/>
      <w:r w:rsidRPr="00EC6423">
        <w:rPr>
          <w:rFonts w:ascii="Times New Roman" w:eastAsia="Times New Roman" w:hAnsi="Times New Roman" w:cs="Times New Roman"/>
          <w:sz w:val="24"/>
          <w:szCs w:val="24"/>
          <w:lang w:val="en-GB"/>
        </w:rPr>
        <w:t>edn</w:t>
      </w:r>
      <w:proofErr w:type="spellEnd"/>
      <w:r w:rsidRPr="00EC6423">
        <w:rPr>
          <w:rFonts w:ascii="Times New Roman" w:eastAsia="Times New Roman" w:hAnsi="Times New Roman" w:cs="Times New Roman"/>
          <w:sz w:val="24"/>
          <w:szCs w:val="24"/>
          <w:lang w:val="en-GB"/>
        </w:rPr>
        <w:t xml:space="preserve">. Harlow: Pearson. Available at: </w:t>
      </w:r>
      <w:hyperlink r:id="rId25">
        <w:r w:rsidRPr="00EC6423">
          <w:rPr>
            <w:rFonts w:ascii="Times New Roman" w:eastAsia="Times New Roman" w:hAnsi="Times New Roman" w:cs="Times New Roman"/>
            <w:color w:val="1155CC"/>
            <w:sz w:val="24"/>
            <w:szCs w:val="24"/>
            <w:u w:val="single"/>
            <w:lang w:val="en-GB"/>
          </w:rPr>
          <w:t>https://www.pearson.com/nl/en_NL/higher-education/subject-catalogue/marketing/kotler-principles-of-marketing-19ed.html</w:t>
        </w:r>
      </w:hyperlink>
      <w:r w:rsidRPr="00EC6423">
        <w:rPr>
          <w:rFonts w:ascii="Times New Roman" w:eastAsia="Times New Roman" w:hAnsi="Times New Roman" w:cs="Times New Roman"/>
          <w:sz w:val="24"/>
          <w:szCs w:val="24"/>
          <w:lang w:val="en-GB"/>
        </w:rPr>
        <w:t xml:space="preserve"> </w:t>
      </w:r>
    </w:p>
    <w:p w14:paraId="0C28147E"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highlight w:val="white"/>
          <w:lang w:val="en-GB"/>
        </w:rPr>
        <w:t xml:space="preserve">Ma, H., Coelho, A. and Santos, C., (2026). Proactive environmental strategy and green brand positioning: implications for sustainable development and firm performance in B2B markets. </w:t>
      </w:r>
      <w:r w:rsidRPr="00EC6423">
        <w:rPr>
          <w:rFonts w:ascii="Times New Roman" w:eastAsia="Times New Roman" w:hAnsi="Times New Roman" w:cs="Times New Roman"/>
          <w:i/>
          <w:iCs/>
          <w:sz w:val="24"/>
          <w:szCs w:val="24"/>
          <w:highlight w:val="white"/>
          <w:lang w:val="en-GB"/>
        </w:rPr>
        <w:t>Corporate Social Responsibility and Environmental Management</w:t>
      </w:r>
      <w:r w:rsidRPr="00EC6423">
        <w:rPr>
          <w:rFonts w:ascii="Times New Roman" w:eastAsia="Times New Roman" w:hAnsi="Times New Roman" w:cs="Times New Roman"/>
          <w:sz w:val="24"/>
          <w:szCs w:val="24"/>
          <w:highlight w:val="white"/>
          <w:lang w:val="en-GB"/>
        </w:rPr>
        <w:t xml:space="preserve">, </w:t>
      </w:r>
      <w:r w:rsidRPr="00EC6423">
        <w:rPr>
          <w:rFonts w:ascii="Times New Roman" w:eastAsia="Times New Roman" w:hAnsi="Times New Roman" w:cs="Times New Roman"/>
          <w:i/>
          <w:iCs/>
          <w:sz w:val="24"/>
          <w:szCs w:val="24"/>
          <w:highlight w:val="white"/>
          <w:lang w:val="en-GB"/>
        </w:rPr>
        <w:t>33</w:t>
      </w:r>
      <w:r w:rsidRPr="00EC6423">
        <w:rPr>
          <w:rFonts w:ascii="Times New Roman" w:eastAsia="Times New Roman" w:hAnsi="Times New Roman" w:cs="Times New Roman"/>
          <w:sz w:val="24"/>
          <w:szCs w:val="24"/>
          <w:highlight w:val="white"/>
          <w:lang w:val="en-GB"/>
        </w:rPr>
        <w:t>(2), pp.2887-2905.</w:t>
      </w:r>
      <w:r w:rsidRPr="00EC6423">
        <w:rPr>
          <w:rFonts w:ascii="Times New Roman" w:eastAsia="Times New Roman" w:hAnsi="Times New Roman" w:cs="Times New Roman"/>
          <w:sz w:val="24"/>
          <w:szCs w:val="24"/>
          <w:lang w:val="en-GB"/>
        </w:rPr>
        <w:t xml:space="preserve"> Available at: </w:t>
      </w:r>
      <w:hyperlink r:id="rId26">
        <w:r w:rsidRPr="00EC6423">
          <w:rPr>
            <w:rFonts w:ascii="Times New Roman" w:eastAsia="Times New Roman" w:hAnsi="Times New Roman" w:cs="Times New Roman"/>
            <w:color w:val="1155CC"/>
            <w:sz w:val="24"/>
            <w:szCs w:val="24"/>
            <w:u w:val="single"/>
            <w:lang w:val="en-GB"/>
          </w:rPr>
          <w:t>https://doi.org/10.1002/csr.70310</w:t>
        </w:r>
      </w:hyperlink>
      <w:r w:rsidRPr="00EC6423">
        <w:rPr>
          <w:rFonts w:ascii="Times New Roman" w:eastAsia="Times New Roman" w:hAnsi="Times New Roman" w:cs="Times New Roman"/>
          <w:sz w:val="24"/>
          <w:szCs w:val="24"/>
          <w:lang w:val="en-GB"/>
        </w:rPr>
        <w:t xml:space="preserve"> </w:t>
      </w:r>
    </w:p>
    <w:p w14:paraId="78A6DB1F"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highlight w:val="white"/>
          <w:lang w:val="en-GB"/>
        </w:rPr>
        <w:t xml:space="preserve">Magesh, V., Surani, F., Dahl, M., </w:t>
      </w:r>
      <w:proofErr w:type="spellStart"/>
      <w:r w:rsidRPr="00EC6423">
        <w:rPr>
          <w:rFonts w:ascii="Times New Roman" w:eastAsia="Times New Roman" w:hAnsi="Times New Roman" w:cs="Times New Roman"/>
          <w:sz w:val="24"/>
          <w:szCs w:val="24"/>
          <w:highlight w:val="white"/>
          <w:lang w:val="en-GB"/>
        </w:rPr>
        <w:t>Suzgun</w:t>
      </w:r>
      <w:proofErr w:type="spellEnd"/>
      <w:r w:rsidRPr="00EC6423">
        <w:rPr>
          <w:rFonts w:ascii="Times New Roman" w:eastAsia="Times New Roman" w:hAnsi="Times New Roman" w:cs="Times New Roman"/>
          <w:sz w:val="24"/>
          <w:szCs w:val="24"/>
          <w:highlight w:val="white"/>
          <w:lang w:val="en-GB"/>
        </w:rPr>
        <w:t xml:space="preserve">, M., Manning, C.D. and Ho, D.E., (2025) ‘Hallucination‐free? Assessing the reliability of leading AI legal research tools.’ </w:t>
      </w:r>
      <w:r w:rsidRPr="00EC6423">
        <w:rPr>
          <w:rFonts w:ascii="Times New Roman" w:eastAsia="Times New Roman" w:hAnsi="Times New Roman" w:cs="Times New Roman"/>
          <w:i/>
          <w:iCs/>
          <w:sz w:val="24"/>
          <w:szCs w:val="24"/>
          <w:highlight w:val="white"/>
          <w:lang w:val="en-GB"/>
        </w:rPr>
        <w:t>Journal of empirical legal studies</w:t>
      </w:r>
      <w:r w:rsidRPr="00EC6423">
        <w:rPr>
          <w:rFonts w:ascii="Times New Roman" w:eastAsia="Times New Roman" w:hAnsi="Times New Roman" w:cs="Times New Roman"/>
          <w:sz w:val="24"/>
          <w:szCs w:val="24"/>
          <w:highlight w:val="white"/>
          <w:lang w:val="en-GB"/>
        </w:rPr>
        <w:t xml:space="preserve">, </w:t>
      </w:r>
      <w:r w:rsidRPr="00EC6423">
        <w:rPr>
          <w:rFonts w:ascii="Times New Roman" w:eastAsia="Times New Roman" w:hAnsi="Times New Roman" w:cs="Times New Roman"/>
          <w:i/>
          <w:iCs/>
          <w:sz w:val="24"/>
          <w:szCs w:val="24"/>
          <w:highlight w:val="white"/>
          <w:lang w:val="en-GB"/>
        </w:rPr>
        <w:t>22</w:t>
      </w:r>
      <w:r w:rsidRPr="00EC6423">
        <w:rPr>
          <w:rFonts w:ascii="Times New Roman" w:eastAsia="Times New Roman" w:hAnsi="Times New Roman" w:cs="Times New Roman"/>
          <w:sz w:val="24"/>
          <w:szCs w:val="24"/>
          <w:highlight w:val="white"/>
          <w:lang w:val="en-GB"/>
        </w:rPr>
        <w:t>(2), pp.216-242.</w:t>
      </w:r>
      <w:r w:rsidRPr="00EC6423">
        <w:rPr>
          <w:rFonts w:ascii="Times New Roman" w:eastAsia="Times New Roman" w:hAnsi="Times New Roman" w:cs="Times New Roman"/>
          <w:sz w:val="24"/>
          <w:szCs w:val="24"/>
          <w:lang w:val="en-GB"/>
        </w:rPr>
        <w:t xml:space="preserve"> Available at: </w:t>
      </w:r>
      <w:hyperlink r:id="rId27">
        <w:r w:rsidRPr="00EC6423">
          <w:rPr>
            <w:rFonts w:ascii="Times New Roman" w:eastAsia="Times New Roman" w:hAnsi="Times New Roman" w:cs="Times New Roman"/>
            <w:color w:val="1155CC"/>
            <w:sz w:val="24"/>
            <w:szCs w:val="24"/>
            <w:u w:val="single"/>
            <w:lang w:val="en-GB"/>
          </w:rPr>
          <w:t>https://doi.org/10.1111/jels.12413</w:t>
        </w:r>
      </w:hyperlink>
      <w:r w:rsidRPr="00EC6423">
        <w:rPr>
          <w:rFonts w:ascii="Times New Roman" w:eastAsia="Times New Roman" w:hAnsi="Times New Roman" w:cs="Times New Roman"/>
          <w:sz w:val="24"/>
          <w:szCs w:val="24"/>
          <w:lang w:val="en-GB"/>
        </w:rPr>
        <w:t xml:space="preserve"> </w:t>
      </w:r>
    </w:p>
    <w:p w14:paraId="34311AB1"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highlight w:val="white"/>
          <w:lang w:val="en-GB"/>
        </w:rPr>
        <w:t xml:space="preserve">Samuel, S.A., (2025). Carbon pricing mechanisms for reducing greenhouse gas emissions and encouraging sustainable industrial practices. </w:t>
      </w:r>
      <w:r w:rsidRPr="00EC6423">
        <w:rPr>
          <w:rFonts w:ascii="Times New Roman" w:eastAsia="Times New Roman" w:hAnsi="Times New Roman" w:cs="Times New Roman"/>
          <w:i/>
          <w:iCs/>
          <w:sz w:val="24"/>
          <w:szCs w:val="24"/>
          <w:highlight w:val="white"/>
          <w:lang w:val="en-GB"/>
        </w:rPr>
        <w:t>World J. Adv. Res. Rev</w:t>
      </w:r>
      <w:r w:rsidRPr="00EC6423">
        <w:rPr>
          <w:rFonts w:ascii="Times New Roman" w:eastAsia="Times New Roman" w:hAnsi="Times New Roman" w:cs="Times New Roman"/>
          <w:sz w:val="24"/>
          <w:szCs w:val="24"/>
          <w:highlight w:val="white"/>
          <w:lang w:val="en-GB"/>
        </w:rPr>
        <w:t xml:space="preserve">, </w:t>
      </w:r>
      <w:r w:rsidRPr="00EC6423">
        <w:rPr>
          <w:rFonts w:ascii="Times New Roman" w:eastAsia="Times New Roman" w:hAnsi="Times New Roman" w:cs="Times New Roman"/>
          <w:i/>
          <w:iCs/>
          <w:sz w:val="24"/>
          <w:szCs w:val="24"/>
          <w:highlight w:val="white"/>
          <w:lang w:val="en-GB"/>
        </w:rPr>
        <w:t>25</w:t>
      </w:r>
      <w:r w:rsidRPr="00EC6423">
        <w:rPr>
          <w:rFonts w:ascii="Times New Roman" w:eastAsia="Times New Roman" w:hAnsi="Times New Roman" w:cs="Times New Roman"/>
          <w:sz w:val="24"/>
          <w:szCs w:val="24"/>
          <w:highlight w:val="white"/>
          <w:lang w:val="en-GB"/>
        </w:rPr>
        <w:t>(2), pp.1-24.</w:t>
      </w:r>
      <w:r w:rsidRPr="00EC6423">
        <w:rPr>
          <w:rFonts w:ascii="Times New Roman" w:eastAsia="Times New Roman" w:hAnsi="Times New Roman" w:cs="Times New Roman"/>
          <w:sz w:val="24"/>
          <w:szCs w:val="24"/>
          <w:lang w:val="en-GB"/>
        </w:rPr>
        <w:t xml:space="preserve"> Available at: </w:t>
      </w:r>
      <w:hyperlink r:id="rId28">
        <w:r w:rsidRPr="00EC6423">
          <w:rPr>
            <w:rFonts w:ascii="Times New Roman" w:eastAsia="Times New Roman" w:hAnsi="Times New Roman" w:cs="Times New Roman"/>
            <w:color w:val="1155CC"/>
            <w:sz w:val="24"/>
            <w:szCs w:val="24"/>
            <w:u w:val="single"/>
            <w:lang w:val="en-GB"/>
          </w:rPr>
          <w:t>https://www.researchgate.net/profile/Adebayo-Solarin-2/publication/388763454_Corresponding_author_Solarin_Adebayo_Samuel_Carbon_pricing_mechanisms_for_reducing_greenhouse_gas_emissions_and_encouraging_sustainable_industrial_practices/links/67a51d2d645ef274a4731cbd/Corresponding-author-Solarin-Adebayo-Samuel-Carbon-pricing-mechanisms-for-reducing-greenhouse-gas-emissions-and-encouraging-sustainable-industrial-practices.pdf</w:t>
        </w:r>
      </w:hyperlink>
      <w:r w:rsidRPr="00EC6423">
        <w:rPr>
          <w:rFonts w:ascii="Times New Roman" w:eastAsia="Times New Roman" w:hAnsi="Times New Roman" w:cs="Times New Roman"/>
          <w:sz w:val="24"/>
          <w:szCs w:val="24"/>
          <w:lang w:val="en-GB"/>
        </w:rPr>
        <w:t xml:space="preserve"> </w:t>
      </w:r>
    </w:p>
    <w:p w14:paraId="5AD9B777"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color w:val="222222"/>
          <w:sz w:val="24"/>
          <w:szCs w:val="24"/>
          <w:highlight w:val="white"/>
          <w:lang w:val="en-GB"/>
        </w:rPr>
        <w:t xml:space="preserve">Ștefan, S.C., Popa, I. and </w:t>
      </w:r>
      <w:proofErr w:type="spellStart"/>
      <w:r w:rsidRPr="00EC6423">
        <w:rPr>
          <w:rFonts w:ascii="Times New Roman" w:eastAsia="Times New Roman" w:hAnsi="Times New Roman" w:cs="Times New Roman"/>
          <w:color w:val="222222"/>
          <w:sz w:val="24"/>
          <w:szCs w:val="24"/>
          <w:highlight w:val="white"/>
          <w:lang w:val="en-GB"/>
        </w:rPr>
        <w:t>Tărăban</w:t>
      </w:r>
      <w:proofErr w:type="spellEnd"/>
      <w:r w:rsidRPr="00EC6423">
        <w:rPr>
          <w:rFonts w:ascii="Times New Roman" w:eastAsia="Times New Roman" w:hAnsi="Times New Roman" w:cs="Times New Roman"/>
          <w:color w:val="222222"/>
          <w:sz w:val="24"/>
          <w:szCs w:val="24"/>
          <w:highlight w:val="white"/>
          <w:lang w:val="en-GB"/>
        </w:rPr>
        <w:t xml:space="preserve">, I., (2023). Strategic orientation of Romanian healthcare organizations from a contingency theory perspective based on Porter’s generic strategy model. </w:t>
      </w:r>
      <w:r w:rsidRPr="00EC6423">
        <w:rPr>
          <w:rFonts w:ascii="Times New Roman" w:eastAsia="Times New Roman" w:hAnsi="Times New Roman" w:cs="Times New Roman"/>
          <w:i/>
          <w:iCs/>
          <w:color w:val="222222"/>
          <w:sz w:val="24"/>
          <w:szCs w:val="24"/>
          <w:highlight w:val="white"/>
          <w:lang w:val="en-GB"/>
        </w:rPr>
        <w:t>Systems</w:t>
      </w:r>
      <w:r w:rsidRPr="00EC6423">
        <w:rPr>
          <w:rFonts w:ascii="Times New Roman" w:eastAsia="Times New Roman" w:hAnsi="Times New Roman" w:cs="Times New Roman"/>
          <w:color w:val="222222"/>
          <w:sz w:val="24"/>
          <w:szCs w:val="24"/>
          <w:highlight w:val="white"/>
          <w:lang w:val="en-GB"/>
        </w:rPr>
        <w:t xml:space="preserve">, </w:t>
      </w:r>
      <w:r w:rsidRPr="00EC6423">
        <w:rPr>
          <w:rFonts w:ascii="Times New Roman" w:eastAsia="Times New Roman" w:hAnsi="Times New Roman" w:cs="Times New Roman"/>
          <w:i/>
          <w:iCs/>
          <w:color w:val="222222"/>
          <w:sz w:val="24"/>
          <w:szCs w:val="24"/>
          <w:highlight w:val="white"/>
          <w:lang w:val="en-GB"/>
        </w:rPr>
        <w:t>11</w:t>
      </w:r>
      <w:r w:rsidRPr="00EC6423">
        <w:rPr>
          <w:rFonts w:ascii="Times New Roman" w:eastAsia="Times New Roman" w:hAnsi="Times New Roman" w:cs="Times New Roman"/>
          <w:color w:val="222222"/>
          <w:sz w:val="24"/>
          <w:szCs w:val="24"/>
          <w:highlight w:val="white"/>
          <w:lang w:val="en-GB"/>
        </w:rPr>
        <w:t>(10), p.488.</w:t>
      </w:r>
      <w:r w:rsidRPr="00EC6423">
        <w:rPr>
          <w:rFonts w:ascii="Times New Roman" w:eastAsia="Times New Roman" w:hAnsi="Times New Roman" w:cs="Times New Roman"/>
          <w:sz w:val="24"/>
          <w:szCs w:val="24"/>
          <w:lang w:val="en-GB"/>
        </w:rPr>
        <w:t xml:space="preserve"> Available at: </w:t>
      </w:r>
      <w:hyperlink r:id="rId29">
        <w:r w:rsidRPr="00EC6423">
          <w:rPr>
            <w:rFonts w:ascii="Times New Roman" w:eastAsia="Times New Roman" w:hAnsi="Times New Roman" w:cs="Times New Roman"/>
            <w:color w:val="1155CC"/>
            <w:sz w:val="24"/>
            <w:szCs w:val="24"/>
            <w:u w:val="single"/>
            <w:lang w:val="en-GB"/>
          </w:rPr>
          <w:t>https://doi.org/10.3390/systems11100488</w:t>
        </w:r>
      </w:hyperlink>
      <w:r w:rsidRPr="00EC6423">
        <w:rPr>
          <w:rFonts w:ascii="Times New Roman" w:eastAsia="Times New Roman" w:hAnsi="Times New Roman" w:cs="Times New Roman"/>
          <w:sz w:val="24"/>
          <w:szCs w:val="24"/>
          <w:lang w:val="en-GB"/>
        </w:rPr>
        <w:t xml:space="preserve"> </w:t>
      </w:r>
    </w:p>
    <w:p w14:paraId="6D602ECA"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lang w:val="en-GB"/>
        </w:rPr>
        <w:t xml:space="preserve">UN (2026) </w:t>
      </w:r>
      <w:r w:rsidRPr="00EC6423">
        <w:rPr>
          <w:rFonts w:ascii="Times New Roman" w:eastAsia="Times New Roman" w:hAnsi="Times New Roman" w:cs="Times New Roman"/>
          <w:i/>
          <w:iCs/>
          <w:sz w:val="24"/>
          <w:szCs w:val="24"/>
          <w:lang w:val="en-GB"/>
        </w:rPr>
        <w:t xml:space="preserve">9.7 billion on Earth by 2050, but growth rate slowing, says new UN population report </w:t>
      </w:r>
      <w:r w:rsidRPr="00EC6423">
        <w:rPr>
          <w:rFonts w:ascii="Times New Roman" w:eastAsia="Times New Roman" w:hAnsi="Times New Roman" w:cs="Times New Roman"/>
          <w:sz w:val="24"/>
          <w:szCs w:val="24"/>
          <w:lang w:val="en-GB"/>
        </w:rPr>
        <w:t xml:space="preserve">Available at: </w:t>
      </w:r>
      <w:hyperlink r:id="rId30">
        <w:r w:rsidRPr="00EC6423">
          <w:rPr>
            <w:rFonts w:ascii="Times New Roman" w:eastAsia="Times New Roman" w:hAnsi="Times New Roman" w:cs="Times New Roman"/>
            <w:color w:val="1155CC"/>
            <w:sz w:val="24"/>
            <w:szCs w:val="24"/>
            <w:u w:val="single"/>
            <w:lang w:val="en-GB"/>
          </w:rPr>
          <w:t>https://www.un.org/en/academic-impact/97-billion-earth-2050-growth-rate-slowing-says-new-un-population-report</w:t>
        </w:r>
      </w:hyperlink>
      <w:r w:rsidRPr="00EC6423">
        <w:rPr>
          <w:rFonts w:ascii="Times New Roman" w:eastAsia="Times New Roman" w:hAnsi="Times New Roman" w:cs="Times New Roman"/>
          <w:sz w:val="24"/>
          <w:szCs w:val="24"/>
          <w:lang w:val="en-GB"/>
        </w:rPr>
        <w:t xml:space="preserve"> (Accessed: 13 July 2026)</w:t>
      </w:r>
    </w:p>
    <w:p w14:paraId="1DEFDE11"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r w:rsidRPr="00EC6423">
        <w:rPr>
          <w:rFonts w:ascii="Times New Roman" w:eastAsia="Times New Roman" w:hAnsi="Times New Roman" w:cs="Times New Roman"/>
          <w:sz w:val="24"/>
          <w:szCs w:val="24"/>
          <w:highlight w:val="white"/>
          <w:lang w:val="en-GB"/>
        </w:rPr>
        <w:t xml:space="preserve">Zhai, C., Wibowo, S. and Li, L.D., (2024). The effects of over-reliance on AI dialogue systems on students' cognitive abilities: a systematic review. </w:t>
      </w:r>
      <w:r w:rsidRPr="00EC6423">
        <w:rPr>
          <w:rFonts w:ascii="Times New Roman" w:eastAsia="Times New Roman" w:hAnsi="Times New Roman" w:cs="Times New Roman"/>
          <w:i/>
          <w:iCs/>
          <w:sz w:val="24"/>
          <w:szCs w:val="24"/>
          <w:highlight w:val="white"/>
          <w:lang w:val="en-GB"/>
        </w:rPr>
        <w:t>Smart learning environments</w:t>
      </w:r>
      <w:r w:rsidRPr="00EC6423">
        <w:rPr>
          <w:rFonts w:ascii="Times New Roman" w:eastAsia="Times New Roman" w:hAnsi="Times New Roman" w:cs="Times New Roman"/>
          <w:sz w:val="24"/>
          <w:szCs w:val="24"/>
          <w:highlight w:val="white"/>
          <w:lang w:val="en-GB"/>
        </w:rPr>
        <w:t xml:space="preserve">, </w:t>
      </w:r>
      <w:r w:rsidRPr="00EC6423">
        <w:rPr>
          <w:rFonts w:ascii="Times New Roman" w:eastAsia="Times New Roman" w:hAnsi="Times New Roman" w:cs="Times New Roman"/>
          <w:i/>
          <w:iCs/>
          <w:sz w:val="24"/>
          <w:szCs w:val="24"/>
          <w:highlight w:val="white"/>
          <w:lang w:val="en-GB"/>
        </w:rPr>
        <w:t>11</w:t>
      </w:r>
      <w:r w:rsidRPr="00EC6423">
        <w:rPr>
          <w:rFonts w:ascii="Times New Roman" w:eastAsia="Times New Roman" w:hAnsi="Times New Roman" w:cs="Times New Roman"/>
          <w:sz w:val="24"/>
          <w:szCs w:val="24"/>
          <w:highlight w:val="white"/>
          <w:lang w:val="en-GB"/>
        </w:rPr>
        <w:t>(1), p.28.</w:t>
      </w:r>
      <w:r w:rsidRPr="00EC6423">
        <w:rPr>
          <w:rFonts w:ascii="Times New Roman" w:eastAsia="Times New Roman" w:hAnsi="Times New Roman" w:cs="Times New Roman"/>
          <w:sz w:val="24"/>
          <w:szCs w:val="24"/>
          <w:lang w:val="en-GB"/>
        </w:rPr>
        <w:t xml:space="preserve"> Available at: </w:t>
      </w:r>
      <w:hyperlink r:id="rId31">
        <w:r w:rsidRPr="00EC6423">
          <w:rPr>
            <w:rFonts w:ascii="Times New Roman" w:eastAsia="Times New Roman" w:hAnsi="Times New Roman" w:cs="Times New Roman"/>
            <w:color w:val="1155CC"/>
            <w:sz w:val="24"/>
            <w:szCs w:val="24"/>
            <w:u w:val="single"/>
            <w:lang w:val="en-GB"/>
          </w:rPr>
          <w:t>https://doi.org/10.1186/s40561-024-00316-7</w:t>
        </w:r>
      </w:hyperlink>
      <w:r w:rsidRPr="00EC6423">
        <w:rPr>
          <w:rFonts w:ascii="Times New Roman" w:eastAsia="Times New Roman" w:hAnsi="Times New Roman" w:cs="Times New Roman"/>
          <w:sz w:val="24"/>
          <w:szCs w:val="24"/>
          <w:lang w:val="en-GB"/>
        </w:rPr>
        <w:t xml:space="preserve"> (Accessed: 13 July 2026)</w:t>
      </w:r>
    </w:p>
    <w:p w14:paraId="63553470" w14:textId="77777777" w:rsidR="00EC6423" w:rsidRPr="00EC6423" w:rsidRDefault="00EC6423">
      <w:pPr>
        <w:spacing w:before="200" w:line="360" w:lineRule="auto"/>
        <w:jc w:val="both"/>
        <w:rPr>
          <w:rFonts w:ascii="Times New Roman" w:eastAsia="Times New Roman" w:hAnsi="Times New Roman" w:cs="Times New Roman"/>
          <w:sz w:val="24"/>
          <w:szCs w:val="24"/>
          <w:lang w:val="en-GB"/>
        </w:rPr>
      </w:pPr>
    </w:p>
    <w:p w14:paraId="4B4DE932" w14:textId="77777777" w:rsidR="00C43F52" w:rsidRPr="00EC6423" w:rsidRDefault="00C43F52">
      <w:pPr>
        <w:spacing w:line="360" w:lineRule="auto"/>
        <w:jc w:val="both"/>
        <w:rPr>
          <w:rFonts w:ascii="Times New Roman" w:eastAsia="Times New Roman" w:hAnsi="Times New Roman" w:cs="Times New Roman"/>
          <w:sz w:val="24"/>
          <w:szCs w:val="24"/>
          <w:lang w:val="en-GB"/>
        </w:rPr>
      </w:pPr>
    </w:p>
    <w:sectPr w:rsidR="00C43F52" w:rsidRPr="00EC6423">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735C5" w14:textId="77777777" w:rsidR="002A67BF" w:rsidRDefault="002A67BF">
      <w:pPr>
        <w:spacing w:line="240" w:lineRule="auto"/>
      </w:pPr>
      <w:r>
        <w:separator/>
      </w:r>
    </w:p>
  </w:endnote>
  <w:endnote w:type="continuationSeparator" w:id="0">
    <w:p w14:paraId="4FA0BF61" w14:textId="77777777" w:rsidR="002A67BF" w:rsidRDefault="002A6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A102933C-AB42-5E4C-ABEF-A5281ACB9318}"/>
    <w:embedBold r:id="rId2" w:fontKey="{7D205C21-A4AC-1A46-A352-8E2B13464D6C}"/>
    <w:embedItalic r:id="rId3" w:fontKey="{F700A585-4690-BA41-97D8-0B18A53F63D6}"/>
  </w:font>
  <w:font w:name="Times New Roman">
    <w:panose1 w:val="02020603050405020304"/>
    <w:charset w:val="00"/>
    <w:family w:val="roman"/>
    <w:pitch w:val="variable"/>
    <w:sig w:usb0="E0002EFF" w:usb1="C000785B" w:usb2="00000009" w:usb3="00000000" w:csb0="000001FF" w:csb1="00000000"/>
    <w:embedRegular r:id="rId4" w:fontKey="{FD606DE9-A0EE-2F42-9FD2-40DC4C9EA23A}"/>
    <w:embedBold r:id="rId5" w:fontKey="{8D2C130A-EFFA-BD43-B839-C5392CBF7D3C}"/>
    <w:embedItalic r:id="rId6" w:fontKey="{9637EDED-AD89-594A-A572-439B3F2B633E}"/>
    <w:embedBoldItalic r:id="rId7" w:fontKey="{3E00DDDE-3A30-ED4E-AE9E-FC315A371B9B}"/>
  </w:font>
  <w:font w:name="Calibri">
    <w:panose1 w:val="020F0502020204030204"/>
    <w:charset w:val="00"/>
    <w:family w:val="swiss"/>
    <w:pitch w:val="variable"/>
    <w:sig w:usb0="E4002EFF" w:usb1="C200ACFF" w:usb2="00000009" w:usb3="00000000" w:csb0="000001FF" w:csb1="00000000"/>
    <w:embedRegular r:id="rId8" w:fontKey="{F7BD0A6B-F76D-0D42-A2C9-6DB26FC55E6B}"/>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9" w:fontKey="{71715A70-70FF-EE45-A716-A42CB30DA3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EEE9" w14:textId="77777777" w:rsidR="00C43F52" w:rsidRDefault="003C441E">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C6423">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0EC71" w14:textId="77777777" w:rsidR="002A67BF" w:rsidRDefault="002A67BF">
      <w:pPr>
        <w:spacing w:line="240" w:lineRule="auto"/>
      </w:pPr>
      <w:r>
        <w:separator/>
      </w:r>
    </w:p>
  </w:footnote>
  <w:footnote w:type="continuationSeparator" w:id="0">
    <w:p w14:paraId="0E8C5C63" w14:textId="77777777" w:rsidR="002A67BF" w:rsidRDefault="002A67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F52"/>
    <w:rsid w:val="00061778"/>
    <w:rsid w:val="001451AC"/>
    <w:rsid w:val="002A67BF"/>
    <w:rsid w:val="003C441E"/>
    <w:rsid w:val="0045681C"/>
    <w:rsid w:val="00475C07"/>
    <w:rsid w:val="00505DE8"/>
    <w:rsid w:val="005A48FB"/>
    <w:rsid w:val="0070166D"/>
    <w:rsid w:val="0078559C"/>
    <w:rsid w:val="007E7EB3"/>
    <w:rsid w:val="00867588"/>
    <w:rsid w:val="00872749"/>
    <w:rsid w:val="009B4AE2"/>
    <w:rsid w:val="009F1E0E"/>
    <w:rsid w:val="00A61D17"/>
    <w:rsid w:val="00B15B05"/>
    <w:rsid w:val="00C43F52"/>
    <w:rsid w:val="00CA1EF0"/>
    <w:rsid w:val="00EC642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F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C6423"/>
    <w:pPr>
      <w:spacing w:line="360" w:lineRule="auto"/>
      <w:jc w:val="both"/>
      <w:outlineLvl w:val="0"/>
    </w:pPr>
    <w:rPr>
      <w:rFonts w:ascii="Times New Roman" w:eastAsia="Times New Roman" w:hAnsi="Times New Roman" w:cs="Times New Roman"/>
      <w:b/>
      <w:bCs/>
      <w:sz w:val="24"/>
      <w:szCs w:val="24"/>
      <w:lang w:val="en-GB"/>
    </w:rPr>
  </w:style>
  <w:style w:type="paragraph" w:styleId="Heading2">
    <w:name w:val="heading 2"/>
    <w:basedOn w:val="Normal"/>
    <w:next w:val="Normal"/>
    <w:uiPriority w:val="9"/>
    <w:unhideWhenUsed/>
    <w:qFormat/>
    <w:rsid w:val="00EC6423"/>
    <w:pPr>
      <w:spacing w:line="360" w:lineRule="auto"/>
      <w:jc w:val="both"/>
      <w:outlineLvl w:val="1"/>
    </w:pPr>
    <w:rPr>
      <w:rFonts w:ascii="Times New Roman" w:eastAsia="Times New Roman" w:hAnsi="Times New Roman" w:cs="Times New Roman"/>
      <w:b/>
      <w:bCs/>
      <w:sz w:val="24"/>
      <w:szCs w:val="24"/>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rmalWeb">
    <w:name w:val="Normal (Web)"/>
    <w:basedOn w:val="Normal"/>
    <w:uiPriority w:val="99"/>
    <w:unhideWhenUsed/>
    <w:rsid w:val="00EC6423"/>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EC6423"/>
    <w:rPr>
      <w:color w:val="0000FF"/>
      <w:u w:val="single"/>
    </w:rPr>
  </w:style>
  <w:style w:type="paragraph" w:styleId="ListParagraph">
    <w:name w:val="List Paragraph"/>
    <w:basedOn w:val="Normal"/>
    <w:uiPriority w:val="34"/>
    <w:qFormat/>
    <w:rsid w:val="00EC6423"/>
    <w:pPr>
      <w:ind w:left="720"/>
      <w:contextualSpacing/>
    </w:pPr>
  </w:style>
  <w:style w:type="paragraph" w:styleId="TOCHeading">
    <w:name w:val="TOC Heading"/>
    <w:basedOn w:val="Heading1"/>
    <w:next w:val="Normal"/>
    <w:uiPriority w:val="39"/>
    <w:unhideWhenUsed/>
    <w:qFormat/>
    <w:rsid w:val="00EC642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C6423"/>
    <w:pPr>
      <w:spacing w:after="100"/>
    </w:pPr>
  </w:style>
  <w:style w:type="paragraph" w:styleId="TOC2">
    <w:name w:val="toc 2"/>
    <w:basedOn w:val="Normal"/>
    <w:next w:val="Normal"/>
    <w:autoRedefine/>
    <w:uiPriority w:val="39"/>
    <w:unhideWhenUsed/>
    <w:rsid w:val="00EC6423"/>
    <w:pPr>
      <w:spacing w:after="100"/>
      <w:ind w:left="220"/>
    </w:pPr>
  </w:style>
  <w:style w:type="paragraph" w:styleId="Header">
    <w:name w:val="header"/>
    <w:basedOn w:val="Normal"/>
    <w:link w:val="HeaderChar"/>
    <w:uiPriority w:val="99"/>
    <w:unhideWhenUsed/>
    <w:rsid w:val="001451AC"/>
    <w:pPr>
      <w:tabs>
        <w:tab w:val="center" w:pos="4513"/>
        <w:tab w:val="right" w:pos="9026"/>
      </w:tabs>
      <w:spacing w:line="240" w:lineRule="auto"/>
    </w:pPr>
  </w:style>
  <w:style w:type="character" w:customStyle="1" w:styleId="HeaderChar">
    <w:name w:val="Header Char"/>
    <w:basedOn w:val="DefaultParagraphFont"/>
    <w:link w:val="Header"/>
    <w:uiPriority w:val="99"/>
    <w:rsid w:val="001451AC"/>
  </w:style>
  <w:style w:type="paragraph" w:styleId="Footer">
    <w:name w:val="footer"/>
    <w:basedOn w:val="Normal"/>
    <w:link w:val="FooterChar"/>
    <w:uiPriority w:val="99"/>
    <w:unhideWhenUsed/>
    <w:rsid w:val="001451AC"/>
    <w:pPr>
      <w:tabs>
        <w:tab w:val="center" w:pos="4513"/>
        <w:tab w:val="right" w:pos="9026"/>
      </w:tabs>
      <w:spacing w:line="240" w:lineRule="auto"/>
    </w:pPr>
  </w:style>
  <w:style w:type="character" w:customStyle="1" w:styleId="FooterChar">
    <w:name w:val="Footer Char"/>
    <w:basedOn w:val="DefaultParagraphFont"/>
    <w:link w:val="Footer"/>
    <w:uiPriority w:val="99"/>
    <w:rsid w:val="00145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231542">
      <w:bodyDiv w:val="1"/>
      <w:marLeft w:val="0"/>
      <w:marRight w:val="0"/>
      <w:marTop w:val="0"/>
      <w:marBottom w:val="0"/>
      <w:divBdr>
        <w:top w:val="none" w:sz="0" w:space="0" w:color="auto"/>
        <w:left w:val="none" w:sz="0" w:space="0" w:color="auto"/>
        <w:bottom w:val="none" w:sz="0" w:space="0" w:color="auto"/>
        <w:right w:val="none" w:sz="0" w:space="0" w:color="auto"/>
      </w:divBdr>
    </w:div>
    <w:div w:id="391851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hp.com/careers/global-careers/careers-in-australia/operations-services/bhp-futurefit-academy" TargetMode="External"/><Relationship Id="rId18" Type="http://schemas.openxmlformats.org/officeDocument/2006/relationships/hyperlink" Target="https://www.cnbc.com/2022/07/14/copper-is-key-to-electric-vehicles-wind-and-solar-power-were-short-supply.html" TargetMode="External"/><Relationship Id="rId26" Type="http://schemas.openxmlformats.org/officeDocument/2006/relationships/hyperlink" Target="https://doi.org/10.1002/csr.70310" TargetMode="External"/><Relationship Id="rId3" Type="http://schemas.openxmlformats.org/officeDocument/2006/relationships/settings" Target="settings.xml"/><Relationship Id="rId21" Type="http://schemas.openxmlformats.org/officeDocument/2006/relationships/hyperlink" Target="https://cer.gov.au/schemes/safeguard-mechanis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hp.com/about" TargetMode="External"/><Relationship Id="rId17" Type="http://schemas.openxmlformats.org/officeDocument/2006/relationships/hyperlink" Target="https://www.bhp.com/news/media-centre/releases/2021/10/bhp-and-posco-ink-mou-to-explore-decarbonised-steelmaking" TargetMode="External"/><Relationship Id="rId25" Type="http://schemas.openxmlformats.org/officeDocument/2006/relationships/hyperlink" Target="https://www.pearson.com/nl/en_NL/higher-education/subject-catalogue/marketing/kotler-principles-of-marketing-19ed.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hp.com/-/media/documents/environment/2022/water-stewardship-position-statement-2022.pdf" TargetMode="External"/><Relationship Id="rId20" Type="http://schemas.openxmlformats.org/officeDocument/2006/relationships/hyperlink" Target="https://doi.org/10.1080/00472778.2022.2073361" TargetMode="External"/><Relationship Id="rId29" Type="http://schemas.openxmlformats.org/officeDocument/2006/relationships/hyperlink" Target="https://doi.org/10.3390/systems1110048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hp.com/news/media-centre/releases/2021/09/bhp-releases-climate-transition-action-plan-2021" TargetMode="External"/><Relationship Id="rId24" Type="http://schemas.openxmlformats.org/officeDocument/2006/relationships/hyperlink" Target="https://www.iea.org/reports/global-critical-minerals-outlook-2024/outlook-for-key-mineral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hp.com/sustainability/climate-change/climate-transition-action-plan" TargetMode="External"/><Relationship Id="rId23" Type="http://schemas.openxmlformats.org/officeDocument/2006/relationships/hyperlink" Target="https://www.iea.org/policies/17959-critical-minerals-strategy-2023-2030" TargetMode="External"/><Relationship Id="rId28" Type="http://schemas.openxmlformats.org/officeDocument/2006/relationships/hyperlink" Target="https://www.researchgate.net/profile/Adebayo-Solarin-2/publication/388763454_Corresponding_author_Solarin_Adebayo_Samuel_Carbon_pricing_mechanisms_for_reducing_greenhouse_gas_emissions_and_encouraging_sustainable_industrial_practices/links/67a51d2d645ef274a4731cbd/Corresponding-author-Solarin-Adebayo-Samuel-Carbon-pricing-mechanisms-for-reducing-greenhouse-gas-emissions-and-encouraging-sustainable-industrial-practices.pdf" TargetMode="External"/><Relationship Id="rId10" Type="http://schemas.openxmlformats.org/officeDocument/2006/relationships/hyperlink" Target="https://www.putrapublisher.org/ojs/index.php/jamis/article/download/705/868" TargetMode="External"/><Relationship Id="rId19" Type="http://schemas.openxmlformats.org/officeDocument/2006/relationships/hyperlink" Target="https://doi.org/10.24857/rgsa.v18n4-087" TargetMode="External"/><Relationship Id="rId31" Type="http://schemas.openxmlformats.org/officeDocument/2006/relationships/hyperlink" Target="https://doi.org/10.1186/s40561-024-00316-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hp.com/sustainability/climate-change/operational-ghg-emissions" TargetMode="External"/><Relationship Id="rId22" Type="http://schemas.openxmlformats.org/officeDocument/2006/relationships/hyperlink" Target="https://link.springer.com/content/pdf/10.1007/s13563-022-00343-1.pdf" TargetMode="External"/><Relationship Id="rId27" Type="http://schemas.openxmlformats.org/officeDocument/2006/relationships/hyperlink" Target="https://doi.org/10.1111/jels.12413" TargetMode="External"/><Relationship Id="rId30" Type="http://schemas.openxmlformats.org/officeDocument/2006/relationships/hyperlink" Target="https://www.un.org/en/academic-impact/97-billion-earth-2050-growth-rate-slowing-says-new-un-population-report"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07270-B725-4B32-8020-AB9B5637B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3893</Words>
  <Characters>25701</Characters>
  <Application>Microsoft Office Word</Application>
  <DocSecurity>0</DocSecurity>
  <Lines>450</Lines>
  <Paragraphs>152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ASSESTMENT 01</dc:subject>
  <dc:creator/>
  <cp:keywords/>
  <dc:description/>
  <cp:lastModifiedBy/>
  <cp:revision>1</cp:revision>
  <dcterms:created xsi:type="dcterms:W3CDTF">2026-07-23T13:05:00Z</dcterms:created>
  <dcterms:modified xsi:type="dcterms:W3CDTF">2026-07-23T13:05:00Z</dcterms:modified>
  <cp:category/>
</cp:coreProperties>
</file>