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F5276" w14:textId="7B91BACB" w:rsidR="00AE572C" w:rsidRDefault="00F13727"/>
    <w:p w14:paraId="20B8072B" w14:textId="4EF7B531" w:rsidR="00B16CD7" w:rsidRDefault="00B16CD7">
      <w:bookmarkStart w:id="0" w:name="_GoBack"/>
      <w:bookmarkEnd w:id="0"/>
    </w:p>
    <w:p w14:paraId="237AE35B" w14:textId="22D7BA70" w:rsidR="004D5139" w:rsidRDefault="00B717D3" w:rsidP="00DB1C48">
      <w:pPr>
        <w:spacing w:line="360" w:lineRule="auto"/>
      </w:pPr>
      <w:r>
        <w:t xml:space="preserve">‘The body’ has for </w:t>
      </w:r>
      <w:r w:rsidR="00790396">
        <w:t>many decades</w:t>
      </w:r>
      <w:r>
        <w:t xml:space="preserve"> been </w:t>
      </w:r>
      <w:r w:rsidR="00790396">
        <w:t xml:space="preserve">a significant </w:t>
      </w:r>
      <w:r>
        <w:t>object of study within the discipline of anthropology</w:t>
      </w:r>
      <w:r w:rsidR="00790396">
        <w:t>, and it is constantly being rev</w:t>
      </w:r>
      <w:r w:rsidR="006B0A22">
        <w:t xml:space="preserve">ised </w:t>
      </w:r>
      <w:r w:rsidR="00790396">
        <w:t xml:space="preserve">and re-imagined. </w:t>
      </w:r>
      <w:r w:rsidR="006E3495">
        <w:t xml:space="preserve">Anthropology, the study of the human, by definition, must </w:t>
      </w:r>
      <w:r w:rsidR="009B2C47">
        <w:t>focus on the</w:t>
      </w:r>
      <w:r w:rsidR="006E3495">
        <w:t xml:space="preserve"> study of the human body as it is a major facet of what defines a human. </w:t>
      </w:r>
      <w:r w:rsidR="004D5139">
        <w:t>Conceptions of the body are central to the “philosophical underpinnings of the entire discipline of anthropology” (Scheper-Hughes and Lock 1987, p.6)</w:t>
      </w:r>
      <w:r w:rsidR="00C836E7">
        <w:t>. The assumptions about the body influence</w:t>
      </w:r>
      <w:r w:rsidR="00EC785A">
        <w:t xml:space="preserve"> intellectual domains such as theoretical viewpoints and paradigms, as well as the more tangible practices of healthcare planning (Scheper-Hughes and Lock 1987, p.6).</w:t>
      </w:r>
    </w:p>
    <w:p w14:paraId="2F4BEED2" w14:textId="0F15C330" w:rsidR="006E3495" w:rsidRDefault="006E3495"/>
    <w:p w14:paraId="50EDB432" w14:textId="29FD5C92" w:rsidR="006E3495" w:rsidRDefault="006E3495" w:rsidP="00DB1C48">
      <w:pPr>
        <w:spacing w:line="360" w:lineRule="auto"/>
      </w:pPr>
      <w:r>
        <w:t xml:space="preserve">The question that is being considered pertains to the ‘best’ way to investigate ‘the body’. Firstly, it is necessary to illuminate the meaning of the question to avoid any unwanted and unfounded assumptions. </w:t>
      </w:r>
      <w:r w:rsidR="00A81CD9">
        <w:t>To investigate something is to examine, study and understand the properties or the nature of something, however it does not presuppose a singular and impeccable way of looking at something. This is especially true in the field of anthropology, where certain paradigms</w:t>
      </w:r>
      <w:r w:rsidR="008D4812">
        <w:t>, approaches</w:t>
      </w:r>
      <w:r w:rsidR="00A81CD9">
        <w:t xml:space="preserve"> and conceptions are useful for understanding </w:t>
      </w:r>
      <w:r w:rsidR="00AE5047">
        <w:t>ideas/ objects/ bodies</w:t>
      </w:r>
      <w:r w:rsidR="00A81CD9">
        <w:t xml:space="preserve">, however are not mutually exclusive and </w:t>
      </w:r>
      <w:r w:rsidR="00AE5047">
        <w:t>are not necessarily confined to the true/false dichotomy. Therefore, to avoid making a mere value judgement, pragmatism</w:t>
      </w:r>
      <w:r w:rsidR="00691C70">
        <w:t>, as interpreted by William James,</w:t>
      </w:r>
      <w:r w:rsidR="00AE5047">
        <w:t xml:space="preserve"> will be applied to help provide a judgement on the ‘best’ ways of investigating the body</w:t>
      </w:r>
      <w:r w:rsidR="00D8780B">
        <w:t xml:space="preserve">. </w:t>
      </w:r>
      <w:r w:rsidR="000F65C1">
        <w:t>Pragmatism posits that the significance of thought lies in its ability to galvanize and affect practical action (James 1928, p.444-445). James (ibid, p.444) questions</w:t>
      </w:r>
      <w:r w:rsidR="00D42ECB">
        <w:t xml:space="preserve"> the point of debating ideas that “will never make an appreciable difference to us in action”. </w:t>
      </w:r>
      <w:r w:rsidR="00DB1C48">
        <w:t>To make pragmatism fit the anthropological theme of this discussion, the focus will be not so much on practical and physical action as it will be on the ability to add intellectual value to the discipline of anthropology by creating new perspectives and pushing forward a deeper understanding of the body.</w:t>
      </w:r>
    </w:p>
    <w:p w14:paraId="5FAA8DBD" w14:textId="2D0C7B14" w:rsidR="008C2250" w:rsidRDefault="008C2250"/>
    <w:p w14:paraId="00B9566F" w14:textId="76A4E062" w:rsidR="00C23B08" w:rsidRDefault="00153FAE" w:rsidP="00F56395">
      <w:pPr>
        <w:spacing w:line="360" w:lineRule="auto"/>
      </w:pPr>
      <w:r>
        <w:t xml:space="preserve">The body can be investigated in a multitude of </w:t>
      </w:r>
      <w:r w:rsidR="00F56395">
        <w:t>diverse ways</w:t>
      </w:r>
      <w:r>
        <w:t>, even within one discipline</w:t>
      </w:r>
      <w:r w:rsidR="00DB1C48">
        <w:t xml:space="preserve"> </w:t>
      </w:r>
      <w:r>
        <w:t xml:space="preserve">such as anthropology. </w:t>
      </w:r>
      <w:r w:rsidR="008C2250">
        <w:t xml:space="preserve">Scheper-Hughes and Lock (1987, p.7-8) split the body into three different levels of analysis: </w:t>
      </w:r>
      <w:r w:rsidR="00363F32">
        <w:t>Firstly the individual body, which is understood as the tangible and material  ‘body-self’ which is experienced through the senses, secondly</w:t>
      </w:r>
      <w:r w:rsidR="009C0488">
        <w:t xml:space="preserve">, the social body, which refers to the use of the body as a symbol or model, through which one can understand nature, culture and society, and thirdly, the </w:t>
      </w:r>
      <w:r w:rsidR="00D843E8">
        <w:t>body politic, which refers to the way bodies are regulated and controlled in social areas of human difference and deviance such as sexuality, reproduction, work, leisure and sic</w:t>
      </w:r>
      <w:r w:rsidR="005F2016">
        <w:t xml:space="preserve">kness. It is </w:t>
      </w:r>
      <w:r w:rsidR="005F2016">
        <w:lastRenderedPageBreak/>
        <w:t xml:space="preserve">important to note that these approaches have not arisen exclusively from the discipline of anthropology </w:t>
      </w:r>
      <w:r w:rsidR="00F56395">
        <w:t>itself but</w:t>
      </w:r>
      <w:r w:rsidR="005F2016">
        <w:t xml:space="preserve"> have behind them a</w:t>
      </w:r>
      <w:r w:rsidR="00DB1C48">
        <w:t>re a</w:t>
      </w:r>
      <w:r w:rsidR="005F2016">
        <w:t xml:space="preserve"> diverse range of philosophical and intellectual movements. Phenomenology, the philosophical tradition which </w:t>
      </w:r>
      <w:r w:rsidR="00FC68D7">
        <w:t xml:space="preserve">is concerned with subjective </w:t>
      </w:r>
      <w:r w:rsidR="00B87077">
        <w:t xml:space="preserve">phenomena, engages with the body in an individual way, </w:t>
      </w:r>
      <w:r w:rsidR="00FC68D7">
        <w:t>focusing on experience. On the other hand, structuralist thinking tends to treat the body as a symbol which reveals the wider structures which act upon the body, and post-structuralist thinking focuses on the power relations that relate to the body (Ibid. pp.7-8)</w:t>
      </w:r>
      <w:r w:rsidR="00DA4F09">
        <w:t>.</w:t>
      </w:r>
      <w:r w:rsidR="00DB1C48">
        <w:t xml:space="preserve"> To a fruitful contrast which will hopefully ease in discriminating between the approaches, two contrasting approaches will be explores, the first one will be that of the body as symbol, and the second one, will be that of the paradigm of embodiment</w:t>
      </w:r>
      <w:r w:rsidR="00F56395">
        <w:t>.</w:t>
      </w:r>
      <w:r w:rsidR="001B6A81">
        <w:t xml:space="preserve"> The discussion will also briefly explore some possible criticisms.</w:t>
      </w:r>
    </w:p>
    <w:p w14:paraId="31F481CC" w14:textId="77777777" w:rsidR="00F56395" w:rsidRDefault="00F56395" w:rsidP="00F56395">
      <w:pPr>
        <w:spacing w:line="360" w:lineRule="auto"/>
      </w:pPr>
    </w:p>
    <w:p w14:paraId="1B384BC9" w14:textId="0F99D912" w:rsidR="00574340" w:rsidRDefault="00CA6CB7" w:rsidP="00F56395">
      <w:pPr>
        <w:spacing w:line="360" w:lineRule="auto"/>
      </w:pPr>
      <w:r>
        <w:t xml:space="preserve">The body as symbol will be the first approach that is explored. This approach of investigating the body draws inspiration from Marcel </w:t>
      </w:r>
      <w:proofErr w:type="spellStart"/>
      <w:r>
        <w:t>Mauss</w:t>
      </w:r>
      <w:proofErr w:type="spellEnd"/>
      <w:r>
        <w:t xml:space="preserve">’ (1936) </w:t>
      </w:r>
      <w:r w:rsidR="0093748E">
        <w:t>assertion that natural behaviour doesn’t exist because all action carries the imprint of learning, from feeding to washing to moving, all contain some aspect of learning, and thus are cultural as opposed to natural</w:t>
      </w:r>
      <w:r w:rsidR="00ED1F10">
        <w:t xml:space="preserve">, although, Douglas (1973, p.97) argued that in so far as a bodily style is unconscious and is obeyed universally, it is natural. Despite this, the idea that there is an aspect of culture in every action humans take is the </w:t>
      </w:r>
      <w:r w:rsidR="00F56395">
        <w:t>crucial point</w:t>
      </w:r>
      <w:r w:rsidR="00ED1F10">
        <w:t>.</w:t>
      </w:r>
      <w:r w:rsidR="00D72B7A">
        <w:t xml:space="preserve"> </w:t>
      </w:r>
      <w:r w:rsidR="000D2E7C">
        <w:t xml:space="preserve">It is a misconception however </w:t>
      </w:r>
      <w:r w:rsidR="00726F55">
        <w:t>to view</w:t>
      </w:r>
      <w:r w:rsidR="000D2E7C">
        <w:t xml:space="preserve"> the body </w:t>
      </w:r>
      <w:r w:rsidR="007C0548">
        <w:t>a</w:t>
      </w:r>
      <w:r w:rsidR="000D2E7C">
        <w:t xml:space="preserve">s a </w:t>
      </w:r>
      <w:r w:rsidR="00D72B7A">
        <w:t>‘</w:t>
      </w:r>
      <w:r w:rsidR="000D2E7C">
        <w:t>natural</w:t>
      </w:r>
      <w:r w:rsidR="00D72B7A">
        <w:t>’</w:t>
      </w:r>
      <w:r w:rsidR="000D2E7C">
        <w:t xml:space="preserve"> symbol</w:t>
      </w:r>
      <w:r w:rsidR="006A67DE">
        <w:t>,</w:t>
      </w:r>
      <w:r w:rsidR="000D2E7C">
        <w:t xml:space="preserve"> in the way that it is a biological indicator of something else</w:t>
      </w:r>
      <w:r w:rsidR="006A67DE">
        <w:t>, for symbols are “a product of the mind” and only have meaning in relation to other symbols in the pattern (Douglas 1973, p.11).</w:t>
      </w:r>
      <w:r w:rsidR="00561CCE">
        <w:t xml:space="preserve"> instead, the social relations between people and bodies provide a prototype for the logical relations between things</w:t>
      </w:r>
      <w:r>
        <w:t xml:space="preserve"> (Ibid, p.11)</w:t>
      </w:r>
      <w:r w:rsidR="00561CCE">
        <w:t>.</w:t>
      </w:r>
      <w:r w:rsidR="002B6321">
        <w:t xml:space="preserve"> </w:t>
      </w:r>
      <w:r w:rsidR="00343F7B">
        <w:t>The body doesn’t symbolize anything in particular, however the way bodies are organized and operate within social systems reveals to us the structure and the organization of the social system itself, thus it can be argued that the body is a ‘symbol’ or ‘metaphor’ of the social system.</w:t>
      </w:r>
      <w:r w:rsidR="00D72B7A">
        <w:t xml:space="preserve"> Mary Douglas (1973</w:t>
      </w:r>
      <w:r w:rsidR="000C04DE">
        <w:t xml:space="preserve">, p.93) argues that </w:t>
      </w:r>
      <w:r w:rsidR="00ED1F10">
        <w:t>there is a constant exchange between the individual body and the social body, they reinforce the categories of each other, and as a result, the individual body is constrained by society, the way it behaves expresses the pressures of society that constrain it. Douglas</w:t>
      </w:r>
      <w:r w:rsidR="00574340">
        <w:t xml:space="preserve"> (Ibid, p.104-105)</w:t>
      </w:r>
      <w:r w:rsidR="00ED1F10">
        <w:t xml:space="preserve"> offers an </w:t>
      </w:r>
      <w:r w:rsidR="00574340">
        <w:t xml:space="preserve">ethnographic example of how </w:t>
      </w:r>
      <w:proofErr w:type="gramStart"/>
      <w:r w:rsidR="00574340">
        <w:t>different groups</w:t>
      </w:r>
      <w:proofErr w:type="gramEnd"/>
      <w:r w:rsidR="00574340">
        <w:t xml:space="preserve"> perceive the trance state, attempting to demonstrate that societies with a strong structure and strict boundaries will view trance as an evil and dangerous phenomenon, whereas societies with a weaker structuring and more vague boundaries will view it as benign or positive. </w:t>
      </w:r>
    </w:p>
    <w:p w14:paraId="1C2948E1" w14:textId="77777777" w:rsidR="00F56395" w:rsidRDefault="00F56395" w:rsidP="00F56395">
      <w:pPr>
        <w:spacing w:line="360" w:lineRule="auto"/>
      </w:pPr>
    </w:p>
    <w:p w14:paraId="115D58A1" w14:textId="2FA45CCA" w:rsidR="00E119D4" w:rsidRDefault="00574340" w:rsidP="00F56395">
      <w:pPr>
        <w:spacing w:line="360" w:lineRule="auto"/>
      </w:pPr>
      <w:r>
        <w:lastRenderedPageBreak/>
        <w:t xml:space="preserve">The Dinka are a people who are not particularly socially constrained (Douglas </w:t>
      </w:r>
      <w:r w:rsidR="00824C67">
        <w:t xml:space="preserve">1973, p.106). The Dinka pay cult to the divinity, Flesh, which, when invoked, awakens in the bodies of the masters of the fishing-spear and makes them unresponsive to the outer world, also making them tremble (Ibid, p.105-106). The Dinka who aren’t in trance when the invocations occur do not respond with any fear or worry to those in trance; if the trance went on for too long, women of the Dinka would put an end to it by venerating the divinity Flesh by giving bangles to the men under trance and kissing their hands (Ibid). </w:t>
      </w:r>
      <w:r w:rsidR="00264965">
        <w:t xml:space="preserve">The visitation of the spirits in this society is not feared, subjugated or used for any positive purpose, it is done for its own sake, to communicate with the divine (Ibid). </w:t>
      </w:r>
      <w:r w:rsidR="00483858">
        <w:t xml:space="preserve">Douglas Then invokes an example of </w:t>
      </w:r>
      <w:proofErr w:type="gramStart"/>
      <w:r w:rsidR="00483858">
        <w:t>the !Kung</w:t>
      </w:r>
      <w:proofErr w:type="gramEnd"/>
      <w:r w:rsidR="00483858">
        <w:t xml:space="preserve"> of the </w:t>
      </w:r>
      <w:proofErr w:type="spellStart"/>
      <w:r w:rsidR="00483858">
        <w:t>Nyae</w:t>
      </w:r>
      <w:proofErr w:type="spellEnd"/>
      <w:r w:rsidR="00483858">
        <w:t xml:space="preserve"> </w:t>
      </w:r>
      <w:proofErr w:type="spellStart"/>
      <w:r w:rsidR="00483858">
        <w:t>Nyae</w:t>
      </w:r>
      <w:proofErr w:type="spellEnd"/>
      <w:r w:rsidR="00483858">
        <w:t xml:space="preserve"> region, who have a slightly different attitude to trance, where complete unconsciousness is dangerous, however semi-conscious states are a mean of curing, health and blessing (Ibid, p.107). </w:t>
      </w:r>
      <w:proofErr w:type="gramStart"/>
      <w:r w:rsidR="00483858">
        <w:t>The !Kung</w:t>
      </w:r>
      <w:proofErr w:type="gramEnd"/>
      <w:r w:rsidR="00B11787">
        <w:t xml:space="preserve"> medicine men,</w:t>
      </w:r>
      <w:r w:rsidR="006C3E90">
        <w:t xml:space="preserve"> of which there can be many,</w:t>
      </w:r>
      <w:r w:rsidR="00B11787">
        <w:t xml:space="preserve"> when curing, </w:t>
      </w:r>
      <w:r w:rsidR="006C3E90">
        <w:t xml:space="preserve">experience varying degrees </w:t>
      </w:r>
      <w:r w:rsidR="00B11787">
        <w:t>self-induced trance,</w:t>
      </w:r>
      <w:r w:rsidR="006C3E90">
        <w:t xml:space="preserve"> semi-unconsciousness and full unconsciousness (Ibid). </w:t>
      </w:r>
      <w:r w:rsidR="00F56395">
        <w:t>At a certain stage in</w:t>
      </w:r>
      <w:r w:rsidR="006C3E90">
        <w:t xml:space="preserve"> the curing</w:t>
      </w:r>
      <w:r w:rsidR="00F56395">
        <w:t xml:space="preserve"> process</w:t>
      </w:r>
      <w:r w:rsidR="006C3E90">
        <w:t xml:space="preserve">, the medicine men reach a state of frenzy, where the spasms, grunts and swaying become violent, and where they run to the fire and set fire to their hair, they can also collapse into full unconsciousness (Ibid). This is deemed as a dangerous state called ‘half-death’ where the spirits of the medicine men are believed to leave the body, the people around the medicine men have to watch over them and keep them warm, the curing dance is performed where the group is brought together in an audible ritual of loud clapping and music, where the community aids the medicine men, and the men in trance force away the gods (Ibid). This is an attitude to trance which views it as beneficial but also potentially dangerous, thus if we follow Douglas’ argument, we should expect the </w:t>
      </w:r>
      <w:r w:rsidR="009351F1">
        <w:t xml:space="preserve">boundaries of the society to be slightly stricter. However, this might not necessarily be the case, as </w:t>
      </w:r>
      <w:proofErr w:type="spellStart"/>
      <w:proofErr w:type="gramStart"/>
      <w:r w:rsidR="009351F1">
        <w:t>n!ores</w:t>
      </w:r>
      <w:proofErr w:type="spellEnd"/>
      <w:proofErr w:type="gramEnd"/>
      <w:r w:rsidR="009351F1">
        <w:t xml:space="preserve">, which are areas of land around waterholes which belong to a certain clan, are vague and not clearly delineated, the !Kung cannot point to where one their </w:t>
      </w:r>
      <w:proofErr w:type="spellStart"/>
      <w:r w:rsidR="009351F1">
        <w:t>N!ore</w:t>
      </w:r>
      <w:proofErr w:type="spellEnd"/>
      <w:r w:rsidR="009351F1">
        <w:t xml:space="preserve"> ends and where another clans </w:t>
      </w:r>
      <w:proofErr w:type="spellStart"/>
      <w:r w:rsidR="009351F1">
        <w:t>N!ore</w:t>
      </w:r>
      <w:proofErr w:type="spellEnd"/>
      <w:r w:rsidR="009351F1">
        <w:t xml:space="preserve"> begins (Lee, 1979, p.343). Despite this, they do have ideas about ownership and have boundaries in theory, even if they are ambiguous. This may somewhat undermine Douglas’ argument, showing that there might be more nuance </w:t>
      </w:r>
      <w:proofErr w:type="gramStart"/>
      <w:r w:rsidR="009351F1">
        <w:t>in reality of</w:t>
      </w:r>
      <w:proofErr w:type="gramEnd"/>
      <w:r w:rsidR="009351F1">
        <w:t xml:space="preserve"> the relationship between structure of society and attitudes to trance, however it still seems to be generally accurate enough to make sense.</w:t>
      </w:r>
    </w:p>
    <w:p w14:paraId="4F887857" w14:textId="77777777" w:rsidR="00F56395" w:rsidRDefault="00F56395" w:rsidP="00F56395">
      <w:pPr>
        <w:spacing w:line="360" w:lineRule="auto"/>
      </w:pPr>
    </w:p>
    <w:p w14:paraId="4AB23134" w14:textId="52F105B5" w:rsidR="00002DF2" w:rsidRDefault="004A4EDF" w:rsidP="00F56395">
      <w:pPr>
        <w:spacing w:line="360" w:lineRule="auto"/>
      </w:pPr>
      <w:r>
        <w:t>Douglas</w:t>
      </w:r>
      <w:r w:rsidR="00E119D4">
        <w:t>’ case for treating the body as a symbol is best conveyed in this quote:</w:t>
      </w:r>
    </w:p>
    <w:p w14:paraId="7B69C013" w14:textId="451DCEF6" w:rsidR="00002DF2" w:rsidRDefault="00E119D4" w:rsidP="00F56395">
      <w:pPr>
        <w:spacing w:line="360" w:lineRule="auto"/>
      </w:pPr>
      <w:r>
        <w:rPr>
          <w:i/>
        </w:rPr>
        <w:t>“</w:t>
      </w:r>
      <w:r w:rsidR="00002DF2" w:rsidRPr="00E119D4">
        <w:rPr>
          <w:i/>
        </w:rPr>
        <w:t>We cannot possibly interpret rituals concerning excreta, bre</w:t>
      </w:r>
      <w:r w:rsidR="00343F7B" w:rsidRPr="00E119D4">
        <w:rPr>
          <w:i/>
        </w:rPr>
        <w:t>a</w:t>
      </w:r>
      <w:r w:rsidR="00002DF2" w:rsidRPr="00E119D4">
        <w:rPr>
          <w:i/>
        </w:rPr>
        <w:t>st mild, saliva and the rest unless we are prepared to see in the body a symbol of society, and to see the powers and dangers credited to social structure reproduced in small on the human body</w:t>
      </w:r>
      <w:r>
        <w:rPr>
          <w:i/>
        </w:rPr>
        <w:t xml:space="preserve">” </w:t>
      </w:r>
      <w:r w:rsidR="00002DF2">
        <w:t>(Douglas 2002, pp. 142).</w:t>
      </w:r>
    </w:p>
    <w:p w14:paraId="23998F3B" w14:textId="77777777" w:rsidR="00E119D4" w:rsidRDefault="00E119D4" w:rsidP="00F56395">
      <w:pPr>
        <w:spacing w:line="360" w:lineRule="auto"/>
      </w:pPr>
    </w:p>
    <w:p w14:paraId="184439B4" w14:textId="706C9039" w:rsidR="00002DF2" w:rsidRDefault="00002DF2" w:rsidP="00F56395">
      <w:pPr>
        <w:spacing w:line="360" w:lineRule="auto"/>
      </w:pPr>
      <w:r>
        <w:t>What this tells us is that the concept of the body as a symbol of society</w:t>
      </w:r>
      <w:r w:rsidR="00343F7B">
        <w:t xml:space="preserve"> is a necessary, pre-requisite approach which exclusively enables the anthropologist to interpret certain kinds of rituals. The approach </w:t>
      </w:r>
      <w:proofErr w:type="gramStart"/>
      <w:r w:rsidR="00343F7B">
        <w:t>opens up</w:t>
      </w:r>
      <w:proofErr w:type="gramEnd"/>
      <w:r w:rsidR="00343F7B">
        <w:t xml:space="preserve"> the possibility </w:t>
      </w:r>
      <w:r w:rsidR="00C111CA">
        <w:t xml:space="preserve">of studying and interpreting phenomena previously unintelligible or obfuscated. The fact that it is the only viable approach to interpretation gives it a special significance </w:t>
      </w:r>
      <w:proofErr w:type="gramStart"/>
      <w:r w:rsidR="00C111CA">
        <w:t>as a way to</w:t>
      </w:r>
      <w:proofErr w:type="gramEnd"/>
      <w:r w:rsidR="00C111CA">
        <w:t xml:space="preserve"> investigate the body. If one were to analyse this approach in pragmatic terms, the approach could be likened to a scuba diving gear or an astronaut suit; in order to explore new depths and places, the correct equipment which is adapted to the conditions is necessary, likewise, investigating the body through the lens of </w:t>
      </w:r>
      <w:r w:rsidR="003E3312">
        <w:t>it as a symbol of society enables the anthropologist to investigate and comprehend it in new ways that before were perhaps unintelligible.</w:t>
      </w:r>
    </w:p>
    <w:p w14:paraId="4FB3E896" w14:textId="239EE139" w:rsidR="00002DF2" w:rsidRDefault="00002DF2"/>
    <w:p w14:paraId="7235AC36" w14:textId="6149DFB4" w:rsidR="008F6307" w:rsidRDefault="00631642" w:rsidP="00F56395">
      <w:pPr>
        <w:spacing w:line="360" w:lineRule="auto"/>
      </w:pPr>
      <w:r>
        <w:t xml:space="preserve">Whilst the ‘body as a prototype for society’ aids in </w:t>
      </w:r>
      <w:r w:rsidR="00740FB9">
        <w:t xml:space="preserve">investigating and comprehending certain physical phenomena, it is certainly not devoid of its criticisms. </w:t>
      </w:r>
      <w:r>
        <w:t>Analysing the body based on the premise that it is biological raw material lacking agency on which culture operates, excludes the body from its ‘primordial participation in the domain of culture, making the body in effect a “precultural” substrate</w:t>
      </w:r>
      <w:r w:rsidR="00AA4B73">
        <w:t>’ (</w:t>
      </w:r>
      <w:proofErr w:type="spellStart"/>
      <w:r w:rsidR="00AA4B73">
        <w:t>Csordas</w:t>
      </w:r>
      <w:proofErr w:type="spellEnd"/>
      <w:r w:rsidR="00AA4B73">
        <w:t xml:space="preserve"> 1994, p.8). </w:t>
      </w:r>
      <w:r w:rsidR="00740FB9">
        <w:t xml:space="preserve">It also excludes the increasingly popular argument of the body as the source of subjectivity, or from viewing the mind itself as the locus of objectification (Ibid. pp.8-9). </w:t>
      </w:r>
      <w:r w:rsidR="00EF5E6D">
        <w:t xml:space="preserve">Jackson </w:t>
      </w:r>
      <w:r w:rsidR="00681FF5">
        <w:t xml:space="preserve">(1989, pp.123) </w:t>
      </w:r>
      <w:r w:rsidR="00EF5E6D">
        <w:t>argues that there is a repre</w:t>
      </w:r>
      <w:r w:rsidR="000D068C">
        <w:t xml:space="preserve">sentationalist bias in the anthropology of the body, especially in </w:t>
      </w:r>
      <w:r w:rsidR="00681FF5">
        <w:t xml:space="preserve">the work of Mary Douglas, who portrays the body as a mere object understanding and an instrument of the rational mind. </w:t>
      </w:r>
      <w:r w:rsidR="007C5DB0">
        <w:t xml:space="preserve">Jackson (ibid, pp.122) states that subjugating the bodily to the semantic is an empirically unsound position, because meaning should not be reduced to a sign that is alienated from the ‘immediate domain of the act’. </w:t>
      </w:r>
    </w:p>
    <w:p w14:paraId="6A17E2D1" w14:textId="77777777" w:rsidR="00F56395" w:rsidRDefault="00F56395"/>
    <w:p w14:paraId="7F4D2D80" w14:textId="63851AB9" w:rsidR="00E8293E" w:rsidRDefault="00DA41BB" w:rsidP="00F56395">
      <w:pPr>
        <w:spacing w:line="360" w:lineRule="auto"/>
      </w:pPr>
      <w:r>
        <w:t xml:space="preserve">A </w:t>
      </w:r>
      <w:r w:rsidR="00473A34">
        <w:t xml:space="preserve">contrasting </w:t>
      </w:r>
      <w:r>
        <w:t xml:space="preserve">approach to investigating the body is that of embodiment. Thomas </w:t>
      </w:r>
      <w:proofErr w:type="spellStart"/>
      <w:r w:rsidR="00E8293E">
        <w:t>Csordas</w:t>
      </w:r>
      <w:proofErr w:type="spellEnd"/>
      <w:r>
        <w:t xml:space="preserve"> (1990, p.5), a strong advocate of embodiment, posits that the methodology of embodiment postulate</w:t>
      </w:r>
      <w:r w:rsidR="00E9063D">
        <w:t>s</w:t>
      </w:r>
      <w:r>
        <w:t xml:space="preserve"> that the body is the “existential ground of culture”. What this means is that the body is treated not as an object that is studied in relation to culture but is the subject of culture</w:t>
      </w:r>
      <w:r w:rsidR="00EA7C7A">
        <w:t xml:space="preserve"> (Ibid, p.5)</w:t>
      </w:r>
      <w:r w:rsidR="00FE4287">
        <w:t>. Just as the symbolic body approach stems from structuralist thought, so the embodiment approach stems from phenomenology. Embodiment works on the argument that perception does not come from the object but rather ends in the o</w:t>
      </w:r>
      <w:r w:rsidR="00562A0B">
        <w:t xml:space="preserve">bject, and that the body is where perception begins (Ibid, p.9). </w:t>
      </w:r>
      <w:proofErr w:type="spellStart"/>
      <w:r w:rsidR="00473A34">
        <w:t>Csordas</w:t>
      </w:r>
      <w:proofErr w:type="spellEnd"/>
      <w:r w:rsidR="00473A34">
        <w:t xml:space="preserve"> (1990, p.9) argues that the goal of phenomenological anthropology is to capture the </w:t>
      </w:r>
      <w:r w:rsidR="00473A34">
        <w:lastRenderedPageBreak/>
        <w:t>“moment of transcendence in which perception begins” which “constitutes and is constituted by culture”.</w:t>
      </w:r>
    </w:p>
    <w:p w14:paraId="3E864A3D" w14:textId="40DAEB04" w:rsidR="00E8293E" w:rsidRDefault="00E8293E" w:rsidP="001B6A81">
      <w:pPr>
        <w:spacing w:line="360" w:lineRule="auto"/>
      </w:pPr>
    </w:p>
    <w:p w14:paraId="12379DF0" w14:textId="4A9DC8A1" w:rsidR="001B6A81" w:rsidRDefault="00716B6A" w:rsidP="001B6A81">
      <w:pPr>
        <w:spacing w:line="360" w:lineRule="auto"/>
      </w:pPr>
      <w:r>
        <w:t xml:space="preserve">An example of the use of embodiment as an approach to study the body is </w:t>
      </w:r>
      <w:r w:rsidR="008975A7">
        <w:t>the story of a brain tumo</w:t>
      </w:r>
      <w:r w:rsidR="00465E8A">
        <w:t>u</w:t>
      </w:r>
      <w:r w:rsidR="008975A7">
        <w:t xml:space="preserve">r patient called Dan who has been diagnosed with Grade II astrocytoma, a left temporal-parietal lobe brain </w:t>
      </w:r>
      <w:proofErr w:type="spellStart"/>
      <w:r w:rsidR="008975A7">
        <w:t>tumor</w:t>
      </w:r>
      <w:proofErr w:type="spellEnd"/>
      <w:r w:rsidR="00465E8A">
        <w:t xml:space="preserve"> (</w:t>
      </w:r>
      <w:proofErr w:type="spellStart"/>
      <w:r w:rsidR="00465E8A">
        <w:t>Csordas</w:t>
      </w:r>
      <w:proofErr w:type="spellEnd"/>
      <w:r w:rsidR="00465E8A">
        <w:t xml:space="preserve"> 1994, p.271). Dan’s father was a </w:t>
      </w:r>
      <w:r w:rsidR="00A6363E">
        <w:t xml:space="preserve">Navajo </w:t>
      </w:r>
      <w:r w:rsidR="00465E8A">
        <w:t>leader in the Native American Peyotist church, however his mother was a school teacher and he himself lead a more mainstream American life, with 2 and a half years of university education and being a former welder</w:t>
      </w:r>
      <w:r w:rsidR="00784726">
        <w:t xml:space="preserve"> (Ibid, p.270-271)</w:t>
      </w:r>
      <w:r w:rsidR="00465E8A">
        <w:t xml:space="preserve">. His tumour was </w:t>
      </w:r>
      <w:proofErr w:type="gramStart"/>
      <w:r w:rsidR="00465E8A">
        <w:t>removed</w:t>
      </w:r>
      <w:proofErr w:type="gramEnd"/>
      <w:r w:rsidR="00465E8A">
        <w:t xml:space="preserve"> and he was treated, however he ha</w:t>
      </w:r>
      <w:r w:rsidR="00784726">
        <w:t>d</w:t>
      </w:r>
      <w:r w:rsidR="00465E8A">
        <w:t xml:space="preserve"> a very tough road to rehabilitation, </w:t>
      </w:r>
      <w:r w:rsidR="00784726">
        <w:t>being depressed, estranged from his wife and kids, and being unable to articulate his thoughts and feeling in language (Ibid, p.271). Dan decided that his way of reconstructing his life would be to become a medicine man, after spending 4 years as being a rodeo cowboy, which was inspired by Navajo deit</w:t>
      </w:r>
      <w:r w:rsidR="001B6A81">
        <w:t>i</w:t>
      </w:r>
      <w:r w:rsidR="00784726">
        <w:t>es, or Holy people, who inspired him through prayer (Ibid, p.272, 274)</w:t>
      </w:r>
      <w:r w:rsidR="00890637">
        <w:t xml:space="preserve">. </w:t>
      </w:r>
      <w:r w:rsidR="00A6363E">
        <w:t>Dan attended peyote ceremonies where he shared his prayers with the elders and others,</w:t>
      </w:r>
      <w:r w:rsidR="002B6C6A">
        <w:t xml:space="preserve"> which received mixed reviews due to his inability to articulate himself, which is an important aspect of peyote ceremonies and of the Navajo in general (Ibid, p.274-275). However, his other statements conformed to the general moral themes of Navajo peyotism; he became increasingly concerned with the wellbeing of other young people, which his reason for losing his Navajo talk and having to speak English, and, he has a prophetic experience of predicting the Chernobyl disaster which “impressed upon him the moral urgency of global concerns” (Ibid, p.</w:t>
      </w:r>
      <w:r w:rsidR="00C01A22">
        <w:t>276-</w:t>
      </w:r>
      <w:r w:rsidR="002B6C6A">
        <w:t>278</w:t>
      </w:r>
      <w:r w:rsidR="00C01A22">
        <w:t xml:space="preserve">). </w:t>
      </w:r>
      <w:proofErr w:type="spellStart"/>
      <w:r w:rsidR="00C01A22">
        <w:t>Csordas</w:t>
      </w:r>
      <w:proofErr w:type="spellEnd"/>
      <w:r w:rsidR="00C01A22">
        <w:t xml:space="preserve"> (p.278) </w:t>
      </w:r>
      <w:r w:rsidR="001B6A81">
        <w:t xml:space="preserve">argues </w:t>
      </w:r>
      <w:r w:rsidR="00C01A22">
        <w:t>that Dan’s project of becoming a medicine man gave him a rationale for recovering his language and the peyotist spirituality the moral horizon of his discourse as a global one, he also posits that his struggle was not for merely to learn to speak, but to articulate ideas that are of moral and social relevance.</w:t>
      </w:r>
      <w:r w:rsidR="00FD003E">
        <w:t xml:space="preserve"> </w:t>
      </w:r>
      <w:r w:rsidR="00E74FCB">
        <w:t>Now, to investigate this through the approach of embodiment, implies looking at how Dan’s embodied experience created his existential condition and role in the world.</w:t>
      </w:r>
      <w:r w:rsidR="001B6A81">
        <w:t xml:space="preserve"> </w:t>
      </w:r>
      <w:r w:rsidR="005105D9">
        <w:t xml:space="preserve">Dan’s understanding of his cancer development also followed the Navajo schema of contamination by lightning; Dan has been contaminated 3 times in his life (Ibid, p.281-282). There is amongst the Navajo a ritual importance of the number four, and this is the schema that ordered his experienced during the prodromal period (Ibid, p.282). The possibility of the fourth seizure which would culminate his life was thoroughly implicated in his journey to becoming a medicine man; Dan carried ‘the social’ with him </w:t>
      </w:r>
      <w:r w:rsidR="005915EA">
        <w:t xml:space="preserve">which featured in his embodied experience and which was reified in the significance of the number ‘four’ (Ibid, p.282). </w:t>
      </w:r>
      <w:proofErr w:type="spellStart"/>
      <w:r w:rsidR="005915EA">
        <w:t>Csordas</w:t>
      </w:r>
      <w:proofErr w:type="spellEnd"/>
      <w:r w:rsidR="005915EA">
        <w:t xml:space="preserve"> (1994, pp.278) argues that Dan “thematised and objectified his embodied experience of language into a life plan in conformity with cultural and religious meaning.” Dan’s physical condition of the brain fits in to the </w:t>
      </w:r>
      <w:r w:rsidR="0001415C">
        <w:t xml:space="preserve">medical </w:t>
      </w:r>
      <w:r w:rsidR="005915EA">
        <w:t xml:space="preserve">category of left temporal-lobe epilepsy, </w:t>
      </w:r>
      <w:r w:rsidR="005915EA">
        <w:lastRenderedPageBreak/>
        <w:t xml:space="preserve">which could thus be objectified in neurological terms, however, accounting for Dan’s linguistic disorder through neurology does not account for the moral significance of finding the right word or being to articulate his message correctly (Ibid, p.281). </w:t>
      </w:r>
      <w:r w:rsidR="0001415C">
        <w:t>Analysing accounts like these in purely medical terms leaves out the “embodied, speaking person taking up an existential position in the world” (Ibid, p.287). The approach of embodiment offers an analytical space in between neurology and culture,</w:t>
      </w:r>
      <w:r w:rsidR="000644AF">
        <w:t xml:space="preserve"> it is an analytical starting point which elucidates the differences between biology and culture, and thus transforms our understanding of </w:t>
      </w:r>
      <w:proofErr w:type="gramStart"/>
      <w:r w:rsidR="000644AF">
        <w:t>both of them</w:t>
      </w:r>
      <w:proofErr w:type="gramEnd"/>
      <w:r w:rsidR="000644AF">
        <w:t xml:space="preserve">. </w:t>
      </w:r>
      <w:r w:rsidR="0001415C">
        <w:t xml:space="preserve"> (Ibid, p.287</w:t>
      </w:r>
      <w:r w:rsidR="000644AF">
        <w:t>-288</w:t>
      </w:r>
      <w:r w:rsidR="0001415C">
        <w:t xml:space="preserve">).  </w:t>
      </w:r>
    </w:p>
    <w:p w14:paraId="2226AF11" w14:textId="77777777" w:rsidR="001B6A81" w:rsidRDefault="001B6A81" w:rsidP="001B6A81">
      <w:pPr>
        <w:spacing w:line="360" w:lineRule="auto"/>
      </w:pPr>
    </w:p>
    <w:p w14:paraId="5363FADC" w14:textId="1A1DAE8A" w:rsidR="00CB6EC4" w:rsidRDefault="00E119D4" w:rsidP="001B6A81">
      <w:pPr>
        <w:spacing w:line="360" w:lineRule="auto"/>
      </w:pPr>
      <w:proofErr w:type="spellStart"/>
      <w:r>
        <w:t>Csordas</w:t>
      </w:r>
      <w:proofErr w:type="spellEnd"/>
      <w:r>
        <w:t xml:space="preserve"> points to the genuine pragmatism of the embodiment paradigm, the fact that it gives us not only a new phenomenological perspective into bodily experience, which has been thoroughly underplayed in intellectual history, but also helps us to understand how dualities lie nature and culture interplay and relate.</w:t>
      </w:r>
    </w:p>
    <w:p w14:paraId="065F24CD" w14:textId="77777777" w:rsidR="001B6A81" w:rsidRDefault="001B6A81" w:rsidP="001B6A81"/>
    <w:p w14:paraId="0B137949" w14:textId="77777777" w:rsidR="001B6A81" w:rsidRDefault="001B6A81" w:rsidP="001B6A81">
      <w:pPr>
        <w:spacing w:line="360" w:lineRule="auto"/>
      </w:pPr>
      <w:r>
        <w:t>One might object to the notion that this is in fact investigating the body, however, the embodiment approach, being radically different to the structuralist approach, does not objectify the body and juxtapose the mind against the body, but rather, it studies the whole totality of the body-person, and looks at how embodied experience creates the existential condition of the person.</w:t>
      </w:r>
    </w:p>
    <w:p w14:paraId="10F3D75F" w14:textId="099C3F3A" w:rsidR="008F6307" w:rsidRDefault="008F6307"/>
    <w:p w14:paraId="7AC49D16" w14:textId="10BE86E2" w:rsidR="00CB5871" w:rsidRDefault="001B6A81" w:rsidP="00F30938">
      <w:pPr>
        <w:spacing w:line="360" w:lineRule="auto"/>
      </w:pPr>
      <w:r>
        <w:t xml:space="preserve">This discussion has explored two different approaches to investigating the body anthropologically. The first approach was to treat the body as a symbol of society. This approach has proven very pragmatic in allowing us to comprehend and analyse how the constraints, or the lack of, of society influence how bodies behave. Powerful theories about the relationship between the strictness of boundaries of a society and their relationship to the body have illuminated rituals and behaviours that were once not understood. However, the theories do have their shortcomings, the propositions might not always be completely true, and viewing the body as society can only go so far, thus it is quite limited as an approach. Embodiment, on the other hand, pushes the </w:t>
      </w:r>
      <w:r w:rsidR="00F30938">
        <w:t>understanding of not only dualities such as nature and culture, but also gives us a valuable insight about the embodied phenomenological experience, which hasn’t been explored enough in anthropology. Therefore, to conclude, it must be said that the social body approach has been useful, and is still useful to this day, however it is limited and dated, and anthropologists can gain much more valuable knowledge in todays world by studying the body through the paradigm of embodiment.</w:t>
      </w:r>
    </w:p>
    <w:p w14:paraId="0928E128" w14:textId="0052668B" w:rsidR="00CB5871" w:rsidRDefault="00CB5871"/>
    <w:p w14:paraId="7434A002" w14:textId="46803ABA" w:rsidR="00CB5871" w:rsidRPr="00CB5871" w:rsidRDefault="00CB5871" w:rsidP="00E119D4">
      <w:pPr>
        <w:spacing w:line="360" w:lineRule="auto"/>
        <w:rPr>
          <w:b/>
          <w:u w:val="single"/>
        </w:rPr>
      </w:pPr>
      <w:r w:rsidRPr="00CB5871">
        <w:rPr>
          <w:b/>
          <w:u w:val="single"/>
        </w:rPr>
        <w:lastRenderedPageBreak/>
        <w:t>References:</w:t>
      </w:r>
    </w:p>
    <w:p w14:paraId="3FDAC019" w14:textId="4EC3D803" w:rsidR="008F6307" w:rsidRDefault="00855AEB" w:rsidP="00E119D4">
      <w:pPr>
        <w:spacing w:line="360" w:lineRule="auto"/>
      </w:pPr>
      <w:proofErr w:type="spellStart"/>
      <w:r>
        <w:t>Csordas</w:t>
      </w:r>
      <w:proofErr w:type="spellEnd"/>
      <w:r>
        <w:t xml:space="preserve">, T. 1994. </w:t>
      </w:r>
      <w:r>
        <w:rPr>
          <w:i/>
        </w:rPr>
        <w:t xml:space="preserve">Embodiment and experience: The existential ground of culture and self. </w:t>
      </w:r>
      <w:r>
        <w:t>Cambridge; Cambridge University Press.</w:t>
      </w:r>
    </w:p>
    <w:p w14:paraId="4A42DB68" w14:textId="27C2D91D" w:rsidR="008975A7" w:rsidRPr="008975A7" w:rsidRDefault="008975A7" w:rsidP="00E119D4">
      <w:pPr>
        <w:spacing w:line="360" w:lineRule="auto"/>
      </w:pPr>
      <w:proofErr w:type="spellStart"/>
      <w:r>
        <w:t>Csordas</w:t>
      </w:r>
      <w:proofErr w:type="spellEnd"/>
      <w:r>
        <w:t xml:space="preserve">, T. 1990. Embodiment as a Paradigm for Anthropology. </w:t>
      </w:r>
      <w:r>
        <w:rPr>
          <w:i/>
        </w:rPr>
        <w:t xml:space="preserve">Ethos, </w:t>
      </w:r>
      <w:r>
        <w:t>Vol. 18, 1:5-47.</w:t>
      </w:r>
    </w:p>
    <w:p w14:paraId="48C9AD19" w14:textId="617D8D67" w:rsidR="008F6307" w:rsidRDefault="008F6307" w:rsidP="00E119D4">
      <w:pPr>
        <w:spacing w:line="360" w:lineRule="auto"/>
      </w:pPr>
      <w:r>
        <w:t xml:space="preserve">Douglas, M. 1973. </w:t>
      </w:r>
      <w:r>
        <w:rPr>
          <w:i/>
        </w:rPr>
        <w:t>Natural Symbols.</w:t>
      </w:r>
      <w:r>
        <w:t xml:space="preserve"> London; Barrie &amp; Jenkins.</w:t>
      </w:r>
    </w:p>
    <w:p w14:paraId="28A68D6C" w14:textId="1F7C452F" w:rsidR="008F6307" w:rsidRPr="00855AEB" w:rsidRDefault="008F6307" w:rsidP="00E119D4">
      <w:pPr>
        <w:spacing w:line="360" w:lineRule="auto"/>
      </w:pPr>
      <w:r>
        <w:t>Douglas, M. 200</w:t>
      </w:r>
      <w:r w:rsidR="00855AEB">
        <w:t>2</w:t>
      </w:r>
      <w:r>
        <w:t xml:space="preserve">. </w:t>
      </w:r>
      <w:r>
        <w:rPr>
          <w:i/>
        </w:rPr>
        <w:t xml:space="preserve">Purity and Danger: An </w:t>
      </w:r>
      <w:r w:rsidR="00855AEB">
        <w:rPr>
          <w:i/>
        </w:rPr>
        <w:t xml:space="preserve">Analysis on the concept of pollution and taboo. </w:t>
      </w:r>
      <w:r w:rsidR="00855AEB">
        <w:t>London and New York; Routledge Classics.</w:t>
      </w:r>
    </w:p>
    <w:p w14:paraId="1B208261" w14:textId="3AC85E4E" w:rsidR="008F6307" w:rsidRDefault="008F6307" w:rsidP="00E119D4">
      <w:pPr>
        <w:spacing w:line="360" w:lineRule="auto"/>
      </w:pPr>
      <w:r>
        <w:t xml:space="preserve">Jackson, M. 1989. </w:t>
      </w:r>
      <w:r>
        <w:rPr>
          <w:i/>
        </w:rPr>
        <w:t xml:space="preserve">Paths toward a Clearing: Radical Empiricism and Ethnographic Inquiry. </w:t>
      </w:r>
      <w:r>
        <w:t>Bloomington; Indiana University Press.</w:t>
      </w:r>
    </w:p>
    <w:p w14:paraId="2B9CB789" w14:textId="329ED850" w:rsidR="00E119D4" w:rsidRDefault="007A0C12" w:rsidP="00E119D4">
      <w:pPr>
        <w:spacing w:line="360" w:lineRule="auto"/>
      </w:pPr>
      <w:r>
        <w:t>James, W. 1</w:t>
      </w:r>
      <w:r w:rsidR="00690C6A">
        <w:t xml:space="preserve">928. </w:t>
      </w:r>
      <w:r w:rsidR="00690C6A">
        <w:rPr>
          <w:i/>
        </w:rPr>
        <w:t xml:space="preserve">The Varieties of Religious Experience. </w:t>
      </w:r>
      <w:r w:rsidR="00690C6A">
        <w:t xml:space="preserve">London, New York, Toronto; Longmans, Green </w:t>
      </w:r>
      <w:r w:rsidR="00E119D4">
        <w:t xml:space="preserve">Lee </w:t>
      </w:r>
      <w:proofErr w:type="gramStart"/>
      <w:r w:rsidR="00E119D4">
        <w:t>R,.</w:t>
      </w:r>
      <w:proofErr w:type="gramEnd"/>
      <w:r w:rsidR="00E119D4">
        <w:t xml:space="preserve"> 1979</w:t>
      </w:r>
      <w:r w:rsidR="00E119D4" w:rsidRPr="00205EB6">
        <w:rPr>
          <w:i/>
        </w:rPr>
        <w:t xml:space="preserve">. </w:t>
      </w:r>
      <w:proofErr w:type="gramStart"/>
      <w:r w:rsidR="00E119D4" w:rsidRPr="00205EB6">
        <w:rPr>
          <w:i/>
        </w:rPr>
        <w:t>The !Kung</w:t>
      </w:r>
      <w:proofErr w:type="gramEnd"/>
      <w:r w:rsidR="00E119D4" w:rsidRPr="00205EB6">
        <w:rPr>
          <w:i/>
        </w:rPr>
        <w:t xml:space="preserve"> San</w:t>
      </w:r>
      <w:r w:rsidR="00E119D4">
        <w:t>. Cambridge, London, New York, New Rochelle, Melbourne, Sydney, Cambridge University Press.</w:t>
      </w:r>
    </w:p>
    <w:p w14:paraId="5655D795" w14:textId="159708A8" w:rsidR="000E3F14" w:rsidRPr="00CB5871" w:rsidRDefault="00CB5871" w:rsidP="00E119D4">
      <w:pPr>
        <w:spacing w:line="360" w:lineRule="auto"/>
      </w:pPr>
      <w:proofErr w:type="spellStart"/>
      <w:r>
        <w:t>Mauss</w:t>
      </w:r>
      <w:proofErr w:type="spellEnd"/>
      <w:r>
        <w:t>, M. 1936. Les Techniques do corps.</w:t>
      </w:r>
      <w:r>
        <w:rPr>
          <w:i/>
        </w:rPr>
        <w:t xml:space="preserve"> Journal de la </w:t>
      </w:r>
      <w:proofErr w:type="spellStart"/>
      <w:r>
        <w:rPr>
          <w:i/>
        </w:rPr>
        <w:t>Psychologie</w:t>
      </w:r>
      <w:proofErr w:type="spellEnd"/>
      <w:r>
        <w:rPr>
          <w:i/>
        </w:rPr>
        <w:t xml:space="preserve">, </w:t>
      </w:r>
      <w:r>
        <w:t>32.</w:t>
      </w:r>
    </w:p>
    <w:p w14:paraId="0ABB5D67" w14:textId="65C2F547" w:rsidR="008F6307" w:rsidRDefault="008F6307" w:rsidP="00E119D4">
      <w:pPr>
        <w:spacing w:line="360" w:lineRule="auto"/>
      </w:pPr>
      <w:r>
        <w:t xml:space="preserve">Scheper-Hughes, N. and Lock, M. 1987. The Mindful Body: A Prolegomenon to Future Work in Medical Anthropology. </w:t>
      </w:r>
      <w:r>
        <w:rPr>
          <w:i/>
        </w:rPr>
        <w:t xml:space="preserve">Medical Anthropology </w:t>
      </w:r>
      <w:proofErr w:type="spellStart"/>
      <w:r>
        <w:rPr>
          <w:i/>
        </w:rPr>
        <w:t>Quaterly</w:t>
      </w:r>
      <w:proofErr w:type="spellEnd"/>
      <w:r w:rsidR="008975A7">
        <w:t xml:space="preserve">, </w:t>
      </w:r>
      <w:r>
        <w:t>1:6-41.</w:t>
      </w:r>
    </w:p>
    <w:p w14:paraId="6C18AACB" w14:textId="77777777" w:rsidR="008F6307" w:rsidRPr="008F6307" w:rsidRDefault="008F6307"/>
    <w:sectPr w:rsidR="008F6307" w:rsidRPr="008F630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81D8C" w14:textId="77777777" w:rsidR="00F13727" w:rsidRDefault="00F13727" w:rsidP="00B16CD7">
      <w:pPr>
        <w:spacing w:after="0" w:line="240" w:lineRule="auto"/>
      </w:pPr>
      <w:r>
        <w:separator/>
      </w:r>
    </w:p>
  </w:endnote>
  <w:endnote w:type="continuationSeparator" w:id="0">
    <w:p w14:paraId="505BF02C" w14:textId="77777777" w:rsidR="00F13727" w:rsidRDefault="00F13727" w:rsidP="00B16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843408"/>
      <w:docPartObj>
        <w:docPartGallery w:val="Page Numbers (Bottom of Page)"/>
        <w:docPartUnique/>
      </w:docPartObj>
    </w:sdtPr>
    <w:sdtEndPr>
      <w:rPr>
        <w:noProof/>
      </w:rPr>
    </w:sdtEndPr>
    <w:sdtContent>
      <w:p w14:paraId="3CCFE31F" w14:textId="1F529DEA" w:rsidR="0075043C" w:rsidRDefault="0075043C">
        <w:pPr>
          <w:pStyle w:val="Footer"/>
        </w:pPr>
        <w:r>
          <w:fldChar w:fldCharType="begin"/>
        </w:r>
        <w:r>
          <w:instrText xml:space="preserve"> PAGE   \* MERGEFORMAT </w:instrText>
        </w:r>
        <w:r>
          <w:fldChar w:fldCharType="separate"/>
        </w:r>
        <w:r>
          <w:rPr>
            <w:noProof/>
          </w:rPr>
          <w:t>2</w:t>
        </w:r>
        <w:r>
          <w:rPr>
            <w:noProof/>
          </w:rPr>
          <w:fldChar w:fldCharType="end"/>
        </w:r>
      </w:p>
    </w:sdtContent>
  </w:sdt>
  <w:p w14:paraId="7CE739AF" w14:textId="77777777" w:rsidR="0075043C" w:rsidRDefault="00750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11D35" w14:textId="77777777" w:rsidR="00F13727" w:rsidRDefault="00F13727" w:rsidP="00B16CD7">
      <w:pPr>
        <w:spacing w:after="0" w:line="240" w:lineRule="auto"/>
      </w:pPr>
      <w:r>
        <w:separator/>
      </w:r>
    </w:p>
  </w:footnote>
  <w:footnote w:type="continuationSeparator" w:id="0">
    <w:p w14:paraId="5DA70306" w14:textId="77777777" w:rsidR="00F13727" w:rsidRDefault="00F13727" w:rsidP="00B16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BA1059" w14:textId="28036DCB" w:rsidR="0075043C" w:rsidRDefault="0075043C" w:rsidP="0075043C">
    <w:pPr>
      <w:pStyle w:val="Header"/>
    </w:pPr>
    <w:r>
      <w:t>AHAN5007                                                           Assignment 1                                  Grzegorz Palka/1600935</w:t>
    </w:r>
  </w:p>
  <w:p w14:paraId="3ED7699A" w14:textId="77777777" w:rsidR="0075043C" w:rsidRDefault="0075043C" w:rsidP="0075043C">
    <w:pPr>
      <w:pStyle w:val="Header"/>
      <w:jc w:val="center"/>
    </w:pPr>
  </w:p>
  <w:p w14:paraId="5ED9E6C3" w14:textId="0411EDAB" w:rsidR="00B16CD7" w:rsidRDefault="00B16CD7" w:rsidP="0075043C">
    <w:pPr>
      <w:pStyle w:val="Header"/>
      <w:jc w:val="center"/>
    </w:pPr>
    <w:r>
      <w:t>How should anthropologists best investigate ‘the body’?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CD7"/>
    <w:rsid w:val="00002DF2"/>
    <w:rsid w:val="000072E5"/>
    <w:rsid w:val="0001415C"/>
    <w:rsid w:val="000644AF"/>
    <w:rsid w:val="000C04DE"/>
    <w:rsid w:val="000C1BE4"/>
    <w:rsid w:val="000D068C"/>
    <w:rsid w:val="000D2E7C"/>
    <w:rsid w:val="000E3F14"/>
    <w:rsid w:val="000E6A6D"/>
    <w:rsid w:val="000F65C1"/>
    <w:rsid w:val="00101F61"/>
    <w:rsid w:val="001354BC"/>
    <w:rsid w:val="00137947"/>
    <w:rsid w:val="00153FAE"/>
    <w:rsid w:val="001B6A81"/>
    <w:rsid w:val="002059E7"/>
    <w:rsid w:val="0024168C"/>
    <w:rsid w:val="00264965"/>
    <w:rsid w:val="002A7E6A"/>
    <w:rsid w:val="002B0261"/>
    <w:rsid w:val="002B07CF"/>
    <w:rsid w:val="002B6321"/>
    <w:rsid w:val="002B6C6A"/>
    <w:rsid w:val="002D7713"/>
    <w:rsid w:val="00316CEE"/>
    <w:rsid w:val="00343F7B"/>
    <w:rsid w:val="00363F32"/>
    <w:rsid w:val="003D14D4"/>
    <w:rsid w:val="003E3312"/>
    <w:rsid w:val="00432A0A"/>
    <w:rsid w:val="00465E8A"/>
    <w:rsid w:val="00473A34"/>
    <w:rsid w:val="00483858"/>
    <w:rsid w:val="004A4EDF"/>
    <w:rsid w:val="004D5139"/>
    <w:rsid w:val="005105D9"/>
    <w:rsid w:val="005352AD"/>
    <w:rsid w:val="005474C7"/>
    <w:rsid w:val="00561CCE"/>
    <w:rsid w:val="00562A0B"/>
    <w:rsid w:val="00574340"/>
    <w:rsid w:val="005915EA"/>
    <w:rsid w:val="005B45A8"/>
    <w:rsid w:val="005D1F37"/>
    <w:rsid w:val="005F2016"/>
    <w:rsid w:val="00606F64"/>
    <w:rsid w:val="00631642"/>
    <w:rsid w:val="00681FF5"/>
    <w:rsid w:val="006874E6"/>
    <w:rsid w:val="00690C6A"/>
    <w:rsid w:val="00691C70"/>
    <w:rsid w:val="006A67DE"/>
    <w:rsid w:val="006B0A22"/>
    <w:rsid w:val="006C3E90"/>
    <w:rsid w:val="006E3495"/>
    <w:rsid w:val="00716B6A"/>
    <w:rsid w:val="00726F55"/>
    <w:rsid w:val="00740FB9"/>
    <w:rsid w:val="0075043C"/>
    <w:rsid w:val="00784726"/>
    <w:rsid w:val="00786BDC"/>
    <w:rsid w:val="00790396"/>
    <w:rsid w:val="007A0C12"/>
    <w:rsid w:val="007B41A8"/>
    <w:rsid w:val="007C0548"/>
    <w:rsid w:val="007C5DB0"/>
    <w:rsid w:val="007E3733"/>
    <w:rsid w:val="00824C67"/>
    <w:rsid w:val="00855AEB"/>
    <w:rsid w:val="00890637"/>
    <w:rsid w:val="008975A7"/>
    <w:rsid w:val="008C2250"/>
    <w:rsid w:val="008C2291"/>
    <w:rsid w:val="008D4812"/>
    <w:rsid w:val="008F1598"/>
    <w:rsid w:val="008F6307"/>
    <w:rsid w:val="009351F1"/>
    <w:rsid w:val="0093748E"/>
    <w:rsid w:val="009B2C47"/>
    <w:rsid w:val="009C0488"/>
    <w:rsid w:val="00A25FF6"/>
    <w:rsid w:val="00A31D87"/>
    <w:rsid w:val="00A6363E"/>
    <w:rsid w:val="00A70793"/>
    <w:rsid w:val="00A8025B"/>
    <w:rsid w:val="00A8090C"/>
    <w:rsid w:val="00A81CD9"/>
    <w:rsid w:val="00AA4B73"/>
    <w:rsid w:val="00AE5047"/>
    <w:rsid w:val="00B11787"/>
    <w:rsid w:val="00B16CD7"/>
    <w:rsid w:val="00B3364F"/>
    <w:rsid w:val="00B33E2B"/>
    <w:rsid w:val="00B717D3"/>
    <w:rsid w:val="00B87077"/>
    <w:rsid w:val="00BC50A1"/>
    <w:rsid w:val="00BF2EC8"/>
    <w:rsid w:val="00BF65B4"/>
    <w:rsid w:val="00C01A22"/>
    <w:rsid w:val="00C111CA"/>
    <w:rsid w:val="00C23B08"/>
    <w:rsid w:val="00C4350B"/>
    <w:rsid w:val="00C836E7"/>
    <w:rsid w:val="00CA6CB7"/>
    <w:rsid w:val="00CB5871"/>
    <w:rsid w:val="00CB6EC4"/>
    <w:rsid w:val="00D30620"/>
    <w:rsid w:val="00D42ECB"/>
    <w:rsid w:val="00D72B7A"/>
    <w:rsid w:val="00D843E8"/>
    <w:rsid w:val="00D8780B"/>
    <w:rsid w:val="00DA41BB"/>
    <w:rsid w:val="00DA4F09"/>
    <w:rsid w:val="00DB1C48"/>
    <w:rsid w:val="00DB76FB"/>
    <w:rsid w:val="00DE1B58"/>
    <w:rsid w:val="00DE6BF0"/>
    <w:rsid w:val="00E119D4"/>
    <w:rsid w:val="00E74FCB"/>
    <w:rsid w:val="00E8293E"/>
    <w:rsid w:val="00E9063D"/>
    <w:rsid w:val="00EA7C7A"/>
    <w:rsid w:val="00EC785A"/>
    <w:rsid w:val="00ED1F10"/>
    <w:rsid w:val="00EF5E6D"/>
    <w:rsid w:val="00F00A92"/>
    <w:rsid w:val="00F13727"/>
    <w:rsid w:val="00F16C21"/>
    <w:rsid w:val="00F30938"/>
    <w:rsid w:val="00F5346A"/>
    <w:rsid w:val="00F56395"/>
    <w:rsid w:val="00FC68D7"/>
    <w:rsid w:val="00FD003E"/>
    <w:rsid w:val="00FE4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8920B"/>
  <w15:chartTrackingRefBased/>
  <w15:docId w15:val="{D6B4E964-81A3-41D7-8B76-DE36EC2C5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CD7"/>
  </w:style>
  <w:style w:type="paragraph" w:styleId="Footer">
    <w:name w:val="footer"/>
    <w:basedOn w:val="Normal"/>
    <w:link w:val="FooterChar"/>
    <w:uiPriority w:val="99"/>
    <w:unhideWhenUsed/>
    <w:rsid w:val="00B16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C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2412</TotalTime>
  <Pages>7</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Grzegorz Palka (1600935)</dc:creator>
  <cp:keywords/>
  <dc:description/>
  <cp:lastModifiedBy>Grzegorz Palka (1600935)</cp:lastModifiedBy>
  <cp:revision>36</cp:revision>
  <dcterms:created xsi:type="dcterms:W3CDTF">2018-03-16T00:43:00Z</dcterms:created>
  <dcterms:modified xsi:type="dcterms:W3CDTF">2018-03-23T23:52:00Z</dcterms:modified>
</cp:coreProperties>
</file>