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43CBC" w:rsidP="2A062923" w:rsidRDefault="00243CBC" w14:paraId="2AA6C1E3" w14:textId="6B40A7F7">
      <w:pPr>
        <w:jc w:val="center"/>
        <w:rPr>
          <w:b w:val="1"/>
          <w:bCs w:val="1"/>
          <w:sz w:val="40"/>
          <w:szCs w:val="40"/>
          <w:u w:val="single"/>
        </w:rPr>
      </w:pPr>
      <w:r w:rsidR="2A062923">
        <w:rPr/>
        <w:t xml:space="preserve"> </w:t>
      </w:r>
      <w:r w:rsidRPr="2A062923" w:rsidR="2A062923">
        <w:rPr>
          <w:b w:val="1"/>
          <w:bCs w:val="1"/>
          <w:sz w:val="40"/>
          <w:szCs w:val="40"/>
          <w:u w:val="single"/>
        </w:rPr>
        <w:t>Legal Issues Health and Safety in the Hotel Industry</w:t>
      </w:r>
    </w:p>
    <w:p w:rsidR="00243CBC" w:rsidP="2A062923" w:rsidRDefault="00243CBC" w14:paraId="5A68EDAA" w14:textId="4BED6813">
      <w:pPr>
        <w:jc w:val="center"/>
        <w:rPr>
          <w:b w:val="1"/>
          <w:bCs w:val="1"/>
          <w:sz w:val="40"/>
          <w:szCs w:val="40"/>
          <w:u w:val="single"/>
        </w:rPr>
      </w:pPr>
      <w:r w:rsidRPr="2A062923" w:rsidR="2A062923">
        <w:rPr>
          <w:b w:val="1"/>
          <w:bCs w:val="1"/>
          <w:sz w:val="40"/>
          <w:szCs w:val="40"/>
          <w:u w:val="single"/>
        </w:rPr>
        <w:t>Name: Taslima</w:t>
      </w:r>
      <w:r w:rsidRPr="2A062923" w:rsidR="2A062923">
        <w:rPr>
          <w:b w:val="1"/>
          <w:bCs w:val="1"/>
          <w:sz w:val="40"/>
          <w:szCs w:val="40"/>
          <w:u w:val="single"/>
        </w:rPr>
        <w:t xml:space="preserve"> Akther</w:t>
      </w:r>
      <w:r w:rsidRPr="2A062923" w:rsidR="2A062923">
        <w:rPr>
          <w:b w:val="1"/>
          <w:bCs w:val="1"/>
          <w:sz w:val="40"/>
          <w:szCs w:val="40"/>
          <w:u w:val="single"/>
        </w:rPr>
        <w:t xml:space="preserve"> Lima</w:t>
      </w:r>
    </w:p>
    <w:p w:rsidR="00243CBC" w:rsidP="2A062923" w:rsidRDefault="00243CBC" w14:paraId="0672888D" w14:textId="04C256A1">
      <w:pPr>
        <w:jc w:val="center"/>
        <w:rPr>
          <w:b w:val="1"/>
          <w:bCs w:val="1"/>
          <w:sz w:val="40"/>
          <w:szCs w:val="40"/>
          <w:u w:val="single"/>
        </w:rPr>
      </w:pPr>
      <w:r w:rsidRPr="65DCA19C" w:rsidR="65DCA19C">
        <w:rPr>
          <w:b w:val="1"/>
          <w:bCs w:val="1"/>
          <w:sz w:val="40"/>
          <w:szCs w:val="40"/>
          <w:u w:val="single"/>
        </w:rPr>
        <w:t>Student ID Number: 2117690</w:t>
      </w:r>
    </w:p>
    <w:p w:rsidR="00243CBC" w:rsidP="2A062923" w:rsidRDefault="00243CBC" w14:paraId="4D7012FC" w14:textId="542A9CB9">
      <w:pPr>
        <w:jc w:val="center"/>
        <w:rPr>
          <w:b w:val="1"/>
          <w:bCs w:val="1"/>
          <w:sz w:val="40"/>
          <w:szCs w:val="40"/>
          <w:u w:val="single"/>
        </w:rPr>
      </w:pPr>
      <w:r w:rsidRPr="2A062923" w:rsidR="2A062923">
        <w:rPr>
          <w:b w:val="1"/>
          <w:bCs w:val="1"/>
          <w:sz w:val="40"/>
          <w:szCs w:val="40"/>
          <w:u w:val="single"/>
        </w:rPr>
        <w:t>The Module Title: Business Skills BMIH4001</w:t>
      </w:r>
    </w:p>
    <w:p w:rsidR="000A7E65" w:rsidP="2A062923" w:rsidRDefault="00243CBC" w14:paraId="760D817D" w14:textId="14E190FC">
      <w:pPr>
        <w:jc w:val="center"/>
        <w:rPr>
          <w:b w:val="1"/>
          <w:bCs w:val="1"/>
          <w:sz w:val="40"/>
          <w:szCs w:val="40"/>
          <w:u w:val="single"/>
        </w:rPr>
      </w:pPr>
      <w:r w:rsidRPr="2A062923" w:rsidR="2A062923">
        <w:rPr>
          <w:b w:val="1"/>
          <w:bCs w:val="1"/>
          <w:sz w:val="40"/>
          <w:szCs w:val="40"/>
          <w:u w:val="single"/>
        </w:rPr>
        <w:t>Wordcount: 400</w:t>
      </w:r>
    </w:p>
    <w:p w:rsidR="000A7E65" w:rsidP="000A7E65" w:rsidRDefault="000A7E65" w14:paraId="0A53FB17" w14:textId="52D4477E">
      <w:pPr>
        <w:jc w:val="center"/>
        <w:rPr>
          <w:b/>
          <w:bCs/>
          <w:sz w:val="22"/>
        </w:rPr>
      </w:pPr>
    </w:p>
    <w:p w:rsidR="000A7E65" w:rsidP="000A7E65" w:rsidRDefault="000A7E65" w14:paraId="34C79812" w14:textId="6821C892">
      <w:pPr>
        <w:jc w:val="center"/>
        <w:rPr>
          <w:b/>
          <w:bCs/>
          <w:sz w:val="22"/>
        </w:rPr>
      </w:pPr>
    </w:p>
    <w:p w:rsidR="000A7E65" w:rsidP="000A7E65" w:rsidRDefault="000A7E65" w14:paraId="731887AA" w14:textId="0F1983EA">
      <w:pPr>
        <w:jc w:val="center"/>
        <w:rPr>
          <w:b/>
          <w:bCs/>
          <w:sz w:val="22"/>
        </w:rPr>
      </w:pPr>
    </w:p>
    <w:p w:rsidR="000A7E65" w:rsidP="000A7E65" w:rsidRDefault="000A7E65" w14:paraId="60E664EC" w14:textId="01BAA56E">
      <w:pPr>
        <w:jc w:val="center"/>
        <w:rPr>
          <w:b/>
          <w:bCs/>
          <w:sz w:val="22"/>
        </w:rPr>
      </w:pPr>
    </w:p>
    <w:p w:rsidR="000A7E65" w:rsidP="000A7E65" w:rsidRDefault="000A7E65" w14:paraId="70690B74" w14:textId="08E95E94">
      <w:pPr>
        <w:jc w:val="center"/>
        <w:rPr>
          <w:b/>
          <w:bCs/>
          <w:sz w:val="22"/>
        </w:rPr>
      </w:pPr>
    </w:p>
    <w:p w:rsidR="000A7E65" w:rsidP="000A7E65" w:rsidRDefault="000A7E65" w14:paraId="7BDDFA80" w14:textId="0DDFFD2F">
      <w:pPr>
        <w:jc w:val="center"/>
        <w:rPr>
          <w:b/>
          <w:bCs/>
          <w:sz w:val="22"/>
        </w:rPr>
      </w:pPr>
    </w:p>
    <w:p w:rsidR="000A7E65" w:rsidP="000A7E65" w:rsidRDefault="000A7E65" w14:paraId="6500B124" w14:textId="66988D57">
      <w:pPr>
        <w:jc w:val="center"/>
        <w:rPr>
          <w:b/>
          <w:bCs/>
          <w:sz w:val="22"/>
        </w:rPr>
      </w:pPr>
    </w:p>
    <w:p w:rsidR="000A7E65" w:rsidP="000A7E65" w:rsidRDefault="000A7E65" w14:paraId="05732597" w14:textId="2D75C34F">
      <w:pPr>
        <w:jc w:val="center"/>
        <w:rPr>
          <w:b/>
          <w:bCs/>
          <w:sz w:val="22"/>
        </w:rPr>
      </w:pPr>
    </w:p>
    <w:p w:rsidR="000A7E65" w:rsidP="000A7E65" w:rsidRDefault="000A7E65" w14:paraId="19D2830C" w14:textId="3BFA1291">
      <w:pPr>
        <w:jc w:val="center"/>
        <w:rPr>
          <w:b/>
          <w:bCs/>
          <w:sz w:val="22"/>
        </w:rPr>
      </w:pPr>
    </w:p>
    <w:p w:rsidR="000A7E65" w:rsidP="000A7E65" w:rsidRDefault="000A7E65" w14:paraId="03A708CA" w14:textId="3A08E521">
      <w:pPr>
        <w:jc w:val="center"/>
        <w:rPr>
          <w:b/>
          <w:bCs/>
          <w:sz w:val="22"/>
        </w:rPr>
      </w:pPr>
    </w:p>
    <w:p w:rsidR="000A7E65" w:rsidP="000A7E65" w:rsidRDefault="000A7E65" w14:paraId="024B023A" w14:textId="12A11961">
      <w:pPr>
        <w:jc w:val="center"/>
        <w:rPr>
          <w:b/>
          <w:bCs/>
          <w:sz w:val="22"/>
        </w:rPr>
      </w:pPr>
    </w:p>
    <w:p w:rsidR="000A7E65" w:rsidP="000A7E65" w:rsidRDefault="000A7E65" w14:paraId="49575B75" w14:textId="375C7158">
      <w:pPr>
        <w:jc w:val="center"/>
        <w:rPr>
          <w:b/>
          <w:bCs/>
          <w:sz w:val="22"/>
        </w:rPr>
      </w:pPr>
    </w:p>
    <w:p w:rsidR="000A7E65" w:rsidP="000A7E65" w:rsidRDefault="000A7E65" w14:paraId="70750EA3" w14:textId="55BF82F7">
      <w:pPr>
        <w:jc w:val="center"/>
        <w:rPr>
          <w:b/>
          <w:bCs/>
          <w:sz w:val="22"/>
        </w:rPr>
      </w:pPr>
    </w:p>
    <w:p w:rsidR="000A7E65" w:rsidP="000A7E65" w:rsidRDefault="000A7E65" w14:paraId="2F103265" w14:textId="1B6A1F6A">
      <w:pPr>
        <w:jc w:val="center"/>
        <w:rPr>
          <w:b/>
          <w:bCs/>
          <w:sz w:val="22"/>
        </w:rPr>
      </w:pPr>
    </w:p>
    <w:p w:rsidR="000A7E65" w:rsidP="2A062923" w:rsidRDefault="000A7E65" w14:paraId="7CA6108E" w14:textId="19D46590">
      <w:pPr>
        <w:pStyle w:val="Normal"/>
        <w:jc w:val="center"/>
        <w:rPr>
          <w:b w:val="1"/>
          <w:bCs w:val="1"/>
          <w:sz w:val="22"/>
          <w:szCs w:val="22"/>
          <w:shd w:val="clear" w:color="auto" w:fill="FFFFFF"/>
        </w:rPr>
      </w:pPr>
    </w:p>
    <w:p w:rsidRPr="00243CBC" w:rsidR="00044D53" w:rsidP="00044D53" w:rsidRDefault="00044D53" w14:paraId="36724169" w14:textId="35C54AA0">
      <w:r w:rsidRPr="00243CBC">
        <w:rPr>
          <w:rFonts w:cs="Arial"/>
          <w:szCs w:val="24"/>
          <w:shd w:val="clear" w:color="auto" w:fill="FFFFFF"/>
        </w:rPr>
        <w:t xml:space="preserve">Wilks et al., (2013) have stated that </w:t>
      </w:r>
      <w:r w:rsidRPr="00243CBC">
        <w:t xml:space="preserve">health and safety laws apply to all types of business regardless of their size and types. Health and safety are critical legal issues in the hotel industry, and hotels must comply with a range of laws and regulations to ensure the safety of guests and employees. According to </w:t>
      </w:r>
      <w:r w:rsidRPr="00243CBC">
        <w:rPr>
          <w:rFonts w:cs="Arial"/>
          <w:szCs w:val="24"/>
          <w:shd w:val="clear" w:color="auto" w:fill="FFFFFF"/>
        </w:rPr>
        <w:t>Rosemberg (2020</w:t>
      </w:r>
      <w:r w:rsidRPr="00243CBC">
        <w:t>) business organisations like hotels, restaurants, cafes etc. need to enforce strict guidelines in the workplace and conduct regular health and safety checking in the business for ensuring safety for both customers and employees. If the organisations in hospitality industry fail to comply with these regulations, it can lead to fines, legal actions and reputational damage. Organisations of this industry need to abide by Occupational Health and Safety (OHS) Regulations, Fire Safety Regulations, Food Safety Regulations, Disability Access Regulations in the workplace. The organisations of hospitality industry also need to comply with local, state and federal laws and regulations (</w:t>
      </w:r>
      <w:r w:rsidRPr="00243CBC">
        <w:rPr>
          <w:rFonts w:cs="Arial"/>
          <w:szCs w:val="24"/>
          <w:shd w:val="clear" w:color="auto" w:fill="FFFFFF"/>
        </w:rPr>
        <w:t>Shapoval et al., 2022)</w:t>
      </w:r>
      <w:r w:rsidRPr="00243CBC">
        <w:t xml:space="preserve">. </w:t>
      </w:r>
    </w:p>
    <w:p w:rsidRPr="00243CBC" w:rsidR="00044D53" w:rsidP="00044D53" w:rsidRDefault="00044D53" w14:paraId="58442412" w14:textId="1EA130AD">
      <w:r w:rsidRPr="00243CBC">
        <w:rPr/>
        <w:t xml:space="preserve">In the hospitality industry, the managers of the organisation need to document hazards in the workplace, communicate potential hazards to all stakeholders, adopt necessary training for mitigating risks and adapt actionable plan for emergencies. There may be </w:t>
      </w:r>
      <w:r w:rsidRPr="00243CBC">
        <w:rPr/>
        <w:t>additional</w:t>
      </w:r>
      <w:r w:rsidRPr="00243CBC">
        <w:rPr/>
        <w:t xml:space="preserve"> health and safety requirements imposed by the local government (</w:t>
      </w:r>
      <w:r w:rsidRPr="2A062923">
        <w:rPr>
          <w:rFonts w:cs="Arial"/>
          <w:shd w:val="clear" w:color="auto" w:fill="FFFFFF"/>
        </w:rPr>
        <w:t>Moyce and Schenker, 2018)</w:t>
      </w:r>
      <w:r w:rsidRPr="00243CBC">
        <w:rPr/>
        <w:t xml:space="preserve">. Fire alerts, fire extinguishers, smoke detectors, sprinkler systems, fire </w:t>
      </w:r>
      <w:r w:rsidRPr="00243CBC">
        <w:rPr/>
        <w:t>exits,</w:t>
      </w:r>
      <w:r w:rsidRPr="00243CBC">
        <w:rPr/>
        <w:t xml:space="preserve"> and other preventative safety equipment may be mandated by these rules (</w:t>
      </w:r>
      <w:r w:rsidRPr="2A062923">
        <w:rPr>
          <w:rFonts w:cs="Arial"/>
          <w:shd w:val="clear" w:color="auto" w:fill="FFFFFF"/>
        </w:rPr>
        <w:t>Wilks and Page, 2013)</w:t>
      </w:r>
      <w:r w:rsidRPr="00243CBC">
        <w:rPr/>
        <w:t xml:space="preserve">. Broadly speaking, the Health and Safety at Work Act of 1974 serves as the basis for health and safety law in the United Kingdom. </w:t>
      </w:r>
      <w:r w:rsidRPr="00243CBC">
        <w:rPr/>
        <w:t>It's</w:t>
      </w:r>
      <w:r w:rsidRPr="00243CBC">
        <w:rPr/>
        <w:t xml:space="preserve"> not just the hospitality industry that </w:t>
      </w:r>
      <w:r w:rsidRPr="00243CBC">
        <w:rPr/>
        <w:t>benefits</w:t>
      </w:r>
      <w:r w:rsidRPr="00243CBC">
        <w:rPr/>
        <w:t xml:space="preserve"> from this, but all businesses that care about their customers and their employees' well-being and safety. The hotel businesses of the country need to comply food local and state food safety regulations so that the foods served to the clients </w:t>
      </w:r>
      <w:r w:rsidRPr="00243CBC">
        <w:rPr/>
        <w:t>remain</w:t>
      </w:r>
      <w:r w:rsidRPr="00243CBC">
        <w:rPr/>
        <w:t xml:space="preserve"> safe and free from pollutants. The managers of hotels need to have proper food storage, sufficient preparation practices, and train the employees and staff on food safety procedures</w:t>
      </w:r>
      <w:r w:rsidRPr="00243CBC">
        <w:rPr/>
        <w:t xml:space="preserve">.  </w:t>
      </w:r>
      <w:r w:rsidRPr="00243CBC">
        <w:rPr/>
        <w:t xml:space="preserve">To guarantee that guests with disabilities have </w:t>
      </w:r>
      <w:r w:rsidRPr="00243CBC">
        <w:rPr/>
        <w:t>equitable</w:t>
      </w:r>
      <w:r w:rsidRPr="00243CBC">
        <w:rPr/>
        <w:t xml:space="preserve"> access to hotel amenities and services, hotels are </w:t>
      </w:r>
      <w:r w:rsidRPr="00243CBC">
        <w:rPr/>
        <w:t>required</w:t>
      </w:r>
      <w:r w:rsidRPr="00243CBC">
        <w:rPr/>
        <w:t xml:space="preserve"> to </w:t>
      </w:r>
      <w:r w:rsidRPr="00243CBC">
        <w:rPr/>
        <w:t>comply with</w:t>
      </w:r>
      <w:r w:rsidRPr="00243CBC">
        <w:rPr/>
        <w:t xml:space="preserve"> regulations governing accessibility for people with disabilities (Jones et al., 2014). This involves offering guest rooms, public areas, and public transportation that are accessible. The employers of hospitality industry must give the employees necessary information, </w:t>
      </w:r>
      <w:r w:rsidRPr="00243CBC">
        <w:rPr/>
        <w:t>instruction</w:t>
      </w:r>
      <w:r w:rsidRPr="00243CBC">
        <w:rPr/>
        <w:t xml:space="preserve"> and training to do the work safely. Necessary measures should be taken to </w:t>
      </w:r>
      <w:r w:rsidRPr="00243CBC">
        <w:rPr/>
        <w:t>maintain</w:t>
      </w:r>
      <w:r w:rsidRPr="00243CBC">
        <w:rPr/>
        <w:t xml:space="preserve"> a safe working environment. The employees and staff also have some responsibilities such as cooperating with the employers to </w:t>
      </w:r>
      <w:r w:rsidRPr="00243CBC">
        <w:rPr/>
        <w:t>maintaining</w:t>
      </w:r>
      <w:r w:rsidRPr="00243CBC">
        <w:rPr/>
        <w:t xml:space="preserve"> health and safety, reporting any incidents or hazards, take reasonable care for the employees and workplace etc</w:t>
      </w:r>
      <w:r w:rsidR="00243CBC">
        <w:rPr/>
        <w:t>.</w:t>
      </w:r>
      <w:r w:rsidRPr="00243CBC">
        <w:rPr/>
        <w:t xml:space="preserve"> (</w:t>
      </w:r>
      <w:r w:rsidRPr="2A062923">
        <w:rPr>
          <w:rFonts w:cs="Arial"/>
          <w:shd w:val="clear" w:color="auto" w:fill="FFFFFF"/>
        </w:rPr>
        <w:t>Shapoval et al., 2022)</w:t>
      </w:r>
      <w:r w:rsidRPr="00243CBC">
        <w:rPr/>
        <w:t xml:space="preserve">. </w:t>
      </w:r>
    </w:p>
    <w:p w:rsidR="000A7E65" w:rsidP="00044D53" w:rsidRDefault="000A7E65" w14:paraId="5B547AEE" w14:textId="52FCE835"/>
    <w:p w:rsidR="00243CBC" w:rsidRDefault="00243CBC" w14:paraId="0AFA0CAF" w14:textId="77777777">
      <w:pPr>
        <w:spacing w:line="259" w:lineRule="auto"/>
        <w:jc w:val="left"/>
        <w:rPr>
          <w:rFonts w:eastAsiaTheme="majorEastAsia" w:cstheme="majorBidi"/>
          <w:b/>
          <w:sz w:val="32"/>
          <w:szCs w:val="32"/>
        </w:rPr>
      </w:pPr>
      <w:r>
        <w:br w:type="page"/>
      </w:r>
    </w:p>
    <w:p w:rsidR="000A7E65" w:rsidP="000A7E65" w:rsidRDefault="000A7E65" w14:paraId="4B651ABC" w14:textId="22289C1F">
      <w:pPr>
        <w:pStyle w:val="Heading1"/>
      </w:pPr>
      <w:r>
        <w:t>References</w:t>
      </w:r>
    </w:p>
    <w:p w:rsidRPr="00243CBC" w:rsidR="000A7E65" w:rsidP="000A7E65" w:rsidRDefault="000A7E65" w14:paraId="2A28BCA9" w14:textId="77777777">
      <w:pPr>
        <w:rPr>
          <w:rFonts w:cs="Arial"/>
          <w:szCs w:val="24"/>
          <w:shd w:val="clear" w:color="auto" w:fill="FFFFFF"/>
        </w:rPr>
      </w:pPr>
      <w:r w:rsidRPr="00243CBC">
        <w:rPr>
          <w:rFonts w:cs="Arial"/>
          <w:szCs w:val="24"/>
          <w:shd w:val="clear" w:color="auto" w:fill="FFFFFF"/>
        </w:rPr>
        <w:t>Jones, P., Hillier, D. and Comfort, D., 2014. Sustainability in the global hotel industry. </w:t>
      </w:r>
      <w:r w:rsidRPr="00243CBC">
        <w:rPr>
          <w:rFonts w:cs="Arial"/>
          <w:i/>
          <w:iCs/>
          <w:szCs w:val="24"/>
          <w:shd w:val="clear" w:color="auto" w:fill="FFFFFF"/>
        </w:rPr>
        <w:t>International Journal of Contemporary Hospitality Management</w:t>
      </w:r>
      <w:r w:rsidRPr="00243CBC">
        <w:rPr>
          <w:rFonts w:cs="Arial"/>
          <w:szCs w:val="24"/>
          <w:shd w:val="clear" w:color="auto" w:fill="FFFFFF"/>
        </w:rPr>
        <w:t>.</w:t>
      </w:r>
    </w:p>
    <w:p w:rsidRPr="00243CBC" w:rsidR="000A7E65" w:rsidP="000A7E65" w:rsidRDefault="000A7E65" w14:paraId="77DA5890" w14:textId="77777777">
      <w:pPr>
        <w:rPr>
          <w:rFonts w:cs="Arial"/>
          <w:szCs w:val="24"/>
          <w:shd w:val="clear" w:color="auto" w:fill="FFFFFF"/>
        </w:rPr>
      </w:pPr>
      <w:r w:rsidRPr="00243CBC">
        <w:rPr>
          <w:rFonts w:cs="Arial"/>
          <w:szCs w:val="24"/>
          <w:shd w:val="clear" w:color="auto" w:fill="FFFFFF"/>
        </w:rPr>
        <w:t>Moyce, S.C. and Schenker, M., 2018. Migrant workers and their occupational health and safety. </w:t>
      </w:r>
      <w:r w:rsidRPr="00243CBC">
        <w:rPr>
          <w:rFonts w:cs="Arial"/>
          <w:i/>
          <w:iCs/>
          <w:szCs w:val="24"/>
          <w:shd w:val="clear" w:color="auto" w:fill="FFFFFF"/>
        </w:rPr>
        <w:t>Annual review of public health</w:t>
      </w:r>
      <w:r w:rsidRPr="00243CBC">
        <w:rPr>
          <w:rFonts w:cs="Arial"/>
          <w:szCs w:val="24"/>
          <w:shd w:val="clear" w:color="auto" w:fill="FFFFFF"/>
        </w:rPr>
        <w:t>, </w:t>
      </w:r>
      <w:r w:rsidRPr="00243CBC">
        <w:rPr>
          <w:rFonts w:cs="Arial"/>
          <w:i/>
          <w:iCs/>
          <w:szCs w:val="24"/>
          <w:shd w:val="clear" w:color="auto" w:fill="FFFFFF"/>
        </w:rPr>
        <w:t>39</w:t>
      </w:r>
      <w:r w:rsidRPr="00243CBC">
        <w:rPr>
          <w:rFonts w:cs="Arial"/>
          <w:szCs w:val="24"/>
          <w:shd w:val="clear" w:color="auto" w:fill="FFFFFF"/>
        </w:rPr>
        <w:t>, pp.351-365.</w:t>
      </w:r>
    </w:p>
    <w:p w:rsidRPr="00243CBC" w:rsidR="000A7E65" w:rsidP="000A7E65" w:rsidRDefault="000A7E65" w14:paraId="0E847CDC" w14:textId="77777777">
      <w:pPr>
        <w:rPr>
          <w:rFonts w:cs="Arial"/>
          <w:szCs w:val="24"/>
          <w:shd w:val="clear" w:color="auto" w:fill="FFFFFF"/>
        </w:rPr>
      </w:pPr>
      <w:r w:rsidRPr="00243CBC">
        <w:rPr>
          <w:rFonts w:cs="Arial"/>
          <w:szCs w:val="24"/>
          <w:shd w:val="clear" w:color="auto" w:fill="FFFFFF"/>
        </w:rPr>
        <w:t>Rosemberg, M.A.S., 2020. Health and safety considerations for hotel cleaners during Covid-19. </w:t>
      </w:r>
      <w:r w:rsidRPr="00243CBC">
        <w:rPr>
          <w:rFonts w:cs="Arial"/>
          <w:i/>
          <w:iCs/>
          <w:szCs w:val="24"/>
          <w:shd w:val="clear" w:color="auto" w:fill="FFFFFF"/>
        </w:rPr>
        <w:t>Occupational Medicine</w:t>
      </w:r>
      <w:r w:rsidRPr="00243CBC">
        <w:rPr>
          <w:rFonts w:cs="Arial"/>
          <w:szCs w:val="24"/>
          <w:shd w:val="clear" w:color="auto" w:fill="FFFFFF"/>
        </w:rPr>
        <w:t>, </w:t>
      </w:r>
      <w:r w:rsidRPr="00243CBC">
        <w:rPr>
          <w:rFonts w:cs="Arial"/>
          <w:i/>
          <w:iCs/>
          <w:szCs w:val="24"/>
          <w:shd w:val="clear" w:color="auto" w:fill="FFFFFF"/>
        </w:rPr>
        <w:t>70</w:t>
      </w:r>
      <w:r w:rsidRPr="00243CBC">
        <w:rPr>
          <w:rFonts w:cs="Arial"/>
          <w:szCs w:val="24"/>
          <w:shd w:val="clear" w:color="auto" w:fill="FFFFFF"/>
        </w:rPr>
        <w:t>(5), pp.382-383.</w:t>
      </w:r>
    </w:p>
    <w:p w:rsidRPr="00243CBC" w:rsidR="000A7E65" w:rsidP="000A7E65" w:rsidRDefault="000A7E65" w14:paraId="0BB6B0CF" w14:textId="77777777">
      <w:pPr>
        <w:rPr>
          <w:rFonts w:cs="Arial"/>
          <w:szCs w:val="24"/>
          <w:shd w:val="clear" w:color="auto" w:fill="FFFFFF"/>
        </w:rPr>
      </w:pPr>
      <w:r w:rsidRPr="00243CBC">
        <w:rPr>
          <w:rFonts w:cs="Arial"/>
          <w:szCs w:val="24"/>
          <w:shd w:val="clear" w:color="auto" w:fill="FFFFFF"/>
        </w:rPr>
        <w:t>Shapoval, V., Sönmez, S., Hsieh, Y.C. and Apostolopoulos, Y., 2022. Occupational health and safety of immigrant hotel housekeepers. </w:t>
      </w:r>
      <w:r w:rsidRPr="00243CBC">
        <w:rPr>
          <w:rFonts w:cs="Arial"/>
          <w:i/>
          <w:iCs/>
          <w:szCs w:val="24"/>
          <w:shd w:val="clear" w:color="auto" w:fill="FFFFFF"/>
        </w:rPr>
        <w:t>Workplace Health &amp; Safety</w:t>
      </w:r>
      <w:r w:rsidRPr="00243CBC">
        <w:rPr>
          <w:rFonts w:cs="Arial"/>
          <w:szCs w:val="24"/>
          <w:shd w:val="clear" w:color="auto" w:fill="FFFFFF"/>
        </w:rPr>
        <w:t>, </w:t>
      </w:r>
      <w:r w:rsidRPr="00243CBC">
        <w:rPr>
          <w:rFonts w:cs="Arial"/>
          <w:i/>
          <w:iCs/>
          <w:szCs w:val="24"/>
          <w:shd w:val="clear" w:color="auto" w:fill="FFFFFF"/>
        </w:rPr>
        <w:t>70</w:t>
      </w:r>
      <w:r w:rsidRPr="00243CBC">
        <w:rPr>
          <w:rFonts w:cs="Arial"/>
          <w:szCs w:val="24"/>
          <w:shd w:val="clear" w:color="auto" w:fill="FFFFFF"/>
        </w:rPr>
        <w:t>(12), pp.566-573.</w:t>
      </w:r>
    </w:p>
    <w:p w:rsidRPr="00243CBC" w:rsidR="000A7E65" w:rsidP="000A7E65" w:rsidRDefault="000A7E65" w14:paraId="7AA9A11B" w14:textId="77777777">
      <w:pPr>
        <w:rPr>
          <w:rFonts w:cs="Arial"/>
          <w:szCs w:val="24"/>
          <w:shd w:val="clear" w:color="auto" w:fill="FFFFFF"/>
        </w:rPr>
      </w:pPr>
      <w:r w:rsidRPr="00243CBC">
        <w:rPr>
          <w:rFonts w:cs="Arial"/>
          <w:szCs w:val="24"/>
          <w:shd w:val="clear" w:color="auto" w:fill="FFFFFF"/>
        </w:rPr>
        <w:t>Wilks, J. and Page, S.J., 2013. Current status of tourist health and safety. In </w:t>
      </w:r>
      <w:r w:rsidRPr="00243CBC">
        <w:rPr>
          <w:rFonts w:cs="Arial"/>
          <w:i/>
          <w:iCs/>
          <w:szCs w:val="24"/>
          <w:shd w:val="clear" w:color="auto" w:fill="FFFFFF"/>
        </w:rPr>
        <w:t>Managing tourist health and safety in the new millennium</w:t>
      </w:r>
      <w:r w:rsidRPr="00243CBC">
        <w:rPr>
          <w:rFonts w:cs="Arial"/>
          <w:szCs w:val="24"/>
          <w:shd w:val="clear" w:color="auto" w:fill="FFFFFF"/>
        </w:rPr>
        <w:t> (pp. 23-36). Routledge.</w:t>
      </w:r>
    </w:p>
    <w:p w:rsidRPr="00243CBC" w:rsidR="000A7E65" w:rsidP="000A7E65" w:rsidRDefault="000A7E65" w14:paraId="58967395" w14:textId="77777777">
      <w:pPr>
        <w:rPr>
          <w:rFonts w:cs="Arial"/>
          <w:szCs w:val="24"/>
          <w:shd w:val="clear" w:color="auto" w:fill="FFFFFF"/>
        </w:rPr>
      </w:pPr>
      <w:r w:rsidRPr="00243CBC">
        <w:rPr>
          <w:rFonts w:cs="Arial"/>
          <w:szCs w:val="24"/>
          <w:shd w:val="clear" w:color="auto" w:fill="FFFFFF"/>
        </w:rPr>
        <w:t>Wilks, J., Stephen, J. and Moore, F. eds., 2013. </w:t>
      </w:r>
      <w:r w:rsidRPr="00243CBC">
        <w:rPr>
          <w:rFonts w:cs="Arial"/>
          <w:i/>
          <w:iCs/>
          <w:szCs w:val="24"/>
          <w:shd w:val="clear" w:color="auto" w:fill="FFFFFF"/>
        </w:rPr>
        <w:t>Managing tourist health and safety in the new millennium</w:t>
      </w:r>
      <w:r w:rsidRPr="00243CBC">
        <w:rPr>
          <w:rFonts w:cs="Arial"/>
          <w:szCs w:val="24"/>
          <w:shd w:val="clear" w:color="auto" w:fill="FFFFFF"/>
        </w:rPr>
        <w:t>. Routledge.</w:t>
      </w:r>
    </w:p>
    <w:p w:rsidR="000A7E65" w:rsidP="00044D53" w:rsidRDefault="000A7E65" w14:paraId="60E2AE7A" w14:textId="77777777"/>
    <w:p w:rsidR="00362506" w:rsidRDefault="00362506" w14:paraId="7D29A346" w14:textId="77777777"/>
    <w:sectPr w:rsidR="0036250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FB3D6F"/>
    <w:multiLevelType w:val="hybridMultilevel"/>
    <w:tmpl w:val="3572AAD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07647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276"/>
    <w:rsid w:val="00015F79"/>
    <w:rsid w:val="00044D53"/>
    <w:rsid w:val="000A7E65"/>
    <w:rsid w:val="00243CBC"/>
    <w:rsid w:val="00362506"/>
    <w:rsid w:val="004E4AF1"/>
    <w:rsid w:val="00754D96"/>
    <w:rsid w:val="009B4276"/>
    <w:rsid w:val="00AB59E4"/>
    <w:rsid w:val="00DE2782"/>
    <w:rsid w:val="00DE7147"/>
    <w:rsid w:val="0542FDE3"/>
    <w:rsid w:val="2A062923"/>
    <w:rsid w:val="65DCA19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2FDE3"/>
  <w15:chartTrackingRefBased/>
  <w15:docId w15:val="{60197562-4334-436D-9915-EDD39A8F5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44D53"/>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243CBC"/>
    <w:pPr>
      <w:keepNext/>
      <w:keepLines/>
      <w:spacing w:before="240" w:after="0"/>
      <w:outlineLvl w:val="0"/>
    </w:pPr>
    <w:rPr>
      <w:rFonts w:eastAsiaTheme="majorEastAsia" w:cstheme="majorBidi"/>
      <w:b/>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43CBC"/>
    <w:rPr>
      <w:rFonts w:ascii="Arial" w:hAnsi="Arial" w:eastAsiaTheme="majorEastAsia" w:cstheme="majorBidi"/>
      <w:b/>
      <w:sz w:val="32"/>
      <w:szCs w:val="32"/>
      <w:lang w:val="en-GB"/>
    </w:rPr>
  </w:style>
  <w:style w:type="paragraph" w:styleId="ListParagraph">
    <w:name w:val="List Paragraph"/>
    <w:basedOn w:val="Normal"/>
    <w:link w:val="ListParagraphChar"/>
    <w:uiPriority w:val="34"/>
    <w:qFormat/>
    <w:rsid w:val="000A7E65"/>
    <w:pPr>
      <w:spacing w:after="0" w:line="240" w:lineRule="auto"/>
      <w:ind w:left="720"/>
      <w:jc w:val="left"/>
    </w:pPr>
    <w:rPr>
      <w:rFonts w:ascii="Calibri" w:hAnsi="Calibri" w:eastAsia="Calibri" w:cs="Calibri"/>
      <w:sz w:val="20"/>
      <w:szCs w:val="20"/>
      <w:lang w:eastAsia="en-GB"/>
    </w:rPr>
  </w:style>
  <w:style w:type="character" w:styleId="ListParagraphChar" w:customStyle="1">
    <w:name w:val="List Paragraph Char"/>
    <w:link w:val="ListParagraph"/>
    <w:uiPriority w:val="34"/>
    <w:locked/>
    <w:rsid w:val="000A7E65"/>
    <w:rPr>
      <w:rFonts w:ascii="Calibri" w:hAnsi="Calibri" w:eastAsia="Calibri" w:cs="Calibri"/>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Taslima Lima</dc:creator>
  <keywords/>
  <dc:description/>
  <lastModifiedBy>Taslima Lima</lastModifiedBy>
  <revision>4</revision>
  <dcterms:created xsi:type="dcterms:W3CDTF">2023-03-01T15:58:00.0000000Z</dcterms:created>
  <dcterms:modified xsi:type="dcterms:W3CDTF">2023-03-01T16:24:44.1771506Z</dcterms:modified>
</coreProperties>
</file>