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jc w:val="center"/>
      </w:pPr>
      <w:bookmarkStart w:id="0" w:name="_GoBack"/>
      <w:bookmarkEnd w:id="0"/>
      <w:r>
        <w:drawing>
          <wp:inline distT="0" distB="0" distL="0" distR="0">
            <wp:extent cx="2610970" cy="1086928"/>
            <wp:effectExtent l="0" t="0" r="0" b="0"/>
            <wp:docPr id="1" name="Image 1"/>
            <wp:cNvGraphicFramePr>
              <a:graphicFrameLocks noChangeAspect="1"/>
            </wp:cNvGraphicFramePr>
            <a:graphic>
              <a:graphicData uri="http://schemas.openxmlformats.org/drawingml/2006/picture">
                <pic:pic>
                  <pic:nvPicPr>
                    <pic:cNvPr id="3" name="Image 3"/>
                    <pic:cNvPicPr/>
                  </pic:nvPicPr>
                  <pic:blipFill>
                    <a:blip r:embed="rId3"/>
                    <a:stretch>
                      <a:fillRect/>
                    </a:stretch>
                  </pic:blipFill>
                  <pic:spPr>
                    <a:xfrm rot="0">
                      <a:off x="0" y="0"/>
                      <a:ext cx="2610970" cy="1086928"/>
                    </a:xfrm>
                    <a:prstGeom prst="rect"/>
                    <a:noFill/>
                    <a:ln w="12700" cmpd="sng" cap="flat">
                      <a:noFill/>
                      <a:prstDash val="solid"/>
                      <a:miter/>
                    </a:ln>
                  </pic:spPr>
                </pic:pic>
              </a:graphicData>
            </a:graphic>
          </wp:inline>
        </w:drawing>
      </w:r>
    </w:p>
    <w:p>
      <w:pPr>
        <w:jc w:val="center"/>
        <w:rPr>
          <w:b/>
          <w:sz w:val="28"/>
        </w:rPr>
      </w:pPr>
    </w:p>
    <w:p>
      <w:pPr>
        <w:jc w:val="center"/>
        <w:rPr>
          <w:b/>
          <w:sz w:val="28"/>
        </w:rPr>
      </w:pPr>
    </w:p>
    <w:p>
      <w:pPr>
        <w:jc w:val="center"/>
        <w:rPr>
          <w:b/>
          <w:sz w:val="28"/>
        </w:rPr>
      </w:pPr>
      <w:r>
        <w:rPr>
          <w:b/>
          <w:sz w:val="28"/>
        </w:rPr>
        <w:t>Module name:</w:t>
      </w:r>
    </w:p>
    <w:p>
      <w:pPr>
        <w:jc w:val="center"/>
      </w:pPr>
      <w:r>
        <w:t>Health Care System Organisation and Leadership</w:t>
      </w:r>
    </w:p>
    <w:p>
      <w:pPr>
        <w:jc w:val="center"/>
        <w:rPr>
          <w:b/>
          <w:sz w:val="28"/>
        </w:rPr>
      </w:pPr>
      <w:r>
        <w:rPr>
          <w:b/>
          <w:sz w:val="28"/>
        </w:rPr>
        <w:t xml:space="preserve">Module code: </w:t>
      </w:r>
    </w:p>
    <w:p>
      <w:pPr>
        <w:jc w:val="center"/>
      </w:pPr>
      <w:r>
        <w:t>LCHS7002</w:t>
      </w:r>
    </w:p>
    <w:p>
      <w:pPr>
        <w:jc w:val="center"/>
        <w:rPr>
          <w:b/>
        </w:rPr>
      </w:pPr>
      <w:r>
        <w:rPr>
          <w:b/>
        </w:rPr>
        <w:t>Student name:</w:t>
      </w:r>
    </w:p>
    <w:p>
      <w:pPr>
        <w:jc w:val="center"/>
      </w:pPr>
      <w:r>
        <w:t>Rikinpuri Swami</w:t>
      </w:r>
    </w:p>
    <w:p>
      <w:pPr>
        <w:jc w:val="center"/>
      </w:pPr>
      <w:r>
        <w:t>Student ID: 2503602</w:t>
      </w:r>
    </w:p>
    <w:p>
      <w:pPr>
        <w:jc w:val="center"/>
      </w:pPr>
    </w:p>
    <w:p>
      <w:pPr>
        <w:jc w:val="center"/>
        <w:rPr>
          <w:b/>
          <w:sz w:val="28"/>
        </w:rPr>
      </w:pPr>
      <w:r>
        <w:rPr>
          <w:b/>
          <w:sz w:val="28"/>
        </w:rPr>
        <w:t>Assignment title:</w:t>
      </w:r>
    </w:p>
    <w:p>
      <w:pPr>
        <w:jc w:val="center"/>
      </w:pPr>
      <w:r>
        <w:t>Case Study Analysis Report</w:t>
      </w:r>
    </w:p>
    <w:p>
      <w:pPr>
        <w:jc w:val="center"/>
        <w:rPr>
          <w:b/>
          <w:sz w:val="28"/>
        </w:rPr>
      </w:pPr>
      <w:r>
        <w:rPr>
          <w:b/>
          <w:sz w:val="28"/>
        </w:rPr>
        <w:t>Lecturer Name</w:t>
      </w:r>
    </w:p>
    <w:p>
      <w:pPr>
        <w:jc w:val="center"/>
      </w:pPr>
      <w:r>
        <w:t>Tonia Babalola</w:t>
      </w:r>
    </w:p>
    <w:p>
      <w:pPr>
        <w:spacing w:after="200" w:line="276" w:lineRule="auto"/>
        <w:jc w:val="left"/>
      </w:pPr>
      <w:r>
        <w:br w:type="page"/>
      </w:r>
    </w:p>
    <w:p>
      <w:pPr>
        <w:pStyle w:val="1"/>
      </w:pPr>
      <w:r>
        <w:t>CASE STUDY - 2</w:t>
      </w:r>
    </w:p>
    <w:p>
      <w:pPr>
        <w:pStyle w:val="1"/>
      </w:pPr>
      <w:r>
        <w:t xml:space="preserve">Introduction </w:t>
      </w:r>
    </w:p>
    <w:p>
      <w:r>
        <w:t>This case study focuses on a tragic event of an elderly man Len, who has Charcot-Marie-Tooth (CMT) disease and is aged 89, and the key issues in health and social care transitions. After a fall which resulted in chest pain and shortness of breath, Len was hospitalized and discharged with morphine oral solution (</w:t>
      </w:r>
      <w:r>
        <w:rPr>
          <w:lang w:val="en-IN"/>
        </w:rPr>
        <w:t>Healthcare Safety Investigation Branch (HSIB), 2022</w:t>
      </w:r>
      <w:r>
        <w:t>). There was a lack of clarity in labelling and poor communication caused a misapprehension on how to take dosages by Len and his wife. This caused Len to overdose on morphine and he was discovered unresponsive the following morning. Though he improved temporarily after admission back, he ended up dying as a result of complications such as possible morphine toxicity, pneumonia, and progression of his underlying condition (Moran et al., 2022). This case demonstrates critical consequences of the lack of communication, lack of patient and carer education, and the absence of coordination between primary and secondary care services are.</w:t>
      </w:r>
    </w:p>
    <w:p>
      <w:r>
        <w:t>Health and social care leadership is important in the prevention of such incidents through safe practices, effective communication and coordination of service delivery (Curry et al., 2022). It entails gathering people and groups to accomplish common objectives like patient safety and quality care. In systems such as the NHS, leadership exists in a decentralised and centralised systems. Centralisation promotes uniformity with standard policies and prescribing guidelines, but can inhibit local flexibility. Decentralisation in contrast gives the frontline professionals, including GPs, to provide care according to the needs of individual patients, but it also may create variability, unless well-coordinated (Traylor et al., 2025).</w:t>
      </w:r>
    </w:p>
    <w:p>
      <w:r>
        <w:t>Various leadership styles have different advantages to solving intricate healthcare issues. Transformational leadership is aimed at creating change that is inspiring, enhancing the safety culture, and promoting innovation. The transactional leadership, in its turn, focuses on compliance with rules and procedures by means of monitoring and rewards (Agazu et al., 2025). Although this can help to comply, it might not work in scenarios that need critical thinking and flexibility. Situational leadership emphasizes the importance of varying leadership styles in regard to the situation and competence of the team members. In the case of Len, an inflexible, protocol-driven policy that lacked enough concern towards patient understanding and communication was a contributing factor to the poor outcome.</w:t>
      </w:r>
    </w:p>
    <w:p>
      <w:r>
        <w:t>In this report, systems thinking is applied in investigating the cause of the incident and identifying that mistakes are not caused by single actions but rather as a result of system failures. It also assesses the role of leadership, governance and organisational structures on care quality and safety (Caudill et al., 2024). Through the analysis of this case, the report will seek to establish some of the most important lessons and give evidence based-based recommendations to enhance discharge processes, communication strategies and leadership practices. In conclusion, it shows that adaptive leadership and the integrated systems can help to improve patient outcomes and avoid unnecessary damage.</w:t>
      </w:r>
    </w:p>
    <w:p>
      <w:pPr>
        <w:pStyle w:val="1"/>
      </w:pPr>
      <w:r>
        <w:t>Main body</w:t>
      </w:r>
    </w:p>
    <w:p>
      <w:pPr>
        <w:pStyle w:val="2"/>
      </w:pPr>
      <w:r>
        <w:t xml:space="preserve">Identifying the Problem and Setting the System Context </w:t>
      </w:r>
    </w:p>
    <w:p>
      <w:pPr>
        <w:pStyle w:val="3"/>
      </w:pPr>
      <w:r>
        <w:t>Central Problem Description</w:t>
      </w:r>
    </w:p>
    <w:p>
      <w:r>
        <w:t>The main issue in this case study is the case of accidental overdose of morphine oral solution that leads to death due to communication, labelling of medication and discharge failure. Len, an 89-year-old man with Charcot-Marie-Tooth (CMT) disease was prescribed morphine sulphate oral solution after being treated in the hospital. The Healthcare Safety Investigation Branch conducted an investigation and the recommended dosage was 1.25- 2.5 ml but Len and his wife misunderstood the instructions and gave the dosage of 5 ml. It was because they had used the label of the manufacturer that was predominantly visible on the label (10 mg/5 ml), confusing the label with the correct dosage and not the concentration (</w:t>
      </w:r>
      <w:r>
        <w:rPr>
          <w:lang w:val="en-IN"/>
        </w:rPr>
        <w:t>Healthcare Safety Investigation Branch (HSIB), 2022</w:t>
      </w:r>
      <w:r>
        <w:t xml:space="preserve">). This led to Len overdosing on morphine, being in a state of unconsciousness and eventual death despite medical attention. </w:t>
      </w:r>
    </w:p>
    <w:p>
      <w:pPr>
        <w:pStyle w:val="3"/>
      </w:pPr>
      <w:r>
        <w:t>Global Statistical Insights</w:t>
      </w:r>
    </w:p>
    <w:p>
      <w:r>
        <w:t>Globally, the issue of medication error is a significant health issue of concern. According to the estimates of the World Health Organization (WHO), about 1% of the health spending in the world is attributed to medication-related harm, which is estimated to cost about US 42 billion in a year (World Health Organization, 2022). Also, medication errors affect about 1 in 10 patients across the world with most of them taking place in care transition like hospital discharge.</w:t>
      </w:r>
    </w:p>
    <w:p>
      <w:r>
        <w:t>The most important harm is related to opioids. In the world, overdose of opioids resulted in about 110,000 in 2022, with the elderly being the most at risk because of the physiological alterations of old age, numerous comorbidities, and polypharmacy (Dowell et al., 2025). Research shows that about 36.7 percent of older patients in the outpatient setting have potentially inappropriate medications (PIMs), which are likely to cause adverse drug events (Tian et al., 2023).</w:t>
      </w:r>
    </w:p>
    <w:p>
      <w:r>
        <w:t>The Medication Without Harm program of the WHO is expected to reduce severe, avoidable medication-related harm by 50 percent, which will focus on high-risk circumstances, including transitions of care, polypharmacy, and lack of communication (World Health Organization, 2022). This situation is directly applied to the case of Len as he faced the dangers of not obtaining clear dosing instructions and patient-inadequate understanding.</w:t>
      </w:r>
    </w:p>
    <w:p>
      <w:pPr>
        <w:pStyle w:val="3"/>
      </w:pPr>
      <w:r>
        <w:t>National (UK) Statistical Insights</w:t>
      </w:r>
    </w:p>
    <w:p>
      <w:r>
        <w:t>Medication error is prevalent in the National Health Service (NHS) in the UK. The number of medication errors has been estimated to be around 237 million annually, most of which are during administration (54%), and prescribing (21%) (Elliott et al., 2021). Despite the fact that hospitals have a high number of clients, the number of errors is larger in care homes (42%), where elderly people frequently need to be taken care of by carers who administer medication to them.</w:t>
      </w:r>
    </w:p>
    <w:p>
      <w:r>
        <w:t>One of the high-risk groups is older adults. Studies indicate that errors in medication use among older adults in the care facility are prevalent with as many as 37% of prescriptions of morphines having some inaccuracies (Ryan et al., 2024). Moreover, approximately 70 percent of opioid doses are properly administered, and an extremely low percentage of patients are getting proper medication follow-ups after discharge.</w:t>
      </w:r>
    </w:p>
    <w:p>
      <w:pPr>
        <w:pStyle w:val="3"/>
      </w:pPr>
      <w:r>
        <w:t>National Organisation Figures and Global Links</w:t>
      </w:r>
    </w:p>
    <w:p>
      <w:r>
        <w:t>National organisations also strengthen the linkage between the local and the global trends. Healthcare Safety Investigation Branch (HSSIB) has already discovered several cases of morphine oral solution overdoses due to inappropriate labelling and lack of patient education. Through these studies, there is focus on the need to have better communication strategies and safer prescribing methods.</w:t>
      </w:r>
    </w:p>
    <w:p>
      <w:r>
        <w:t xml:space="preserve">Likewise, the Institute of Healthcare Improvement (IHI) stipulates that medication errors cause thousands of deaths a year in UK, with the estimated number of deaths related to preventable medicine harm being 7,000. </w:t>
      </w:r>
    </w:p>
    <w:p>
      <w:pPr>
        <w:pStyle w:val="3"/>
      </w:pPr>
      <w:r>
        <w:t>Systemic Weaknesses Reflected</w:t>
      </w:r>
    </w:p>
    <w:p>
      <w:r>
        <w:t xml:space="preserve">There are some severe systemic flaws that are revealed in the case. To begin with, it has a breakdown in communication. Len and his wife were not properly instructed on the administration of the medication and no confirmation was made on whether they understood how to administer the medication. There was no use of a teach-back approach and thus their misperception was not recognized (Saadatian et al., 2022). Secondly, the medication system is poorly designed. The most noticeable piece of information on the medications bottle was the label of its manufacturer which contradicted the dose prescribed. This caused a misunderstanding and chances of making a mistake. Thirdly, accountability and continuity of care is lacking. </w:t>
      </w:r>
    </w:p>
    <w:p>
      <w:pPr>
        <w:pStyle w:val="3"/>
      </w:pPr>
      <w:r>
        <w:t>Governance Level Influencing the Problem</w:t>
      </w:r>
    </w:p>
    <w:p>
      <w:r>
        <w:t xml:space="preserve">There are various levels of governance that impact the problem. On a national level, NHS England sets up prescribing standards and patient safety models that are aimed at standardising care and minimising variation. These policies are however dependent on good implementation on local levels. Integrated Care Systems (ICS) at the regional level are in charge of the coordination of services at primary and secondary levels (Correia de Matos et al., 2025). </w:t>
      </w:r>
    </w:p>
    <w:p>
      <w:pPr>
        <w:pStyle w:val="3"/>
      </w:pPr>
      <w:r>
        <w:t>Underlying Challenges with Supporting Data</w:t>
      </w:r>
    </w:p>
    <w:p>
      <w:r>
        <w:t xml:space="preserve">Such incidents have a number of underlying issues. The problem of shortages of workforce in the NHS is also a major concern, as about 40,000 nursing vacancies are reported (World Health Organization, 2022). This puts strain on personnel, leaving less time to take an in-depth approach to educating patients and planning discharge. </w:t>
      </w:r>
    </w:p>
    <w:p>
      <w:pPr>
        <w:pStyle w:val="2"/>
      </w:pPr>
      <w:r>
        <w:t xml:space="preserve">Centralisation or Decentralisation </w:t>
      </w:r>
    </w:p>
    <w:p>
      <w:r>
        <w:t xml:space="preserve">The Len case, an 89-year-old patient who succumbed to death after taking an accidental morphine overdose, brings out serious lapses in healthcare provision in the NHS. Even though the incident was reported by the Healthcare Safety Investigation Branch, the actual care was provided in the NHS systems. This part also critically assesses the organisational structure that was used in the case, and whether it portrays a centralised or decentralised organisational structure and how this affected decision making, crisis management and accountability. The NHS is a hybrid system that is both centralised and decentralised in the policy-making and service delivery, respectively. </w:t>
      </w:r>
    </w:p>
    <w:p>
      <w:pPr>
        <w:pStyle w:val="3"/>
      </w:pPr>
      <w:r>
        <w:t>Centralised System in the Case Study</w:t>
      </w:r>
    </w:p>
    <w:p>
      <w:pPr>
        <w:rPr>
          <w:b/>
          <w:bCs/>
        </w:rPr>
      </w:pPr>
      <w:r>
        <w:rPr>
          <w:b/>
          <w:bCs/>
        </w:rPr>
        <w:t>Nature of Centralisation</w:t>
      </w:r>
    </w:p>
    <w:p>
      <w:r>
        <w:t xml:space="preserve">Centralisation in healthcare means that decisions are made at a higher organisational level that makes sure that there are uniformity and standardisation of services (Ramsay et al., 2025). NHS England, in the UK, establishes national clinical guidelines, including prescribing plans in high-risk medicines, such as opioids. These are evidence-based guidelines that are aimed at minimizing variation and enhancing patient safety throughout the system. </w:t>
      </w:r>
    </w:p>
    <w:p>
      <w:pPr>
        <w:pStyle w:val="3"/>
      </w:pPr>
      <w:r>
        <w:t>Advantages and disadvantages of Centralisation</w:t>
      </w:r>
    </w:p>
    <w:p>
      <w:r>
        <w:t>One of the benefits of centralisation is uniformity (Shishkin et al., 2025). Standardised prescribing guidelines help to ensure that patients have access to evidence-based care wherever they are. It is believed that centralised systems have a 92% protocol compliance, as opposed to lower protocol compliance in the decentralised models. This will lower variability and lessen clinical errors during prescription. Moreover, centralisation enables quick spread of safety alerts and guidelines amongst the NHS workforce, comprising of more than 1.3 million employees. This will make sure that emerging risks especially the high-risk medications like opioids will be communicated effectively. In spite of these advantages, centralisation has major shortcomings. The problem of disconnect between policy and practice is one of the main ones (AMBROSE and AWUOR, 2024). Although, national guidelines guaranteed proper prescribing, they did not guarantee that the patient had a safe comprehension of the medication. This can lead to rigid systems that limit professional judgement and delay decision-making in urgent situations. Furthermore, excessive central control can reduce staff autonomy and morale, potentially leading to reduced engagement and innovation.</w:t>
      </w:r>
    </w:p>
    <w:p>
      <w:pPr>
        <w:pStyle w:val="3"/>
      </w:pPr>
      <w:r>
        <w:t>Decentralised System in the Case Study</w:t>
      </w:r>
    </w:p>
    <w:p>
      <w:r>
        <w:t xml:space="preserve">Decentralisation is the decentralization of authority to the local levels whereby frontline healthcare professionals can make decisions based on the needs of patients (Sapkota et al., 2023). This is identified within the NHS through the work of GPs, hospital clinicians and pharmacists, which are charged with the responsibility of delivering care and providing safe patient outcomes. In the case of Len, there is decentralisation in the process of discharge and patient education. Local healthcare professionals were tasked with explaining the medication, making sure that it was understood, and safe administration. </w:t>
      </w:r>
    </w:p>
    <w:p>
      <w:pPr>
        <w:pStyle w:val="3"/>
      </w:pPr>
      <w:r>
        <w:t>Advantages and disadvantages of Decentralisation</w:t>
      </w:r>
    </w:p>
    <w:p>
      <w:r>
        <w:t>The decentralisation makes it possible to provide care which is personalised, flexible and is per the need of the patients. Medical workers have an opportunity to change the way they communicate and treat the patient to suit his or her needs. Theoretically, it would have averted the incident. As an example, they might have given clearer instructions, made use of visual aids, or have made sure that the information on the dosage was clearly comprehended before discharge by the clinicians (Birru et al., 2024).</w:t>
      </w:r>
    </w:p>
    <w:p>
      <w:pPr>
        <w:rPr>
          <w:lang w:val="en-IN"/>
        </w:rPr>
      </w:pPr>
      <w:r>
        <w:t xml:space="preserve">However, there is also variability and inconsistency brought about by decentralisation. In the absence of a powerful supervisory control, the quality of care will be subject to individual practice. In the case of Len, there was no standardisation in discharge communication leading to a critical failure. </w:t>
      </w:r>
      <w:r>
        <w:rPr>
          <w:lang w:val="en-IN"/>
        </w:rPr>
        <w:t>Furthermore, decentralisation resulted in the fragmented systems, poor coordination between departments, that created difficulty in maintaining accountability. This inconsistency has increased the risk of errors and reduces overall system efficiency.</w:t>
      </w:r>
    </w:p>
    <w:p>
      <w:pPr>
        <w:pStyle w:val="3"/>
      </w:pPr>
      <w:r>
        <w:t>Critical Comparison: Impact on Decision-Making, Crisis Management, and Accountability</w:t>
      </w:r>
    </w:p>
    <w:p>
      <w:r>
        <w:t>The situation of Len underlines two-sidedness of centralisation in the NHS. On the one hand, national prescribing guidelines were effective in determining the risks of using morphine in older patients, especially by obliging to change the dose of vulnerable populations (Pickering et al., 2024). This shows that clinical accuracy and evidence-based practice is supported by centralised decision-making. Centralisation, however, also resulted in poor management of crisis as there were loopholes in local implementation. An example is the case of the discharge teams who are reported to have an average of 7.2 minutes per patient, which is not enough time to provide the adequate medication counselling and family understanding. Consequently, important safety procedures like ensuring understanding were not taken into consideration.</w:t>
      </w:r>
    </w:p>
    <w:p>
      <w:r>
        <w:t>Responsibility was also undermined in this structure. Although there was a definite medication error, no Yellow Card report was provided which shows underreporting of adverse incidents. A more localised approach, including allowing more autonomy in the local area with proactive interventions, like follow-up communication or a home visit by the GP to check that the medication is taken correctly, may have helped. The case of Len however depicts the shortcomings of decentralisation in a hybrid NHS system. The failure of coordination between primary and secondary care also helped to contribute to the outcome, and the continuity of care was also hampered by the delays in the data sharing between GPs and hospitals (up to 48 hours).</w:t>
      </w:r>
    </w:p>
    <w:p>
      <w:pPr>
        <w:pStyle w:val="2"/>
      </w:pPr>
      <w:r>
        <w:t>Leadership Theories and Application 900</w:t>
      </w:r>
    </w:p>
    <w:p>
      <w:pPr>
        <w:pStyle w:val="2"/>
      </w:pPr>
      <w:r>
        <w:t>Improvement, and Lessons Learned 900</w:t>
      </w:r>
    </w:p>
    <w:p>
      <w:pPr>
        <w:pStyle w:val="1"/>
      </w:pPr>
      <w:r>
        <w:t xml:space="preserve">Recommendation </w:t>
      </w:r>
    </w:p>
    <w:p>
      <w:pPr>
        <w:pStyle w:val="2"/>
      </w:pPr>
      <w:r>
        <w:t>Priority actions</w:t>
      </w:r>
    </w:p>
    <w:p>
      <w:r>
        <w:t xml:space="preserve">The organisation must focus on enhancing medication safety during the discharge point especially when the high-risk medicines are involved, like liquid opioids. The case of Len shows that discharge should be handled as a handover that is considered high-risk, and not a normal practice. This necessitates the implementation of safety measures that are mandatory such as proper labelling (clear and patient-friendly), patient-centred counselling, and making sure that the patient or carer comprehends before discharge (Bourne et al., 2022). A standardised method of teach-back should also be deployed in which the patients/carers show how they are going to measure and administer the drug. Moreover, the prescription needs to be clearly labelled on the bottle itself and not just on the outer label since it may be misunderstood. A follow- up safety check, which may be done by a phone call 24 to 48 hours after the medication has been given, should also be implemented to the elderly patients and those who are given high risk medications to reduce the risk. </w:t>
      </w:r>
    </w:p>
    <w:p>
      <w:pPr>
        <w:pStyle w:val="2"/>
      </w:pPr>
      <w:r>
        <w:t>Leadership style to sustain improvement</w:t>
      </w:r>
    </w:p>
    <w:p>
      <w:r>
        <w:t>Long-term change must be instituted through proper leadership styles aimed at prioritizing patient safety and effectiveness of the system. A blend of transformational, situational and distributed leadership needs to be implied. Leadership based on transformational leadership is necessary to establish a robust safety culture whereby patient understanding is valued more than task completion with the leaders making it clear that no patient should leave without understanding his/her medicine (Deng et al., 2023). Situational leadership will also allow healthcare workers to tailor their support and communication per the needs of this or that patient, which is especially relevant in the case of old patients and carers who may need more assistance and simplification of their explanations. Distributed leadership provides a way to make sure that the accountability of medication safety is distributed among all members of the healthcare team, such as doctors, nurses and pharmacists, as opposed to being centralized to only one position. Combined, these leadership styles can aid in switching the emphasis on processes completion to patient understanding, which is the most important gap in the case of Len.</w:t>
      </w:r>
    </w:p>
    <w:p>
      <w:pPr>
        <w:pStyle w:val="2"/>
      </w:pPr>
      <w:r>
        <w:t>Strengthening governance, communication, and system integration</w:t>
      </w:r>
    </w:p>
    <w:p>
      <w:r>
        <w:t xml:space="preserve">Governance, communication, system integration are essential areas that should be enhanced to make sure that the policies are actually put into practice (Ongesa et al., 2025). There should be a shift in governance devoid of mere guidelines to their implementation at the point of care. This can be through the appointment of a named medical worker in charge of medication safety at discharge which includes checking and recording patient comprehension. Medication safety processes must be audit-able, such as the rate of high-risk discharges in which the teach-back checks and follow-up checks are carried out. The reporting systems on incidents also need to be enhanced so that medication errors and near-misses are always reported and utilized to learn and improve. Plain-language labelling of everything and large fonts as well as pictograms to help people understand should simplify and standardise communication. They should be demonstrated practically with the use of oral syringes, written and pictorial instructions. </w:t>
      </w:r>
    </w:p>
    <w:p>
      <w:pPr>
        <w:pStyle w:val="2"/>
      </w:pPr>
      <w:r>
        <w:t>Enhancing technical and allocative efficiency</w:t>
      </w:r>
    </w:p>
    <w:p>
      <w:r>
        <w:t>Improving the technical and allocative efficiency is necessary in improving the performance of the systems. Technical efficiency may be enhanced through standardisation of safer labelling formats and provision of calibrated/pre-measured dosing devices in order to minimise chances of error. Electronic prescribing systems can be used to support clinical decision-making tools that can be used to identify high-risk medications and provide relevant counselling (Armando et al., 2023). Digital tools, including QR codes that open short instructional videos can also be used to promote patient comprehension. Allocative efficiency involves allocation of resources to the riskiest areas. These involve giving priority to the elderly patients, those patients who are under multiple medications and those patients who are under opioids to assist them during discharge. Instead of using a uniform approach with all patients, risk-based approach ought to be used whereby staff time is limited and used where it can benefit most. Simple, low-cost interventions, like better labelling and visual aids can be highly beneficial in reducing the downstream costs due to avoidable harm.</w:t>
      </w:r>
    </w:p>
    <w:p>
      <w:pPr>
        <w:pStyle w:val="1"/>
      </w:pPr>
      <w:r>
        <w:t xml:space="preserve">Conclusion </w:t>
      </w:r>
    </w:p>
    <w:p>
      <w:r>
        <w:t xml:space="preserve">Finally, the case of Len shows that a blend of system malfunctions, and not an individual mistake, that result in a dangerous situation in health care provision. Although these centralised structures in NHS made sure that the prescribing decision made was clinically sound and in accordance with national guidelines, these decentralised processes at the point of care did not provide the assurance of effective communication and patient comprehension. This does not tie policy to practice and eventually led to the medication error. As the case shows, patient safety is not just a matter of proper clinical judgment but also the way that this judgment is applied in the real world and comprehended. The evaluation indicates that leadership, governance and system design are important factors that influence patient outcomes. </w:t>
      </w:r>
    </w:p>
    <w:p>
      <w:r>
        <w:t>More emphasis on the communication with patients that is patient-centred, the effective accountability, and the integrated care process are needed to avoid similar incidents. Among the recommendations, there are the necessity of better discharge practices, adaptive leadership practices, better system integration, and ongoing learning. Finally, the case of Len supports the significance of systems thinking in the healthcare field, in which mistakes are considered to be the consequence of interrelated mistakes as opposed to personal errors. By bridging the gap between centralised policy and decentralised execution, healthcare organisations can ensure that safe decisions translate into safe and effective patient care.</w:t>
      </w:r>
    </w:p>
    <w:p>
      <w:pPr>
        <w:spacing w:after="200" w:line="276" w:lineRule="auto"/>
        <w:jc w:val="left"/>
      </w:pPr>
      <w:r>
        <w:br w:type="page"/>
      </w:r>
    </w:p>
    <w:p>
      <w:pPr>
        <w:pStyle w:val="1"/>
      </w:pPr>
      <w:r>
        <w:t>References</w:t>
      </w:r>
    </w:p>
    <w:p>
      <w:r>
        <w:br w:type="page"/>
      </w:r>
    </w:p>
    <w:p>
      <w:r>
        <w:br w:type="page"/>
      </w:r>
    </w:p>
    <w:p>
      <w:r>
        <w:t>Agazu, B. G., Kero, C. A.,&amp;Debela, K. L. (2025). Transformational leadership and firm performance: a systematic literature review. </w:t>
      </w:r>
      <w:r>
        <w:rPr>
          <w:i/>
          <w:iCs/>
        </w:rPr>
        <w:t>Journal of Innovation and Entrepreneurship</w:t>
      </w:r>
      <w:r>
        <w:t>, </w:t>
      </w:r>
      <w:r>
        <w:rPr>
          <w:i/>
          <w:iCs/>
        </w:rPr>
        <w:t>14</w:t>
      </w:r>
      <w:r>
        <w:t xml:space="preserve">(1), 29. </w:t>
      </w:r>
      <w:r>
        <w:rPr>
          <w:rStyle w:val="23"/>
        </w:rPr>
        <w:fldChar w:fldCharType="begin"/>
      </w:r>
      <w:r>
        <w:instrText>HYPERLINK "https://link.springer.com/content/pdf/10.1186/s13731-025-00476-x.pdf"</w:instrText>
      </w:r>
      <w:r>
        <w:rPr>
          <w:rStyle w:val="23"/>
        </w:rPr>
        <w:fldChar w:fldCharType="separate"/>
      </w:r>
      <w:r>
        <w:rPr>
          <w:rStyle w:val="23"/>
        </w:rPr>
        <w:t>https://link.springer.com/content/pdf/10.1186/s13731-025-00476-x.pdf</w:t>
      </w:r>
      <w:r>
        <w:rPr>
          <w:rStyle w:val="23"/>
        </w:rPr>
        <w:fldChar w:fldCharType="end"/>
      </w:r>
    </w:p>
    <w:p>
      <w:r>
        <w:t>Alexiuk, M., Elgubtan, H.,&amp;Tangri, N. (2024). Clinical decision support tools in the electronic medical record. </w:t>
      </w:r>
      <w:r>
        <w:rPr>
          <w:i/>
          <w:iCs/>
        </w:rPr>
        <w:t>Kidney International Reports</w:t>
      </w:r>
      <w:r>
        <w:t>, </w:t>
      </w:r>
      <w:r>
        <w:rPr>
          <w:i/>
          <w:iCs/>
        </w:rPr>
        <w:t>9</w:t>
      </w:r>
      <w:r>
        <w:t xml:space="preserve">(1), 29-38. </w:t>
      </w:r>
      <w:r>
        <w:rPr>
          <w:rStyle w:val="23"/>
        </w:rPr>
        <w:fldChar w:fldCharType="begin"/>
      </w:r>
      <w:r>
        <w:instrText>HYPERLINK "https://www.sciencedirect.com/science/article/pii/S2468024923015590"</w:instrText>
      </w:r>
      <w:r>
        <w:rPr>
          <w:rStyle w:val="23"/>
        </w:rPr>
        <w:fldChar w:fldCharType="separate"/>
      </w:r>
      <w:r>
        <w:rPr>
          <w:rStyle w:val="23"/>
        </w:rPr>
        <w:t>https://www.sciencedirect.com/science/article/pii/S2468024923015590</w:t>
      </w:r>
      <w:r>
        <w:rPr>
          <w:rStyle w:val="23"/>
        </w:rPr>
        <w:fldChar w:fldCharType="end"/>
      </w:r>
      <w:r>
        <w:t xml:space="preserve"> </w:t>
      </w:r>
    </w:p>
    <w:p>
      <w:r>
        <w:t>AMBROSE, L. L.,&amp;AWUOR, E. (2024). </w:t>
      </w:r>
      <w:r>
        <w:rPr>
          <w:i/>
          <w:iCs/>
        </w:rPr>
        <w:t>ORGANISATIONAL STRUCTURE AND IMPLEMENTATION OF PROCUREMENT PROCEDURES IN PUBLIC HEALTH FACILITIES IN NAKURU COUNTY</w:t>
      </w:r>
      <w:r>
        <w:t xml:space="preserve"> (Doctoral dissertation). </w:t>
      </w:r>
      <w:r>
        <w:rPr>
          <w:rStyle w:val="23"/>
        </w:rPr>
        <w:fldChar w:fldCharType="begin"/>
      </w:r>
      <w:r>
        <w:instrText>HYPERLINK "https://repository.mua.ac.ke/server/api/core/bitstreams/deba450e-a066-40a4-9fc5-d3897a504b47/content"</w:instrText>
      </w:r>
      <w:r>
        <w:rPr>
          <w:rStyle w:val="23"/>
        </w:rPr>
        <w:fldChar w:fldCharType="separate"/>
      </w:r>
      <w:r>
        <w:rPr>
          <w:rStyle w:val="23"/>
        </w:rPr>
        <w:t>https://repository.mua.ac.ke/server/api/core/bitstreams/deba450e-a066-40a4-9fc5-d3897a504b47/content</w:t>
      </w:r>
      <w:r>
        <w:rPr>
          <w:rStyle w:val="23"/>
        </w:rPr>
        <w:fldChar w:fldCharType="end"/>
      </w:r>
      <w:r>
        <w:t xml:space="preserve"> </w:t>
      </w:r>
    </w:p>
    <w:p>
      <w:r>
        <w:t>Armando, L. G., Miglio, G., de Cosmo, P.,&amp;Cena, C. (2023). Clinical decision support systems to improve drug prescription and therapy optimisation in clinical practice: a scoping review. </w:t>
      </w:r>
      <w:r>
        <w:rPr>
          <w:i/>
          <w:iCs/>
        </w:rPr>
        <w:t>BMJ Health&amp;Care Informatics</w:t>
      </w:r>
      <w:r>
        <w:t>, </w:t>
      </w:r>
      <w:r>
        <w:rPr>
          <w:i/>
          <w:iCs/>
        </w:rPr>
        <w:t>30</w:t>
      </w:r>
      <w:r>
        <w:t xml:space="preserve">(1), e100683.  </w:t>
      </w:r>
      <w:r>
        <w:rPr>
          <w:rStyle w:val="23"/>
        </w:rPr>
        <w:fldChar w:fldCharType="begin"/>
      </w:r>
      <w:r>
        <w:instrText>HYPERLINK "https://pmc.ncbi.nlm.nih.gov/articles/PMC10163516/pdf/bmjhci-2022-100683.pdf"</w:instrText>
      </w:r>
      <w:r>
        <w:rPr>
          <w:rStyle w:val="23"/>
        </w:rPr>
        <w:fldChar w:fldCharType="separate"/>
      </w:r>
      <w:r>
        <w:rPr>
          <w:rStyle w:val="23"/>
        </w:rPr>
        <w:t>https://pmc.ncbi.nlm.nih.gov/articles/PMC10163516/pdf/bmjhci-2022-100683.pdf</w:t>
      </w:r>
      <w:r>
        <w:rPr>
          <w:rStyle w:val="23"/>
        </w:rPr>
        <w:fldChar w:fldCharType="end"/>
      </w:r>
      <w:r>
        <w:t xml:space="preserve"> </w:t>
      </w:r>
    </w:p>
    <w:p>
      <w:r>
        <w:t>Birru, E., Ndayizigiye, M., Wanje, G., Marole, T., Smith, P. D., Koto, M., and Mukherjee, J. (2024). Healthcare workers’ views on decentralized primary health care management in Lesotho: A qualitative study. </w:t>
      </w:r>
      <w:r>
        <w:rPr>
          <w:i/>
          <w:iCs/>
        </w:rPr>
        <w:t>BMC Health Services Research</w:t>
      </w:r>
      <w:r>
        <w:t>, </w:t>
      </w:r>
      <w:r>
        <w:rPr>
          <w:i/>
          <w:iCs/>
        </w:rPr>
        <w:t>24</w:t>
      </w:r>
      <w:r>
        <w:t xml:space="preserve">(1), 801. </w:t>
      </w:r>
      <w:r>
        <w:rPr>
          <w:rStyle w:val="23"/>
        </w:rPr>
        <w:fldChar w:fldCharType="begin"/>
      </w:r>
      <w:r>
        <w:instrText>HYPERLINK "https://link.springer.com/content/pdf/10.1186/s12913-024-11279-3.pdf"</w:instrText>
      </w:r>
      <w:r>
        <w:rPr>
          <w:rStyle w:val="23"/>
        </w:rPr>
        <w:fldChar w:fldCharType="separate"/>
      </w:r>
      <w:r>
        <w:rPr>
          <w:rStyle w:val="23"/>
        </w:rPr>
        <w:t>https://link.springer.com/content/pdf/10.1186/s12913-024-11279-3.pdf</w:t>
      </w:r>
      <w:r>
        <w:rPr>
          <w:rStyle w:val="23"/>
        </w:rPr>
        <w:fldChar w:fldCharType="end"/>
      </w:r>
      <w:r>
        <w:t xml:space="preserve"> </w:t>
      </w:r>
    </w:p>
    <w:p>
      <w:r>
        <w:t>Bourne, R. S., Jennings, J. K., Panagioti, M., Hodkinson, A., Sutton, A.,&amp;Ashcroft, D. M. (2022). Medication-related interventions to improve medication safety and patient outcomes on transition from adult intensive care settings: a systematic review and meta-analysis. </w:t>
      </w:r>
      <w:r>
        <w:rPr>
          <w:i/>
          <w:iCs/>
        </w:rPr>
        <w:t>BMJ quality&amp;safety</w:t>
      </w:r>
      <w:r>
        <w:t>, </w:t>
      </w:r>
      <w:r>
        <w:rPr>
          <w:i/>
          <w:iCs/>
        </w:rPr>
        <w:t>31</w:t>
      </w:r>
      <w:r>
        <w:t xml:space="preserve">(8), 609-622. </w:t>
      </w:r>
      <w:r>
        <w:rPr>
          <w:rStyle w:val="23"/>
        </w:rPr>
        <w:fldChar w:fldCharType="begin"/>
      </w:r>
      <w:r>
        <w:instrText>HYPERLINK "https://qualitysafety.bmj.com/content/qhc/31/8/609.full.pdf"</w:instrText>
      </w:r>
      <w:r>
        <w:rPr>
          <w:rStyle w:val="23"/>
        </w:rPr>
        <w:fldChar w:fldCharType="separate"/>
      </w:r>
      <w:r>
        <w:rPr>
          <w:rStyle w:val="23"/>
        </w:rPr>
        <w:t>https://qualitysafety.bmj.com/content/qhc/31/8/609.full.pdf</w:t>
      </w:r>
      <w:r>
        <w:rPr>
          <w:rStyle w:val="23"/>
        </w:rPr>
        <w:fldChar w:fldCharType="end"/>
      </w:r>
      <w:r>
        <w:t xml:space="preserve"> </w:t>
      </w:r>
    </w:p>
    <w:p>
      <w:r>
        <w:t>Caudill, C. M., Pulsifer, P. L., Thumbadoo, R. V.,&amp;Taylor, D. F. (2024). Meeting the challenges of the UN sustainable development goals through holistic systems thinking and applied geospatial ethics. </w:t>
      </w:r>
      <w:r>
        <w:rPr>
          <w:i/>
          <w:iCs/>
        </w:rPr>
        <w:t>ISPRS International Journal of Geo-Information</w:t>
      </w:r>
      <w:r>
        <w:t>, </w:t>
      </w:r>
      <w:r>
        <w:rPr>
          <w:i/>
          <w:iCs/>
        </w:rPr>
        <w:t>13</w:t>
      </w:r>
      <w:r>
        <w:t xml:space="preserve">(4), 110. </w:t>
      </w:r>
      <w:r>
        <w:rPr>
          <w:rStyle w:val="23"/>
        </w:rPr>
        <w:fldChar w:fldCharType="begin"/>
      </w:r>
      <w:r>
        <w:instrText>HYPERLINK "https://www.mdpi.com/2220-9964/13/4/110"</w:instrText>
      </w:r>
      <w:r>
        <w:rPr>
          <w:rStyle w:val="23"/>
        </w:rPr>
        <w:fldChar w:fldCharType="separate"/>
      </w:r>
      <w:r>
        <w:rPr>
          <w:rStyle w:val="23"/>
        </w:rPr>
        <w:t>https://www.mdpi.com/2220-9964/13/4/110</w:t>
      </w:r>
      <w:r>
        <w:rPr>
          <w:rStyle w:val="23"/>
        </w:rPr>
        <w:fldChar w:fldCharType="end"/>
      </w:r>
      <w:r>
        <w:t xml:space="preserve">  </w:t>
      </w:r>
    </w:p>
    <w:p>
      <w:r>
        <w:t>Correia de Matos, R., do Nascimento, G.,&amp;Campos Fernandes, A. (2025). Integrated care: an insight into the national models and their impact on patients and health systems–a narrative review. </w:t>
      </w:r>
      <w:r>
        <w:rPr>
          <w:i/>
          <w:iCs/>
        </w:rPr>
        <w:t>Journal of Integrated Care</w:t>
      </w:r>
      <w:r>
        <w:t>, </w:t>
      </w:r>
      <w:r>
        <w:rPr>
          <w:i/>
          <w:iCs/>
        </w:rPr>
        <w:t>33</w:t>
      </w:r>
      <w:r>
        <w:t xml:space="preserve">(1), 63-74. </w:t>
      </w:r>
      <w:r>
        <w:rPr>
          <w:rStyle w:val="23"/>
        </w:rPr>
        <w:fldChar w:fldCharType="begin"/>
      </w:r>
      <w:r>
        <w:instrText>HYPERLINK "https://www.emerald.com/jica/article-pdf/33/1/63/9703964/jica-08-2024-0047.pdf"</w:instrText>
      </w:r>
      <w:r>
        <w:rPr>
          <w:rStyle w:val="23"/>
        </w:rPr>
        <w:fldChar w:fldCharType="separate"/>
      </w:r>
      <w:r>
        <w:rPr>
          <w:rStyle w:val="23"/>
        </w:rPr>
        <w:t>https://www.emerald.com/jica/article-pdf/33/1/63/9703964/jica-08-2024-0047.pdf</w:t>
      </w:r>
      <w:r>
        <w:rPr>
          <w:rStyle w:val="23"/>
        </w:rPr>
        <w:fldChar w:fldCharType="end"/>
      </w:r>
      <w:r>
        <w:t xml:space="preserve"> </w:t>
      </w:r>
    </w:p>
    <w:p>
      <w:r>
        <w:t>Curry, L., Ayedun, A., Cherlin, E., Taylor, B., Castle-Clarke, S.,&amp;Linnander, E. (2022). The role of leadership in times of systems disruption: a qualitative study of health and social care integration. </w:t>
      </w:r>
      <w:r>
        <w:rPr>
          <w:i/>
          <w:iCs/>
        </w:rPr>
        <w:t>BMJ open</w:t>
      </w:r>
      <w:r>
        <w:t>, </w:t>
      </w:r>
      <w:r>
        <w:rPr>
          <w:i/>
          <w:iCs/>
        </w:rPr>
        <w:t>12</w:t>
      </w:r>
      <w:r>
        <w:t xml:space="preserve">(5), e054847.  </w:t>
      </w:r>
      <w:r>
        <w:rPr>
          <w:rStyle w:val="23"/>
        </w:rPr>
        <w:fldChar w:fldCharType="begin"/>
      </w:r>
      <w:r>
        <w:instrText>HYPERLINK "https://bmjopen.bmj.com/content/bmjopen/12/5/e054847.full.pdf"</w:instrText>
      </w:r>
      <w:r>
        <w:rPr>
          <w:rStyle w:val="23"/>
        </w:rPr>
        <w:fldChar w:fldCharType="separate"/>
      </w:r>
      <w:r>
        <w:rPr>
          <w:rStyle w:val="23"/>
        </w:rPr>
        <w:t>https://bmjopen.bmj.com/content/bmjopen/12/5/e054847.full.pdf</w:t>
      </w:r>
      <w:r>
        <w:rPr>
          <w:rStyle w:val="23"/>
        </w:rPr>
        <w:fldChar w:fldCharType="end"/>
      </w:r>
      <w:r>
        <w:t xml:space="preserve"> </w:t>
      </w:r>
    </w:p>
    <w:p>
      <w:r>
        <w:t>Deng, C., Gulseren, D., Isola, C., Grocutt, K.,&amp;Turner, N. (2023). Transformational leadership effectiveness: an evidence-based primer. </w:t>
      </w:r>
      <w:r>
        <w:rPr>
          <w:i/>
          <w:iCs/>
        </w:rPr>
        <w:t>Human Resource Development International</w:t>
      </w:r>
      <w:r>
        <w:t>, </w:t>
      </w:r>
      <w:r>
        <w:rPr>
          <w:i/>
          <w:iCs/>
        </w:rPr>
        <w:t>26</w:t>
      </w:r>
      <w:r>
        <w:t xml:space="preserve">(5), 627-641. </w:t>
      </w:r>
      <w:r>
        <w:rPr>
          <w:rStyle w:val="23"/>
        </w:rPr>
        <w:fldChar w:fldCharType="begin"/>
      </w:r>
      <w:r>
        <w:instrText>HYPERLINK "https://www.tandfonline.com/doi/pdf/10.1080/13678868.2022.2135938"</w:instrText>
      </w:r>
      <w:r>
        <w:rPr>
          <w:rStyle w:val="23"/>
        </w:rPr>
        <w:fldChar w:fldCharType="separate"/>
      </w:r>
      <w:r>
        <w:rPr>
          <w:rStyle w:val="23"/>
        </w:rPr>
        <w:t>https://www.tandfonline.com/doi/pdf/10.1080/13678868.2022.2135938</w:t>
      </w:r>
      <w:r>
        <w:rPr>
          <w:rStyle w:val="23"/>
        </w:rPr>
        <w:fldChar w:fldCharType="end"/>
      </w:r>
      <w:r>
        <w:t xml:space="preserve"> </w:t>
      </w:r>
    </w:p>
    <w:p>
      <w:r>
        <w:t>Dowell, D., Nataraj, N., Rikard, M., Park, J., Zhang, K.,&amp;Baldwin, G. (2025). Why have overdose deaths decreased? Widespread fentanyl saturation and decreased drug use among key drivers. </w:t>
      </w:r>
      <w:r>
        <w:rPr>
          <w:i/>
          <w:iCs/>
        </w:rPr>
        <w:t>The Lancet Regional Health–Americas</w:t>
      </w:r>
      <w:r>
        <w:t>, </w:t>
      </w:r>
      <w:r>
        <w:rPr>
          <w:i/>
          <w:iCs/>
        </w:rPr>
        <w:t>51</w:t>
      </w:r>
      <w:r>
        <w:t xml:space="preserve">. </w:t>
      </w:r>
      <w:r>
        <w:rPr>
          <w:rStyle w:val="23"/>
        </w:rPr>
        <w:fldChar w:fldCharType="begin"/>
      </w:r>
      <w:r>
        <w:instrText>HYPERLINK "https://www.thelancet.com/pdfs/journals/lanam/PIIS2667-193X(25)00236-4.pdf"</w:instrText>
      </w:r>
      <w:r>
        <w:rPr>
          <w:rStyle w:val="23"/>
        </w:rPr>
        <w:fldChar w:fldCharType="separate"/>
      </w:r>
      <w:r>
        <w:rPr>
          <w:rStyle w:val="23"/>
        </w:rPr>
        <w:t>https://www.thelancet.com/pdfs/journals/lanam/PIIS2667-193X(25)00236-4.pdf</w:t>
      </w:r>
      <w:r>
        <w:rPr>
          <w:rStyle w:val="23"/>
        </w:rPr>
        <w:fldChar w:fldCharType="end"/>
      </w:r>
      <w:r>
        <w:t xml:space="preserve"> </w:t>
      </w:r>
    </w:p>
    <w:p>
      <w:r>
        <w:t>Elliott, R. A., Camacho, E., Jankovic, D., Sculpher, M. J.,&amp;Faria, R. (2021). Economic analysis of the prevalence and clinical and economic burden of medication error in England. </w:t>
      </w:r>
      <w:r>
        <w:rPr>
          <w:i/>
          <w:iCs/>
        </w:rPr>
        <w:t>BMJ Quality&amp;Safety</w:t>
      </w:r>
      <w:r>
        <w:t>, </w:t>
      </w:r>
      <w:r>
        <w:rPr>
          <w:i/>
          <w:iCs/>
        </w:rPr>
        <w:t>30</w:t>
      </w:r>
      <w:r>
        <w:t xml:space="preserve">(2), 96-105. </w:t>
      </w:r>
      <w:r>
        <w:rPr>
          <w:rStyle w:val="23"/>
        </w:rPr>
        <w:fldChar w:fldCharType="begin"/>
      </w:r>
      <w:r>
        <w:instrText>HYPERLINK "https://qualitysafety.bmj.com/content/qhc/30/2/96.full.pdf"</w:instrText>
      </w:r>
      <w:r>
        <w:rPr>
          <w:rStyle w:val="23"/>
        </w:rPr>
        <w:fldChar w:fldCharType="separate"/>
      </w:r>
      <w:r>
        <w:rPr>
          <w:rStyle w:val="23"/>
        </w:rPr>
        <w:t>https://qualitysafety.bmj.com/content/qhc/30/2/96.full.pdf</w:t>
      </w:r>
      <w:r>
        <w:rPr>
          <w:rStyle w:val="23"/>
        </w:rPr>
        <w:fldChar w:fldCharType="end"/>
      </w:r>
      <w:r>
        <w:t xml:space="preserve"> </w:t>
      </w:r>
    </w:p>
    <w:p>
      <w:pPr>
        <w:rPr>
          <w:lang w:val="en-IN"/>
        </w:rPr>
      </w:pPr>
      <w:r>
        <w:rPr>
          <w:lang w:val="en-IN"/>
        </w:rPr>
        <w:t xml:space="preserve">Healthcare Safety Investigation Branch (HSIB) (2022) </w:t>
      </w:r>
      <w:r>
        <w:rPr>
          <w:i/>
          <w:iCs/>
          <w:lang w:val="en-IN"/>
        </w:rPr>
        <w:t>Unintentional overdose of morphine sulfate oral solution: Investigation report</w:t>
      </w:r>
      <w:r>
        <w:rPr>
          <w:lang w:val="en-IN"/>
        </w:rPr>
        <w:t xml:space="preserve">. Available at: </w:t>
      </w:r>
      <w:r>
        <w:rPr>
          <w:rStyle w:val="23"/>
          <w:lang w:val="en-IN"/>
        </w:rPr>
        <w:fldChar w:fldCharType="begin"/>
      </w:r>
      <w:r>
        <w:instrText>HYPERLINK "https://www.hssib.org.uk/patient-safety-investigations/unintentional-overdose-of-morphine-sulfate-oral-solution/investigation-report/"</w:instrText>
      </w:r>
      <w:r>
        <w:rPr>
          <w:rStyle w:val="23"/>
          <w:lang w:val="en-IN"/>
        </w:rPr>
        <w:fldChar w:fldCharType="separate"/>
      </w:r>
      <w:r>
        <w:rPr>
          <w:rStyle w:val="23"/>
          <w:lang w:val="en-IN"/>
        </w:rPr>
        <w:t>https://www.hssib.org.uk/patient-safety-investigations/unintentional-overdose-of-morphine-sulfate-oral-solution/investigation-report/</w:t>
      </w:r>
      <w:r>
        <w:rPr>
          <w:rStyle w:val="23"/>
          <w:lang w:val="en-IN"/>
        </w:rPr>
        <w:fldChar w:fldCharType="end"/>
      </w:r>
      <w:r>
        <w:rPr>
          <w:lang w:val="en-IN"/>
        </w:rPr>
        <w:t xml:space="preserve"> (Accessed: 20 April 2026).</w:t>
      </w:r>
    </w:p>
    <w:p>
      <w:pPr>
        <w:rPr>
          <w:lang w:val="en-IN"/>
        </w:rPr>
      </w:pPr>
      <w:r>
        <w:rPr>
          <w:lang w:val="en-IN"/>
        </w:rPr>
        <w:t xml:space="preserve">House of Commons Health and Social Care Committee (2022) </w:t>
      </w:r>
      <w:r>
        <w:rPr>
          <w:i/>
          <w:iCs/>
          <w:lang w:val="en-IN"/>
        </w:rPr>
        <w:t>Medicines supply chain: Phase one report</w:t>
      </w:r>
      <w:r>
        <w:rPr>
          <w:lang w:val="en-IN"/>
        </w:rPr>
        <w:t xml:space="preserve">. Available at: </w:t>
      </w:r>
      <w:r>
        <w:rPr>
          <w:rStyle w:val="23"/>
          <w:lang w:val="en-IN"/>
        </w:rPr>
        <w:fldChar w:fldCharType="begin"/>
      </w:r>
      <w:r>
        <w:instrText>HYPERLINK "https://committees.parliament.uk/publications/2675/documents/26512/default/"</w:instrText>
      </w:r>
      <w:r>
        <w:rPr>
          <w:rStyle w:val="23"/>
          <w:lang w:val="en-IN"/>
        </w:rPr>
        <w:fldChar w:fldCharType="separate"/>
      </w:r>
      <w:r>
        <w:rPr>
          <w:rStyle w:val="23"/>
          <w:lang w:val="en-IN"/>
        </w:rPr>
        <w:t>https://committees.parliament.uk/publications/2675/documents/26512/default/</w:t>
      </w:r>
      <w:r>
        <w:rPr>
          <w:rStyle w:val="23"/>
          <w:lang w:val="en-IN"/>
        </w:rPr>
        <w:fldChar w:fldCharType="end"/>
      </w:r>
      <w:r>
        <w:rPr>
          <w:lang w:val="en-IN"/>
        </w:rPr>
        <w:t xml:space="preserve"> (Accessed: 20 April 2026).</w:t>
      </w:r>
    </w:p>
    <w:p>
      <w:r>
        <w:t>Moran, B. L., Myburgh, J. A., and Scott, D. A. (2022). The complications of opioid use during and post–intensive care admission: A narrative review. </w:t>
      </w:r>
      <w:r>
        <w:rPr>
          <w:i/>
          <w:iCs/>
        </w:rPr>
        <w:t>Anaesthesia and intensive care</w:t>
      </w:r>
      <w:r>
        <w:t>, </w:t>
      </w:r>
      <w:r>
        <w:rPr>
          <w:i/>
          <w:iCs/>
        </w:rPr>
        <w:t>50</w:t>
      </w:r>
      <w:r>
        <w:t xml:space="preserve">(1-2), 108-126. </w:t>
      </w:r>
      <w:r>
        <w:rPr>
          <w:rStyle w:val="23"/>
        </w:rPr>
        <w:fldChar w:fldCharType="begin"/>
      </w:r>
      <w:r>
        <w:instrText>HYPERLINK "https://journals.sagepub.com/doi/pdf/10.1177/0310057X211070008"</w:instrText>
      </w:r>
      <w:r>
        <w:rPr>
          <w:rStyle w:val="23"/>
        </w:rPr>
        <w:fldChar w:fldCharType="separate"/>
      </w:r>
      <w:r>
        <w:rPr>
          <w:rStyle w:val="23"/>
        </w:rPr>
        <w:t>https://journals.sagepub.com/doi/pdf/10.1177/0310057X211070008</w:t>
      </w:r>
      <w:r>
        <w:rPr>
          <w:rStyle w:val="23"/>
        </w:rPr>
        <w:fldChar w:fldCharType="end"/>
      </w:r>
      <w:r>
        <w:t xml:space="preserve"> </w:t>
      </w:r>
    </w:p>
    <w:p>
      <w:r>
        <w:t>Ongesa, T. N., Ugwu, O. P. C., Ugwu, C. N., Alum, E. U., Eze, V. H. U., Basajja, M., ...&amp;Ejemot-Nwadiaro, R. I. (2025). Optimizing emergency response systems in urban health crises: A project management approach to public health preparedness and response. </w:t>
      </w:r>
      <w:r>
        <w:rPr>
          <w:i/>
          <w:iCs/>
        </w:rPr>
        <w:t>Medicine</w:t>
      </w:r>
      <w:r>
        <w:t>, </w:t>
      </w:r>
      <w:r>
        <w:rPr>
          <w:i/>
          <w:iCs/>
        </w:rPr>
        <w:t>104</w:t>
      </w:r>
      <w:r>
        <w:t xml:space="preserve">(3), e41279. </w:t>
      </w:r>
      <w:r>
        <w:rPr>
          <w:rStyle w:val="23"/>
        </w:rPr>
        <w:fldChar w:fldCharType="begin"/>
      </w:r>
      <w:r>
        <w:instrText>HYPERLINK "https://journals.lww.com/md-journal/fulltext/2025/01170/optimizing_emergency_response_systems_in_urban.17.aspx?context/x3dlatestarticles"</w:instrText>
      </w:r>
      <w:r>
        <w:rPr>
          <w:rStyle w:val="23"/>
        </w:rPr>
        <w:fldChar w:fldCharType="separate"/>
      </w:r>
      <w:r>
        <w:rPr>
          <w:rStyle w:val="23"/>
        </w:rPr>
        <w:t>https://journals.lww.com/md-journal/fulltext/2025/01170/optimizing_emergency_response_systems_in_urban.17.aspx?context\x3dlatestarticles</w:t>
      </w:r>
      <w:r>
        <w:rPr>
          <w:rStyle w:val="23"/>
        </w:rPr>
        <w:fldChar w:fldCharType="end"/>
      </w:r>
      <w:r>
        <w:t xml:space="preserve"> </w:t>
      </w:r>
    </w:p>
    <w:p>
      <w:r>
        <w:t>Pickering, G., Kotlińska-Lemieszek, A., Krcevski Skvarc, N., O’Mahony, D., Monacelli, F., Knaggs, R., and Kocot-Kępska, M. (2024). Pharmacological pain treatment in older persons. </w:t>
      </w:r>
      <w:r>
        <w:rPr>
          <w:i/>
          <w:iCs/>
        </w:rPr>
        <w:t>Drugs&amp;Aging</w:t>
      </w:r>
      <w:r>
        <w:t>, </w:t>
      </w:r>
      <w:r>
        <w:rPr>
          <w:i/>
          <w:iCs/>
        </w:rPr>
        <w:t>41</w:t>
      </w:r>
      <w:r>
        <w:t xml:space="preserve">(12), 959-976. </w:t>
      </w:r>
      <w:r>
        <w:rPr>
          <w:rStyle w:val="23"/>
        </w:rPr>
        <w:fldChar w:fldCharType="begin"/>
      </w:r>
      <w:r>
        <w:instrText>HYPERLINK "https://link.springer.com/content/pdf/10.1007/s40266-024-01151-8.pdf"</w:instrText>
      </w:r>
      <w:r>
        <w:rPr>
          <w:rStyle w:val="23"/>
        </w:rPr>
        <w:fldChar w:fldCharType="separate"/>
      </w:r>
      <w:r>
        <w:rPr>
          <w:rStyle w:val="23"/>
        </w:rPr>
        <w:t>https://link.springer.com/content/pdf/10.1007/s40266-024-01151-8.pdf</w:t>
      </w:r>
      <w:r>
        <w:rPr>
          <w:rStyle w:val="23"/>
        </w:rPr>
        <w:fldChar w:fldCharType="end"/>
      </w:r>
      <w:r>
        <w:t xml:space="preserve"> </w:t>
      </w:r>
    </w:p>
    <w:p>
      <w:pPr>
        <w:rPr>
          <w:lang w:val="en-IN"/>
        </w:rPr>
      </w:pPr>
      <w:r>
        <w:rPr>
          <w:lang w:val="en-IN"/>
        </w:rPr>
        <w:t xml:space="preserve">Production and Operations Management Society (2022) </w:t>
      </w:r>
      <w:r>
        <w:rPr>
          <w:i/>
          <w:iCs/>
          <w:lang w:val="en-IN"/>
        </w:rPr>
        <w:t>Medication safety challenges (full paper)</w:t>
      </w:r>
      <w:r>
        <w:rPr>
          <w:lang w:val="en-IN"/>
        </w:rPr>
        <w:t xml:space="preserve">. Available at: </w:t>
      </w:r>
      <w:r>
        <w:rPr>
          <w:rStyle w:val="23"/>
          <w:lang w:val="en-IN"/>
        </w:rPr>
        <w:fldChar w:fldCharType="begin"/>
      </w:r>
      <w:r>
        <w:instrText>HYPERLINK "https://pomsmeetings.org/ConfProceedings/007/CDProgram/Topics/full_length_papers_files/007-0012.pdf"</w:instrText>
      </w:r>
      <w:r>
        <w:rPr>
          <w:rStyle w:val="23"/>
          <w:lang w:val="en-IN"/>
        </w:rPr>
        <w:fldChar w:fldCharType="separate"/>
      </w:r>
      <w:r>
        <w:rPr>
          <w:rStyle w:val="23"/>
          <w:lang w:val="en-IN"/>
        </w:rPr>
        <w:t>https://pomsmeetings.org/ConfProceedings/007/CDProgram/Topics/full_length_papers_files/007-0012.pdf</w:t>
      </w:r>
      <w:r>
        <w:rPr>
          <w:rStyle w:val="23"/>
          <w:lang w:val="en-IN"/>
        </w:rPr>
        <w:fldChar w:fldCharType="end"/>
      </w:r>
      <w:r>
        <w:rPr>
          <w:lang w:val="en-IN"/>
        </w:rPr>
        <w:t xml:space="preserve"> (Accessed: 20 April 2026).</w:t>
      </w:r>
    </w:p>
    <w:p>
      <w:r>
        <w:t>Ramsay, A. I., Ramsay, A., Tomini, S. M., Tomini, S., Gandhi, S., Fulop, N. J., ...&amp;Morris, S. (2025). Centralisation of specialised healthcare services: a scoping review of definitions, types, and impact on outcomes. </w:t>
      </w:r>
      <w:r>
        <w:rPr>
          <w:i/>
          <w:iCs/>
        </w:rPr>
        <w:t>Health and Social Care Delivery Research</w:t>
      </w:r>
      <w:r>
        <w:t xml:space="preserve">, (43), 1-70. </w:t>
      </w:r>
      <w:r>
        <w:rPr>
          <w:rStyle w:val="23"/>
        </w:rPr>
        <w:fldChar w:fldCharType="begin"/>
      </w:r>
      <w:r>
        <w:instrText>HYPERLINK "https://journalslibrary.nihr.ac.uk/hsdr/published-articles/REMD6648"</w:instrText>
      </w:r>
      <w:r>
        <w:rPr>
          <w:rStyle w:val="23"/>
        </w:rPr>
        <w:fldChar w:fldCharType="separate"/>
      </w:r>
      <w:r>
        <w:rPr>
          <w:rStyle w:val="23"/>
        </w:rPr>
        <w:t>https://journalslibrary.nihr.ac.uk/hsdr/published-articles/REMD6648</w:t>
      </w:r>
      <w:r>
        <w:rPr>
          <w:rStyle w:val="23"/>
        </w:rPr>
        <w:fldChar w:fldCharType="end"/>
      </w:r>
      <w:r>
        <w:t xml:space="preserve"> </w:t>
      </w:r>
    </w:p>
    <w:p>
      <w:r>
        <w:t>Ryan, C., Ross, S., Davey, P., Duncan, E. M., Francis, J. J., Fielding, S., ...&amp;Bond, C. (2024). Prevalence and causes of prescribing errors: the PRescribing Outcomes for Trainee Doctors Engaged in Clinical Training (PROTECT) study. </w:t>
      </w:r>
      <w:r>
        <w:rPr>
          <w:i/>
          <w:iCs/>
        </w:rPr>
        <w:t>PloS one</w:t>
      </w:r>
      <w:r>
        <w:t>, </w:t>
      </w:r>
      <w:r>
        <w:rPr>
          <w:i/>
          <w:iCs/>
        </w:rPr>
        <w:t>9</w:t>
      </w:r>
      <w:r>
        <w:t xml:space="preserve">(1), e79802. </w:t>
      </w:r>
      <w:r>
        <w:rPr>
          <w:rStyle w:val="23"/>
        </w:rPr>
        <w:fldChar w:fldCharType="begin"/>
      </w:r>
      <w:r>
        <w:instrText>HYPERLINK "https://journals.plos.org/plosone/article/file?id=10.1371/journal.pone.0079802&amp;type=printable"</w:instrText>
      </w:r>
      <w:r>
        <w:rPr>
          <w:rStyle w:val="23"/>
        </w:rPr>
        <w:fldChar w:fldCharType="separate"/>
      </w:r>
      <w:r>
        <w:rPr>
          <w:rStyle w:val="23"/>
        </w:rPr>
        <w:t>https://journals.plos.org/plosone/article/file?id=10.1371/journal.pone.0079802&amp;type=printable</w:t>
      </w:r>
      <w:r>
        <w:rPr>
          <w:rStyle w:val="23"/>
        </w:rPr>
        <w:fldChar w:fldCharType="end"/>
      </w:r>
      <w:r>
        <w:t xml:space="preserve"> </w:t>
      </w:r>
    </w:p>
    <w:p>
      <w:r>
        <w:t>Saadatian, M., Yoosefian, N., Saravi, F. K.,&amp;Yaghoubinia, F. (2022). The effect of the teach-back method on illness perception and self-efficacy in patients with coronary artery disease. </w:t>
      </w:r>
      <w:r>
        <w:rPr>
          <w:i/>
          <w:iCs/>
        </w:rPr>
        <w:t>Med Surg Nurs J</w:t>
      </w:r>
      <w:r>
        <w:t>, </w:t>
      </w:r>
      <w:r>
        <w:rPr>
          <w:i/>
          <w:iCs/>
        </w:rPr>
        <w:t>11</w:t>
      </w:r>
      <w:r>
        <w:t xml:space="preserve">(1), 1-9. </w:t>
      </w:r>
      <w:r>
        <w:rPr>
          <w:rStyle w:val="23"/>
        </w:rPr>
        <w:fldChar w:fldCharType="begin"/>
      </w:r>
      <w:r>
        <w:instrText>HYPERLINK "https://repository.brieflands.com/bitstreams/e4702840-ec37-4ec4-826a-d86de74633e3/download"</w:instrText>
      </w:r>
      <w:r>
        <w:rPr>
          <w:rStyle w:val="23"/>
        </w:rPr>
        <w:fldChar w:fldCharType="separate"/>
      </w:r>
      <w:r>
        <w:rPr>
          <w:rStyle w:val="23"/>
        </w:rPr>
        <w:t>https://repository.brieflands.com/bitstreams/e4702840-ec37-4ec4-826a-d86de74633e3/download</w:t>
      </w:r>
      <w:r>
        <w:rPr>
          <w:rStyle w:val="23"/>
        </w:rPr>
        <w:fldChar w:fldCharType="end"/>
      </w:r>
      <w:r>
        <w:t xml:space="preserve"> </w:t>
      </w:r>
    </w:p>
    <w:p>
      <w:r>
        <w:t>Sapkota, S., Dhakal, A., Rushton, S., van Teijlingen, E., Marahatta, S. B., Balen, J.,&amp;Lee, A. C. (2023). The impact of decentralisation on health systems: a systematic review of reviews. </w:t>
      </w:r>
      <w:r>
        <w:rPr>
          <w:i/>
          <w:iCs/>
        </w:rPr>
        <w:t>BMJ Global Health</w:t>
      </w:r>
      <w:r>
        <w:t>, </w:t>
      </w:r>
      <w:r>
        <w:rPr>
          <w:i/>
          <w:iCs/>
        </w:rPr>
        <w:t>8</w:t>
      </w:r>
      <w:r>
        <w:t xml:space="preserve">(12). </w:t>
      </w:r>
      <w:r>
        <w:rPr>
          <w:rStyle w:val="23"/>
        </w:rPr>
        <w:fldChar w:fldCharType="begin"/>
      </w:r>
      <w:r>
        <w:instrText>HYPERLINK "https://gh.bmj.com/content/bmjgh/8/12/e013317.full.pdf"</w:instrText>
      </w:r>
      <w:r>
        <w:rPr>
          <w:rStyle w:val="23"/>
        </w:rPr>
        <w:fldChar w:fldCharType="separate"/>
      </w:r>
      <w:r>
        <w:rPr>
          <w:rStyle w:val="23"/>
        </w:rPr>
        <w:t>https://gh.bmj.com/content/bmjgh/8/12/e013317.full.pdf</w:t>
      </w:r>
      <w:r>
        <w:rPr>
          <w:rStyle w:val="23"/>
        </w:rPr>
        <w:fldChar w:fldCharType="end"/>
      </w:r>
      <w:r>
        <w:t xml:space="preserve"> </w:t>
      </w:r>
    </w:p>
    <w:p>
      <w:r>
        <w:t>Shishkin, S., Sheiman, I., Potapchik, E., Vlassov, V.,&amp;Sazhina, S. (2025). The impact of centralization on structural changes in healthcare: when it works. </w:t>
      </w:r>
      <w:r>
        <w:rPr>
          <w:i/>
          <w:iCs/>
        </w:rPr>
        <w:t>Frontiers in Health Services</w:t>
      </w:r>
      <w:r>
        <w:t>, </w:t>
      </w:r>
      <w:r>
        <w:rPr>
          <w:i/>
          <w:iCs/>
        </w:rPr>
        <w:t>5</w:t>
      </w:r>
      <w:r>
        <w:t xml:space="preserve">, 1484225. </w:t>
      </w:r>
      <w:r>
        <w:rPr>
          <w:rStyle w:val="23"/>
        </w:rPr>
        <w:fldChar w:fldCharType="begin"/>
      </w:r>
      <w:r>
        <w:instrText>HYPERLINK "https://www.frontiersin.org/journals/health-services/articles/10.3389/frhs.2025.1484225/pdf"</w:instrText>
      </w:r>
      <w:r>
        <w:rPr>
          <w:rStyle w:val="23"/>
        </w:rPr>
        <w:fldChar w:fldCharType="separate"/>
      </w:r>
      <w:r>
        <w:rPr>
          <w:rStyle w:val="23"/>
        </w:rPr>
        <w:t>https://www.frontiersin.org/journals/health-services/articles/10.3389/frhs.2025.1484225/pdf</w:t>
      </w:r>
      <w:r>
        <w:rPr>
          <w:rStyle w:val="23"/>
        </w:rPr>
        <w:fldChar w:fldCharType="end"/>
      </w:r>
      <w:r>
        <w:t xml:space="preserve"> </w:t>
      </w:r>
    </w:p>
    <w:p>
      <w:r>
        <w:t>Tian, F., Chen, Z., Zeng, Y., Feng, Q.,&amp;Chen, X. (2023). Prevalence of use of potentially inappropriate medications among older adults worldwide: a systematic review and meta-analysis. </w:t>
      </w:r>
      <w:r>
        <w:rPr>
          <w:i/>
          <w:iCs/>
        </w:rPr>
        <w:t>JAMA network open</w:t>
      </w:r>
      <w:r>
        <w:t>, </w:t>
      </w:r>
      <w:r>
        <w:rPr>
          <w:i/>
          <w:iCs/>
        </w:rPr>
        <w:t>6</w:t>
      </w:r>
      <w:r>
        <w:t xml:space="preserve">(8), e2326910. </w:t>
      </w:r>
      <w:r>
        <w:rPr>
          <w:rStyle w:val="23"/>
        </w:rPr>
        <w:fldChar w:fldCharType="begin"/>
      </w:r>
      <w:r>
        <w:instrText>HYPERLINK "https://jamanetwork.com/journals/jamanetworkopen/articlepdf/2807922/tian_2023_oi_230778_1690380874.24477.pdf"</w:instrText>
      </w:r>
      <w:r>
        <w:rPr>
          <w:rStyle w:val="23"/>
        </w:rPr>
        <w:fldChar w:fldCharType="separate"/>
      </w:r>
      <w:r>
        <w:rPr>
          <w:rStyle w:val="23"/>
        </w:rPr>
        <w:t>https://jamanetwork.com/journals/jamanetworkopen/articlepdf/2807922/tian_2023_oi_230778_1690380874.24477.pdf</w:t>
      </w:r>
      <w:r>
        <w:rPr>
          <w:rStyle w:val="23"/>
        </w:rPr>
        <w:fldChar w:fldCharType="end"/>
      </w:r>
      <w:r>
        <w:t xml:space="preserve"> </w:t>
      </w:r>
    </w:p>
    <w:p>
      <w:r>
        <w:t xml:space="preserve">Traylor, D. O., Anderson, E. E., Etsey, M., Fenton, B., Cheema, N., McCampbell, D., and Clark, B. (2025). Practical Care Coordination for Primary Care Providers: Bridging the Gap between Clinical Practice and Patient Outcomes. </w:t>
      </w:r>
      <w:r>
        <w:rPr>
          <w:rStyle w:val="23"/>
        </w:rPr>
        <w:fldChar w:fldCharType="begin"/>
      </w:r>
      <w:r>
        <w:instrText>HYPERLINK "https://www.intechopen.com/online-first/1221283"</w:instrText>
      </w:r>
      <w:r>
        <w:rPr>
          <w:rStyle w:val="23"/>
        </w:rPr>
        <w:fldChar w:fldCharType="separate"/>
      </w:r>
      <w:r>
        <w:rPr>
          <w:rStyle w:val="23"/>
        </w:rPr>
        <w:t>https://www.intechopen.com/online-first/1221283</w:t>
      </w:r>
      <w:r>
        <w:rPr>
          <w:rStyle w:val="23"/>
        </w:rPr>
        <w:fldChar w:fldCharType="end"/>
      </w:r>
      <w:r>
        <w:t xml:space="preserve"> </w:t>
      </w:r>
    </w:p>
    <w:p>
      <w:pPr>
        <w:rPr>
          <w:lang w:val="en-IN"/>
        </w:rPr>
      </w:pPr>
      <w:r>
        <w:rPr>
          <w:lang w:val="en-IN"/>
        </w:rPr>
        <w:t xml:space="preserve">World Health Organization (2022) </w:t>
      </w:r>
      <w:r>
        <w:rPr>
          <w:i/>
          <w:iCs/>
          <w:lang w:val="en-IN"/>
        </w:rPr>
        <w:t>Medication without harm: WHO’s third global patient safety challenge</w:t>
      </w:r>
      <w:r>
        <w:rPr>
          <w:lang w:val="en-IN"/>
        </w:rPr>
        <w:t xml:space="preserve">. Available at: </w:t>
      </w:r>
      <w:r>
        <w:rPr>
          <w:rStyle w:val="23"/>
          <w:lang w:val="en-IN"/>
        </w:rPr>
        <w:fldChar w:fldCharType="begin"/>
      </w:r>
      <w:r>
        <w:instrText>HYPERLINK "https://www.who.int/initiatives/medication-without-harm"</w:instrText>
      </w:r>
      <w:r>
        <w:rPr>
          <w:rStyle w:val="23"/>
          <w:lang w:val="en-IN"/>
        </w:rPr>
        <w:fldChar w:fldCharType="separate"/>
      </w:r>
      <w:r>
        <w:rPr>
          <w:rStyle w:val="23"/>
          <w:lang w:val="en-IN"/>
        </w:rPr>
        <w:t>https://www.who.int/initiatives/medication-without-harm</w:t>
      </w:r>
      <w:r>
        <w:rPr>
          <w:rStyle w:val="23"/>
          <w:lang w:val="en-IN"/>
        </w:rPr>
        <w:fldChar w:fldCharType="end"/>
      </w:r>
      <w:r>
        <w:rPr>
          <w:lang w:val="en-IN"/>
        </w:rPr>
        <w:t xml:space="preserve"> (Accessed: 20 April 2026).</w:t>
      </w:r>
    </w:p>
    <w:p/>
    <w:p/>
    <w:sectPr>
      <w:footerReference w:type="default" r:id="rId2"/>
      <w:pgSz w:w="12240" w:h="15840"/>
      <w:pgMar w:top="1440" w:right="1440" w:bottom="1440" w:left="1440" w:header="720" w:footer="720" w:gutter="0"/>
      <w:docGrid w:linePitch="360"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黑体">
    <w:panose1 w:val="00000000000000000000"/>
    <w:charset w:val="00"/>
    <w:family w:val="auto"/>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rlito">
    <w:altName w:val="Arial"/>
    <w:panose1 w:val="00000000000000000000"/>
    <w:charset w:val="00"/>
    <w:family w:val="swiss"/>
    <w:pitch w:val="variable"/>
  </w:font>
  <w:font w:name="Arial-BoldMT">
    <w:altName w:val="Times New Roman"/>
    <w:panose1 w:val="00000000000000000000"/>
    <w:charset w:val="00"/>
    <w:family w:val="roman"/>
    <w:pitch w:val="variable"/>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2"/>
      <w:tabs>
        <w:tab w:val="center" w:pos="4680"/>
        <w:tab w:val="right" w:pos="9360"/>
      </w:tabs>
    </w:pPr>
    <w:r>
      <w:fldChar w:fldCharType="begin"/>
    </w:r>
    <w:r>
      <w:instrText xml:space="preserve"> PAGE   \* MERGEFORMAT </w:instrText>
    </w:r>
    <w:r>
      <w:fldChar w:fldCharType="separate"/>
    </w:r>
    <w:r>
      <w:fldChar w:fldCharType="end"/>
    </w:r>
  </w:p>
  <w:p>
    <w:pPr>
      <w:pStyle w:val="22"/>
      <w:tabs>
        <w:tab w:val="center" w:pos="4680"/>
        <w:tab w:val="right" w:pos="9360"/>
      </w:tabs>
    </w:pP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56"/>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0" w:line="360" w:lineRule="auto"/>
      <w:jc w:val="both"/>
    </w:pPr>
    <w:rPr>
      <w:rFonts w:ascii="Times New Roman" w:eastAsia="Book Antiqua" w:cs="Times New Roman" w:hAnsi="Times New Roman"/>
      <w:sz w:val="24"/>
      <w:szCs w:val="22"/>
      <w:shd w:val="clear" w:color="auto" w:fill="FFFFFF"/>
      <w:lang w:val="en-GB" w:eastAsia="en-US" w:bidi="ar-SA"/>
    </w:rPr>
  </w:style>
  <w:style w:type="paragraph" w:styleId="1">
    <w:name w:val="heading 1"/>
    <w:basedOn w:val="0"/>
    <w:next w:val="0"/>
    <w:pPr>
      <w:keepNext/>
      <w:keepLines/>
      <w:jc w:val="left"/>
      <w:outlineLvl w:val="0"/>
    </w:pPr>
    <w:rPr>
      <w:rFonts w:eastAsia="黑体" w:cs="Tahoma"/>
      <w:b/>
      <w:bCs/>
      <w:color w:val="000000"/>
      <w:sz w:val="28"/>
      <w:szCs w:val="28"/>
    </w:rPr>
  </w:style>
  <w:style w:type="paragraph" w:styleId="2">
    <w:name w:val="heading 2"/>
    <w:basedOn w:val="0"/>
    <w:next w:val="0"/>
    <w:pPr>
      <w:keepNext/>
      <w:keepLines/>
      <w:outlineLvl w:val="1"/>
    </w:pPr>
    <w:rPr>
      <w:rFonts w:eastAsia="黑体" w:cs="Tahoma"/>
      <w:bCs/>
      <w:color w:val="000000"/>
      <w:szCs w:val="26"/>
      <w:u w:val="single"/>
    </w:rPr>
  </w:style>
  <w:style w:type="paragraph" w:styleId="3">
    <w:name w:val="heading 3"/>
    <w:basedOn w:val="0"/>
    <w:next w:val="0"/>
    <w:pPr>
      <w:keepNext/>
      <w:keepLines/>
      <w:outlineLvl w:val="2"/>
    </w:pPr>
    <w:rPr>
      <w:rFonts w:eastAsia="黑体" w:cs="Tahoma"/>
      <w:b/>
      <w:bCs/>
      <w:i/>
      <w:color w:val="000000"/>
    </w:rPr>
  </w:style>
  <w:style w:type="paragraph" w:styleId="4">
    <w:name w:val="heading 4"/>
    <w:basedOn w:val="0"/>
    <w:next w:val="0"/>
    <w:pPr>
      <w:keepNext/>
      <w:keepLines/>
      <w:spacing w:before="200"/>
      <w:outlineLvl w:val="3"/>
    </w:pPr>
    <w:rPr>
      <w:rFonts w:ascii="Lucida Sans" w:eastAsia="黑体" w:cs="Tahoma" w:hAnsi="Lucida Sans"/>
      <w:b/>
      <w:bCs/>
      <w:i/>
      <w:iCs/>
      <w:color w:val="4F81BD"/>
    </w:rPr>
  </w:style>
  <w:style w:type="paragraph" w:styleId="5">
    <w:name w:val="heading 5"/>
    <w:basedOn w:val="0"/>
    <w:next w:val="0"/>
    <w:pPr>
      <w:keepNext/>
      <w:keepLines/>
      <w:spacing w:before="200"/>
      <w:outlineLvl w:val="4"/>
    </w:pPr>
    <w:rPr>
      <w:rFonts w:ascii="Lucida Sans" w:eastAsia="黑体" w:cs="Tahoma" w:hAnsi="Lucida Sans"/>
      <w:color w:val="243F60"/>
    </w:rPr>
  </w:style>
  <w:style w:type="paragraph" w:styleId="6">
    <w:name w:val="heading 6"/>
    <w:basedOn w:val="0"/>
    <w:next w:val="0"/>
    <w:pPr>
      <w:keepNext/>
      <w:keepLines/>
      <w:spacing w:before="200"/>
      <w:outlineLvl w:val="5"/>
    </w:pPr>
    <w:rPr>
      <w:rFonts w:ascii="Lucida Sans" w:eastAsia="黑体" w:cs="Tahoma" w:hAnsi="Lucida Sans"/>
      <w:i/>
      <w:iCs/>
      <w:color w:val="243F60"/>
    </w:rPr>
  </w:style>
  <w:style w:type="character" w:default="1" w:styleId="10">
    <w:name w:val="Default Paragraph Font"/>
  </w:style>
  <w:style w:type="character" w:customStyle="1" w:styleId="15">
    <w:name w:val="m_15408485597120198gmail-apple-converted-space"/>
    <w:basedOn w:val="10"/>
  </w:style>
  <w:style w:type="paragraph" w:customStyle="1" w:styleId="16">
    <w:name w:val="List Paragraph"/>
    <w:basedOn w:val="0"/>
    <w:pPr>
      <w:ind w:left="720"/>
      <w:contextualSpacing/>
    </w:pPr>
    <w:rPr>
      <w:lang w:val="ms-MY"/>
    </w:rPr>
  </w:style>
  <w:style w:type="paragraph" w:styleId="17">
    <w:name w:val="footnote text"/>
    <w:basedOn w:val="0"/>
    <w:pPr>
      <w:spacing w:line="240" w:lineRule="auto"/>
    </w:pPr>
    <w:rPr>
      <w:sz w:val="20"/>
      <w:szCs w:val="20"/>
    </w:rPr>
  </w:style>
  <w:style w:type="character" w:styleId="18">
    <w:name w:val="footnote reference"/>
    <w:basedOn w:val="10"/>
    <w:rPr>
      <w:vertAlign w:val="superscript"/>
    </w:rPr>
  </w:style>
  <w:style w:type="paragraph" w:styleId="19">
    <w:name w:val="Balloon Text"/>
    <w:basedOn w:val="0"/>
    <w:pPr>
      <w:spacing w:line="240" w:lineRule="auto"/>
    </w:pPr>
    <w:rPr>
      <w:rFonts w:ascii="Tahoma" w:cs="Tahoma" w:hAnsi="Tahoma"/>
      <w:sz w:val="16"/>
      <w:szCs w:val="16"/>
    </w:rPr>
  </w:style>
  <w:style w:type="paragraph" w:styleId="20">
    <w:name w:val="caption"/>
    <w:basedOn w:val="0"/>
    <w:next w:val="0"/>
    <w:pPr>
      <w:spacing w:after="200" w:line="240" w:lineRule="auto"/>
    </w:pPr>
    <w:rPr>
      <w:b/>
      <w:bCs/>
      <w:color w:val="4F81BD"/>
      <w:sz w:val="18"/>
      <w:szCs w:val="18"/>
    </w:rPr>
  </w:style>
  <w:style w:type="paragraph" w:styleId="21">
    <w:name w:val="header"/>
    <w:basedOn w:val="0"/>
    <w:pPr>
      <w:tabs>
        <w:tab w:val="center" w:pos="4680"/>
        <w:tab w:val="right" w:pos="9360"/>
      </w:tabs>
      <w:spacing w:line="240" w:lineRule="auto"/>
    </w:pPr>
  </w:style>
  <w:style w:type="paragraph" w:styleId="22">
    <w:name w:val="footer"/>
    <w:basedOn w:val="0"/>
    <w:pPr>
      <w:tabs>
        <w:tab w:val="center" w:pos="4680"/>
        <w:tab w:val="right" w:pos="9360"/>
      </w:tabs>
      <w:spacing w:line="240" w:lineRule="auto"/>
    </w:pPr>
  </w:style>
  <w:style w:type="character" w:styleId="23">
    <w:name w:val="Hyperlink"/>
    <w:basedOn w:val="10"/>
    <w:rPr>
      <w:color w:val="0000FF"/>
      <w:u w:val="single"/>
    </w:rPr>
  </w:style>
  <w:style w:type="character" w:customStyle="1" w:styleId="24">
    <w:name w:val="aqj"/>
    <w:basedOn w:val="10"/>
  </w:style>
  <w:style w:type="paragraph" w:customStyle="1" w:styleId="25">
    <w:name w:val="Bibliography"/>
    <w:basedOn w:val="0"/>
    <w:next w:val="0"/>
  </w:style>
  <w:style w:type="paragraph" w:styleId="26">
    <w:name w:val="Title"/>
    <w:basedOn w:val="0"/>
    <w:next w:val="0"/>
    <w:pPr>
      <w:pBdr>
        <w:bottom w:val="single" w:sz="8" w:space="4" w:color="4F81BD"/>
      </w:pBdr>
      <w:spacing w:after="300" w:line="240" w:lineRule="auto"/>
      <w:contextualSpacing/>
      <w:jc w:val="center"/>
    </w:pPr>
    <w:rPr>
      <w:rFonts w:eastAsia="黑体" w:cs="Tahoma"/>
      <w:spacing w:val="5"/>
      <w:kern w:val="28"/>
      <w:sz w:val="52"/>
      <w:szCs w:val="52"/>
    </w:rPr>
  </w:style>
  <w:style w:type="paragraph" w:customStyle="1" w:styleId="27">
    <w:name w:val="m_8772925966304752777m_2501475125118583379gmail-msolistparagraph"/>
    <w:basedOn w:val="0"/>
    <w:pPr>
      <w:spacing w:before="100" w:beforeAutospacing="1" w:after="100" w:afterAutospacing="1" w:line="240" w:lineRule="auto"/>
      <w:jc w:val="left"/>
    </w:pPr>
    <w:rPr>
      <w:rFonts w:eastAsia="Times New Roman" w:cs="Times New Roman"/>
      <w:szCs w:val="24"/>
    </w:rPr>
  </w:style>
  <w:style w:type="paragraph" w:customStyle="1" w:styleId="28">
    <w:name w:val="TOC Heading"/>
    <w:basedOn w:val="1"/>
    <w:autoRedefine/>
    <w:next w:val="0"/>
    <w:pPr>
      <w:spacing w:before="480" w:line="276" w:lineRule="auto"/>
      <w:jc w:val="center"/>
      <w:outlineLvl w:val="9"/>
    </w:pPr>
  </w:style>
  <w:style w:type="paragraph" w:styleId="29">
    <w:name w:val="toc 2"/>
    <w:basedOn w:val="0"/>
    <w:autoRedefine/>
    <w:next w:val="0"/>
    <w:pPr>
      <w:spacing w:after="100"/>
      <w:ind w:left="240"/>
    </w:pPr>
  </w:style>
  <w:style w:type="paragraph" w:styleId="30">
    <w:name w:val="toc 1"/>
    <w:basedOn w:val="0"/>
    <w:autoRedefine/>
    <w:next w:val="0"/>
    <w:pPr>
      <w:spacing w:after="100"/>
    </w:pPr>
  </w:style>
  <w:style w:type="paragraph" w:customStyle="1" w:styleId="31">
    <w:name w:val="No Spacing"/>
    <w:pPr>
      <w:spacing w:after="0" w:line="240" w:lineRule="auto"/>
      <w:jc w:val="both"/>
    </w:pPr>
    <w:rPr>
      <w:rFonts w:ascii="Times New Roman" w:eastAsia="Book Antiqua" w:cs="Times New Roman" w:hAnsi="Times New Roman"/>
      <w:sz w:val="24"/>
      <w:szCs w:val="22"/>
      <w:lang w:val="en-US" w:eastAsia="en-US" w:bidi="ar-SA"/>
    </w:rPr>
  </w:style>
  <w:style w:type="paragraph" w:styleId="32">
    <w:name w:val="table of figures"/>
    <w:basedOn w:val="0"/>
    <w:next w:val="0"/>
  </w:style>
  <w:style w:type="paragraph" w:styleId="33">
    <w:name w:val="Normal (Web)"/>
    <w:basedOn w:val="0"/>
    <w:pPr>
      <w:spacing w:before="100" w:beforeAutospacing="1" w:after="100" w:afterAutospacing="1" w:line="240" w:lineRule="auto"/>
      <w:jc w:val="left"/>
    </w:pPr>
    <w:rPr>
      <w:rFonts w:eastAsia="Times New Roman" w:cs="Times New Roman"/>
      <w:szCs w:val="24"/>
      <w:shd w:val="clear" w:color="auto" w:fill="auto"/>
    </w:rPr>
  </w:style>
  <w:style w:type="paragraph" w:styleId="34">
    <w:name w:val="toc 3"/>
    <w:basedOn w:val="0"/>
    <w:autoRedefine/>
    <w:next w:val="0"/>
    <w:pPr>
      <w:spacing w:after="100"/>
      <w:ind w:left="480"/>
    </w:pPr>
  </w:style>
  <w:style w:type="character" w:customStyle="1" w:styleId="35">
    <w:name w:val="Placeholder Text"/>
    <w:basedOn w:val="10"/>
    <w:rPr>
      <w:color w:val="808080"/>
    </w:rPr>
  </w:style>
  <w:style w:type="character" w:styleId="36">
    <w:name w:val="Strong"/>
    <w:basedOn w:val="10"/>
    <w:rPr>
      <w:b/>
      <w:bCs/>
    </w:rPr>
  </w:style>
  <w:style w:type="paragraph" w:customStyle="1" w:styleId="37">
    <w:name w:val="m_-4188834022657756158gmail-msolistparagraph"/>
    <w:basedOn w:val="0"/>
    <w:pPr>
      <w:spacing w:before="100" w:beforeAutospacing="1" w:after="100" w:afterAutospacing="1" w:line="240" w:lineRule="auto"/>
      <w:jc w:val="left"/>
    </w:pPr>
    <w:rPr>
      <w:rFonts w:eastAsia="Times New Roman" w:cs="Times New Roman"/>
      <w:color w:val="000000"/>
      <w:szCs w:val="24"/>
      <w:shd w:val="clear" w:color="auto" w:fill="auto"/>
    </w:rPr>
  </w:style>
  <w:style w:type="paragraph" w:customStyle="1" w:styleId="38">
    <w:name w:val="Normal1"/>
    <w:pPr>
      <w:spacing w:after="0" w:line="276" w:lineRule="auto"/>
    </w:pPr>
    <w:rPr>
      <w:rFonts w:ascii="Arial" w:eastAsia="Arial" w:cs="Arial" w:hAnsi="Arial"/>
      <w:sz w:val="22"/>
      <w:szCs w:val="22"/>
      <w:lang w:val="en-US" w:eastAsia="en-US" w:bidi="ar-SA"/>
    </w:rPr>
  </w:style>
  <w:style w:type="character" w:styleId="39">
    <w:name w:val="annotation reference"/>
    <w:basedOn w:val="10"/>
    <w:rPr>
      <w:sz w:val="16"/>
      <w:szCs w:val="16"/>
    </w:rPr>
  </w:style>
  <w:style w:type="paragraph" w:styleId="40">
    <w:name w:val="annotation text"/>
    <w:basedOn w:val="0"/>
    <w:pPr>
      <w:spacing w:line="240" w:lineRule="auto"/>
      <w:jc w:val="left"/>
    </w:pPr>
    <w:rPr>
      <w:rFonts w:ascii="Arial" w:eastAsia="Arial" w:cs="Arial" w:hAnsi="Arial"/>
      <w:sz w:val="20"/>
      <w:szCs w:val="20"/>
      <w:shd w:val="clear" w:color="auto" w:fill="auto"/>
    </w:rPr>
  </w:style>
  <w:style w:type="paragraph" w:styleId="41">
    <w:name w:val="annotation subject"/>
    <w:basedOn w:val="40"/>
    <w:next w:val="40"/>
    <w:pPr>
      <w:jc w:val="both"/>
    </w:pPr>
    <w:rPr>
      <w:rFonts w:ascii="Times New Roman" w:eastAsia="Book Antiqua" w:cs="Times New Roman" w:hAnsi="Times New Roman"/>
      <w:b/>
      <w:bCs/>
      <w:color w:val="000000"/>
    </w:rPr>
  </w:style>
  <w:style w:type="paragraph" w:customStyle="1" w:styleId="42">
    <w:name w:val="Default"/>
    <w:pPr>
      <w:autoSpaceDE w:val="0"/>
      <w:autoSpaceDN w:val="0"/>
      <w:adjustRightInd w:val="0"/>
      <w:spacing w:after="0" w:line="240" w:lineRule="auto"/>
    </w:pPr>
    <w:rPr>
      <w:rFonts w:ascii="Arial" w:eastAsia="Book Antiqua" w:cs="Arial" w:hAnsi="Arial"/>
      <w:color w:val="000000"/>
      <w:sz w:val="24"/>
      <w:szCs w:val="24"/>
      <w:lang w:val="en-US" w:eastAsia="en-US" w:bidi="ar-SA"/>
    </w:rPr>
  </w:style>
  <w:style w:type="character" w:styleId="43">
    <w:name w:val="FollowedHyperlink"/>
    <w:basedOn w:val="10"/>
    <w:rPr>
      <w:color w:val="800080"/>
      <w:u w:val="single"/>
    </w:rPr>
  </w:style>
  <w:style w:type="paragraph" w:customStyle="1" w:styleId="44">
    <w:name w:val="Table Paragraph"/>
    <w:basedOn w:val="0"/>
    <w:pPr>
      <w:widowControl w:val="0"/>
      <w:autoSpaceDE w:val="0"/>
      <w:autoSpaceDN w:val="0"/>
      <w:spacing w:line="240" w:lineRule="auto"/>
      <w:jc w:val="left"/>
    </w:pPr>
    <w:rPr>
      <w:rFonts w:ascii="Carlito" w:eastAsia="Carlito" w:cs="Carlito" w:hAnsi="Carlito"/>
      <w:sz w:val="22"/>
      <w:shd w:val="clear" w:color="auto" w:fill="auto"/>
    </w:rPr>
  </w:style>
  <w:style w:type="character" w:customStyle="1" w:styleId="45">
    <w:name w:val="fontstyle01"/>
    <w:basedOn w:val="10"/>
    <w:rPr>
      <w:rFonts w:ascii="Arial-BoldMT" w:hAnsi="Arial-BoldMT"/>
      <w:b/>
      <w:bCs/>
      <w:i w:val="0"/>
      <w:iCs w:val="0"/>
      <w:color w:val="000000"/>
      <w:sz w:val="22"/>
      <w:szCs w:val="22"/>
    </w:rPr>
  </w:style>
  <w:style w:type="paragraph" w:styleId="46">
    <w:name w:val="Document Map"/>
    <w:basedOn w:val="0"/>
    <w:pPr>
      <w:spacing w:line="240" w:lineRule="auto"/>
    </w:pPr>
    <w:rPr>
      <w:rFonts w:ascii="Tahoma" w:cs="Tahoma" w:hAnsi="Tahoma"/>
      <w:sz w:val="16"/>
      <w:szCs w:val="16"/>
    </w:rPr>
  </w:style>
  <w:style w:type="character" w:styleId="47">
    <w:name w:val="Emphasis"/>
    <w:basedOn w:val="10"/>
    <w:rPr>
      <w:i/>
      <w:iCs/>
    </w:rPr>
  </w:style>
  <w:style w:type="paragraph" w:styleId="48">
    <w:name w:val="Body Text 3"/>
    <w:basedOn w:val="0"/>
    <w:pPr>
      <w:spacing w:line="240" w:lineRule="auto"/>
      <w:jc w:val="left"/>
    </w:pPr>
    <w:rPr>
      <w:rFonts w:ascii="Arial" w:eastAsia="Times New Roman" w:cs="Times New Roman" w:hAnsi="Arial"/>
      <w:b/>
      <w:bCs/>
      <w:szCs w:val="20"/>
      <w:shd w:val="clear" w:color="auto" w:fill="auto"/>
      <w:lang w:val="lv-LV"/>
    </w:rPr>
  </w:style>
  <w:style w:type="paragraph" w:customStyle="1" w:styleId="49">
    <w:name w:val="ID-text"/>
    <w:basedOn w:val="0"/>
    <w:pPr>
      <w:ind w:firstLine="567"/>
    </w:pPr>
    <w:rPr>
      <w:rFonts w:eastAsia="Times New Roman" w:cs="Times New Roman"/>
      <w:szCs w:val="24"/>
      <w:shd w:val="clear" w:color="auto" w:fill="auto"/>
      <w:lang w:val="ru-RU" w:eastAsia="lv-LV"/>
    </w:rPr>
  </w:style>
  <w:style w:type="paragraph" w:styleId="50">
    <w:name w:val="Body Text"/>
    <w:basedOn w:val="0"/>
    <w:pPr>
      <w:spacing w:after="120"/>
    </w:pPr>
  </w:style>
  <w:style w:type="paragraph" w:styleId="51">
    <w:name w:val="Body Text Indent 2"/>
    <w:basedOn w:val="0"/>
    <w:pPr>
      <w:spacing w:after="120" w:line="480" w:lineRule="auto"/>
      <w:ind w:left="283"/>
    </w:pPr>
  </w:style>
  <w:style w:type="paragraph" w:styleId="52">
    <w:name w:val="Subtitle"/>
    <w:basedOn w:val="0"/>
    <w:next w:val="0"/>
    <w:pPr>
      <w:jc w:val="center"/>
    </w:pPr>
    <w:rPr>
      <w:rFonts w:ascii="Lucida Sans" w:eastAsia="黑体" w:cs="Tahoma" w:hAnsi="Lucida Sans"/>
      <w:i/>
      <w:iCs/>
      <w:color w:val="4F81BD"/>
      <w:spacing w:val="15"/>
      <w:szCs w:val="24"/>
    </w:rPr>
  </w:style>
  <w:style w:type="character" w:customStyle="1" w:styleId="53">
    <w:name w:val="Unresolved Mention"/>
    <w:basedOn w:val="10"/>
    <w:rPr>
      <w:color w:val="605E5C"/>
      <w:shd w:val="clear" w:color="auto" w:fill="E1DFDD"/>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styles" Target="styles.xml"/><Relationship Id="rId5" Type="http://schemas.openxmlformats.org/officeDocument/2006/relationships/fontTable" Target="fontTable.xml"/></Relationships>
</file>

<file path=docProps/app.xml><?xml version="1.0" encoding="utf-8"?>
<Properties xmlns="http://schemas.openxmlformats.org/officeDocument/2006/extended-properties">
  <Template>Normal.eit</Template>
  <TotalTime>89</TotalTime>
  <Application>Office</Application>
  <Pages>19</Pages>
  <Words>3979</Words>
  <Characters>24941</Characters>
  <Lines>404</Lines>
  <Paragraphs>97</Paragraphs>
  <CharactersWithSpaces>28860</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Admin</dc:creator>
  <cp:lastModifiedBy>Mobile phone user</cp:lastModifiedBy>
  <cp:revision>205</cp:revision>
  <dcterms:created xsi:type="dcterms:W3CDTF">2026-04-20T06:01:00Z</dcterms:created>
  <dcterms:modified xsi:type="dcterms:W3CDTF">2026-04-21T01:00:06Z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