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E84638" w14:textId="77777777" w:rsidR="00DB62B0" w:rsidRDefault="00507735">
      <w:pPr>
        <w:spacing w:after="0" w:line="240" w:lineRule="auto"/>
        <w:jc w:val="center"/>
        <w:rPr>
          <w:rFonts w:ascii="Arial" w:eastAsia="Aptos" w:hAnsi="Arial" w:cs="Arial"/>
          <w:kern w:val="2"/>
          <w14:ligatures w14:val="standardContextual"/>
        </w:rPr>
      </w:pPr>
      <w:r>
        <w:rPr>
          <w:rFonts w:ascii="Arial" w:eastAsia="Aptos" w:hAnsi="Arial" w:cs="Arial"/>
          <w:kern w:val="2"/>
          <w14:ligatures w14:val="standardContextual"/>
        </w:rPr>
        <w:fldChar w:fldCharType="begin"/>
      </w:r>
      <w:r>
        <w:rPr>
          <w:rFonts w:ascii="Arial" w:eastAsia="Aptos" w:hAnsi="Arial" w:cs="Arial"/>
          <w:kern w:val="2"/>
          <w14:ligatures w14:val="standardContextual"/>
        </w:rPr>
        <w:instrText xml:space="preserve"> INCLUDEPICTURE "/Users/AzZedin01/Library/Group Containers/UBF8T346G9.ms/WebArchiveCopyPasteTempFiles/com.microsoft.Word/8P2xdp3q1g646AAAAAElFTkSuQmCC" \* MERGEFORMATINET </w:instrText>
      </w:r>
      <w:r>
        <w:rPr>
          <w:rFonts w:ascii="Arial" w:eastAsia="Aptos" w:hAnsi="Arial" w:cs="Arial"/>
          <w:kern w:val="2"/>
          <w14:ligatures w14:val="standardContextual"/>
        </w:rPr>
        <w:fldChar w:fldCharType="separate"/>
      </w:r>
      <w:r>
        <w:rPr>
          <w:rFonts w:ascii="Arial" w:eastAsia="Aptos" w:hAnsi="Arial" w:cs="Arial"/>
          <w:noProof/>
          <w:kern w:val="2"/>
          <w:lang w:val="en-US"/>
          <w14:ligatures w14:val="standardContextual"/>
        </w:rPr>
        <w:drawing>
          <wp:inline distT="0" distB="0" distL="0" distR="0" wp14:anchorId="0B47144C" wp14:editId="40E25BFC">
            <wp:extent cx="1235075" cy="1169670"/>
            <wp:effectExtent l="0" t="0" r="0" b="0"/>
            <wp:docPr id="101200914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009146" name="Picture 1"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1251649" cy="1184790"/>
                    </a:xfrm>
                    <a:prstGeom prst="rect">
                      <a:avLst/>
                    </a:prstGeom>
                    <a:noFill/>
                    <a:ln>
                      <a:noFill/>
                    </a:ln>
                  </pic:spPr>
                </pic:pic>
              </a:graphicData>
            </a:graphic>
          </wp:inline>
        </w:drawing>
      </w:r>
      <w:r>
        <w:rPr>
          <w:rFonts w:ascii="Arial" w:eastAsia="Aptos" w:hAnsi="Arial" w:cs="Arial"/>
          <w:kern w:val="2"/>
          <w14:ligatures w14:val="standardContextual"/>
        </w:rPr>
        <w:fldChar w:fldCharType="end"/>
      </w:r>
    </w:p>
    <w:p w14:paraId="53DABC84" w14:textId="77777777" w:rsidR="00DB62B0" w:rsidRDefault="00DB62B0">
      <w:pPr>
        <w:spacing w:after="0" w:line="240" w:lineRule="auto"/>
        <w:jc w:val="center"/>
        <w:rPr>
          <w:rFonts w:ascii="Arial" w:eastAsia="Aptos" w:hAnsi="Arial" w:cs="Arial"/>
          <w:kern w:val="2"/>
          <w14:ligatures w14:val="standardContextual"/>
        </w:rPr>
      </w:pPr>
    </w:p>
    <w:p w14:paraId="097EFCA2" w14:textId="77777777" w:rsidR="00DB62B0" w:rsidRDefault="00DB62B0">
      <w:pPr>
        <w:spacing w:after="0" w:line="240" w:lineRule="auto"/>
        <w:jc w:val="center"/>
        <w:rPr>
          <w:rFonts w:ascii="Arial" w:eastAsia="Aptos" w:hAnsi="Arial" w:cs="Arial"/>
          <w:kern w:val="2"/>
          <w14:ligatures w14:val="standardContextual"/>
        </w:rPr>
      </w:pPr>
    </w:p>
    <w:p w14:paraId="67AE7CCF" w14:textId="77777777" w:rsidR="00DB62B0" w:rsidRDefault="00DB62B0">
      <w:pPr>
        <w:spacing w:after="0" w:line="240" w:lineRule="auto"/>
        <w:jc w:val="center"/>
        <w:rPr>
          <w:rFonts w:ascii="Arial" w:eastAsia="Aptos" w:hAnsi="Arial" w:cs="Arial"/>
          <w:kern w:val="2"/>
          <w14:ligatures w14:val="standardContextual"/>
        </w:rPr>
      </w:pPr>
    </w:p>
    <w:p w14:paraId="2BF7069D" w14:textId="77777777" w:rsidR="00DB62B0" w:rsidRDefault="00DB62B0">
      <w:pPr>
        <w:spacing w:after="0" w:line="240" w:lineRule="auto"/>
        <w:jc w:val="center"/>
        <w:rPr>
          <w:rFonts w:ascii="Arial" w:eastAsia="Aptos" w:hAnsi="Arial" w:cs="Arial"/>
          <w:kern w:val="2"/>
          <w14:ligatures w14:val="standardContextual"/>
        </w:rPr>
      </w:pPr>
    </w:p>
    <w:p w14:paraId="3EC580B7" w14:textId="77777777" w:rsidR="00DB62B0" w:rsidRDefault="00DB62B0">
      <w:pPr>
        <w:spacing w:after="0" w:line="240" w:lineRule="auto"/>
        <w:jc w:val="center"/>
        <w:rPr>
          <w:rFonts w:ascii="Arial" w:eastAsia="Aptos" w:hAnsi="Arial" w:cs="Arial"/>
          <w:kern w:val="2"/>
          <w14:ligatures w14:val="standardContextual"/>
        </w:rPr>
      </w:pPr>
    </w:p>
    <w:p w14:paraId="39E7B17D" w14:textId="77777777" w:rsidR="00DB62B0" w:rsidRDefault="00507735">
      <w:pPr>
        <w:spacing w:after="0" w:line="240" w:lineRule="auto"/>
        <w:jc w:val="center"/>
        <w:rPr>
          <w:rFonts w:ascii="Arial" w:eastAsia="Aptos" w:hAnsi="Arial" w:cs="Arial"/>
          <w:b/>
          <w:bCs/>
          <w:kern w:val="2"/>
          <w:lang w:val="en-US"/>
          <w14:ligatures w14:val="standardContextual"/>
        </w:rPr>
      </w:pPr>
      <w:r>
        <w:rPr>
          <w:rFonts w:ascii="Arial" w:eastAsia="Aptos" w:hAnsi="Arial" w:cs="Arial"/>
          <w:b/>
          <w:bCs/>
          <w:kern w:val="2"/>
          <w14:ligatures w14:val="standardContextual"/>
        </w:rPr>
        <w:t>Student Name:</w:t>
      </w:r>
      <w:r>
        <w:rPr>
          <w:rFonts w:ascii="Arial" w:eastAsia="Aptos" w:hAnsi="Arial" w:cs="Arial"/>
          <w:b/>
          <w:bCs/>
          <w:kern w:val="2"/>
          <w:lang w:val="en-US"/>
          <w14:ligatures w14:val="standardContextual"/>
        </w:rPr>
        <w:t xml:space="preserve"> </w:t>
      </w:r>
      <w:proofErr w:type="spellStart"/>
      <w:r>
        <w:rPr>
          <w:rFonts w:ascii="Arial" w:eastAsia="Aptos" w:hAnsi="Arial" w:cs="Arial"/>
          <w:b/>
          <w:bCs/>
          <w:kern w:val="2"/>
          <w:lang w:val="en-US"/>
          <w14:ligatures w14:val="standardContextual"/>
        </w:rPr>
        <w:t>Sohel</w:t>
      </w:r>
      <w:proofErr w:type="spellEnd"/>
      <w:r>
        <w:rPr>
          <w:rFonts w:ascii="Arial" w:eastAsia="Aptos" w:hAnsi="Arial" w:cs="Arial"/>
          <w:b/>
          <w:bCs/>
          <w:kern w:val="2"/>
          <w:lang w:val="en-US"/>
          <w14:ligatures w14:val="standardContextual"/>
        </w:rPr>
        <w:t xml:space="preserve"> </w:t>
      </w:r>
      <w:proofErr w:type="spellStart"/>
      <w:r>
        <w:rPr>
          <w:rFonts w:ascii="Arial" w:eastAsia="Aptos" w:hAnsi="Arial" w:cs="Arial"/>
          <w:b/>
          <w:bCs/>
          <w:kern w:val="2"/>
          <w:lang w:val="en-US"/>
          <w14:ligatures w14:val="standardContextual"/>
        </w:rPr>
        <w:t>Rana</w:t>
      </w:r>
      <w:proofErr w:type="spellEnd"/>
    </w:p>
    <w:p w14:paraId="0890ED6B" w14:textId="77777777" w:rsidR="00DB62B0" w:rsidRDefault="00DB62B0">
      <w:pPr>
        <w:spacing w:after="0" w:line="240" w:lineRule="auto"/>
        <w:jc w:val="center"/>
        <w:rPr>
          <w:rFonts w:ascii="Arial" w:eastAsia="Aptos" w:hAnsi="Arial" w:cs="Arial"/>
          <w:b/>
          <w:bCs/>
          <w:kern w:val="2"/>
          <w14:ligatures w14:val="standardContextual"/>
        </w:rPr>
      </w:pPr>
    </w:p>
    <w:p w14:paraId="3AF0CFA7" w14:textId="77777777" w:rsidR="00DB62B0" w:rsidRDefault="00507735">
      <w:pPr>
        <w:spacing w:after="0" w:line="240" w:lineRule="auto"/>
        <w:jc w:val="center"/>
        <w:rPr>
          <w:rFonts w:ascii="Arial" w:eastAsia="Aptos" w:hAnsi="Arial" w:cs="Arial"/>
          <w:b/>
          <w:bCs/>
          <w:kern w:val="2"/>
          <w:lang w:val="en-US"/>
          <w14:ligatures w14:val="standardContextual"/>
        </w:rPr>
      </w:pPr>
      <w:r>
        <w:rPr>
          <w:rFonts w:ascii="Arial" w:eastAsia="Aptos" w:hAnsi="Arial" w:cs="Arial"/>
          <w:b/>
          <w:bCs/>
          <w:kern w:val="2"/>
          <w14:ligatures w14:val="standardContextual"/>
        </w:rPr>
        <w:t>Student ID:</w:t>
      </w:r>
      <w:r>
        <w:rPr>
          <w:rFonts w:ascii="Arial" w:eastAsia="Aptos" w:hAnsi="Arial" w:cs="Arial"/>
          <w:b/>
          <w:bCs/>
          <w:kern w:val="2"/>
          <w:lang w:val="en-US"/>
          <w14:ligatures w14:val="standardContextual"/>
        </w:rPr>
        <w:t xml:space="preserve"> 2427128</w:t>
      </w:r>
    </w:p>
    <w:p w14:paraId="435B12D5" w14:textId="77777777" w:rsidR="00DB62B0" w:rsidRDefault="00DB62B0">
      <w:pPr>
        <w:spacing w:after="0" w:line="240" w:lineRule="auto"/>
        <w:jc w:val="center"/>
        <w:rPr>
          <w:rFonts w:ascii="Arial" w:eastAsia="Aptos" w:hAnsi="Arial" w:cs="Arial"/>
          <w:kern w:val="2"/>
          <w14:ligatures w14:val="standardContextual"/>
        </w:rPr>
      </w:pPr>
    </w:p>
    <w:p w14:paraId="17EE5511" w14:textId="77777777" w:rsidR="00DB62B0" w:rsidRDefault="00DB62B0">
      <w:pPr>
        <w:spacing w:after="0" w:line="240" w:lineRule="auto"/>
        <w:jc w:val="center"/>
        <w:rPr>
          <w:rFonts w:ascii="Arial" w:eastAsia="Aptos" w:hAnsi="Arial" w:cs="Arial"/>
          <w:kern w:val="2"/>
          <w14:ligatures w14:val="standardContextual"/>
        </w:rPr>
      </w:pPr>
    </w:p>
    <w:p w14:paraId="2D421EEE" w14:textId="77777777" w:rsidR="00DB62B0" w:rsidRDefault="00507735">
      <w:pPr>
        <w:spacing w:after="0" w:line="240" w:lineRule="auto"/>
        <w:jc w:val="center"/>
        <w:rPr>
          <w:rFonts w:ascii="Arial" w:eastAsia="Aptos" w:hAnsi="Arial" w:cs="Arial"/>
          <w:b/>
          <w:bCs/>
          <w:kern w:val="2"/>
          <w14:ligatures w14:val="standardContextual"/>
        </w:rPr>
      </w:pPr>
      <w:r>
        <w:rPr>
          <w:rFonts w:ascii="Arial" w:eastAsia="Aptos" w:hAnsi="Arial" w:cs="Arial"/>
          <w:b/>
          <w:bCs/>
          <w:kern w:val="2"/>
          <w14:ligatures w14:val="standardContextual"/>
        </w:rPr>
        <w:t>Module Name: Marketing Management</w:t>
      </w:r>
    </w:p>
    <w:p w14:paraId="5CA95B50" w14:textId="77777777" w:rsidR="00DB62B0" w:rsidRDefault="00DB62B0">
      <w:pPr>
        <w:spacing w:after="0" w:line="240" w:lineRule="auto"/>
        <w:jc w:val="center"/>
        <w:rPr>
          <w:rFonts w:ascii="Arial" w:eastAsia="Aptos" w:hAnsi="Arial" w:cs="Arial"/>
          <w:b/>
          <w:bCs/>
          <w:kern w:val="2"/>
          <w14:ligatures w14:val="standardContextual"/>
        </w:rPr>
      </w:pPr>
    </w:p>
    <w:p w14:paraId="6820F782" w14:textId="77777777" w:rsidR="00DB62B0" w:rsidRDefault="00507735">
      <w:pPr>
        <w:spacing w:after="0" w:line="240" w:lineRule="auto"/>
        <w:jc w:val="center"/>
        <w:rPr>
          <w:rFonts w:ascii="Arial" w:eastAsia="Aptos" w:hAnsi="Arial" w:cs="Arial"/>
          <w:b/>
          <w:bCs/>
          <w:kern w:val="2"/>
          <w14:ligatures w14:val="standardContextual"/>
        </w:rPr>
      </w:pPr>
      <w:r>
        <w:rPr>
          <w:rFonts w:ascii="Arial" w:eastAsia="Aptos" w:hAnsi="Arial" w:cs="Arial"/>
          <w:b/>
          <w:bCs/>
          <w:kern w:val="2"/>
          <w14:ligatures w14:val="standardContextual"/>
        </w:rPr>
        <w:t>Module Code: LCMB7024</w:t>
      </w:r>
    </w:p>
    <w:p w14:paraId="53C42233" w14:textId="77777777" w:rsidR="00DB62B0" w:rsidRDefault="00DB62B0">
      <w:pPr>
        <w:spacing w:after="0" w:line="240" w:lineRule="auto"/>
        <w:jc w:val="center"/>
        <w:rPr>
          <w:rFonts w:ascii="Arial" w:eastAsia="Aptos" w:hAnsi="Arial" w:cs="Arial"/>
          <w:b/>
          <w:bCs/>
          <w:kern w:val="2"/>
          <w14:ligatures w14:val="standardContextual"/>
        </w:rPr>
      </w:pPr>
    </w:p>
    <w:p w14:paraId="2660CE8D" w14:textId="77777777" w:rsidR="00DB62B0" w:rsidRDefault="00DB62B0">
      <w:pPr>
        <w:spacing w:after="0" w:line="240" w:lineRule="auto"/>
        <w:jc w:val="center"/>
        <w:rPr>
          <w:rFonts w:ascii="Arial" w:eastAsia="Aptos" w:hAnsi="Arial" w:cs="Arial"/>
          <w:b/>
          <w:bCs/>
          <w:kern w:val="2"/>
          <w14:ligatures w14:val="standardContextual"/>
        </w:rPr>
      </w:pPr>
    </w:p>
    <w:p w14:paraId="6AE0D0C2" w14:textId="77777777" w:rsidR="00DB62B0" w:rsidRDefault="00DB62B0">
      <w:pPr>
        <w:spacing w:after="0" w:line="240" w:lineRule="auto"/>
        <w:jc w:val="center"/>
        <w:rPr>
          <w:rFonts w:ascii="Arial" w:eastAsia="Aptos" w:hAnsi="Arial" w:cs="Arial"/>
          <w:b/>
          <w:bCs/>
          <w:kern w:val="2"/>
          <w14:ligatures w14:val="standardContextual"/>
        </w:rPr>
      </w:pPr>
    </w:p>
    <w:p w14:paraId="4DB5A500" w14:textId="77777777" w:rsidR="00DB62B0" w:rsidRDefault="00DB62B0">
      <w:pPr>
        <w:spacing w:after="0" w:line="240" w:lineRule="auto"/>
        <w:jc w:val="center"/>
        <w:rPr>
          <w:rFonts w:ascii="Arial" w:eastAsia="Aptos" w:hAnsi="Arial" w:cs="Arial"/>
          <w:b/>
          <w:bCs/>
          <w:kern w:val="2"/>
          <w14:ligatures w14:val="standardContextual"/>
        </w:rPr>
      </w:pPr>
    </w:p>
    <w:p w14:paraId="4C87DAE0" w14:textId="03F37339" w:rsidR="00DB62B0" w:rsidRDefault="00507735">
      <w:pPr>
        <w:spacing w:after="0" w:line="240" w:lineRule="auto"/>
        <w:jc w:val="center"/>
        <w:rPr>
          <w:rFonts w:ascii="Arial" w:eastAsia="Aptos" w:hAnsi="Arial" w:cs="Arial"/>
          <w:b/>
          <w:bCs/>
          <w:kern w:val="2"/>
          <w:lang w:val="en-US"/>
          <w14:ligatures w14:val="standardContextual"/>
        </w:rPr>
      </w:pPr>
      <w:r>
        <w:rPr>
          <w:rFonts w:ascii="Arial" w:eastAsia="Aptos" w:hAnsi="Arial" w:cs="Arial"/>
          <w:b/>
          <w:bCs/>
          <w:kern w:val="2"/>
          <w14:ligatures w14:val="standardContextual"/>
        </w:rPr>
        <w:t>Lecturer’s Name:</w:t>
      </w:r>
      <w:proofErr w:type="spellStart"/>
      <w:r>
        <w:rPr>
          <w:rFonts w:ascii="Arial" w:eastAsia="Aptos" w:hAnsi="Arial" w:cs="Arial"/>
          <w:b/>
          <w:bCs/>
          <w:kern w:val="2"/>
          <w:lang w:val="en-US"/>
          <w14:ligatures w14:val="standardContextual"/>
        </w:rPr>
        <w:t>Dr</w:t>
      </w:r>
      <w:proofErr w:type="spellEnd"/>
      <w:r>
        <w:rPr>
          <w:rFonts w:ascii="Arial" w:eastAsia="Aptos" w:hAnsi="Arial" w:cs="Arial"/>
          <w:b/>
          <w:bCs/>
          <w:kern w:val="2"/>
          <w:lang w:val="en-US"/>
          <w14:ligatures w14:val="standardContextual"/>
        </w:rPr>
        <w:t xml:space="preserve"> Laila </w:t>
      </w:r>
      <w:proofErr w:type="spellStart"/>
      <w:r>
        <w:rPr>
          <w:rFonts w:ascii="Arial" w:eastAsia="Aptos" w:hAnsi="Arial" w:cs="Arial"/>
          <w:b/>
          <w:bCs/>
          <w:kern w:val="2"/>
          <w:lang w:val="en-US"/>
          <w14:ligatures w14:val="standardContextual"/>
        </w:rPr>
        <w:t>Maa</w:t>
      </w:r>
      <w:r w:rsidR="00C97D37">
        <w:rPr>
          <w:rFonts w:ascii="Arial" w:eastAsia="Aptos" w:hAnsi="Arial" w:cs="Arial"/>
          <w:b/>
          <w:bCs/>
          <w:kern w:val="2"/>
          <w:lang w:val="en-US"/>
          <w14:ligatures w14:val="standardContextual"/>
        </w:rPr>
        <w:t>z</w:t>
      </w:r>
      <w:r>
        <w:rPr>
          <w:rFonts w:ascii="Arial" w:eastAsia="Aptos" w:hAnsi="Arial" w:cs="Arial"/>
          <w:b/>
          <w:bCs/>
          <w:kern w:val="2"/>
          <w:lang w:val="en-US"/>
          <w14:ligatures w14:val="standardContextual"/>
        </w:rPr>
        <w:t>ouz</w:t>
      </w:r>
      <w:proofErr w:type="spellEnd"/>
    </w:p>
    <w:p w14:paraId="12E4901B" w14:textId="77777777" w:rsidR="00DB62B0" w:rsidRDefault="00DB62B0">
      <w:pPr>
        <w:spacing w:after="0" w:line="240" w:lineRule="auto"/>
        <w:jc w:val="center"/>
        <w:rPr>
          <w:rFonts w:ascii="Arial" w:eastAsia="Aptos" w:hAnsi="Arial" w:cs="Arial"/>
          <w:b/>
          <w:bCs/>
          <w:kern w:val="2"/>
          <w14:ligatures w14:val="standardContextual"/>
        </w:rPr>
      </w:pPr>
    </w:p>
    <w:p w14:paraId="65790F48" w14:textId="77777777" w:rsidR="00DB62B0" w:rsidRDefault="00DB62B0">
      <w:pPr>
        <w:spacing w:after="0" w:line="240" w:lineRule="auto"/>
        <w:jc w:val="center"/>
        <w:rPr>
          <w:rFonts w:ascii="Arial" w:eastAsia="Aptos" w:hAnsi="Arial" w:cs="Arial"/>
          <w:b/>
          <w:bCs/>
          <w:kern w:val="2"/>
          <w14:ligatures w14:val="standardContextual"/>
        </w:rPr>
      </w:pPr>
    </w:p>
    <w:p w14:paraId="704C3530" w14:textId="77777777" w:rsidR="00DB62B0" w:rsidRDefault="00DB62B0">
      <w:pPr>
        <w:spacing w:after="0" w:line="240" w:lineRule="auto"/>
        <w:jc w:val="left"/>
        <w:rPr>
          <w:rFonts w:ascii="Arial" w:eastAsia="Aptos" w:hAnsi="Arial" w:cs="Arial"/>
          <w:b/>
          <w:bCs/>
          <w:kern w:val="2"/>
          <w14:ligatures w14:val="standardContextual"/>
        </w:rPr>
      </w:pPr>
    </w:p>
    <w:p w14:paraId="36A17231" w14:textId="77777777" w:rsidR="00DB62B0" w:rsidRDefault="00507735">
      <w:pPr>
        <w:spacing w:after="0" w:line="240" w:lineRule="auto"/>
        <w:jc w:val="center"/>
        <w:rPr>
          <w:rFonts w:ascii="Arial" w:eastAsia="Aptos" w:hAnsi="Arial" w:cs="Arial"/>
          <w:b/>
          <w:bCs/>
          <w:kern w:val="2"/>
          <w14:ligatures w14:val="standardContextual"/>
        </w:rPr>
      </w:pPr>
      <w:r>
        <w:rPr>
          <w:rFonts w:ascii="Arial" w:eastAsia="Aptos" w:hAnsi="Arial" w:cs="Arial"/>
          <w:b/>
          <w:bCs/>
          <w:kern w:val="2"/>
          <w14:ligatures w14:val="standardContextual"/>
        </w:rPr>
        <w:t>Work Count: 2590</w:t>
      </w:r>
    </w:p>
    <w:p w14:paraId="6AA69019" w14:textId="77777777" w:rsidR="00DB62B0" w:rsidRDefault="00DB62B0">
      <w:pPr>
        <w:spacing w:after="0" w:line="240" w:lineRule="auto"/>
        <w:jc w:val="center"/>
        <w:rPr>
          <w:rFonts w:ascii="Arial" w:eastAsia="Aptos" w:hAnsi="Arial" w:cs="Arial"/>
          <w:b/>
          <w:bCs/>
          <w:kern w:val="2"/>
          <w:lang w:val="en-US"/>
          <w14:ligatures w14:val="standardContextual"/>
        </w:rPr>
      </w:pPr>
    </w:p>
    <w:p w14:paraId="12F3082B" w14:textId="77777777" w:rsidR="00DB62B0" w:rsidRDefault="00507735">
      <w:pPr>
        <w:spacing w:after="0" w:line="240" w:lineRule="auto"/>
        <w:jc w:val="center"/>
        <w:rPr>
          <w:rFonts w:ascii="Arial" w:eastAsia="Aptos" w:hAnsi="Arial" w:cs="Arial"/>
          <w:b/>
          <w:bCs/>
          <w:kern w:val="2"/>
          <w:lang w:val="en-US"/>
          <w14:ligatures w14:val="standardContextual"/>
        </w:rPr>
      </w:pPr>
      <w:r>
        <w:rPr>
          <w:rFonts w:ascii="Arial" w:eastAsia="Aptos" w:hAnsi="Arial" w:cs="Arial"/>
          <w:b/>
          <w:bCs/>
          <w:kern w:val="2"/>
          <w:lang w:val="en-US"/>
          <w14:ligatures w14:val="standardContextual"/>
        </w:rPr>
        <w:t>Submission deadline:28th March 2025</w:t>
      </w:r>
    </w:p>
    <w:p w14:paraId="108D217B" w14:textId="77777777" w:rsidR="00DB62B0" w:rsidRDefault="00DB62B0">
      <w:pPr>
        <w:spacing w:after="0" w:line="240" w:lineRule="auto"/>
        <w:jc w:val="center"/>
        <w:rPr>
          <w:rFonts w:ascii="Arial" w:eastAsia="Aptos" w:hAnsi="Arial" w:cs="Arial"/>
          <w:b/>
          <w:bCs/>
          <w:kern w:val="2"/>
          <w14:ligatures w14:val="standardContextual"/>
        </w:rPr>
      </w:pPr>
    </w:p>
    <w:p w14:paraId="114A2695" w14:textId="77777777" w:rsidR="00DB62B0" w:rsidRDefault="00DB62B0">
      <w:pPr>
        <w:spacing w:after="0" w:line="240" w:lineRule="auto"/>
        <w:jc w:val="center"/>
        <w:rPr>
          <w:rFonts w:ascii="Arial" w:eastAsia="Aptos" w:hAnsi="Arial" w:cs="Arial"/>
          <w:b/>
          <w:bCs/>
          <w:kern w:val="2"/>
          <w14:ligatures w14:val="standardContextual"/>
        </w:rPr>
      </w:pPr>
    </w:p>
    <w:p w14:paraId="64B6CCC3" w14:textId="77777777" w:rsidR="00DB62B0" w:rsidRDefault="00DB62B0">
      <w:pPr>
        <w:spacing w:after="0" w:line="240" w:lineRule="auto"/>
        <w:jc w:val="center"/>
        <w:rPr>
          <w:rFonts w:ascii="Arial" w:eastAsia="Aptos" w:hAnsi="Arial" w:cs="Arial"/>
          <w:b/>
          <w:bCs/>
          <w:kern w:val="2"/>
          <w14:ligatures w14:val="standardContextual"/>
        </w:rPr>
      </w:pPr>
    </w:p>
    <w:p w14:paraId="53DA3C3D" w14:textId="77777777" w:rsidR="00DB62B0" w:rsidRDefault="00DB62B0">
      <w:pPr>
        <w:spacing w:after="0" w:line="240" w:lineRule="auto"/>
        <w:jc w:val="center"/>
        <w:rPr>
          <w:rFonts w:ascii="Arial" w:eastAsia="Aptos" w:hAnsi="Arial" w:cs="Arial"/>
          <w:b/>
          <w:bCs/>
          <w:kern w:val="2"/>
          <w14:ligatures w14:val="standardContextual"/>
        </w:rPr>
      </w:pPr>
    </w:p>
    <w:p w14:paraId="7645E379" w14:textId="77777777" w:rsidR="00DB62B0" w:rsidRDefault="00DB62B0">
      <w:pPr>
        <w:spacing w:after="0" w:line="240" w:lineRule="auto"/>
        <w:jc w:val="center"/>
        <w:rPr>
          <w:rFonts w:ascii="Arial" w:eastAsia="Aptos" w:hAnsi="Arial" w:cs="Arial"/>
          <w:b/>
          <w:bCs/>
          <w:kern w:val="2"/>
          <w14:ligatures w14:val="standardContextual"/>
        </w:rPr>
      </w:pPr>
    </w:p>
    <w:p w14:paraId="723487B3" w14:textId="77777777" w:rsidR="00DB62B0" w:rsidRDefault="00507735">
      <w:pPr>
        <w:spacing w:after="0" w:line="240" w:lineRule="auto"/>
        <w:jc w:val="center"/>
        <w:rPr>
          <w:rFonts w:ascii="Arial" w:eastAsia="Aptos" w:hAnsi="Arial" w:cs="Arial"/>
          <w:b/>
          <w:bCs/>
          <w:kern w:val="2"/>
          <w14:ligatures w14:val="standardContextual"/>
        </w:rPr>
      </w:pPr>
      <w:r>
        <w:rPr>
          <w:rFonts w:ascii="Arial" w:eastAsia="Aptos" w:hAnsi="Arial" w:cs="Arial"/>
          <w:b/>
          <w:bCs/>
          <w:kern w:val="2"/>
          <w14:ligatures w14:val="standardContextual"/>
        </w:rPr>
        <w:t>Term 1</w:t>
      </w:r>
    </w:p>
    <w:p w14:paraId="6446C9B3" w14:textId="77777777" w:rsidR="00DB62B0" w:rsidRDefault="00DB62B0">
      <w:pPr>
        <w:rPr>
          <w:rFonts w:ascii="Arial" w:hAnsi="Arial" w:cs="Arial"/>
        </w:rPr>
      </w:pPr>
    </w:p>
    <w:p w14:paraId="0AB4B29F" w14:textId="77777777" w:rsidR="00DB62B0" w:rsidRDefault="00DB62B0">
      <w:pPr>
        <w:rPr>
          <w:rFonts w:ascii="Arial" w:hAnsi="Arial" w:cs="Arial"/>
        </w:rPr>
      </w:pPr>
    </w:p>
    <w:p w14:paraId="51352207" w14:textId="77777777" w:rsidR="00DB62B0" w:rsidRDefault="00507735">
      <w:pPr>
        <w:rPr>
          <w:rFonts w:ascii="Arial" w:hAnsi="Arial" w:cs="Arial"/>
        </w:rPr>
      </w:pPr>
      <w:r>
        <w:rPr>
          <w:rFonts w:ascii="Arial" w:hAnsi="Arial" w:cs="Arial"/>
        </w:rPr>
        <w:br w:type="page"/>
      </w:r>
    </w:p>
    <w:sdt>
      <w:sdtPr>
        <w:rPr>
          <w:rFonts w:ascii="Arial" w:eastAsia="Times New Roman" w:hAnsi="Arial" w:cs="Arial"/>
          <w:color w:val="auto"/>
          <w:sz w:val="24"/>
          <w:szCs w:val="24"/>
          <w:lang w:val="en-GB"/>
        </w:rPr>
        <w:id w:val="-412010065"/>
        <w:docPartObj>
          <w:docPartGallery w:val="Table of Contents"/>
          <w:docPartUnique/>
        </w:docPartObj>
      </w:sdtPr>
      <w:sdtEndPr>
        <w:rPr>
          <w:b/>
          <w:bCs/>
        </w:rPr>
      </w:sdtEndPr>
      <w:sdtContent>
        <w:p w14:paraId="7E673D15" w14:textId="77777777" w:rsidR="00DB62B0" w:rsidRDefault="00507735">
          <w:pPr>
            <w:pStyle w:val="TOCHeading1"/>
            <w:spacing w:line="360" w:lineRule="auto"/>
            <w:jc w:val="center"/>
            <w:rPr>
              <w:rFonts w:ascii="Arial" w:hAnsi="Arial" w:cs="Arial"/>
              <w:b/>
              <w:bCs/>
              <w:color w:val="auto"/>
            </w:rPr>
          </w:pPr>
          <w:r>
            <w:rPr>
              <w:rFonts w:ascii="Arial" w:hAnsi="Arial" w:cs="Arial"/>
              <w:b/>
              <w:bCs/>
              <w:color w:val="auto"/>
            </w:rPr>
            <w:t>Table of Contents</w:t>
          </w:r>
        </w:p>
        <w:p w14:paraId="599F46F6" w14:textId="77777777" w:rsidR="00DB62B0" w:rsidRDefault="00507735">
          <w:pPr>
            <w:pStyle w:val="TOC1"/>
            <w:rPr>
              <w:rFonts w:ascii="Arial" w:eastAsiaTheme="minorEastAsia" w:hAnsi="Arial" w:cs="Arial"/>
              <w:kern w:val="2"/>
              <w:lang w:eastAsia="en-GB"/>
              <w14:ligatures w14:val="standardContextual"/>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194030861" w:history="1">
            <w:r>
              <w:rPr>
                <w:rStyle w:val="Hyperlink"/>
                <w:rFonts w:ascii="Arial" w:hAnsi="Arial" w:cs="Arial"/>
                <w:color w:val="auto"/>
              </w:rPr>
              <w:t>Introduction</w:t>
            </w:r>
            <w:r>
              <w:rPr>
                <w:rFonts w:ascii="Arial" w:hAnsi="Arial" w:cs="Arial"/>
              </w:rPr>
              <w:tab/>
            </w:r>
            <w:r>
              <w:rPr>
                <w:rFonts w:ascii="Arial" w:hAnsi="Arial" w:cs="Arial"/>
              </w:rPr>
              <w:fldChar w:fldCharType="begin"/>
            </w:r>
            <w:r>
              <w:rPr>
                <w:rFonts w:ascii="Arial" w:hAnsi="Arial" w:cs="Arial"/>
              </w:rPr>
              <w:instrText xml:space="preserve"> PAGEREF _Toc194030861 \h </w:instrText>
            </w:r>
            <w:r>
              <w:rPr>
                <w:rFonts w:ascii="Arial" w:hAnsi="Arial" w:cs="Arial"/>
              </w:rPr>
            </w:r>
            <w:r>
              <w:rPr>
                <w:rFonts w:ascii="Arial" w:hAnsi="Arial" w:cs="Arial"/>
              </w:rPr>
              <w:fldChar w:fldCharType="separate"/>
            </w:r>
            <w:r>
              <w:rPr>
                <w:rFonts w:ascii="Arial" w:hAnsi="Arial" w:cs="Arial"/>
              </w:rPr>
              <w:t>3</w:t>
            </w:r>
            <w:r>
              <w:rPr>
                <w:rFonts w:ascii="Arial" w:hAnsi="Arial" w:cs="Arial"/>
              </w:rPr>
              <w:fldChar w:fldCharType="end"/>
            </w:r>
          </w:hyperlink>
        </w:p>
        <w:p w14:paraId="4E7240A1" w14:textId="77777777" w:rsidR="00DB62B0" w:rsidRDefault="00507735">
          <w:pPr>
            <w:pStyle w:val="TOC1"/>
            <w:rPr>
              <w:rFonts w:ascii="Arial" w:eastAsiaTheme="minorEastAsia" w:hAnsi="Arial" w:cs="Arial"/>
              <w:kern w:val="2"/>
              <w:lang w:eastAsia="en-GB"/>
              <w14:ligatures w14:val="standardContextual"/>
            </w:rPr>
          </w:pPr>
          <w:hyperlink w:anchor="_Toc194030862" w:history="1">
            <w:r>
              <w:rPr>
                <w:rStyle w:val="Hyperlink"/>
                <w:rFonts w:ascii="Arial" w:hAnsi="Arial" w:cs="Arial"/>
                <w:color w:val="auto"/>
              </w:rPr>
              <w:t>Advantages of Being a Pioneer and Follower</w:t>
            </w:r>
            <w:r>
              <w:rPr>
                <w:rFonts w:ascii="Arial" w:hAnsi="Arial" w:cs="Arial"/>
              </w:rPr>
              <w:tab/>
            </w:r>
            <w:r>
              <w:rPr>
                <w:rFonts w:ascii="Arial" w:hAnsi="Arial" w:cs="Arial"/>
              </w:rPr>
              <w:fldChar w:fldCharType="begin"/>
            </w:r>
            <w:r>
              <w:rPr>
                <w:rFonts w:ascii="Arial" w:hAnsi="Arial" w:cs="Arial"/>
              </w:rPr>
              <w:instrText xml:space="preserve"> PAGEREF _Toc194030862 \h </w:instrText>
            </w:r>
            <w:r>
              <w:rPr>
                <w:rFonts w:ascii="Arial" w:hAnsi="Arial" w:cs="Arial"/>
              </w:rPr>
            </w:r>
            <w:r>
              <w:rPr>
                <w:rFonts w:ascii="Arial" w:hAnsi="Arial" w:cs="Arial"/>
              </w:rPr>
              <w:fldChar w:fldCharType="separate"/>
            </w:r>
            <w:r>
              <w:rPr>
                <w:rFonts w:ascii="Arial" w:hAnsi="Arial" w:cs="Arial"/>
              </w:rPr>
              <w:t>4</w:t>
            </w:r>
            <w:r>
              <w:rPr>
                <w:rFonts w:ascii="Arial" w:hAnsi="Arial" w:cs="Arial"/>
              </w:rPr>
              <w:fldChar w:fldCharType="end"/>
            </w:r>
          </w:hyperlink>
        </w:p>
        <w:p w14:paraId="10264499" w14:textId="77777777" w:rsidR="00DB62B0" w:rsidRDefault="00507735">
          <w:pPr>
            <w:pStyle w:val="TOC2"/>
            <w:tabs>
              <w:tab w:val="right" w:leader="dot" w:pos="9350"/>
            </w:tabs>
            <w:rPr>
              <w:rFonts w:ascii="Arial" w:eastAsiaTheme="minorEastAsia" w:hAnsi="Arial" w:cs="Arial"/>
              <w:kern w:val="2"/>
              <w:lang w:eastAsia="en-GB"/>
              <w14:ligatures w14:val="standardContextual"/>
            </w:rPr>
          </w:pPr>
          <w:hyperlink w:anchor="_Toc194030863" w:history="1">
            <w:r>
              <w:rPr>
                <w:rStyle w:val="Hyperlink"/>
                <w:rFonts w:ascii="Arial" w:hAnsi="Arial" w:cs="Arial"/>
                <w:color w:val="auto"/>
              </w:rPr>
              <w:t>Advantages of Being a Pioneer</w:t>
            </w:r>
            <w:r>
              <w:rPr>
                <w:rFonts w:ascii="Arial" w:hAnsi="Arial" w:cs="Arial"/>
              </w:rPr>
              <w:tab/>
            </w:r>
            <w:r>
              <w:rPr>
                <w:rFonts w:ascii="Arial" w:hAnsi="Arial" w:cs="Arial"/>
              </w:rPr>
              <w:fldChar w:fldCharType="begin"/>
            </w:r>
            <w:r>
              <w:rPr>
                <w:rFonts w:ascii="Arial" w:hAnsi="Arial" w:cs="Arial"/>
              </w:rPr>
              <w:instrText xml:space="preserve"> PAGEREF _Toc194030863 \h </w:instrText>
            </w:r>
            <w:r>
              <w:rPr>
                <w:rFonts w:ascii="Arial" w:hAnsi="Arial" w:cs="Arial"/>
              </w:rPr>
            </w:r>
            <w:r>
              <w:rPr>
                <w:rFonts w:ascii="Arial" w:hAnsi="Arial" w:cs="Arial"/>
              </w:rPr>
              <w:fldChar w:fldCharType="separate"/>
            </w:r>
            <w:r>
              <w:rPr>
                <w:rFonts w:ascii="Arial" w:hAnsi="Arial" w:cs="Arial"/>
              </w:rPr>
              <w:t>4</w:t>
            </w:r>
            <w:r>
              <w:rPr>
                <w:rFonts w:ascii="Arial" w:hAnsi="Arial" w:cs="Arial"/>
              </w:rPr>
              <w:fldChar w:fldCharType="end"/>
            </w:r>
          </w:hyperlink>
        </w:p>
        <w:p w14:paraId="27224879" w14:textId="77777777" w:rsidR="00DB62B0" w:rsidRDefault="00507735">
          <w:pPr>
            <w:pStyle w:val="TOC2"/>
            <w:tabs>
              <w:tab w:val="right" w:leader="dot" w:pos="9350"/>
            </w:tabs>
            <w:rPr>
              <w:rFonts w:ascii="Arial" w:eastAsiaTheme="minorEastAsia" w:hAnsi="Arial" w:cs="Arial"/>
              <w:kern w:val="2"/>
              <w:lang w:eastAsia="en-GB"/>
              <w14:ligatures w14:val="standardContextual"/>
            </w:rPr>
          </w:pPr>
          <w:hyperlink w:anchor="_Toc194030864" w:history="1">
            <w:r>
              <w:rPr>
                <w:rStyle w:val="Hyperlink"/>
                <w:rFonts w:ascii="Arial" w:hAnsi="Arial" w:cs="Arial"/>
                <w:color w:val="auto"/>
              </w:rPr>
              <w:t>Advantages of Being a Follower</w:t>
            </w:r>
            <w:r>
              <w:rPr>
                <w:rFonts w:ascii="Arial" w:hAnsi="Arial" w:cs="Arial"/>
              </w:rPr>
              <w:tab/>
            </w:r>
            <w:r>
              <w:rPr>
                <w:rFonts w:ascii="Arial" w:hAnsi="Arial" w:cs="Arial"/>
              </w:rPr>
              <w:fldChar w:fldCharType="begin"/>
            </w:r>
            <w:r>
              <w:rPr>
                <w:rFonts w:ascii="Arial" w:hAnsi="Arial" w:cs="Arial"/>
              </w:rPr>
              <w:instrText xml:space="preserve"> PAGEREF _Toc194030864 \h </w:instrText>
            </w:r>
            <w:r>
              <w:rPr>
                <w:rFonts w:ascii="Arial" w:hAnsi="Arial" w:cs="Arial"/>
              </w:rPr>
            </w:r>
            <w:r>
              <w:rPr>
                <w:rFonts w:ascii="Arial" w:hAnsi="Arial" w:cs="Arial"/>
              </w:rPr>
              <w:fldChar w:fldCharType="separate"/>
            </w:r>
            <w:r>
              <w:rPr>
                <w:rFonts w:ascii="Arial" w:hAnsi="Arial" w:cs="Arial"/>
              </w:rPr>
              <w:t>5</w:t>
            </w:r>
            <w:r>
              <w:rPr>
                <w:rFonts w:ascii="Arial" w:hAnsi="Arial" w:cs="Arial"/>
              </w:rPr>
              <w:fldChar w:fldCharType="end"/>
            </w:r>
          </w:hyperlink>
        </w:p>
        <w:p w14:paraId="694307D8" w14:textId="77777777" w:rsidR="00DB62B0" w:rsidRDefault="00507735">
          <w:pPr>
            <w:pStyle w:val="TOC2"/>
            <w:tabs>
              <w:tab w:val="right" w:leader="dot" w:pos="9350"/>
            </w:tabs>
            <w:rPr>
              <w:rFonts w:ascii="Arial" w:eastAsiaTheme="minorEastAsia" w:hAnsi="Arial" w:cs="Arial"/>
              <w:kern w:val="2"/>
              <w:lang w:eastAsia="en-GB"/>
              <w14:ligatures w14:val="standardContextual"/>
            </w:rPr>
          </w:pPr>
          <w:hyperlink w:anchor="_Toc194030865" w:history="1">
            <w:r>
              <w:rPr>
                <w:rStyle w:val="Hyperlink"/>
                <w:rFonts w:ascii="Arial" w:hAnsi="Arial" w:cs="Arial"/>
                <w:color w:val="auto"/>
              </w:rPr>
              <w:t>Comparison of Advantages: Pioneers vs. Followers</w:t>
            </w:r>
            <w:r>
              <w:rPr>
                <w:rFonts w:ascii="Arial" w:hAnsi="Arial" w:cs="Arial"/>
              </w:rPr>
              <w:tab/>
            </w:r>
            <w:r>
              <w:rPr>
                <w:rFonts w:ascii="Arial" w:hAnsi="Arial" w:cs="Arial"/>
              </w:rPr>
              <w:fldChar w:fldCharType="begin"/>
            </w:r>
            <w:r>
              <w:rPr>
                <w:rFonts w:ascii="Arial" w:hAnsi="Arial" w:cs="Arial"/>
              </w:rPr>
              <w:instrText xml:space="preserve"> PAGEREF _Toc194030865 \h </w:instrText>
            </w:r>
            <w:r>
              <w:rPr>
                <w:rFonts w:ascii="Arial" w:hAnsi="Arial" w:cs="Arial"/>
              </w:rPr>
            </w:r>
            <w:r>
              <w:rPr>
                <w:rFonts w:ascii="Arial" w:hAnsi="Arial" w:cs="Arial"/>
              </w:rPr>
              <w:fldChar w:fldCharType="separate"/>
            </w:r>
            <w:r>
              <w:rPr>
                <w:rFonts w:ascii="Arial" w:hAnsi="Arial" w:cs="Arial"/>
              </w:rPr>
              <w:t>6</w:t>
            </w:r>
            <w:r>
              <w:rPr>
                <w:rFonts w:ascii="Arial" w:hAnsi="Arial" w:cs="Arial"/>
              </w:rPr>
              <w:fldChar w:fldCharType="end"/>
            </w:r>
          </w:hyperlink>
        </w:p>
        <w:p w14:paraId="4B90EB05" w14:textId="77777777" w:rsidR="00DB62B0" w:rsidRDefault="00507735">
          <w:pPr>
            <w:pStyle w:val="TOC1"/>
            <w:rPr>
              <w:rFonts w:ascii="Arial" w:eastAsiaTheme="minorEastAsia" w:hAnsi="Arial" w:cs="Arial"/>
              <w:kern w:val="2"/>
              <w:lang w:eastAsia="en-GB"/>
              <w14:ligatures w14:val="standardContextual"/>
            </w:rPr>
          </w:pPr>
          <w:hyperlink w:anchor="_Toc194030866" w:history="1">
            <w:r>
              <w:rPr>
                <w:rStyle w:val="Hyperlink"/>
                <w:rFonts w:ascii="Arial" w:hAnsi="Arial" w:cs="Arial"/>
                <w:color w:val="auto"/>
              </w:rPr>
              <w:t>PLC Strategies in the Growth and Maturity Stages</w:t>
            </w:r>
            <w:r>
              <w:rPr>
                <w:rFonts w:ascii="Arial" w:hAnsi="Arial" w:cs="Arial"/>
              </w:rPr>
              <w:tab/>
            </w:r>
            <w:r>
              <w:rPr>
                <w:rFonts w:ascii="Arial" w:hAnsi="Arial" w:cs="Arial"/>
              </w:rPr>
              <w:fldChar w:fldCharType="begin"/>
            </w:r>
            <w:r>
              <w:rPr>
                <w:rFonts w:ascii="Arial" w:hAnsi="Arial" w:cs="Arial"/>
              </w:rPr>
              <w:instrText xml:space="preserve"> PAGEREF _Toc194030866 \h </w:instrText>
            </w:r>
            <w:r>
              <w:rPr>
                <w:rFonts w:ascii="Arial" w:hAnsi="Arial" w:cs="Arial"/>
              </w:rPr>
            </w:r>
            <w:r>
              <w:rPr>
                <w:rFonts w:ascii="Arial" w:hAnsi="Arial" w:cs="Arial"/>
              </w:rPr>
              <w:fldChar w:fldCharType="separate"/>
            </w:r>
            <w:r>
              <w:rPr>
                <w:rFonts w:ascii="Arial" w:hAnsi="Arial" w:cs="Arial"/>
              </w:rPr>
              <w:t>7</w:t>
            </w:r>
            <w:r>
              <w:rPr>
                <w:rFonts w:ascii="Arial" w:hAnsi="Arial" w:cs="Arial"/>
              </w:rPr>
              <w:fldChar w:fldCharType="end"/>
            </w:r>
          </w:hyperlink>
        </w:p>
        <w:p w14:paraId="1194FAD5" w14:textId="77777777" w:rsidR="00DB62B0" w:rsidRDefault="00507735">
          <w:pPr>
            <w:pStyle w:val="TOC2"/>
            <w:tabs>
              <w:tab w:val="right" w:leader="dot" w:pos="9350"/>
            </w:tabs>
            <w:rPr>
              <w:rFonts w:ascii="Arial" w:eastAsiaTheme="minorEastAsia" w:hAnsi="Arial" w:cs="Arial"/>
              <w:kern w:val="2"/>
              <w:lang w:eastAsia="en-GB"/>
              <w14:ligatures w14:val="standardContextual"/>
            </w:rPr>
          </w:pPr>
          <w:hyperlink w:anchor="_Toc194030867" w:history="1">
            <w:r>
              <w:rPr>
                <w:rStyle w:val="Hyperlink"/>
                <w:rFonts w:ascii="Arial" w:hAnsi="Arial" w:cs="Arial"/>
                <w:color w:val="auto"/>
              </w:rPr>
              <w:t>Overview of PLC Stages</w:t>
            </w:r>
            <w:r>
              <w:rPr>
                <w:rFonts w:ascii="Arial" w:hAnsi="Arial" w:cs="Arial"/>
              </w:rPr>
              <w:tab/>
            </w:r>
            <w:r>
              <w:rPr>
                <w:rFonts w:ascii="Arial" w:hAnsi="Arial" w:cs="Arial"/>
              </w:rPr>
              <w:fldChar w:fldCharType="begin"/>
            </w:r>
            <w:r>
              <w:rPr>
                <w:rFonts w:ascii="Arial" w:hAnsi="Arial" w:cs="Arial"/>
              </w:rPr>
              <w:instrText xml:space="preserve"> PAGEREF _Toc194030867 \h </w:instrText>
            </w:r>
            <w:r>
              <w:rPr>
                <w:rFonts w:ascii="Arial" w:hAnsi="Arial" w:cs="Arial"/>
              </w:rPr>
            </w:r>
            <w:r>
              <w:rPr>
                <w:rFonts w:ascii="Arial" w:hAnsi="Arial" w:cs="Arial"/>
              </w:rPr>
              <w:fldChar w:fldCharType="separate"/>
            </w:r>
            <w:r>
              <w:rPr>
                <w:rFonts w:ascii="Arial" w:hAnsi="Arial" w:cs="Arial"/>
              </w:rPr>
              <w:t>8</w:t>
            </w:r>
            <w:r>
              <w:rPr>
                <w:rFonts w:ascii="Arial" w:hAnsi="Arial" w:cs="Arial"/>
              </w:rPr>
              <w:fldChar w:fldCharType="end"/>
            </w:r>
          </w:hyperlink>
        </w:p>
        <w:p w14:paraId="1B6772F5" w14:textId="77777777" w:rsidR="00DB62B0" w:rsidRDefault="00507735">
          <w:pPr>
            <w:pStyle w:val="TOC2"/>
            <w:tabs>
              <w:tab w:val="right" w:leader="dot" w:pos="9350"/>
            </w:tabs>
            <w:rPr>
              <w:rFonts w:ascii="Arial" w:eastAsiaTheme="minorEastAsia" w:hAnsi="Arial" w:cs="Arial"/>
              <w:kern w:val="2"/>
              <w:lang w:eastAsia="en-GB"/>
              <w14:ligatures w14:val="standardContextual"/>
            </w:rPr>
          </w:pPr>
          <w:hyperlink w:anchor="_Toc194030868" w:history="1">
            <w:r>
              <w:rPr>
                <w:rStyle w:val="Hyperlink"/>
                <w:rFonts w:ascii="Arial" w:hAnsi="Arial" w:cs="Arial"/>
                <w:color w:val="auto"/>
              </w:rPr>
              <w:t>PLC Strategies in the Growth Stage</w:t>
            </w:r>
            <w:r>
              <w:rPr>
                <w:rFonts w:ascii="Arial" w:hAnsi="Arial" w:cs="Arial"/>
              </w:rPr>
              <w:tab/>
            </w:r>
            <w:r>
              <w:rPr>
                <w:rFonts w:ascii="Arial" w:hAnsi="Arial" w:cs="Arial"/>
              </w:rPr>
              <w:fldChar w:fldCharType="begin"/>
            </w:r>
            <w:r>
              <w:rPr>
                <w:rFonts w:ascii="Arial" w:hAnsi="Arial" w:cs="Arial"/>
              </w:rPr>
              <w:instrText xml:space="preserve"> PAGEREF _Toc194030868 \h </w:instrText>
            </w:r>
            <w:r>
              <w:rPr>
                <w:rFonts w:ascii="Arial" w:hAnsi="Arial" w:cs="Arial"/>
              </w:rPr>
            </w:r>
            <w:r>
              <w:rPr>
                <w:rFonts w:ascii="Arial" w:hAnsi="Arial" w:cs="Arial"/>
              </w:rPr>
              <w:fldChar w:fldCharType="separate"/>
            </w:r>
            <w:r>
              <w:rPr>
                <w:rFonts w:ascii="Arial" w:hAnsi="Arial" w:cs="Arial"/>
              </w:rPr>
              <w:t>8</w:t>
            </w:r>
            <w:r>
              <w:rPr>
                <w:rFonts w:ascii="Arial" w:hAnsi="Arial" w:cs="Arial"/>
              </w:rPr>
              <w:fldChar w:fldCharType="end"/>
            </w:r>
          </w:hyperlink>
        </w:p>
        <w:p w14:paraId="6AB1CF9B" w14:textId="77777777" w:rsidR="00DB62B0" w:rsidRDefault="00507735">
          <w:pPr>
            <w:pStyle w:val="TOC2"/>
            <w:tabs>
              <w:tab w:val="right" w:leader="dot" w:pos="9350"/>
            </w:tabs>
            <w:rPr>
              <w:rFonts w:ascii="Arial" w:eastAsiaTheme="minorEastAsia" w:hAnsi="Arial" w:cs="Arial"/>
              <w:kern w:val="2"/>
              <w:lang w:eastAsia="en-GB"/>
              <w14:ligatures w14:val="standardContextual"/>
            </w:rPr>
          </w:pPr>
          <w:hyperlink w:anchor="_Toc194030869" w:history="1">
            <w:r>
              <w:rPr>
                <w:rStyle w:val="Hyperlink"/>
                <w:rFonts w:ascii="Arial" w:hAnsi="Arial" w:cs="Arial"/>
                <w:color w:val="auto"/>
              </w:rPr>
              <w:t>PLC Strategies in the Maturity Stage</w:t>
            </w:r>
            <w:r>
              <w:rPr>
                <w:rFonts w:ascii="Arial" w:hAnsi="Arial" w:cs="Arial"/>
              </w:rPr>
              <w:tab/>
            </w:r>
            <w:r>
              <w:rPr>
                <w:rFonts w:ascii="Arial" w:hAnsi="Arial" w:cs="Arial"/>
              </w:rPr>
              <w:fldChar w:fldCharType="begin"/>
            </w:r>
            <w:r>
              <w:rPr>
                <w:rFonts w:ascii="Arial" w:hAnsi="Arial" w:cs="Arial"/>
              </w:rPr>
              <w:instrText xml:space="preserve"> PAGEREF _Toc194030869 \h </w:instrText>
            </w:r>
            <w:r>
              <w:rPr>
                <w:rFonts w:ascii="Arial" w:hAnsi="Arial" w:cs="Arial"/>
              </w:rPr>
            </w:r>
            <w:r>
              <w:rPr>
                <w:rFonts w:ascii="Arial" w:hAnsi="Arial" w:cs="Arial"/>
              </w:rPr>
              <w:fldChar w:fldCharType="separate"/>
            </w:r>
            <w:r>
              <w:rPr>
                <w:rFonts w:ascii="Arial" w:hAnsi="Arial" w:cs="Arial"/>
              </w:rPr>
              <w:t>10</w:t>
            </w:r>
            <w:r>
              <w:rPr>
                <w:rFonts w:ascii="Arial" w:hAnsi="Arial" w:cs="Arial"/>
              </w:rPr>
              <w:fldChar w:fldCharType="end"/>
            </w:r>
          </w:hyperlink>
        </w:p>
        <w:p w14:paraId="42766CC3" w14:textId="77777777" w:rsidR="00DB62B0" w:rsidRDefault="00507735">
          <w:pPr>
            <w:pStyle w:val="TOC2"/>
            <w:tabs>
              <w:tab w:val="right" w:leader="dot" w:pos="9350"/>
            </w:tabs>
            <w:rPr>
              <w:rFonts w:ascii="Arial" w:eastAsiaTheme="minorEastAsia" w:hAnsi="Arial" w:cs="Arial"/>
              <w:kern w:val="2"/>
              <w:lang w:eastAsia="en-GB"/>
              <w14:ligatures w14:val="standardContextual"/>
            </w:rPr>
          </w:pPr>
          <w:hyperlink w:anchor="_Toc194030870" w:history="1">
            <w:r>
              <w:rPr>
                <w:rStyle w:val="Hyperlink"/>
                <w:rFonts w:ascii="Arial" w:hAnsi="Arial" w:cs="Arial"/>
                <w:color w:val="auto"/>
              </w:rPr>
              <w:t>Technological Impact in the PLC Stages</w:t>
            </w:r>
            <w:r>
              <w:rPr>
                <w:rFonts w:ascii="Arial" w:hAnsi="Arial" w:cs="Arial"/>
              </w:rPr>
              <w:tab/>
            </w:r>
            <w:r>
              <w:rPr>
                <w:rFonts w:ascii="Arial" w:hAnsi="Arial" w:cs="Arial"/>
              </w:rPr>
              <w:fldChar w:fldCharType="begin"/>
            </w:r>
            <w:r>
              <w:rPr>
                <w:rFonts w:ascii="Arial" w:hAnsi="Arial" w:cs="Arial"/>
              </w:rPr>
              <w:instrText xml:space="preserve"> PAGEREF _Toc194030870 \h </w:instrText>
            </w:r>
            <w:r>
              <w:rPr>
                <w:rFonts w:ascii="Arial" w:hAnsi="Arial" w:cs="Arial"/>
              </w:rPr>
            </w:r>
            <w:r>
              <w:rPr>
                <w:rFonts w:ascii="Arial" w:hAnsi="Arial" w:cs="Arial"/>
              </w:rPr>
              <w:fldChar w:fldCharType="separate"/>
            </w:r>
            <w:r>
              <w:rPr>
                <w:rFonts w:ascii="Arial" w:hAnsi="Arial" w:cs="Arial"/>
              </w:rPr>
              <w:t>11</w:t>
            </w:r>
            <w:r>
              <w:rPr>
                <w:rFonts w:ascii="Arial" w:hAnsi="Arial" w:cs="Arial"/>
              </w:rPr>
              <w:fldChar w:fldCharType="end"/>
            </w:r>
          </w:hyperlink>
        </w:p>
        <w:p w14:paraId="54374D8E" w14:textId="77777777" w:rsidR="00DB62B0" w:rsidRDefault="00507735">
          <w:pPr>
            <w:pStyle w:val="TOC1"/>
            <w:rPr>
              <w:rFonts w:ascii="Arial" w:eastAsiaTheme="minorEastAsia" w:hAnsi="Arial" w:cs="Arial"/>
              <w:kern w:val="2"/>
              <w:lang w:eastAsia="en-GB"/>
              <w14:ligatures w14:val="standardContextual"/>
            </w:rPr>
          </w:pPr>
          <w:hyperlink w:anchor="_Toc194030871" w:history="1">
            <w:r>
              <w:rPr>
                <w:rStyle w:val="Hyperlink"/>
                <w:rFonts w:ascii="Arial" w:hAnsi="Arial" w:cs="Arial"/>
                <w:color w:val="auto"/>
              </w:rPr>
              <w:t>Conclusion</w:t>
            </w:r>
            <w:r>
              <w:rPr>
                <w:rFonts w:ascii="Arial" w:hAnsi="Arial" w:cs="Arial"/>
              </w:rPr>
              <w:tab/>
            </w:r>
            <w:r>
              <w:rPr>
                <w:rFonts w:ascii="Arial" w:hAnsi="Arial" w:cs="Arial"/>
              </w:rPr>
              <w:fldChar w:fldCharType="begin"/>
            </w:r>
            <w:r>
              <w:rPr>
                <w:rFonts w:ascii="Arial" w:hAnsi="Arial" w:cs="Arial"/>
              </w:rPr>
              <w:instrText xml:space="preserve"> PAGEREF _Toc194030871 \h </w:instrText>
            </w:r>
            <w:r>
              <w:rPr>
                <w:rFonts w:ascii="Arial" w:hAnsi="Arial" w:cs="Arial"/>
              </w:rPr>
            </w:r>
            <w:r>
              <w:rPr>
                <w:rFonts w:ascii="Arial" w:hAnsi="Arial" w:cs="Arial"/>
              </w:rPr>
              <w:fldChar w:fldCharType="separate"/>
            </w:r>
            <w:r>
              <w:rPr>
                <w:rFonts w:ascii="Arial" w:hAnsi="Arial" w:cs="Arial"/>
              </w:rPr>
              <w:t>12</w:t>
            </w:r>
            <w:r>
              <w:rPr>
                <w:rFonts w:ascii="Arial" w:hAnsi="Arial" w:cs="Arial"/>
              </w:rPr>
              <w:fldChar w:fldCharType="end"/>
            </w:r>
          </w:hyperlink>
        </w:p>
        <w:p w14:paraId="68A71CD2" w14:textId="77777777" w:rsidR="00DB62B0" w:rsidRDefault="00507735">
          <w:pPr>
            <w:pStyle w:val="TOC1"/>
            <w:rPr>
              <w:rFonts w:ascii="Arial" w:eastAsiaTheme="minorEastAsia" w:hAnsi="Arial" w:cs="Arial"/>
              <w:kern w:val="2"/>
              <w:lang w:eastAsia="en-GB"/>
              <w14:ligatures w14:val="standardContextual"/>
            </w:rPr>
          </w:pPr>
          <w:hyperlink w:anchor="_Toc194030872" w:history="1">
            <w:r>
              <w:rPr>
                <w:rStyle w:val="Hyperlink"/>
                <w:rFonts w:ascii="Arial" w:hAnsi="Arial" w:cs="Arial"/>
                <w:color w:val="auto"/>
              </w:rPr>
              <w:t>References</w:t>
            </w:r>
            <w:r>
              <w:rPr>
                <w:rFonts w:ascii="Arial" w:hAnsi="Arial" w:cs="Arial"/>
              </w:rPr>
              <w:tab/>
            </w:r>
            <w:r>
              <w:rPr>
                <w:rFonts w:ascii="Arial" w:hAnsi="Arial" w:cs="Arial"/>
              </w:rPr>
              <w:fldChar w:fldCharType="begin"/>
            </w:r>
            <w:r>
              <w:rPr>
                <w:rFonts w:ascii="Arial" w:hAnsi="Arial" w:cs="Arial"/>
              </w:rPr>
              <w:instrText xml:space="preserve"> PAGEREF _Toc194030872 \h </w:instrText>
            </w:r>
            <w:r>
              <w:rPr>
                <w:rFonts w:ascii="Arial" w:hAnsi="Arial" w:cs="Arial"/>
              </w:rPr>
            </w:r>
            <w:r>
              <w:rPr>
                <w:rFonts w:ascii="Arial" w:hAnsi="Arial" w:cs="Arial"/>
              </w:rPr>
              <w:fldChar w:fldCharType="separate"/>
            </w:r>
            <w:r>
              <w:rPr>
                <w:rFonts w:ascii="Arial" w:hAnsi="Arial" w:cs="Arial"/>
              </w:rPr>
              <w:t>13</w:t>
            </w:r>
            <w:r>
              <w:rPr>
                <w:rFonts w:ascii="Arial" w:hAnsi="Arial" w:cs="Arial"/>
              </w:rPr>
              <w:fldChar w:fldCharType="end"/>
            </w:r>
          </w:hyperlink>
        </w:p>
        <w:p w14:paraId="6E099521" w14:textId="77777777" w:rsidR="00DB62B0" w:rsidRDefault="00507735">
          <w:pPr>
            <w:rPr>
              <w:rFonts w:ascii="Arial" w:hAnsi="Arial" w:cs="Arial"/>
            </w:rPr>
          </w:pPr>
          <w:r>
            <w:rPr>
              <w:rFonts w:ascii="Arial" w:hAnsi="Arial" w:cs="Arial"/>
              <w:b/>
              <w:bCs/>
            </w:rPr>
            <w:fldChar w:fldCharType="end"/>
          </w:r>
        </w:p>
      </w:sdtContent>
    </w:sdt>
    <w:p w14:paraId="00AB01F6" w14:textId="77777777" w:rsidR="00DB62B0" w:rsidRDefault="00507735">
      <w:pPr>
        <w:rPr>
          <w:rFonts w:ascii="Arial" w:hAnsi="Arial" w:cs="Arial"/>
        </w:rPr>
      </w:pPr>
      <w:r>
        <w:rPr>
          <w:rFonts w:ascii="Arial" w:hAnsi="Arial" w:cs="Arial"/>
        </w:rPr>
        <w:br w:type="page"/>
      </w:r>
    </w:p>
    <w:p w14:paraId="3B76EE4B" w14:textId="77777777" w:rsidR="00DB62B0" w:rsidRDefault="00507735">
      <w:pPr>
        <w:pStyle w:val="Heading1"/>
        <w:rPr>
          <w:rFonts w:ascii="Arial" w:hAnsi="Arial" w:cs="Arial"/>
        </w:rPr>
      </w:pPr>
      <w:bookmarkStart w:id="0" w:name="_Toc194030861"/>
      <w:r>
        <w:rPr>
          <w:rFonts w:ascii="Arial" w:hAnsi="Arial" w:cs="Arial"/>
        </w:rPr>
        <w:t>Introduction</w:t>
      </w:r>
      <w:bookmarkEnd w:id="0"/>
    </w:p>
    <w:p w14:paraId="5CA0885D" w14:textId="77777777" w:rsidR="00DB62B0" w:rsidRDefault="00507735">
      <w:pPr>
        <w:rPr>
          <w:rFonts w:ascii="Arial" w:hAnsi="Arial" w:cs="Arial"/>
        </w:rPr>
      </w:pPr>
      <w:r>
        <w:rPr>
          <w:rFonts w:ascii="Arial" w:hAnsi="Arial" w:cs="Arial"/>
        </w:rPr>
        <w:t>In today’s business environment, characterised by higher levels of competition, a company faces a crossroads: whether to be a pioneer or a follower. A pioneer is an entity in a specific sector that introduces new products, services, or technologies, which form the basis for trends and demand (</w:t>
      </w:r>
      <w:proofErr w:type="spellStart"/>
      <w:r>
        <w:rPr>
          <w:rFonts w:ascii="Arial" w:hAnsi="Arial" w:cs="Arial"/>
        </w:rPr>
        <w:t>Dreiling</w:t>
      </w:r>
      <w:proofErr w:type="spellEnd"/>
      <w:r>
        <w:rPr>
          <w:rFonts w:ascii="Arial" w:hAnsi="Arial" w:cs="Arial"/>
        </w:rPr>
        <w:t xml:space="preserve"> and </w:t>
      </w:r>
      <w:proofErr w:type="spellStart"/>
      <w:r>
        <w:rPr>
          <w:rFonts w:ascii="Arial" w:hAnsi="Arial" w:cs="Arial"/>
        </w:rPr>
        <w:t>Bican</w:t>
      </w:r>
      <w:proofErr w:type="spellEnd"/>
      <w:r>
        <w:rPr>
          <w:rFonts w:ascii="Arial" w:hAnsi="Arial" w:cs="Arial"/>
        </w:rPr>
        <w:t xml:space="preserve">, 2022). At the same time, followers enter the market after the pioneers have had a chance to initially enter and often enhance the product to better meet the market's needs (Parry and </w:t>
      </w:r>
      <w:proofErr w:type="spellStart"/>
      <w:r>
        <w:rPr>
          <w:rFonts w:ascii="Arial" w:hAnsi="Arial" w:cs="Arial"/>
        </w:rPr>
        <w:t>Sarma</w:t>
      </w:r>
      <w:proofErr w:type="spellEnd"/>
      <w:r>
        <w:rPr>
          <w:rFonts w:ascii="Arial" w:hAnsi="Arial" w:cs="Arial"/>
        </w:rPr>
        <w:t>, 2019). Each has its benefits and liabilities, and the ability to be a first mover or a follower defines the direction of many organisations’ development and their market positions.</w:t>
      </w:r>
    </w:p>
    <w:p w14:paraId="159C4A47" w14:textId="77777777" w:rsidR="00DB62B0" w:rsidRDefault="00507735">
      <w:pPr>
        <w:jc w:val="center"/>
        <w:rPr>
          <w:rFonts w:ascii="Arial" w:hAnsi="Arial" w:cs="Arial"/>
          <w:i/>
          <w:iCs/>
        </w:rPr>
      </w:pPr>
      <w:r>
        <w:rPr>
          <w:rFonts w:ascii="Arial" w:hAnsi="Arial" w:cs="Arial"/>
          <w:i/>
          <w:iCs/>
          <w:noProof/>
          <w:lang w:val="en-US"/>
        </w:rPr>
        <w:drawing>
          <wp:inline distT="0" distB="0" distL="0" distR="0" wp14:anchorId="46EFAB1D" wp14:editId="738445D5">
            <wp:extent cx="3962400" cy="1628775"/>
            <wp:effectExtent l="0" t="0" r="0" b="9525"/>
            <wp:docPr id="1217376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376883" name="Picture 1"/>
                    <pic:cNvPicPr>
                      <a:picLocks noChangeAspect="1"/>
                    </pic:cNvPicPr>
                  </pic:nvPicPr>
                  <pic:blipFill>
                    <a:blip r:embed="rId9"/>
                    <a:stretch>
                      <a:fillRect/>
                    </a:stretch>
                  </pic:blipFill>
                  <pic:spPr>
                    <a:xfrm>
                      <a:off x="0" y="0"/>
                      <a:ext cx="3975002" cy="1634082"/>
                    </a:xfrm>
                    <a:prstGeom prst="rect">
                      <a:avLst/>
                    </a:prstGeom>
                  </pic:spPr>
                </pic:pic>
              </a:graphicData>
            </a:graphic>
          </wp:inline>
        </w:drawing>
      </w:r>
    </w:p>
    <w:p w14:paraId="27DA4E40" w14:textId="77777777" w:rsidR="00DB62B0" w:rsidRDefault="00507735">
      <w:pPr>
        <w:jc w:val="center"/>
        <w:rPr>
          <w:rFonts w:ascii="Arial" w:hAnsi="Arial" w:cs="Arial"/>
          <w:i/>
          <w:iCs/>
        </w:rPr>
      </w:pPr>
      <w:r>
        <w:rPr>
          <w:rFonts w:ascii="Arial" w:hAnsi="Arial" w:cs="Arial"/>
          <w:i/>
          <w:iCs/>
        </w:rPr>
        <w:t xml:space="preserve">Figure 1: Pioneer vs </w:t>
      </w:r>
      <w:r>
        <w:rPr>
          <w:rFonts w:ascii="Arial" w:hAnsi="Arial" w:cs="Arial"/>
          <w:i/>
          <w:iCs/>
        </w:rPr>
        <w:t>Follower (</w:t>
      </w:r>
      <w:proofErr w:type="spellStart"/>
      <w:r>
        <w:rPr>
          <w:rFonts w:ascii="Arial" w:hAnsi="Arial" w:cs="Arial"/>
          <w:i/>
          <w:iCs/>
        </w:rPr>
        <w:t>Dreiling</w:t>
      </w:r>
      <w:proofErr w:type="spellEnd"/>
      <w:r>
        <w:rPr>
          <w:rFonts w:ascii="Arial" w:hAnsi="Arial" w:cs="Arial"/>
          <w:i/>
          <w:iCs/>
        </w:rPr>
        <w:t xml:space="preserve"> and </w:t>
      </w:r>
      <w:proofErr w:type="spellStart"/>
      <w:r>
        <w:rPr>
          <w:rFonts w:ascii="Arial" w:hAnsi="Arial" w:cs="Arial"/>
          <w:i/>
          <w:iCs/>
        </w:rPr>
        <w:t>Bican</w:t>
      </w:r>
      <w:proofErr w:type="spellEnd"/>
      <w:r>
        <w:rPr>
          <w:rFonts w:ascii="Arial" w:hAnsi="Arial" w:cs="Arial"/>
          <w:i/>
          <w:iCs/>
        </w:rPr>
        <w:t>, 2022)</w:t>
      </w:r>
    </w:p>
    <w:p w14:paraId="7CF8B986" w14:textId="77777777" w:rsidR="00DB62B0" w:rsidRDefault="00507735">
      <w:pPr>
        <w:rPr>
          <w:rFonts w:ascii="Arial" w:hAnsi="Arial" w:cs="Arial"/>
        </w:rPr>
      </w:pPr>
      <w:r>
        <w:rPr>
          <w:rFonts w:ascii="Arial" w:hAnsi="Arial" w:cs="Arial"/>
        </w:rPr>
        <w:t>The Product Life Cycle (PLC) concept is a marketing model that provides insights into the various changes that occur to products and the types of marketing strategies appropriate for a given product at different phases (</w:t>
      </w:r>
      <w:proofErr w:type="spellStart"/>
      <w:r>
        <w:rPr>
          <w:rFonts w:ascii="Arial" w:hAnsi="Arial" w:cs="Arial"/>
        </w:rPr>
        <w:t>Elangovan</w:t>
      </w:r>
      <w:proofErr w:type="spellEnd"/>
      <w:r>
        <w:rPr>
          <w:rFonts w:ascii="Arial" w:hAnsi="Arial" w:cs="Arial"/>
        </w:rPr>
        <w:t>, 2020). The PLC has four phases, which include introduction, growth, maturity and decline. Nevertheless, this essay will focus on discussing the growth and maturity stages that any company, whether pioneer or follower, must explore to sustain its market share, customer loyalty, and competitive advantage.</w:t>
      </w:r>
    </w:p>
    <w:p w14:paraId="6CF2466F" w14:textId="77777777" w:rsidR="00DB62B0" w:rsidRDefault="00507735">
      <w:pPr>
        <w:rPr>
          <w:rFonts w:ascii="Arial" w:hAnsi="Arial" w:cs="Arial"/>
        </w:rPr>
      </w:pPr>
      <w:r>
        <w:rPr>
          <w:rFonts w:ascii="Arial" w:hAnsi="Arial" w:cs="Arial"/>
        </w:rPr>
        <w:t>This essay will outline and reflect on the benefits of being a first mover over a follower, discuss the various activities employed by corporations during the growth and maturity stages of the product life cycle, and explain, with examples, how these activities contribute to achieving sustainable success and market saturation.</w:t>
      </w:r>
    </w:p>
    <w:p w14:paraId="2584FACD" w14:textId="77777777" w:rsidR="00DB62B0" w:rsidRDefault="00507735">
      <w:pPr>
        <w:rPr>
          <w:rFonts w:ascii="Arial" w:hAnsi="Arial" w:cs="Arial"/>
          <w:b/>
          <w:bCs/>
        </w:rPr>
      </w:pPr>
      <w:r>
        <w:rPr>
          <w:rFonts w:ascii="Arial" w:hAnsi="Arial" w:cs="Arial"/>
          <w:b/>
          <w:bCs/>
        </w:rPr>
        <w:br w:type="page"/>
      </w:r>
    </w:p>
    <w:p w14:paraId="7996424B" w14:textId="77777777" w:rsidR="00DB62B0" w:rsidRDefault="00507735">
      <w:pPr>
        <w:pStyle w:val="Heading1"/>
        <w:rPr>
          <w:rFonts w:ascii="Arial" w:hAnsi="Arial" w:cs="Arial"/>
        </w:rPr>
      </w:pPr>
      <w:bookmarkStart w:id="1" w:name="_Toc194030862"/>
      <w:r>
        <w:rPr>
          <w:rFonts w:ascii="Arial" w:hAnsi="Arial" w:cs="Arial"/>
        </w:rPr>
        <w:t>Advantages of Being a Pioneer and Follower</w:t>
      </w:r>
      <w:bookmarkEnd w:id="1"/>
    </w:p>
    <w:p w14:paraId="147A1D74" w14:textId="77777777" w:rsidR="00DB62B0" w:rsidRDefault="00507735">
      <w:pPr>
        <w:pStyle w:val="Heading2"/>
        <w:rPr>
          <w:rFonts w:ascii="Arial" w:hAnsi="Arial" w:cs="Arial"/>
        </w:rPr>
      </w:pPr>
      <w:bookmarkStart w:id="2" w:name="_Toc194030863"/>
      <w:r>
        <w:rPr>
          <w:rFonts w:ascii="Arial" w:hAnsi="Arial" w:cs="Arial"/>
        </w:rPr>
        <w:t>Advantages of Being a Pioneer</w:t>
      </w:r>
      <w:bookmarkEnd w:id="2"/>
    </w:p>
    <w:p w14:paraId="2BC89554" w14:textId="77777777" w:rsidR="00DB62B0" w:rsidRDefault="00507735">
      <w:pPr>
        <w:rPr>
          <w:rFonts w:ascii="Arial" w:hAnsi="Arial" w:cs="Arial"/>
        </w:rPr>
      </w:pPr>
      <w:r>
        <w:rPr>
          <w:rFonts w:ascii="Arial" w:hAnsi="Arial" w:cs="Arial"/>
        </w:rPr>
        <w:t>A pioneer is the first mover, a provider of a unique product or service, a developer of a novel technique when it comes to the market, which has the difficulty among its responsibilities of creating and defining the demand for the marketing offering. This means that the first organisation to enter a particular market has enormous benefits because it has the opportunity to determine the rules of competition in the field (</w:t>
      </w:r>
      <w:proofErr w:type="spellStart"/>
      <w:r>
        <w:rPr>
          <w:rFonts w:ascii="Arial" w:hAnsi="Arial" w:cs="Arial"/>
        </w:rPr>
        <w:t>Montaguti</w:t>
      </w:r>
      <w:proofErr w:type="spellEnd"/>
      <w:r>
        <w:rPr>
          <w:rFonts w:ascii="Arial" w:hAnsi="Arial" w:cs="Arial"/>
        </w:rPr>
        <w:t xml:space="preserve"> and </w:t>
      </w:r>
      <w:proofErr w:type="spellStart"/>
      <w:r>
        <w:rPr>
          <w:rFonts w:ascii="Arial" w:hAnsi="Arial" w:cs="Arial"/>
        </w:rPr>
        <w:t>Zammit</w:t>
      </w:r>
      <w:proofErr w:type="spellEnd"/>
      <w:r>
        <w:rPr>
          <w:rFonts w:ascii="Arial" w:hAnsi="Arial" w:cs="Arial"/>
        </w:rPr>
        <w:t>, 2017). A pioneer is able to establish a readily identifiable customer following that associates the brand with the category. This gives a company the first-mover advantage, increased chances of making good profits, and enjoying long-term market dominance, as consumers are likely to purchase goods from familiar brands.</w:t>
      </w:r>
    </w:p>
    <w:p w14:paraId="4915751B" w14:textId="77777777" w:rsidR="00DB62B0" w:rsidRDefault="00507735">
      <w:pPr>
        <w:rPr>
          <w:rFonts w:ascii="Arial" w:hAnsi="Arial" w:cs="Arial"/>
        </w:rPr>
      </w:pPr>
      <w:r>
        <w:rPr>
          <w:rFonts w:ascii="Arial" w:hAnsi="Arial" w:cs="Arial"/>
        </w:rPr>
        <w:t>For instance, Apple developed the first iPhone and launched it to the market, forcing other producers to create new lines of products. This allowed Apple to strengthen its position and ensure demand among consumers as competitors emerged. Consumers remained loyal due to the product’s release, modern design, and its association with the company’s ecosystem (Chen et al., 2023). Likewise, Tesla introduced the concept of electric cars to the automobile market and became the market leader in this area. Thus, Tes</w:t>
      </w:r>
      <w:r>
        <w:rPr>
          <w:rFonts w:ascii="Arial" w:hAnsi="Arial" w:cs="Arial"/>
        </w:rPr>
        <w:t>la managed to occupy a niche that allowed its product to perform well while also serving a socially responsible function by being environmentally friendly (Wu et al., 2021). This characteristic enabled Tesla to cultivate a devoted legion of consumers driven by both environmental concerns and a passion for advanced technology. These strategies enabled both Apple and Tesla to maintain and retain their loyal customer base, despite facing heightened market competition.</w:t>
      </w:r>
    </w:p>
    <w:p w14:paraId="573A727C" w14:textId="77777777" w:rsidR="00DB62B0" w:rsidRDefault="00507735">
      <w:pPr>
        <w:rPr>
          <w:rFonts w:ascii="Arial" w:hAnsi="Arial" w:cs="Arial"/>
        </w:rPr>
      </w:pPr>
      <w:r>
        <w:rPr>
          <w:rFonts w:ascii="Arial" w:hAnsi="Arial" w:cs="Arial"/>
        </w:rPr>
        <w:t xml:space="preserve">That is why pioneers are free to establish specific technological frameworks which other companies are unable to avoid. For instance, Amazon, in its early years, not only created the online selling business but also developed the AWS cloud service, which significantly shaped the entire cloud industry, leaving competitors with no option but to follow suit. Nevertheless, this advantage offers some problems (Tien and Ngoc, 2019). Pricing and risk costs, primarily including the inherent costs of innovation and </w:t>
      </w:r>
      <w:r>
        <w:rPr>
          <w:rFonts w:ascii="Arial" w:hAnsi="Arial" w:cs="Arial"/>
        </w:rPr>
        <w:t>market uncertainty, pose significant risks to firms. They should invest a considerable amount of capital in research and development, as they generally operate in an uncertain market; hence, their success is not assured.</w:t>
      </w:r>
    </w:p>
    <w:p w14:paraId="7846EB8A" w14:textId="77777777" w:rsidR="00DB62B0" w:rsidRDefault="00507735">
      <w:pPr>
        <w:pStyle w:val="Heading2"/>
        <w:rPr>
          <w:rFonts w:ascii="Arial" w:hAnsi="Arial" w:cs="Arial"/>
        </w:rPr>
      </w:pPr>
      <w:bookmarkStart w:id="3" w:name="_Toc194030864"/>
      <w:r>
        <w:rPr>
          <w:rFonts w:ascii="Arial" w:hAnsi="Arial" w:cs="Arial"/>
        </w:rPr>
        <w:t>Advantages of Being a Follower</w:t>
      </w:r>
      <w:bookmarkEnd w:id="3"/>
    </w:p>
    <w:p w14:paraId="53C70DEF" w14:textId="77777777" w:rsidR="00DB62B0" w:rsidRDefault="00507735">
      <w:pPr>
        <w:rPr>
          <w:rFonts w:ascii="Arial" w:hAnsi="Arial" w:cs="Arial"/>
        </w:rPr>
      </w:pPr>
      <w:r>
        <w:rPr>
          <w:rFonts w:ascii="Arial" w:hAnsi="Arial" w:cs="Arial"/>
        </w:rPr>
        <w:t>Market pioneers may start the lead, but followers may opt to join with less risk and a head start. By observing the experiences of pioneers, followers can adopt best practices and avoid the mistakes made by those who came before them. It also makes followers creep instead of charging ahead and making many mistakes that pioneers make at the early stages (</w:t>
      </w:r>
      <w:proofErr w:type="spellStart"/>
      <w:r>
        <w:rPr>
          <w:rFonts w:ascii="Arial" w:hAnsi="Arial" w:cs="Arial"/>
        </w:rPr>
        <w:t>Gotteland</w:t>
      </w:r>
      <w:proofErr w:type="spellEnd"/>
      <w:r>
        <w:rPr>
          <w:rFonts w:ascii="Arial" w:hAnsi="Arial" w:cs="Arial"/>
        </w:rPr>
        <w:t xml:space="preserve"> et al., 2020). They need to seize and create opportunities depending on existing and potential customer demands, trends, or reviews.</w:t>
      </w:r>
    </w:p>
    <w:p w14:paraId="166E6CF5" w14:textId="77777777" w:rsidR="00DB62B0" w:rsidRDefault="00507735">
      <w:pPr>
        <w:rPr>
          <w:rFonts w:ascii="Arial" w:hAnsi="Arial" w:cs="Arial"/>
        </w:rPr>
      </w:pPr>
      <w:r>
        <w:rPr>
          <w:rFonts w:ascii="Arial" w:hAnsi="Arial" w:cs="Arial"/>
        </w:rPr>
        <w:t>It is also advisable for a follower to offer something different from the initial product or service that they initially introduced. The pioneers help followers utilise the market knowledge available to them. For instance, Samsung embarked on the quest to produce smartphones after Apple, standing on the foundation laid down by this company (Ford, 2020). By cutting prices and enhancing other aspects, such as screen size and battery capacity, the company became a strong rival of Apple and established a market</w:t>
      </w:r>
      <w:r>
        <w:rPr>
          <w:rFonts w:ascii="Arial" w:hAnsi="Arial" w:cs="Arial"/>
        </w:rPr>
        <w:t xml:space="preserve"> niche.</w:t>
      </w:r>
    </w:p>
    <w:p w14:paraId="2556B265" w14:textId="77777777" w:rsidR="00DB62B0" w:rsidRDefault="00507735">
      <w:pPr>
        <w:rPr>
          <w:rFonts w:ascii="Arial" w:hAnsi="Arial" w:cs="Arial"/>
        </w:rPr>
      </w:pPr>
      <w:r>
        <w:rPr>
          <w:rFonts w:ascii="Arial" w:hAnsi="Arial" w:cs="Arial"/>
        </w:rPr>
        <w:t>Followers also benefit from lower research and development costs, as they can utilise the developed technologies and ideas to advance their own. This enables them to introduce new products into the market as quickly and cheaply as the pioneers, who are forced to absorb development costs (</w:t>
      </w:r>
      <w:proofErr w:type="spellStart"/>
      <w:r>
        <w:rPr>
          <w:rFonts w:ascii="Arial" w:hAnsi="Arial" w:cs="Arial"/>
        </w:rPr>
        <w:t>Cai</w:t>
      </w:r>
      <w:proofErr w:type="spellEnd"/>
      <w:r>
        <w:rPr>
          <w:rFonts w:ascii="Arial" w:hAnsi="Arial" w:cs="Arial"/>
        </w:rPr>
        <w:t xml:space="preserve"> et al., 2020). Nokia, in fact, later joined the mobile phone business after Motorola, and its early models, although not as well-known as Motorola's, gained acceptance. The company enhanced these models and made them affordable for the public.</w:t>
      </w:r>
    </w:p>
    <w:p w14:paraId="0A0699CC" w14:textId="77777777" w:rsidR="00DB62B0" w:rsidRDefault="00507735">
      <w:pPr>
        <w:rPr>
          <w:rFonts w:ascii="Arial" w:hAnsi="Arial" w:cs="Arial"/>
        </w:rPr>
      </w:pPr>
      <w:r>
        <w:rPr>
          <w:rFonts w:ascii="Arial" w:hAnsi="Arial" w:cs="Arial"/>
        </w:rPr>
        <w:t>On the other hand, followers must struggle with the concept of differentiation. Many need to devise strategies to participate in a market already dominated by pioneers (</w:t>
      </w:r>
      <w:proofErr w:type="spellStart"/>
      <w:r>
        <w:rPr>
          <w:rFonts w:ascii="Arial" w:hAnsi="Arial" w:cs="Arial"/>
        </w:rPr>
        <w:t>Montaguti</w:t>
      </w:r>
      <w:proofErr w:type="spellEnd"/>
      <w:r>
        <w:rPr>
          <w:rFonts w:ascii="Arial" w:hAnsi="Arial" w:cs="Arial"/>
        </w:rPr>
        <w:t xml:space="preserve"> and </w:t>
      </w:r>
      <w:proofErr w:type="spellStart"/>
      <w:r>
        <w:rPr>
          <w:rFonts w:ascii="Arial" w:hAnsi="Arial" w:cs="Arial"/>
        </w:rPr>
        <w:t>Zammit</w:t>
      </w:r>
      <w:proofErr w:type="spellEnd"/>
      <w:r>
        <w:rPr>
          <w:rFonts w:ascii="Arial" w:hAnsi="Arial" w:cs="Arial"/>
        </w:rPr>
        <w:t>, 2017). For instance, Pepsi has traditionally positioned its brand as superior to Coca-Cola's, despite being the original brand. However, followers can always gain the necessary market share by providing higher-quality products, better services, and lower costs to customers than established brands.</w:t>
      </w:r>
    </w:p>
    <w:p w14:paraId="3A46D710" w14:textId="77777777" w:rsidR="00DB62B0" w:rsidRDefault="00507735">
      <w:pPr>
        <w:rPr>
          <w:rFonts w:ascii="Arial" w:hAnsi="Arial" w:cs="Arial"/>
          <w:b/>
          <w:bCs/>
        </w:rPr>
      </w:pPr>
      <w:r>
        <w:rPr>
          <w:rFonts w:ascii="Arial" w:hAnsi="Arial" w:cs="Arial"/>
          <w:b/>
          <w:bCs/>
        </w:rPr>
        <w:br w:type="page"/>
      </w:r>
    </w:p>
    <w:p w14:paraId="4AB5643E" w14:textId="77777777" w:rsidR="00DB62B0" w:rsidRDefault="00507735">
      <w:pPr>
        <w:pStyle w:val="Heading2"/>
        <w:rPr>
          <w:rFonts w:ascii="Arial" w:hAnsi="Arial" w:cs="Arial"/>
        </w:rPr>
      </w:pPr>
      <w:bookmarkStart w:id="4" w:name="_Toc194030865"/>
      <w:bookmarkStart w:id="5" w:name="_Hlk194030943"/>
      <w:r>
        <w:rPr>
          <w:rFonts w:ascii="Arial" w:hAnsi="Arial" w:cs="Arial"/>
        </w:rPr>
        <w:t>Comparison of Advantages: Pioneers vs. Followers</w:t>
      </w:r>
      <w:bookmarkEnd w:id="4"/>
    </w:p>
    <w:bookmarkEnd w:id="5"/>
    <w:p w14:paraId="2BD379CA" w14:textId="77777777" w:rsidR="00DB62B0" w:rsidRDefault="00507735">
      <w:pPr>
        <w:rPr>
          <w:rFonts w:ascii="Arial" w:hAnsi="Arial" w:cs="Arial"/>
        </w:rPr>
      </w:pPr>
      <w:r>
        <w:rPr>
          <w:rFonts w:ascii="Arial" w:hAnsi="Arial" w:cs="Arial"/>
        </w:rPr>
        <w:t>For a better understanding of the differences in the advantages of each strategy, the following table presents a detailed list of benefits for pioneers and followers:</w:t>
      </w:r>
    </w:p>
    <w:tbl>
      <w:tblPr>
        <w:tblStyle w:val="TableGrid"/>
        <w:tblW w:w="0" w:type="auto"/>
        <w:tblLook w:val="04A0" w:firstRow="1" w:lastRow="0" w:firstColumn="1" w:lastColumn="0" w:noHBand="0" w:noVBand="1"/>
      </w:tblPr>
      <w:tblGrid>
        <w:gridCol w:w="1964"/>
        <w:gridCol w:w="3479"/>
        <w:gridCol w:w="3907"/>
      </w:tblGrid>
      <w:tr w:rsidR="00DB62B0" w14:paraId="6D76F9A2" w14:textId="77777777">
        <w:tc>
          <w:tcPr>
            <w:tcW w:w="0" w:type="auto"/>
          </w:tcPr>
          <w:p w14:paraId="6AF3F6FF" w14:textId="77777777" w:rsidR="00DB62B0" w:rsidRDefault="00507735">
            <w:pPr>
              <w:rPr>
                <w:rFonts w:ascii="Arial" w:hAnsi="Arial" w:cs="Arial"/>
                <w:b/>
                <w:bCs/>
              </w:rPr>
            </w:pPr>
            <w:r>
              <w:rPr>
                <w:rFonts w:ascii="Arial" w:hAnsi="Arial" w:cs="Arial"/>
                <w:b/>
                <w:bCs/>
              </w:rPr>
              <w:t>Aspect</w:t>
            </w:r>
          </w:p>
        </w:tc>
        <w:tc>
          <w:tcPr>
            <w:tcW w:w="0" w:type="auto"/>
          </w:tcPr>
          <w:p w14:paraId="2C5792D1" w14:textId="77777777" w:rsidR="00DB62B0" w:rsidRDefault="00507735">
            <w:pPr>
              <w:rPr>
                <w:rFonts w:ascii="Arial" w:hAnsi="Arial" w:cs="Arial"/>
                <w:b/>
                <w:bCs/>
              </w:rPr>
            </w:pPr>
            <w:r>
              <w:rPr>
                <w:rFonts w:ascii="Arial" w:hAnsi="Arial" w:cs="Arial"/>
                <w:b/>
                <w:bCs/>
              </w:rPr>
              <w:t>Pioneer Companies</w:t>
            </w:r>
          </w:p>
        </w:tc>
        <w:tc>
          <w:tcPr>
            <w:tcW w:w="0" w:type="auto"/>
          </w:tcPr>
          <w:p w14:paraId="36A83145" w14:textId="77777777" w:rsidR="00DB62B0" w:rsidRDefault="00507735">
            <w:pPr>
              <w:rPr>
                <w:rFonts w:ascii="Arial" w:hAnsi="Arial" w:cs="Arial"/>
                <w:b/>
                <w:bCs/>
              </w:rPr>
            </w:pPr>
            <w:r>
              <w:rPr>
                <w:rFonts w:ascii="Arial" w:hAnsi="Arial" w:cs="Arial"/>
                <w:b/>
                <w:bCs/>
              </w:rPr>
              <w:t>Follower Companies</w:t>
            </w:r>
          </w:p>
        </w:tc>
      </w:tr>
      <w:tr w:rsidR="00DB62B0" w14:paraId="441866F6" w14:textId="77777777">
        <w:tc>
          <w:tcPr>
            <w:tcW w:w="0" w:type="auto"/>
          </w:tcPr>
          <w:p w14:paraId="0853A654" w14:textId="77777777" w:rsidR="00DB62B0" w:rsidRDefault="00507735">
            <w:pPr>
              <w:rPr>
                <w:rFonts w:ascii="Arial" w:hAnsi="Arial" w:cs="Arial"/>
              </w:rPr>
            </w:pPr>
            <w:r>
              <w:rPr>
                <w:rFonts w:ascii="Arial" w:hAnsi="Arial" w:cs="Arial"/>
                <w:b/>
                <w:bCs/>
              </w:rPr>
              <w:t>Market Entry</w:t>
            </w:r>
          </w:p>
        </w:tc>
        <w:tc>
          <w:tcPr>
            <w:tcW w:w="0" w:type="auto"/>
          </w:tcPr>
          <w:p w14:paraId="0C209C57" w14:textId="77777777" w:rsidR="00DB62B0" w:rsidRDefault="00507735">
            <w:pPr>
              <w:rPr>
                <w:rFonts w:ascii="Arial" w:hAnsi="Arial" w:cs="Arial"/>
              </w:rPr>
            </w:pPr>
            <w:r>
              <w:rPr>
                <w:rFonts w:ascii="Arial" w:hAnsi="Arial" w:cs="Arial"/>
              </w:rPr>
              <w:t>First to market with innovation, creating initial demand.</w:t>
            </w:r>
          </w:p>
        </w:tc>
        <w:tc>
          <w:tcPr>
            <w:tcW w:w="0" w:type="auto"/>
          </w:tcPr>
          <w:p w14:paraId="5A1A7571" w14:textId="77777777" w:rsidR="00DB62B0" w:rsidRDefault="00507735">
            <w:pPr>
              <w:rPr>
                <w:rFonts w:ascii="Arial" w:hAnsi="Arial" w:cs="Arial"/>
              </w:rPr>
            </w:pPr>
            <w:r>
              <w:rPr>
                <w:rFonts w:ascii="Arial" w:hAnsi="Arial" w:cs="Arial"/>
              </w:rPr>
              <w:t xml:space="preserve">Enter the </w:t>
            </w:r>
            <w:r>
              <w:rPr>
                <w:rFonts w:ascii="Arial" w:hAnsi="Arial" w:cs="Arial"/>
              </w:rPr>
              <w:t>market after demand has been established, thereby reducing market uncertainty.</w:t>
            </w:r>
          </w:p>
        </w:tc>
      </w:tr>
      <w:tr w:rsidR="00DB62B0" w14:paraId="182CA8F5" w14:textId="77777777">
        <w:tc>
          <w:tcPr>
            <w:tcW w:w="0" w:type="auto"/>
          </w:tcPr>
          <w:p w14:paraId="7732CF52" w14:textId="77777777" w:rsidR="00DB62B0" w:rsidRDefault="00507735">
            <w:pPr>
              <w:rPr>
                <w:rFonts w:ascii="Arial" w:hAnsi="Arial" w:cs="Arial"/>
              </w:rPr>
            </w:pPr>
            <w:r>
              <w:rPr>
                <w:rFonts w:ascii="Arial" w:hAnsi="Arial" w:cs="Arial"/>
                <w:b/>
                <w:bCs/>
              </w:rPr>
              <w:t>Customer Loyalty</w:t>
            </w:r>
          </w:p>
        </w:tc>
        <w:tc>
          <w:tcPr>
            <w:tcW w:w="0" w:type="auto"/>
          </w:tcPr>
          <w:p w14:paraId="73486277" w14:textId="77777777" w:rsidR="00DB62B0" w:rsidRDefault="00507735">
            <w:pPr>
              <w:rPr>
                <w:rFonts w:ascii="Arial" w:hAnsi="Arial" w:cs="Arial"/>
              </w:rPr>
            </w:pPr>
            <w:r>
              <w:rPr>
                <w:rFonts w:ascii="Arial" w:hAnsi="Arial" w:cs="Arial"/>
              </w:rPr>
              <w:t>Build early customer loyalty to create a strong and long-lasting foundation.</w:t>
            </w:r>
          </w:p>
        </w:tc>
        <w:tc>
          <w:tcPr>
            <w:tcW w:w="0" w:type="auto"/>
          </w:tcPr>
          <w:p w14:paraId="3AF65BCD" w14:textId="77777777" w:rsidR="00DB62B0" w:rsidRDefault="00507735">
            <w:pPr>
              <w:rPr>
                <w:rFonts w:ascii="Arial" w:hAnsi="Arial" w:cs="Arial"/>
              </w:rPr>
            </w:pPr>
            <w:r>
              <w:rPr>
                <w:rFonts w:ascii="Arial" w:hAnsi="Arial" w:cs="Arial"/>
              </w:rPr>
              <w:t>Must find ways to differentiate and attract customers from established brands.</w:t>
            </w:r>
          </w:p>
        </w:tc>
      </w:tr>
      <w:tr w:rsidR="00DB62B0" w14:paraId="47C100A6" w14:textId="77777777">
        <w:tc>
          <w:tcPr>
            <w:tcW w:w="0" w:type="auto"/>
          </w:tcPr>
          <w:p w14:paraId="045A7E8C" w14:textId="77777777" w:rsidR="00DB62B0" w:rsidRDefault="00507735">
            <w:pPr>
              <w:rPr>
                <w:rFonts w:ascii="Arial" w:hAnsi="Arial" w:cs="Arial"/>
              </w:rPr>
            </w:pPr>
            <w:r>
              <w:rPr>
                <w:rFonts w:ascii="Arial" w:hAnsi="Arial" w:cs="Arial"/>
                <w:b/>
                <w:bCs/>
              </w:rPr>
              <w:t>Cost of Innovation</w:t>
            </w:r>
          </w:p>
        </w:tc>
        <w:tc>
          <w:tcPr>
            <w:tcW w:w="0" w:type="auto"/>
          </w:tcPr>
          <w:p w14:paraId="1EB57589" w14:textId="77777777" w:rsidR="00DB62B0" w:rsidRDefault="00507735">
            <w:pPr>
              <w:rPr>
                <w:rFonts w:ascii="Arial" w:hAnsi="Arial" w:cs="Arial"/>
              </w:rPr>
            </w:pPr>
            <w:r>
              <w:rPr>
                <w:rFonts w:ascii="Arial" w:hAnsi="Arial" w:cs="Arial"/>
              </w:rPr>
              <w:t>High initial investment in research, development, and market education.</w:t>
            </w:r>
          </w:p>
        </w:tc>
        <w:tc>
          <w:tcPr>
            <w:tcW w:w="0" w:type="auto"/>
          </w:tcPr>
          <w:p w14:paraId="326AD6D9" w14:textId="77777777" w:rsidR="00DB62B0" w:rsidRDefault="00507735">
            <w:pPr>
              <w:rPr>
                <w:rFonts w:ascii="Arial" w:hAnsi="Arial" w:cs="Arial"/>
              </w:rPr>
            </w:pPr>
            <w:r>
              <w:rPr>
                <w:rFonts w:ascii="Arial" w:hAnsi="Arial" w:cs="Arial"/>
              </w:rPr>
              <w:t>Lower investment in R&amp;D, benefiting from established market trends.</w:t>
            </w:r>
          </w:p>
        </w:tc>
      </w:tr>
      <w:tr w:rsidR="00DB62B0" w14:paraId="440B471E" w14:textId="77777777">
        <w:tc>
          <w:tcPr>
            <w:tcW w:w="0" w:type="auto"/>
          </w:tcPr>
          <w:p w14:paraId="5242B486" w14:textId="77777777" w:rsidR="00DB62B0" w:rsidRDefault="00507735">
            <w:pPr>
              <w:rPr>
                <w:rFonts w:ascii="Arial" w:hAnsi="Arial" w:cs="Arial"/>
              </w:rPr>
            </w:pPr>
            <w:r>
              <w:rPr>
                <w:rFonts w:ascii="Arial" w:hAnsi="Arial" w:cs="Arial"/>
                <w:b/>
                <w:bCs/>
              </w:rPr>
              <w:t>Technology Leadership</w:t>
            </w:r>
          </w:p>
        </w:tc>
        <w:tc>
          <w:tcPr>
            <w:tcW w:w="0" w:type="auto"/>
          </w:tcPr>
          <w:p w14:paraId="641458D0" w14:textId="77777777" w:rsidR="00DB62B0" w:rsidRDefault="00507735">
            <w:pPr>
              <w:rPr>
                <w:rFonts w:ascii="Arial" w:hAnsi="Arial" w:cs="Arial"/>
              </w:rPr>
            </w:pPr>
            <w:r>
              <w:rPr>
                <w:rFonts w:ascii="Arial" w:hAnsi="Arial" w:cs="Arial"/>
              </w:rPr>
              <w:t>Can establish technological standards and patents.</w:t>
            </w:r>
          </w:p>
        </w:tc>
        <w:tc>
          <w:tcPr>
            <w:tcW w:w="0" w:type="auto"/>
          </w:tcPr>
          <w:p w14:paraId="7B9FFF1F" w14:textId="77777777" w:rsidR="00DB62B0" w:rsidRDefault="00507735">
            <w:pPr>
              <w:rPr>
                <w:rFonts w:ascii="Arial" w:hAnsi="Arial" w:cs="Arial"/>
              </w:rPr>
            </w:pPr>
            <w:r>
              <w:rPr>
                <w:rFonts w:ascii="Arial" w:hAnsi="Arial" w:cs="Arial"/>
              </w:rPr>
              <w:t xml:space="preserve">Can leverage </w:t>
            </w:r>
            <w:r>
              <w:rPr>
                <w:rFonts w:ascii="Arial" w:hAnsi="Arial" w:cs="Arial"/>
              </w:rPr>
              <w:t>existing technologies and improve on them.</w:t>
            </w:r>
          </w:p>
        </w:tc>
      </w:tr>
      <w:tr w:rsidR="00DB62B0" w14:paraId="360F8469" w14:textId="77777777">
        <w:tc>
          <w:tcPr>
            <w:tcW w:w="0" w:type="auto"/>
          </w:tcPr>
          <w:p w14:paraId="7FB4114D" w14:textId="77777777" w:rsidR="00DB62B0" w:rsidRDefault="00507735">
            <w:pPr>
              <w:rPr>
                <w:rFonts w:ascii="Arial" w:hAnsi="Arial" w:cs="Arial"/>
              </w:rPr>
            </w:pPr>
            <w:r>
              <w:rPr>
                <w:rFonts w:ascii="Arial" w:hAnsi="Arial" w:cs="Arial"/>
                <w:b/>
                <w:bCs/>
              </w:rPr>
              <w:t>Competitive Advantage</w:t>
            </w:r>
          </w:p>
        </w:tc>
        <w:tc>
          <w:tcPr>
            <w:tcW w:w="0" w:type="auto"/>
          </w:tcPr>
          <w:p w14:paraId="3A08BB26" w14:textId="77777777" w:rsidR="00DB62B0" w:rsidRDefault="00507735">
            <w:pPr>
              <w:rPr>
                <w:rFonts w:ascii="Arial" w:hAnsi="Arial" w:cs="Arial"/>
              </w:rPr>
            </w:pPr>
            <w:r>
              <w:rPr>
                <w:rFonts w:ascii="Arial" w:hAnsi="Arial" w:cs="Arial"/>
              </w:rPr>
              <w:t>Strong, initial brand positioning and dominance.</w:t>
            </w:r>
          </w:p>
        </w:tc>
        <w:tc>
          <w:tcPr>
            <w:tcW w:w="0" w:type="auto"/>
          </w:tcPr>
          <w:p w14:paraId="7C006429" w14:textId="77777777" w:rsidR="00DB62B0" w:rsidRDefault="00507735">
            <w:pPr>
              <w:rPr>
                <w:rFonts w:ascii="Arial" w:hAnsi="Arial" w:cs="Arial"/>
              </w:rPr>
            </w:pPr>
            <w:r>
              <w:rPr>
                <w:rFonts w:ascii="Arial" w:hAnsi="Arial" w:cs="Arial"/>
              </w:rPr>
              <w:t>Must innovate and differentiate to carve out a niche.</w:t>
            </w:r>
          </w:p>
        </w:tc>
      </w:tr>
    </w:tbl>
    <w:p w14:paraId="0C57923B" w14:textId="77777777" w:rsidR="00DB62B0" w:rsidRDefault="00507735">
      <w:pPr>
        <w:jc w:val="center"/>
        <w:rPr>
          <w:rFonts w:ascii="Arial" w:hAnsi="Arial" w:cs="Arial"/>
          <w:i/>
          <w:iCs/>
        </w:rPr>
      </w:pPr>
      <w:r>
        <w:rPr>
          <w:rFonts w:ascii="Arial" w:hAnsi="Arial" w:cs="Arial"/>
          <w:i/>
          <w:iCs/>
        </w:rPr>
        <w:t>Table 1: Comparison of Advantages: Pioneers vs. Followers</w:t>
      </w:r>
    </w:p>
    <w:p w14:paraId="16918BFF" w14:textId="77777777" w:rsidR="00DB62B0" w:rsidRDefault="00507735">
      <w:pPr>
        <w:rPr>
          <w:rFonts w:ascii="Arial" w:hAnsi="Arial" w:cs="Arial"/>
        </w:rPr>
      </w:pPr>
      <w:r>
        <w:rPr>
          <w:rFonts w:ascii="Arial" w:hAnsi="Arial" w:cs="Arial"/>
        </w:rPr>
        <w:t>In summary, both pioneers and followers are vital in the formation of markets, as each offers unique benefits. Organisational pioneers have several advantages, including being market pioneers, brand awareness champions, and contributors to technology standards (Wu et al., 2021). However, at the same time, they also entail certain risks, primarily related to the high costs of innovation and market risks (</w:t>
      </w:r>
      <w:proofErr w:type="spellStart"/>
      <w:r>
        <w:rPr>
          <w:rFonts w:ascii="Arial" w:hAnsi="Arial" w:cs="Arial"/>
        </w:rPr>
        <w:t>Giachetti</w:t>
      </w:r>
      <w:proofErr w:type="spellEnd"/>
      <w:r>
        <w:rPr>
          <w:rFonts w:ascii="Arial" w:hAnsi="Arial" w:cs="Arial"/>
        </w:rPr>
        <w:t xml:space="preserve"> and </w:t>
      </w:r>
      <w:proofErr w:type="spellStart"/>
      <w:r>
        <w:rPr>
          <w:rFonts w:ascii="Arial" w:hAnsi="Arial" w:cs="Arial"/>
        </w:rPr>
        <w:t>Pira</w:t>
      </w:r>
      <w:proofErr w:type="spellEnd"/>
      <w:r>
        <w:rPr>
          <w:rFonts w:ascii="Arial" w:hAnsi="Arial" w:cs="Arial"/>
        </w:rPr>
        <w:t>, 2022). On the other hand, followers can achieve a lower risk, less investment in research and development, and a better evolution of existing products based on customers’ feedback and leaders’ experience. However, in differentiation, it may prove challenging for followers, but they can leverage the market created by pioneers to offer better and more competitive products (Gómez et al., 2022). Nonetheless, the key to both approaches lies within the organisation’s ability to change and crea</w:t>
      </w:r>
      <w:r>
        <w:rPr>
          <w:rFonts w:ascii="Arial" w:hAnsi="Arial" w:cs="Arial"/>
        </w:rPr>
        <w:t>te a competitive edge. It is always essential for both pioneers and followers to find their niche and thrive in the particular domain of the market they have chosen; for them, it is imperative to adapt to technological shifts.</w:t>
      </w:r>
    </w:p>
    <w:p w14:paraId="68B46FB4" w14:textId="77777777" w:rsidR="00DB62B0" w:rsidRDefault="00507735">
      <w:pPr>
        <w:pStyle w:val="Heading1"/>
        <w:rPr>
          <w:rFonts w:ascii="Arial" w:hAnsi="Arial" w:cs="Arial"/>
        </w:rPr>
      </w:pPr>
      <w:bookmarkStart w:id="6" w:name="_Toc194030866"/>
      <w:r>
        <w:rPr>
          <w:rFonts w:ascii="Arial" w:hAnsi="Arial" w:cs="Arial"/>
        </w:rPr>
        <w:t>PLC Strategies in the Growth and Maturity Stages</w:t>
      </w:r>
      <w:bookmarkEnd w:id="6"/>
      <w:r>
        <w:rPr>
          <w:rFonts w:ascii="Arial" w:hAnsi="Arial" w:cs="Arial"/>
        </w:rPr>
        <w:t xml:space="preserve"> </w:t>
      </w:r>
    </w:p>
    <w:p w14:paraId="6D2E43D3" w14:textId="77777777" w:rsidR="00DB62B0" w:rsidRDefault="00507735">
      <w:pPr>
        <w:rPr>
          <w:rFonts w:ascii="Arial" w:hAnsi="Arial" w:cs="Arial"/>
        </w:rPr>
      </w:pPr>
      <w:r>
        <w:rPr>
          <w:rFonts w:ascii="Arial" w:hAnsi="Arial" w:cs="Arial"/>
        </w:rPr>
        <w:t>The Product Life Cycle (PLC) is a cyclical model that identifies the key stages a product passes through to be considered part of that particular life cycle (</w:t>
      </w:r>
      <w:proofErr w:type="spellStart"/>
      <w:r>
        <w:rPr>
          <w:rFonts w:ascii="Arial" w:hAnsi="Arial" w:cs="Arial"/>
        </w:rPr>
        <w:t>Elangovan</w:t>
      </w:r>
      <w:proofErr w:type="spellEnd"/>
      <w:r>
        <w:rPr>
          <w:rFonts w:ascii="Arial" w:hAnsi="Arial" w:cs="Arial"/>
        </w:rPr>
        <w:t xml:space="preserve">, 2020). Out of all the stages of the PLC, growth and maturity, where firms seek to sustain their growth and ensure they stay ahead of their competitors, is the most important. </w:t>
      </w:r>
    </w:p>
    <w:p w14:paraId="22ECE406" w14:textId="77777777" w:rsidR="00DB62B0" w:rsidRDefault="00507735">
      <w:pPr>
        <w:jc w:val="center"/>
        <w:rPr>
          <w:rFonts w:ascii="Arial" w:hAnsi="Arial" w:cs="Arial"/>
          <w:i/>
          <w:iCs/>
        </w:rPr>
      </w:pPr>
      <w:r>
        <w:rPr>
          <w:rFonts w:ascii="Arial" w:hAnsi="Arial" w:cs="Arial"/>
          <w:i/>
          <w:iCs/>
          <w:noProof/>
          <w:lang w:val="en-US"/>
        </w:rPr>
        <w:drawing>
          <wp:inline distT="0" distB="0" distL="0" distR="0" wp14:anchorId="3477F577" wp14:editId="79109E15">
            <wp:extent cx="3881120" cy="2159000"/>
            <wp:effectExtent l="0" t="0" r="5080" b="0"/>
            <wp:docPr id="1672061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061915" name="Picture 1"/>
                    <pic:cNvPicPr>
                      <a:picLocks noChangeAspect="1"/>
                    </pic:cNvPicPr>
                  </pic:nvPicPr>
                  <pic:blipFill>
                    <a:blip r:embed="rId10"/>
                    <a:stretch>
                      <a:fillRect/>
                    </a:stretch>
                  </pic:blipFill>
                  <pic:spPr>
                    <a:xfrm>
                      <a:off x="0" y="0"/>
                      <a:ext cx="3909434" cy="2174831"/>
                    </a:xfrm>
                    <a:prstGeom prst="rect">
                      <a:avLst/>
                    </a:prstGeom>
                  </pic:spPr>
                </pic:pic>
              </a:graphicData>
            </a:graphic>
          </wp:inline>
        </w:drawing>
      </w:r>
    </w:p>
    <w:p w14:paraId="74F48315" w14:textId="77777777" w:rsidR="00DB62B0" w:rsidRDefault="00507735">
      <w:pPr>
        <w:jc w:val="center"/>
        <w:rPr>
          <w:rFonts w:ascii="Arial" w:hAnsi="Arial" w:cs="Arial"/>
          <w:i/>
          <w:iCs/>
        </w:rPr>
      </w:pPr>
      <w:r>
        <w:rPr>
          <w:rFonts w:ascii="Arial" w:hAnsi="Arial" w:cs="Arial"/>
          <w:i/>
          <w:iCs/>
        </w:rPr>
        <w:t xml:space="preserve">Figure 2: </w:t>
      </w:r>
      <w:r>
        <w:rPr>
          <w:rFonts w:ascii="Arial" w:hAnsi="Arial" w:cs="Arial"/>
          <w:i/>
          <w:iCs/>
        </w:rPr>
        <w:t>Product Life Cycle (PLC) (</w:t>
      </w:r>
      <w:proofErr w:type="spellStart"/>
      <w:r>
        <w:rPr>
          <w:rFonts w:ascii="Arial" w:hAnsi="Arial" w:cs="Arial"/>
          <w:i/>
          <w:iCs/>
        </w:rPr>
        <w:t>Elangovan</w:t>
      </w:r>
      <w:proofErr w:type="spellEnd"/>
      <w:r>
        <w:rPr>
          <w:rFonts w:ascii="Arial" w:hAnsi="Arial" w:cs="Arial"/>
          <w:i/>
          <w:iCs/>
        </w:rPr>
        <w:t>, 2020)</w:t>
      </w:r>
    </w:p>
    <w:p w14:paraId="6355B2B7" w14:textId="77777777" w:rsidR="00DB62B0" w:rsidRDefault="00507735">
      <w:pPr>
        <w:rPr>
          <w:rFonts w:ascii="Arial" w:hAnsi="Arial" w:cs="Arial"/>
          <w:b/>
          <w:color w:val="000000"/>
          <w:sz w:val="28"/>
          <w:szCs w:val="28"/>
        </w:rPr>
      </w:pPr>
      <w:bookmarkStart w:id="7" w:name="_Toc194030867"/>
      <w:r>
        <w:rPr>
          <w:rFonts w:ascii="Arial" w:hAnsi="Arial" w:cs="Arial"/>
        </w:rPr>
        <w:br w:type="page"/>
      </w:r>
    </w:p>
    <w:p w14:paraId="69B5FA82" w14:textId="77777777" w:rsidR="00DB62B0" w:rsidRDefault="00507735">
      <w:pPr>
        <w:pStyle w:val="Heading2"/>
        <w:rPr>
          <w:rFonts w:ascii="Arial" w:hAnsi="Arial" w:cs="Arial"/>
        </w:rPr>
      </w:pPr>
      <w:r>
        <w:rPr>
          <w:rFonts w:ascii="Arial" w:hAnsi="Arial" w:cs="Arial"/>
        </w:rPr>
        <w:t>Overview of PLC Stages</w:t>
      </w:r>
      <w:bookmarkEnd w:id="7"/>
    </w:p>
    <w:p w14:paraId="055839E0" w14:textId="77777777" w:rsidR="00DB62B0" w:rsidRDefault="00507735">
      <w:pPr>
        <w:pStyle w:val="ListParagraph"/>
        <w:numPr>
          <w:ilvl w:val="0"/>
          <w:numId w:val="1"/>
        </w:numPr>
        <w:rPr>
          <w:rFonts w:ascii="Arial" w:hAnsi="Arial" w:cs="Arial"/>
        </w:rPr>
      </w:pPr>
      <w:r>
        <w:rPr>
          <w:rFonts w:ascii="Arial" w:hAnsi="Arial" w:cs="Arial"/>
          <w:b/>
          <w:bCs/>
        </w:rPr>
        <w:t>Introduction Stage:</w:t>
      </w:r>
      <w:r>
        <w:rPr>
          <w:rFonts w:ascii="Arial" w:hAnsi="Arial" w:cs="Arial"/>
        </w:rPr>
        <w:t xml:space="preserve"> It is characterised by a high level of newness, which makes pioneers typically dominate it. The market penetration is low, and efforts are being made to raise awareness of the product's importance in the market (</w:t>
      </w:r>
      <w:proofErr w:type="spellStart"/>
      <w:r>
        <w:rPr>
          <w:rFonts w:ascii="Arial" w:hAnsi="Arial" w:cs="Arial"/>
        </w:rPr>
        <w:t>Iveson</w:t>
      </w:r>
      <w:proofErr w:type="spellEnd"/>
      <w:r>
        <w:rPr>
          <w:rFonts w:ascii="Arial" w:hAnsi="Arial" w:cs="Arial"/>
        </w:rPr>
        <w:t xml:space="preserve"> et al., 2022).</w:t>
      </w:r>
    </w:p>
    <w:p w14:paraId="24B10864" w14:textId="77777777" w:rsidR="00DB62B0" w:rsidRDefault="00507735">
      <w:pPr>
        <w:pStyle w:val="ListParagraph"/>
        <w:numPr>
          <w:ilvl w:val="0"/>
          <w:numId w:val="1"/>
        </w:numPr>
        <w:rPr>
          <w:rFonts w:ascii="Arial" w:hAnsi="Arial" w:cs="Arial"/>
        </w:rPr>
      </w:pPr>
      <w:r>
        <w:rPr>
          <w:rFonts w:ascii="Arial" w:hAnsi="Arial" w:cs="Arial"/>
          <w:b/>
          <w:bCs/>
        </w:rPr>
        <w:t>Growth Stage:</w:t>
      </w:r>
      <w:r>
        <w:rPr>
          <w:rFonts w:ascii="Arial" w:hAnsi="Arial" w:cs="Arial"/>
        </w:rPr>
        <w:t xml:space="preserve"> Sales growth accelerates, and businesses face keen competition, struggling to gain consumers’ acceptance of their products. Not only do the pioneers have aspirations to increase their scope and improve their services, but the followers also share the same sentiment.</w:t>
      </w:r>
    </w:p>
    <w:p w14:paraId="369B98C7" w14:textId="77777777" w:rsidR="00DB62B0" w:rsidRDefault="00507735">
      <w:pPr>
        <w:pStyle w:val="ListParagraph"/>
        <w:numPr>
          <w:ilvl w:val="0"/>
          <w:numId w:val="1"/>
        </w:numPr>
        <w:rPr>
          <w:rFonts w:ascii="Arial" w:hAnsi="Arial" w:cs="Arial"/>
        </w:rPr>
      </w:pPr>
      <w:r>
        <w:rPr>
          <w:rFonts w:ascii="Arial" w:hAnsi="Arial" w:cs="Arial"/>
          <w:b/>
          <w:bCs/>
        </w:rPr>
        <w:t>Maturity Stage:</w:t>
      </w:r>
      <w:r>
        <w:rPr>
          <w:rFonts w:ascii="Arial" w:hAnsi="Arial" w:cs="Arial"/>
        </w:rPr>
        <w:t xml:space="preserve"> This stage marks the slowdown in market expansion, as the market is almost entirely saturated (</w:t>
      </w:r>
      <w:proofErr w:type="spellStart"/>
      <w:r>
        <w:rPr>
          <w:rFonts w:ascii="Arial" w:hAnsi="Arial" w:cs="Arial"/>
        </w:rPr>
        <w:t>Otte</w:t>
      </w:r>
      <w:proofErr w:type="spellEnd"/>
      <w:r>
        <w:rPr>
          <w:rFonts w:ascii="Arial" w:hAnsi="Arial" w:cs="Arial"/>
        </w:rPr>
        <w:t xml:space="preserve"> et al., 2019). Businesses have placed their efforts on market share, product positioning and improved customer retention.</w:t>
      </w:r>
    </w:p>
    <w:p w14:paraId="0A40E9D5" w14:textId="77777777" w:rsidR="00DB62B0" w:rsidRDefault="00507735">
      <w:pPr>
        <w:pStyle w:val="ListParagraph"/>
        <w:numPr>
          <w:ilvl w:val="0"/>
          <w:numId w:val="1"/>
        </w:numPr>
        <w:rPr>
          <w:rFonts w:ascii="Arial" w:hAnsi="Arial" w:cs="Arial"/>
        </w:rPr>
      </w:pPr>
      <w:r>
        <w:rPr>
          <w:rFonts w:ascii="Arial" w:hAnsi="Arial" w:cs="Arial"/>
          <w:b/>
          <w:bCs/>
        </w:rPr>
        <w:t>Decline Stage:</w:t>
      </w:r>
      <w:r>
        <w:rPr>
          <w:rFonts w:ascii="Arial" w:hAnsi="Arial" w:cs="Arial"/>
        </w:rPr>
        <w:t xml:space="preserve"> Products are no longer popular, for instance, due to technological advances, competitive products or customer tastes and preferences (</w:t>
      </w:r>
      <w:proofErr w:type="spellStart"/>
      <w:r>
        <w:rPr>
          <w:rFonts w:ascii="Arial" w:hAnsi="Arial" w:cs="Arial"/>
        </w:rPr>
        <w:t>Kornelakis</w:t>
      </w:r>
      <w:proofErr w:type="spellEnd"/>
      <w:r>
        <w:rPr>
          <w:rFonts w:ascii="Arial" w:hAnsi="Arial" w:cs="Arial"/>
        </w:rPr>
        <w:t xml:space="preserve"> and </w:t>
      </w:r>
      <w:proofErr w:type="spellStart"/>
      <w:r>
        <w:rPr>
          <w:rFonts w:ascii="Arial" w:hAnsi="Arial" w:cs="Arial"/>
        </w:rPr>
        <w:t>Petrakaki</w:t>
      </w:r>
      <w:proofErr w:type="spellEnd"/>
      <w:r>
        <w:rPr>
          <w:rFonts w:ascii="Arial" w:hAnsi="Arial" w:cs="Arial"/>
        </w:rPr>
        <w:t>, 2024).</w:t>
      </w:r>
    </w:p>
    <w:p w14:paraId="77573431" w14:textId="77777777" w:rsidR="00DB62B0" w:rsidRDefault="00507735">
      <w:pPr>
        <w:pStyle w:val="Heading2"/>
        <w:rPr>
          <w:rFonts w:ascii="Arial" w:hAnsi="Arial" w:cs="Arial"/>
        </w:rPr>
      </w:pPr>
      <w:bookmarkStart w:id="8" w:name="_Toc194030868"/>
      <w:r>
        <w:rPr>
          <w:rFonts w:ascii="Arial" w:hAnsi="Arial" w:cs="Arial"/>
        </w:rPr>
        <w:t>PLC Strategies in the Growth Stage</w:t>
      </w:r>
      <w:bookmarkEnd w:id="8"/>
    </w:p>
    <w:p w14:paraId="677A3542" w14:textId="77777777" w:rsidR="00DB62B0" w:rsidRDefault="00507735">
      <w:pPr>
        <w:rPr>
          <w:rFonts w:ascii="Arial" w:hAnsi="Arial" w:cs="Arial"/>
        </w:rPr>
      </w:pPr>
      <w:r>
        <w:rPr>
          <w:rFonts w:ascii="Arial" w:hAnsi="Arial" w:cs="Arial"/>
        </w:rPr>
        <w:t>The growth stage of the Product Life Cycle (PLC) is characterised by more demand and competition in the market (</w:t>
      </w:r>
      <w:proofErr w:type="spellStart"/>
      <w:r>
        <w:rPr>
          <w:rFonts w:ascii="Arial" w:hAnsi="Arial" w:cs="Arial"/>
        </w:rPr>
        <w:t>Suntsova</w:t>
      </w:r>
      <w:proofErr w:type="spellEnd"/>
      <w:r>
        <w:rPr>
          <w:rFonts w:ascii="Arial" w:hAnsi="Arial" w:cs="Arial"/>
        </w:rPr>
        <w:t>, 2024). At this stage, new businesses must grow, expand their market share, and diversify their offerings.</w:t>
      </w:r>
    </w:p>
    <w:p w14:paraId="565A0FC0" w14:textId="77777777" w:rsidR="00DB62B0" w:rsidRDefault="00507735">
      <w:pPr>
        <w:rPr>
          <w:rFonts w:ascii="Arial" w:hAnsi="Arial" w:cs="Arial"/>
          <w:b/>
          <w:bCs/>
        </w:rPr>
      </w:pPr>
      <w:r>
        <w:rPr>
          <w:rFonts w:ascii="Arial" w:hAnsi="Arial" w:cs="Arial"/>
          <w:b/>
          <w:bCs/>
        </w:rPr>
        <w:t>Pioneers' Strategies in the Growth Stage</w:t>
      </w:r>
    </w:p>
    <w:p w14:paraId="581B0C5E" w14:textId="77777777" w:rsidR="00DB62B0" w:rsidRDefault="00507735">
      <w:pPr>
        <w:pStyle w:val="ListParagraph"/>
        <w:numPr>
          <w:ilvl w:val="0"/>
          <w:numId w:val="2"/>
        </w:numPr>
        <w:rPr>
          <w:rFonts w:ascii="Arial" w:hAnsi="Arial" w:cs="Arial"/>
        </w:rPr>
      </w:pPr>
      <w:r>
        <w:rPr>
          <w:rFonts w:ascii="Arial" w:hAnsi="Arial" w:cs="Arial"/>
          <w:b/>
          <w:bCs/>
        </w:rPr>
        <w:t>Product Development and Line Extensions:</w:t>
      </w:r>
      <w:r>
        <w:rPr>
          <w:rFonts w:ascii="Arial" w:hAnsi="Arial" w:cs="Arial"/>
        </w:rPr>
        <w:t xml:space="preserve"> The concept of product development involves pioneers extending their product lines into the market. Apple, for instance, introduced multiple iPhones after the initial release, each with different prices and functionalities, catering to various needs (</w:t>
      </w:r>
      <w:proofErr w:type="spellStart"/>
      <w:r>
        <w:rPr>
          <w:rFonts w:ascii="Arial" w:hAnsi="Arial" w:cs="Arial"/>
        </w:rPr>
        <w:t>Kafoe</w:t>
      </w:r>
      <w:proofErr w:type="spellEnd"/>
      <w:r>
        <w:rPr>
          <w:rFonts w:ascii="Arial" w:hAnsi="Arial" w:cs="Arial"/>
        </w:rPr>
        <w:t>, 2025). This approach helped the Apple Company to increase its sales and gain new demand from the market.</w:t>
      </w:r>
    </w:p>
    <w:p w14:paraId="20B66743" w14:textId="77777777" w:rsidR="00DB62B0" w:rsidRDefault="00507735">
      <w:pPr>
        <w:pStyle w:val="ListParagraph"/>
        <w:numPr>
          <w:ilvl w:val="0"/>
          <w:numId w:val="2"/>
        </w:numPr>
        <w:rPr>
          <w:rFonts w:ascii="Arial" w:hAnsi="Arial" w:cs="Arial"/>
        </w:rPr>
      </w:pPr>
      <w:r>
        <w:rPr>
          <w:rFonts w:ascii="Arial" w:hAnsi="Arial" w:cs="Arial"/>
          <w:b/>
          <w:bCs/>
        </w:rPr>
        <w:t>Brand Reinforcement:</w:t>
      </w:r>
      <w:r>
        <w:rPr>
          <w:rFonts w:ascii="Arial" w:hAnsi="Arial" w:cs="Arial"/>
        </w:rPr>
        <w:t xml:space="preserve"> During the growth stage, there is increased expenditure to enhance customer acceptance of the brand. Tesla is a prime example. With features such as Autopilot and over-the-air (OTA) software updates, Tesla significantly contributes to the EV industry’s standards and strengthens its market position (Wu et al., 2021).</w:t>
      </w:r>
    </w:p>
    <w:p w14:paraId="10A44B83" w14:textId="77777777" w:rsidR="00DB62B0" w:rsidRDefault="00507735">
      <w:pPr>
        <w:pStyle w:val="ListParagraph"/>
        <w:numPr>
          <w:ilvl w:val="0"/>
          <w:numId w:val="2"/>
        </w:numPr>
        <w:rPr>
          <w:rFonts w:ascii="Arial" w:hAnsi="Arial" w:cs="Arial"/>
        </w:rPr>
      </w:pPr>
      <w:r>
        <w:rPr>
          <w:rFonts w:ascii="Arial" w:hAnsi="Arial" w:cs="Arial"/>
          <w:b/>
          <w:bCs/>
        </w:rPr>
        <w:t>Marketing Strategies:</w:t>
      </w:r>
      <w:r>
        <w:rPr>
          <w:rFonts w:ascii="Arial" w:hAnsi="Arial" w:cs="Arial"/>
        </w:rPr>
        <w:t xml:space="preserve"> The pioneers tend to be aggressive marketers, ensuring they effectively capture the market. To displace Amazon, a competitor must match and sometimes surpass the company’s investments in logistics, delivery services, and digital marketing (</w:t>
      </w:r>
      <w:proofErr w:type="spellStart"/>
      <w:r>
        <w:rPr>
          <w:rFonts w:ascii="Arial" w:hAnsi="Arial" w:cs="Arial"/>
        </w:rPr>
        <w:t>Olorunfemi</w:t>
      </w:r>
      <w:proofErr w:type="spellEnd"/>
      <w:r>
        <w:rPr>
          <w:rFonts w:ascii="Arial" w:hAnsi="Arial" w:cs="Arial"/>
        </w:rPr>
        <w:t>, 2024). At the growth stage, customer convenience, driven by fast delivery and the availability of a wide range of products, contributed to Amazon’s market expansion.</w:t>
      </w:r>
    </w:p>
    <w:p w14:paraId="09F18FB9" w14:textId="77777777" w:rsidR="00DB62B0" w:rsidRDefault="00507735">
      <w:pPr>
        <w:rPr>
          <w:rFonts w:ascii="Arial" w:hAnsi="Arial" w:cs="Arial"/>
          <w:b/>
          <w:bCs/>
        </w:rPr>
      </w:pPr>
      <w:r>
        <w:rPr>
          <w:rFonts w:ascii="Arial" w:hAnsi="Arial" w:cs="Arial"/>
          <w:b/>
          <w:bCs/>
        </w:rPr>
        <w:t>Followers' Strategies in the Growth Stage</w:t>
      </w:r>
    </w:p>
    <w:p w14:paraId="1323695A" w14:textId="77777777" w:rsidR="00DB62B0" w:rsidRDefault="00507735">
      <w:pPr>
        <w:pStyle w:val="ListParagraph"/>
        <w:numPr>
          <w:ilvl w:val="0"/>
          <w:numId w:val="3"/>
        </w:numPr>
        <w:rPr>
          <w:rFonts w:ascii="Arial" w:hAnsi="Arial" w:cs="Arial"/>
        </w:rPr>
      </w:pPr>
      <w:r>
        <w:rPr>
          <w:rFonts w:ascii="Arial" w:hAnsi="Arial" w:cs="Arial"/>
          <w:b/>
          <w:bCs/>
        </w:rPr>
        <w:t>Product Differentiation:</w:t>
      </w:r>
      <w:r>
        <w:rPr>
          <w:rFonts w:ascii="Arial" w:hAnsi="Arial" w:cs="Arial"/>
        </w:rPr>
        <w:t xml:space="preserve"> Followers enter the market by focusing on differentiation. Samsung entered the market after Apple and quickly captured a significant market share, primarily due to its larger screen, improved battery life, and flexible solutions (Wu et al., </w:t>
      </w:r>
      <w:proofErr w:type="spellStart"/>
      <w:r>
        <w:rPr>
          <w:rFonts w:ascii="Arial" w:hAnsi="Arial" w:cs="Arial"/>
        </w:rPr>
        <w:t>n.d</w:t>
      </w:r>
      <w:proofErr w:type="spellEnd"/>
      <w:r>
        <w:rPr>
          <w:rFonts w:ascii="Arial" w:hAnsi="Arial" w:cs="Arial"/>
        </w:rPr>
        <w:t>).</w:t>
      </w:r>
    </w:p>
    <w:p w14:paraId="508D5D90" w14:textId="77777777" w:rsidR="00DB62B0" w:rsidRDefault="00507735">
      <w:pPr>
        <w:pStyle w:val="ListParagraph"/>
        <w:numPr>
          <w:ilvl w:val="0"/>
          <w:numId w:val="3"/>
        </w:numPr>
        <w:rPr>
          <w:rFonts w:ascii="Arial" w:hAnsi="Arial" w:cs="Arial"/>
        </w:rPr>
      </w:pPr>
      <w:r>
        <w:rPr>
          <w:rFonts w:ascii="Arial" w:hAnsi="Arial" w:cs="Arial"/>
          <w:b/>
          <w:bCs/>
        </w:rPr>
        <w:t>Competitive Pricing:</w:t>
      </w:r>
      <w:r>
        <w:rPr>
          <w:rFonts w:ascii="Arial" w:hAnsi="Arial" w:cs="Arial"/>
        </w:rPr>
        <w:t xml:space="preserve"> Followers typically offer very low prices to attract price-sensitive consumers (</w:t>
      </w:r>
      <w:proofErr w:type="spellStart"/>
      <w:r>
        <w:rPr>
          <w:rFonts w:ascii="Arial" w:hAnsi="Arial" w:cs="Arial"/>
        </w:rPr>
        <w:t>Rakita</w:t>
      </w:r>
      <w:proofErr w:type="spellEnd"/>
      <w:r>
        <w:rPr>
          <w:rFonts w:ascii="Arial" w:hAnsi="Arial" w:cs="Arial"/>
        </w:rPr>
        <w:t xml:space="preserve"> et al., 2017). For instance, Nokia produced low-cost phones with similar functions to the Apple iPhone and dominated the global market.</w:t>
      </w:r>
    </w:p>
    <w:p w14:paraId="5A4B3C2C" w14:textId="77777777" w:rsidR="00DB62B0" w:rsidRDefault="00507735">
      <w:pPr>
        <w:pStyle w:val="ListParagraph"/>
        <w:numPr>
          <w:ilvl w:val="0"/>
          <w:numId w:val="3"/>
        </w:numPr>
        <w:rPr>
          <w:rFonts w:ascii="Arial" w:hAnsi="Arial" w:cs="Arial"/>
        </w:rPr>
      </w:pPr>
      <w:r>
        <w:rPr>
          <w:rFonts w:ascii="Arial" w:hAnsi="Arial" w:cs="Arial"/>
          <w:b/>
          <w:bCs/>
        </w:rPr>
        <w:t>Technological Adoption:</w:t>
      </w:r>
      <w:r>
        <w:rPr>
          <w:rFonts w:ascii="Arial" w:hAnsi="Arial" w:cs="Arial"/>
        </w:rPr>
        <w:t xml:space="preserve"> While employing the concepts of Follower, they remain crucial to the development of new technology by building upon existing inventions. Following Honda's launch of the Prius, Toyota also entered the hybrid vehicle market. It introduced vehicles with greater fuel efficiency at lower prices, which enabled Toyota to establish a significant market share in the segment.</w:t>
      </w:r>
    </w:p>
    <w:p w14:paraId="13503C2E" w14:textId="77777777" w:rsidR="00DB62B0" w:rsidRDefault="00507735">
      <w:pPr>
        <w:rPr>
          <w:rFonts w:ascii="Arial" w:hAnsi="Arial" w:cs="Arial"/>
          <w:b/>
          <w:bCs/>
        </w:rPr>
      </w:pPr>
      <w:r>
        <w:rPr>
          <w:rFonts w:ascii="Arial" w:hAnsi="Arial" w:cs="Arial"/>
          <w:b/>
          <w:bCs/>
        </w:rPr>
        <w:br w:type="page"/>
      </w:r>
    </w:p>
    <w:p w14:paraId="08215C2C" w14:textId="77777777" w:rsidR="00DB62B0" w:rsidRDefault="00507735">
      <w:pPr>
        <w:pStyle w:val="Heading2"/>
        <w:rPr>
          <w:rFonts w:ascii="Arial" w:hAnsi="Arial" w:cs="Arial"/>
        </w:rPr>
      </w:pPr>
      <w:bookmarkStart w:id="9" w:name="_Toc194030869"/>
      <w:r>
        <w:rPr>
          <w:rFonts w:ascii="Arial" w:hAnsi="Arial" w:cs="Arial"/>
        </w:rPr>
        <w:t>PLC Strategies in the Maturity Stage</w:t>
      </w:r>
      <w:bookmarkEnd w:id="9"/>
    </w:p>
    <w:p w14:paraId="02D9C4F4" w14:textId="77777777" w:rsidR="00DB62B0" w:rsidRDefault="00507735">
      <w:pPr>
        <w:rPr>
          <w:rFonts w:ascii="Arial" w:hAnsi="Arial" w:cs="Arial"/>
        </w:rPr>
      </w:pPr>
      <w:r>
        <w:rPr>
          <w:rFonts w:ascii="Arial" w:hAnsi="Arial" w:cs="Arial"/>
        </w:rPr>
        <w:t>The maturity stage of the product life cycle (PLC) is characterised by slow growth in sales because the consumer market is almost saturated with the product (Cohen and Muñoz, 2017). At this stage, the companies focus on key objectives, including preserving market share, contributing to brand identification, and product differentiation to avoid decline.</w:t>
      </w:r>
    </w:p>
    <w:p w14:paraId="77656442" w14:textId="77777777" w:rsidR="00DB62B0" w:rsidRDefault="00507735">
      <w:pPr>
        <w:rPr>
          <w:rFonts w:ascii="Arial" w:hAnsi="Arial" w:cs="Arial"/>
          <w:b/>
          <w:bCs/>
        </w:rPr>
      </w:pPr>
      <w:r>
        <w:rPr>
          <w:rFonts w:ascii="Arial" w:hAnsi="Arial" w:cs="Arial"/>
          <w:b/>
          <w:bCs/>
        </w:rPr>
        <w:t>Pioneers' Strategies in the Maturity Stage</w:t>
      </w:r>
    </w:p>
    <w:p w14:paraId="07C42AD9" w14:textId="77777777" w:rsidR="00DB62B0" w:rsidRDefault="00507735">
      <w:pPr>
        <w:pStyle w:val="ListParagraph"/>
        <w:numPr>
          <w:ilvl w:val="0"/>
          <w:numId w:val="4"/>
        </w:numPr>
        <w:rPr>
          <w:rFonts w:ascii="Arial" w:hAnsi="Arial" w:cs="Arial"/>
        </w:rPr>
      </w:pPr>
      <w:r>
        <w:rPr>
          <w:rFonts w:ascii="Arial" w:hAnsi="Arial" w:cs="Arial"/>
          <w:b/>
          <w:bCs/>
        </w:rPr>
        <w:t>Produce Portfolio:</w:t>
      </w:r>
      <w:r>
        <w:rPr>
          <w:rFonts w:ascii="Arial" w:hAnsi="Arial" w:cs="Arial"/>
        </w:rPr>
        <w:t xml:space="preserve"> In the maturity stage of the product life cycle, firms strive to expand their product offerings. For instance, McDonald's serves healthier products that include vegetables and fruit, in addition to introducing items common to specific regions. This enables McDonald’s to capture new customers while retaining its regular customers (McDonald and Gao, 2019).</w:t>
      </w:r>
    </w:p>
    <w:p w14:paraId="0BAC7C69" w14:textId="77777777" w:rsidR="00DB62B0" w:rsidRDefault="00507735">
      <w:pPr>
        <w:pStyle w:val="ListParagraph"/>
        <w:numPr>
          <w:ilvl w:val="0"/>
          <w:numId w:val="4"/>
        </w:numPr>
        <w:rPr>
          <w:rFonts w:ascii="Arial" w:hAnsi="Arial" w:cs="Arial"/>
        </w:rPr>
      </w:pPr>
      <w:r>
        <w:rPr>
          <w:rFonts w:ascii="Arial" w:hAnsi="Arial" w:cs="Arial"/>
          <w:b/>
          <w:bCs/>
        </w:rPr>
        <w:t>Brand Loyalty and Reinforcement:</w:t>
      </w:r>
      <w:r>
        <w:rPr>
          <w:rFonts w:ascii="Arial" w:hAnsi="Arial" w:cs="Arial"/>
        </w:rPr>
        <w:t xml:space="preserve"> In the maturity stage, pioneers focus on enhancing brand loyalty. Apple also expands its ecosystem, integrating iCloud, Apple Music, and Apple Pay with its products. This strategy preserves the customer within the appliance and enhances the bond with the Apple brand.</w:t>
      </w:r>
    </w:p>
    <w:p w14:paraId="732D76BF" w14:textId="77777777" w:rsidR="00DB62B0" w:rsidRDefault="00507735">
      <w:pPr>
        <w:pStyle w:val="ListParagraph"/>
        <w:numPr>
          <w:ilvl w:val="0"/>
          <w:numId w:val="4"/>
        </w:numPr>
        <w:rPr>
          <w:rFonts w:ascii="Arial" w:hAnsi="Arial" w:cs="Arial"/>
        </w:rPr>
      </w:pPr>
      <w:r>
        <w:rPr>
          <w:rFonts w:ascii="Arial" w:hAnsi="Arial" w:cs="Arial"/>
          <w:b/>
          <w:bCs/>
        </w:rPr>
        <w:t>Cost Competitiveness:</w:t>
      </w:r>
      <w:r>
        <w:rPr>
          <w:rFonts w:ascii="Arial" w:hAnsi="Arial" w:cs="Arial"/>
        </w:rPr>
        <w:t xml:space="preserve"> Due to increased market competition, pioneers strive to strike a balance between costs and competitiveness. Tesla has also aimed to produce more affordable car models, such as the Model 3, targeting a broader market that is still associated with innovation (Wu et al., 2021).</w:t>
      </w:r>
    </w:p>
    <w:p w14:paraId="32317CD7" w14:textId="77777777" w:rsidR="00DB62B0" w:rsidRDefault="00507735">
      <w:pPr>
        <w:rPr>
          <w:rFonts w:ascii="Arial" w:hAnsi="Arial" w:cs="Arial"/>
          <w:b/>
          <w:bCs/>
        </w:rPr>
      </w:pPr>
      <w:r>
        <w:rPr>
          <w:rFonts w:ascii="Arial" w:hAnsi="Arial" w:cs="Arial"/>
          <w:b/>
          <w:bCs/>
        </w:rPr>
        <w:t>Followers' Strategies in the Maturity Stage</w:t>
      </w:r>
    </w:p>
    <w:p w14:paraId="2F8F1CE6" w14:textId="77777777" w:rsidR="00DB62B0" w:rsidRDefault="00507735">
      <w:pPr>
        <w:pStyle w:val="ListParagraph"/>
        <w:numPr>
          <w:ilvl w:val="0"/>
          <w:numId w:val="5"/>
        </w:numPr>
        <w:rPr>
          <w:rFonts w:ascii="Arial" w:hAnsi="Arial" w:cs="Arial"/>
        </w:rPr>
      </w:pPr>
      <w:r>
        <w:rPr>
          <w:rFonts w:ascii="Arial" w:hAnsi="Arial" w:cs="Arial"/>
          <w:b/>
          <w:bCs/>
        </w:rPr>
        <w:t>Market Share Acquisition:</w:t>
      </w:r>
      <w:r>
        <w:rPr>
          <w:rFonts w:ascii="Arial" w:hAnsi="Arial" w:cs="Arial"/>
        </w:rPr>
        <w:t xml:space="preserve"> One of the primary reasons is that followers are often involved in aggressive marketing. Samsung has not only paid for advertisements but has also created campaigns emphasising features such as the camera, battery life of the smartphone, and price compared to iPhones (</w:t>
      </w:r>
      <w:proofErr w:type="spellStart"/>
      <w:r>
        <w:rPr>
          <w:rFonts w:ascii="Arial" w:hAnsi="Arial" w:cs="Arial"/>
        </w:rPr>
        <w:t>Rakita</w:t>
      </w:r>
      <w:proofErr w:type="spellEnd"/>
      <w:r>
        <w:rPr>
          <w:rFonts w:ascii="Arial" w:hAnsi="Arial" w:cs="Arial"/>
        </w:rPr>
        <w:t xml:space="preserve"> et al., 2017).</w:t>
      </w:r>
    </w:p>
    <w:p w14:paraId="20546066" w14:textId="77777777" w:rsidR="00DB62B0" w:rsidRDefault="00507735">
      <w:pPr>
        <w:pStyle w:val="ListParagraph"/>
        <w:numPr>
          <w:ilvl w:val="0"/>
          <w:numId w:val="5"/>
        </w:numPr>
        <w:rPr>
          <w:rFonts w:ascii="Arial" w:hAnsi="Arial" w:cs="Arial"/>
        </w:rPr>
      </w:pPr>
      <w:r>
        <w:rPr>
          <w:rFonts w:ascii="Arial" w:hAnsi="Arial" w:cs="Arial"/>
          <w:b/>
          <w:bCs/>
        </w:rPr>
        <w:t>Niche Market Demographics:</w:t>
      </w:r>
      <w:r>
        <w:rPr>
          <w:rFonts w:ascii="Arial" w:hAnsi="Arial" w:cs="Arial"/>
        </w:rPr>
        <w:t xml:space="preserve"> It may be a smart strategy for Followers to choose niche markets in order to avoid confrontation. Furthermore, Burger King recognises that it is not merely a clone of McDonald's, but rather a competitor with a distinct niche in flame-grilled burgers (</w:t>
      </w:r>
      <w:proofErr w:type="spellStart"/>
      <w:r>
        <w:rPr>
          <w:rFonts w:ascii="Arial" w:hAnsi="Arial" w:cs="Arial"/>
        </w:rPr>
        <w:t>Kornelakis</w:t>
      </w:r>
      <w:proofErr w:type="spellEnd"/>
      <w:r>
        <w:rPr>
          <w:rFonts w:ascii="Arial" w:hAnsi="Arial" w:cs="Arial"/>
        </w:rPr>
        <w:t xml:space="preserve"> and </w:t>
      </w:r>
      <w:proofErr w:type="spellStart"/>
      <w:r>
        <w:rPr>
          <w:rFonts w:ascii="Arial" w:hAnsi="Arial" w:cs="Arial"/>
        </w:rPr>
        <w:t>Petrakaki</w:t>
      </w:r>
      <w:proofErr w:type="spellEnd"/>
      <w:r>
        <w:rPr>
          <w:rFonts w:ascii="Arial" w:hAnsi="Arial" w:cs="Arial"/>
        </w:rPr>
        <w:t>, 2024).</w:t>
      </w:r>
    </w:p>
    <w:p w14:paraId="6002EF69" w14:textId="77777777" w:rsidR="00DB62B0" w:rsidRDefault="00507735">
      <w:pPr>
        <w:pStyle w:val="ListParagraph"/>
        <w:numPr>
          <w:ilvl w:val="0"/>
          <w:numId w:val="5"/>
        </w:numPr>
        <w:rPr>
          <w:rFonts w:ascii="Arial" w:hAnsi="Arial" w:cs="Arial"/>
        </w:rPr>
      </w:pPr>
      <w:r>
        <w:rPr>
          <w:rFonts w:ascii="Arial" w:hAnsi="Arial" w:cs="Arial"/>
          <w:b/>
          <w:bCs/>
        </w:rPr>
        <w:t>Cost Leadership:</w:t>
      </w:r>
      <w:r>
        <w:rPr>
          <w:rFonts w:ascii="Arial" w:hAnsi="Arial" w:cs="Arial"/>
        </w:rPr>
        <w:t xml:space="preserve"> Typically, followers employ cost leadership strategies. Currently, Coca-Cola faces competition from other juices and beverages, particularly from Pepsi, which utilises lower prices and coupons as a demonstration of its scale advantage (</w:t>
      </w:r>
      <w:proofErr w:type="spellStart"/>
      <w:r>
        <w:rPr>
          <w:rFonts w:ascii="Arial" w:hAnsi="Arial" w:cs="Arial"/>
        </w:rPr>
        <w:t>Kafoe</w:t>
      </w:r>
      <w:proofErr w:type="spellEnd"/>
      <w:r>
        <w:rPr>
          <w:rFonts w:ascii="Arial" w:hAnsi="Arial" w:cs="Arial"/>
        </w:rPr>
        <w:t>, 2025).</w:t>
      </w:r>
    </w:p>
    <w:p w14:paraId="6BA77E7C" w14:textId="77777777" w:rsidR="00DB62B0" w:rsidRDefault="00507735">
      <w:pPr>
        <w:pStyle w:val="Heading2"/>
        <w:rPr>
          <w:rFonts w:ascii="Arial" w:hAnsi="Arial" w:cs="Arial"/>
        </w:rPr>
      </w:pPr>
      <w:bookmarkStart w:id="10" w:name="_Toc194030870"/>
      <w:r>
        <w:rPr>
          <w:rFonts w:ascii="Arial" w:hAnsi="Arial" w:cs="Arial"/>
        </w:rPr>
        <w:t>Technological Impact in the PLC Stages</w:t>
      </w:r>
      <w:bookmarkEnd w:id="10"/>
    </w:p>
    <w:p w14:paraId="13AC581B" w14:textId="77777777" w:rsidR="00DB62B0" w:rsidRDefault="00507735">
      <w:pPr>
        <w:rPr>
          <w:rFonts w:ascii="Arial" w:hAnsi="Arial" w:cs="Arial"/>
        </w:rPr>
      </w:pPr>
      <w:r>
        <w:rPr>
          <w:rFonts w:ascii="Arial" w:hAnsi="Arial" w:cs="Arial"/>
        </w:rPr>
        <w:t>Recently developed technologies, such as AI, machine learning, and big data, have also boosted growth in the Growth stage and the Maturity stage of the Product Life Cycle (PLC). All these technologies can help both pioneers and imitators enhance the quality of their goods and services, optimise their communication with customers, and adapt to changes in customers’ needs and wants (</w:t>
      </w:r>
      <w:proofErr w:type="spellStart"/>
      <w:r>
        <w:rPr>
          <w:rFonts w:ascii="Arial" w:hAnsi="Arial" w:cs="Arial"/>
        </w:rPr>
        <w:t>Olorunfemi</w:t>
      </w:r>
      <w:proofErr w:type="spellEnd"/>
      <w:r>
        <w:rPr>
          <w:rFonts w:ascii="Arial" w:hAnsi="Arial" w:cs="Arial"/>
        </w:rPr>
        <w:t>, 2024). For instance, Amazon utilises AI to provide its customers with the best recommendations for products they are interested in; Tesla also employs AI to protect its self-driving car feature, called Autopilot (</w:t>
      </w:r>
      <w:proofErr w:type="spellStart"/>
      <w:r>
        <w:rPr>
          <w:rFonts w:ascii="Arial" w:hAnsi="Arial" w:cs="Arial"/>
        </w:rPr>
        <w:t>Mohammadi</w:t>
      </w:r>
      <w:proofErr w:type="spellEnd"/>
      <w:r>
        <w:rPr>
          <w:rFonts w:ascii="Arial" w:hAnsi="Arial" w:cs="Arial"/>
        </w:rPr>
        <w:t xml:space="preserve"> et al., 2017). They assist organisations in sustaining competition and the longevity of their business at the maturity stage.</w:t>
      </w:r>
    </w:p>
    <w:p w14:paraId="55BCBD6D" w14:textId="77777777" w:rsidR="00DB62B0" w:rsidRDefault="00507735">
      <w:pPr>
        <w:rPr>
          <w:rFonts w:ascii="Arial" w:hAnsi="Arial" w:cs="Arial"/>
          <w:b/>
          <w:color w:val="000000" w:themeColor="text1"/>
          <w:sz w:val="32"/>
          <w:szCs w:val="32"/>
        </w:rPr>
      </w:pPr>
      <w:bookmarkStart w:id="11" w:name="_Toc194030871"/>
      <w:r>
        <w:rPr>
          <w:rFonts w:ascii="Arial" w:hAnsi="Arial" w:cs="Arial"/>
        </w:rPr>
        <w:br w:type="page"/>
      </w:r>
    </w:p>
    <w:p w14:paraId="44BBF296" w14:textId="77777777" w:rsidR="00DB62B0" w:rsidRDefault="00507735">
      <w:pPr>
        <w:pStyle w:val="Heading1"/>
        <w:rPr>
          <w:rFonts w:ascii="Arial" w:hAnsi="Arial" w:cs="Arial"/>
        </w:rPr>
      </w:pPr>
      <w:r>
        <w:rPr>
          <w:rFonts w:ascii="Arial" w:hAnsi="Arial" w:cs="Arial"/>
        </w:rPr>
        <w:t>Conclusion</w:t>
      </w:r>
      <w:bookmarkEnd w:id="11"/>
      <w:r>
        <w:rPr>
          <w:rFonts w:ascii="Arial" w:hAnsi="Arial" w:cs="Arial"/>
        </w:rPr>
        <w:t xml:space="preserve"> </w:t>
      </w:r>
    </w:p>
    <w:p w14:paraId="79564539" w14:textId="77777777" w:rsidR="00DB62B0" w:rsidRDefault="00507735">
      <w:pPr>
        <w:rPr>
          <w:rFonts w:ascii="Arial" w:hAnsi="Arial" w:cs="Arial"/>
        </w:rPr>
      </w:pPr>
      <w:r>
        <w:rPr>
          <w:rFonts w:ascii="Arial" w:hAnsi="Arial" w:cs="Arial"/>
        </w:rPr>
        <w:t>In conclusion, both pioneers and followers are crucial in the market, as they employ different approaches in the battle to outcompete one another. First movers are able to grow the market by securing their occupation of a new market, creating customer goodwill, and shaping the market. However, they also suffer from high costs of innovation and market risk factors that hinder their performance. Those who enter a market second enjoy less risk and lower research costs than pioneers and are usually able to buil</w:t>
      </w:r>
      <w:r>
        <w:rPr>
          <w:rFonts w:ascii="Arial" w:hAnsi="Arial" w:cs="Arial"/>
        </w:rPr>
        <w:t xml:space="preserve">d upon the first technology introduced. However, the issue of differentiation presents the followers with a problem that can be solved by building on the foundation provided by leaders to improve and tailor the services and products available on the market. </w:t>
      </w:r>
    </w:p>
    <w:p w14:paraId="7DAA88A6" w14:textId="77777777" w:rsidR="00DB62B0" w:rsidRDefault="00507735">
      <w:pPr>
        <w:rPr>
          <w:rFonts w:ascii="Arial" w:hAnsi="Arial" w:cs="Arial"/>
        </w:rPr>
      </w:pPr>
      <w:r>
        <w:rPr>
          <w:rFonts w:ascii="Arial" w:hAnsi="Arial" w:cs="Arial"/>
        </w:rPr>
        <w:t>The application of the Product Life Cycle (PLC) measures in the growth and maturity stages is crucial for both types of firms. The leaders focus on development, brand strengthening, and introducing new products, while the followers utilise low prices, product enhancements, and promotions to maintain their position. Technology has become increasingly crucial for marketing activities, as leaders and followers utilise AI, automation, and digital tools in their marketing processes. In the future, emerging techn</w:t>
      </w:r>
      <w:r>
        <w:rPr>
          <w:rFonts w:ascii="Arial" w:hAnsi="Arial" w:cs="Arial"/>
        </w:rPr>
        <w:t>ologies such as AI, big data, and AR will revolutionise the market by providing an opportunity for a personal, efficient, and effective way to reach customers. To survive and continue growing in the next stage of their development, companies must be able to evolve and implement available technologies.</w:t>
      </w:r>
    </w:p>
    <w:p w14:paraId="12494C8E" w14:textId="77777777" w:rsidR="00DB62B0" w:rsidRDefault="00507735">
      <w:pPr>
        <w:rPr>
          <w:rFonts w:ascii="Arial" w:hAnsi="Arial" w:cs="Arial"/>
        </w:rPr>
      </w:pPr>
      <w:r>
        <w:rPr>
          <w:rFonts w:ascii="Arial" w:hAnsi="Arial" w:cs="Arial"/>
        </w:rPr>
        <w:br w:type="page"/>
      </w:r>
    </w:p>
    <w:p w14:paraId="210AADFE" w14:textId="77777777" w:rsidR="00DB62B0" w:rsidRDefault="00507735">
      <w:pPr>
        <w:pStyle w:val="Heading1"/>
        <w:rPr>
          <w:rFonts w:ascii="Arial" w:hAnsi="Arial" w:cs="Arial"/>
        </w:rPr>
      </w:pPr>
      <w:bookmarkStart w:id="12" w:name="_Toc194030872"/>
      <w:r>
        <w:rPr>
          <w:rFonts w:ascii="Arial" w:hAnsi="Arial" w:cs="Arial"/>
        </w:rPr>
        <w:t>References</w:t>
      </w:r>
      <w:bookmarkEnd w:id="12"/>
    </w:p>
    <w:p w14:paraId="31C1AAE9" w14:textId="77777777" w:rsidR="00DB62B0" w:rsidRDefault="00507735">
      <w:pPr>
        <w:rPr>
          <w:rFonts w:ascii="Arial" w:hAnsi="Arial" w:cs="Arial"/>
        </w:rPr>
      </w:pPr>
      <w:proofErr w:type="spellStart"/>
      <w:r>
        <w:rPr>
          <w:rFonts w:ascii="Arial" w:hAnsi="Arial" w:cs="Arial"/>
        </w:rPr>
        <w:t>Cai</w:t>
      </w:r>
      <w:proofErr w:type="spellEnd"/>
      <w:r>
        <w:rPr>
          <w:rFonts w:ascii="Arial" w:hAnsi="Arial" w:cs="Arial"/>
        </w:rPr>
        <w:t xml:space="preserve">, D., Agarwal, A. and </w:t>
      </w:r>
      <w:proofErr w:type="spellStart"/>
      <w:r>
        <w:rPr>
          <w:rFonts w:ascii="Arial" w:hAnsi="Arial" w:cs="Arial"/>
        </w:rPr>
        <w:t>Wierman</w:t>
      </w:r>
      <w:proofErr w:type="spellEnd"/>
      <w:r>
        <w:rPr>
          <w:rFonts w:ascii="Arial" w:hAnsi="Arial" w:cs="Arial"/>
        </w:rPr>
        <w:t xml:space="preserve">, A. (2020). On the inefficiency of forward markets in leader–follower competition. </w:t>
      </w:r>
      <w:r>
        <w:rPr>
          <w:rFonts w:ascii="Arial" w:hAnsi="Arial" w:cs="Arial"/>
          <w:i/>
          <w:iCs/>
        </w:rPr>
        <w:t>Operations Research</w:t>
      </w:r>
      <w:r>
        <w:rPr>
          <w:rFonts w:ascii="Arial" w:hAnsi="Arial" w:cs="Arial"/>
        </w:rPr>
        <w:t>, 68(1), pp.35-52.</w:t>
      </w:r>
    </w:p>
    <w:p w14:paraId="6DC68AFA" w14:textId="77777777" w:rsidR="00DB62B0" w:rsidRDefault="00507735">
      <w:pPr>
        <w:rPr>
          <w:rFonts w:ascii="Arial" w:hAnsi="Arial" w:cs="Arial"/>
        </w:rPr>
      </w:pPr>
      <w:r>
        <w:rPr>
          <w:rFonts w:ascii="Arial" w:hAnsi="Arial" w:cs="Arial"/>
        </w:rPr>
        <w:t xml:space="preserve">Chen, C.H., Ishida, J. and Mukherjee, A. (2023). Pioneer, early follower or late entrant: Entry dynamics with learning and market competition. </w:t>
      </w:r>
      <w:r>
        <w:rPr>
          <w:rFonts w:ascii="Arial" w:hAnsi="Arial" w:cs="Arial"/>
          <w:i/>
          <w:iCs/>
        </w:rPr>
        <w:t>European Economic Review</w:t>
      </w:r>
      <w:r>
        <w:rPr>
          <w:rFonts w:ascii="Arial" w:hAnsi="Arial" w:cs="Arial"/>
        </w:rPr>
        <w:t>, 152, p.104360.</w:t>
      </w:r>
    </w:p>
    <w:p w14:paraId="74CE8CF5" w14:textId="77777777" w:rsidR="00DB62B0" w:rsidRDefault="00507735">
      <w:pPr>
        <w:rPr>
          <w:rFonts w:ascii="Arial" w:hAnsi="Arial" w:cs="Arial"/>
        </w:rPr>
      </w:pPr>
      <w:r>
        <w:rPr>
          <w:rFonts w:ascii="Arial" w:hAnsi="Arial" w:cs="Arial"/>
        </w:rPr>
        <w:t xml:space="preserve">Cohen, B. and Muñoz, P. (2017). Entering conscious consumer markets: Toward a new generation of sustainability strategies. </w:t>
      </w:r>
      <w:r>
        <w:rPr>
          <w:rFonts w:ascii="Arial" w:hAnsi="Arial" w:cs="Arial"/>
          <w:i/>
          <w:iCs/>
        </w:rPr>
        <w:t>California Management Review</w:t>
      </w:r>
      <w:r>
        <w:rPr>
          <w:rFonts w:ascii="Arial" w:hAnsi="Arial" w:cs="Arial"/>
        </w:rPr>
        <w:t>, 59(4), pp.23-48.</w:t>
      </w:r>
    </w:p>
    <w:p w14:paraId="330281AD" w14:textId="77777777" w:rsidR="00DB62B0" w:rsidRDefault="00507735">
      <w:pPr>
        <w:rPr>
          <w:rFonts w:ascii="Arial" w:hAnsi="Arial" w:cs="Arial"/>
        </w:rPr>
      </w:pPr>
      <w:proofErr w:type="spellStart"/>
      <w:r>
        <w:rPr>
          <w:rFonts w:ascii="Arial" w:hAnsi="Arial" w:cs="Arial"/>
        </w:rPr>
        <w:t>Dreiling</w:t>
      </w:r>
      <w:proofErr w:type="spellEnd"/>
      <w:r>
        <w:rPr>
          <w:rFonts w:ascii="Arial" w:hAnsi="Arial" w:cs="Arial"/>
        </w:rPr>
        <w:t xml:space="preserve">, A. and </w:t>
      </w:r>
      <w:proofErr w:type="spellStart"/>
      <w:r>
        <w:rPr>
          <w:rFonts w:ascii="Arial" w:hAnsi="Arial" w:cs="Arial"/>
        </w:rPr>
        <w:t>Bican</w:t>
      </w:r>
      <w:proofErr w:type="spellEnd"/>
      <w:r>
        <w:rPr>
          <w:rFonts w:ascii="Arial" w:hAnsi="Arial" w:cs="Arial"/>
        </w:rPr>
        <w:t xml:space="preserve">, P.M. (2022). Pioneer or follower: Which strategy to choose?. In </w:t>
      </w:r>
      <w:r>
        <w:rPr>
          <w:rFonts w:ascii="Arial" w:hAnsi="Arial" w:cs="Arial"/>
          <w:i/>
          <w:iCs/>
        </w:rPr>
        <w:t>The Routledge companion to technology management</w:t>
      </w:r>
      <w:r>
        <w:rPr>
          <w:rFonts w:ascii="Arial" w:hAnsi="Arial" w:cs="Arial"/>
        </w:rPr>
        <w:t xml:space="preserve"> (pp. 100-115). Routledge.</w:t>
      </w:r>
    </w:p>
    <w:p w14:paraId="02358844" w14:textId="77777777" w:rsidR="00DB62B0" w:rsidRDefault="00507735">
      <w:pPr>
        <w:rPr>
          <w:rFonts w:ascii="Arial" w:hAnsi="Arial" w:cs="Arial"/>
        </w:rPr>
      </w:pPr>
      <w:proofErr w:type="spellStart"/>
      <w:r>
        <w:rPr>
          <w:rFonts w:ascii="Arial" w:hAnsi="Arial" w:cs="Arial"/>
        </w:rPr>
        <w:t>Elangovan</w:t>
      </w:r>
      <w:proofErr w:type="spellEnd"/>
      <w:r>
        <w:rPr>
          <w:rFonts w:ascii="Arial" w:hAnsi="Arial" w:cs="Arial"/>
        </w:rPr>
        <w:t xml:space="preserve">, U. (2020). </w:t>
      </w:r>
      <w:r>
        <w:rPr>
          <w:rFonts w:ascii="Arial" w:hAnsi="Arial" w:cs="Arial"/>
          <w:i/>
          <w:iCs/>
        </w:rPr>
        <w:t>Product lifecycle management (PLM): a digital journey using industrial internet of things (</w:t>
      </w:r>
      <w:proofErr w:type="spellStart"/>
      <w:r>
        <w:rPr>
          <w:rFonts w:ascii="Arial" w:hAnsi="Arial" w:cs="Arial"/>
          <w:i/>
          <w:iCs/>
        </w:rPr>
        <w:t>IIoT</w:t>
      </w:r>
      <w:proofErr w:type="spellEnd"/>
      <w:r>
        <w:rPr>
          <w:rFonts w:ascii="Arial" w:hAnsi="Arial" w:cs="Arial"/>
          <w:i/>
          <w:iCs/>
        </w:rPr>
        <w:t>)</w:t>
      </w:r>
      <w:r>
        <w:rPr>
          <w:rFonts w:ascii="Arial" w:hAnsi="Arial" w:cs="Arial"/>
        </w:rPr>
        <w:t>. CRC Press.</w:t>
      </w:r>
    </w:p>
    <w:p w14:paraId="5AB957F1" w14:textId="77777777" w:rsidR="00DB62B0" w:rsidRDefault="00507735">
      <w:pPr>
        <w:rPr>
          <w:rFonts w:ascii="Arial" w:hAnsi="Arial" w:cs="Arial"/>
        </w:rPr>
      </w:pPr>
      <w:r>
        <w:rPr>
          <w:rFonts w:ascii="Arial" w:hAnsi="Arial" w:cs="Arial"/>
        </w:rPr>
        <w:t xml:space="preserve">Ford, J.B. (2020). Competitive advantage. In </w:t>
      </w:r>
      <w:r>
        <w:rPr>
          <w:rFonts w:ascii="Arial" w:hAnsi="Arial" w:cs="Arial"/>
          <w:i/>
          <w:iCs/>
        </w:rPr>
        <w:t>The Routledge companion to strategic marketing</w:t>
      </w:r>
      <w:r>
        <w:rPr>
          <w:rFonts w:ascii="Arial" w:hAnsi="Arial" w:cs="Arial"/>
        </w:rPr>
        <w:t xml:space="preserve"> (pp. 141-150). Routledge.</w:t>
      </w:r>
    </w:p>
    <w:p w14:paraId="136F9E16" w14:textId="77777777" w:rsidR="00DB62B0" w:rsidRDefault="00507735">
      <w:pPr>
        <w:rPr>
          <w:rFonts w:ascii="Arial" w:hAnsi="Arial" w:cs="Arial"/>
        </w:rPr>
      </w:pPr>
      <w:proofErr w:type="spellStart"/>
      <w:r>
        <w:rPr>
          <w:rFonts w:ascii="Arial" w:hAnsi="Arial" w:cs="Arial"/>
        </w:rPr>
        <w:t>Giachetti</w:t>
      </w:r>
      <w:proofErr w:type="spellEnd"/>
      <w:r>
        <w:rPr>
          <w:rFonts w:ascii="Arial" w:hAnsi="Arial" w:cs="Arial"/>
        </w:rPr>
        <w:t xml:space="preserve">, C. and </w:t>
      </w:r>
      <w:proofErr w:type="spellStart"/>
      <w:r>
        <w:rPr>
          <w:rFonts w:ascii="Arial" w:hAnsi="Arial" w:cs="Arial"/>
        </w:rPr>
        <w:t>Pira</w:t>
      </w:r>
      <w:proofErr w:type="spellEnd"/>
      <w:r>
        <w:rPr>
          <w:rFonts w:ascii="Arial" w:hAnsi="Arial" w:cs="Arial"/>
        </w:rPr>
        <w:t xml:space="preserve">, S.L. (2022). Catching up with the market leader: Does it pay to rapidly imitate its innovations?. </w:t>
      </w:r>
      <w:r>
        <w:rPr>
          <w:rFonts w:ascii="Arial" w:hAnsi="Arial" w:cs="Arial"/>
          <w:i/>
          <w:iCs/>
        </w:rPr>
        <w:t>Research Policy</w:t>
      </w:r>
      <w:r>
        <w:rPr>
          <w:rFonts w:ascii="Arial" w:hAnsi="Arial" w:cs="Arial"/>
        </w:rPr>
        <w:t>, 51(5), p.104505.</w:t>
      </w:r>
    </w:p>
    <w:p w14:paraId="3C105AD4" w14:textId="77777777" w:rsidR="00DB62B0" w:rsidRDefault="00507735">
      <w:pPr>
        <w:rPr>
          <w:rFonts w:ascii="Arial" w:hAnsi="Arial" w:cs="Arial"/>
        </w:rPr>
      </w:pPr>
      <w:r>
        <w:rPr>
          <w:rFonts w:ascii="Arial" w:hAnsi="Arial" w:cs="Arial"/>
        </w:rPr>
        <w:t>Gómez, J., Perez-</w:t>
      </w:r>
      <w:proofErr w:type="spellStart"/>
      <w:r>
        <w:rPr>
          <w:rFonts w:ascii="Arial" w:hAnsi="Arial" w:cs="Arial"/>
        </w:rPr>
        <w:t>Aradros</w:t>
      </w:r>
      <w:proofErr w:type="spellEnd"/>
      <w:r>
        <w:rPr>
          <w:rFonts w:ascii="Arial" w:hAnsi="Arial" w:cs="Arial"/>
        </w:rPr>
        <w:t xml:space="preserve">, B. and Salazar, I. (2022). How to beat early movers: The role of competitive strategy and industry dynamism on followers’ performance in the telecommunications industry. </w:t>
      </w:r>
      <w:r>
        <w:rPr>
          <w:rFonts w:ascii="Arial" w:hAnsi="Arial" w:cs="Arial"/>
          <w:i/>
          <w:iCs/>
        </w:rPr>
        <w:t>Long Range Planning</w:t>
      </w:r>
      <w:r>
        <w:rPr>
          <w:rFonts w:ascii="Arial" w:hAnsi="Arial" w:cs="Arial"/>
        </w:rPr>
        <w:t>, 55(5), p.102244.</w:t>
      </w:r>
    </w:p>
    <w:p w14:paraId="5A7950A1" w14:textId="77777777" w:rsidR="00DB62B0" w:rsidRDefault="00507735">
      <w:pPr>
        <w:rPr>
          <w:rFonts w:ascii="Arial" w:hAnsi="Arial" w:cs="Arial"/>
        </w:rPr>
      </w:pPr>
      <w:proofErr w:type="spellStart"/>
      <w:r>
        <w:rPr>
          <w:rFonts w:ascii="Arial" w:hAnsi="Arial" w:cs="Arial"/>
        </w:rPr>
        <w:t>Gotteland</w:t>
      </w:r>
      <w:proofErr w:type="spellEnd"/>
      <w:r>
        <w:rPr>
          <w:rFonts w:ascii="Arial" w:hAnsi="Arial" w:cs="Arial"/>
        </w:rPr>
        <w:t xml:space="preserve">, D., Shock, J. and </w:t>
      </w:r>
      <w:proofErr w:type="spellStart"/>
      <w:r>
        <w:rPr>
          <w:rFonts w:ascii="Arial" w:hAnsi="Arial" w:cs="Arial"/>
        </w:rPr>
        <w:t>Sarin</w:t>
      </w:r>
      <w:proofErr w:type="spellEnd"/>
      <w:r>
        <w:rPr>
          <w:rFonts w:ascii="Arial" w:hAnsi="Arial" w:cs="Arial"/>
        </w:rPr>
        <w:t xml:space="preserve">, S. (2020). Strategic orientations, marketing proactivity and firm market performance. </w:t>
      </w:r>
      <w:r>
        <w:rPr>
          <w:rFonts w:ascii="Arial" w:hAnsi="Arial" w:cs="Arial"/>
          <w:i/>
          <w:iCs/>
        </w:rPr>
        <w:t>Industrial Marketing Management</w:t>
      </w:r>
      <w:r>
        <w:rPr>
          <w:rFonts w:ascii="Arial" w:hAnsi="Arial" w:cs="Arial"/>
        </w:rPr>
        <w:t>, 91, pp.610-620.</w:t>
      </w:r>
    </w:p>
    <w:p w14:paraId="7B17139D" w14:textId="77777777" w:rsidR="00DB62B0" w:rsidRDefault="00507735">
      <w:pPr>
        <w:rPr>
          <w:rFonts w:ascii="Arial" w:hAnsi="Arial" w:cs="Arial"/>
        </w:rPr>
      </w:pPr>
      <w:proofErr w:type="spellStart"/>
      <w:r>
        <w:rPr>
          <w:rFonts w:ascii="Arial" w:hAnsi="Arial" w:cs="Arial"/>
        </w:rPr>
        <w:t>Iveson</w:t>
      </w:r>
      <w:proofErr w:type="spellEnd"/>
      <w:r>
        <w:rPr>
          <w:rFonts w:ascii="Arial" w:hAnsi="Arial" w:cs="Arial"/>
        </w:rPr>
        <w:t xml:space="preserve">, A., </w:t>
      </w:r>
      <w:proofErr w:type="spellStart"/>
      <w:r>
        <w:rPr>
          <w:rFonts w:ascii="Arial" w:hAnsi="Arial" w:cs="Arial"/>
        </w:rPr>
        <w:t>Hultman</w:t>
      </w:r>
      <w:proofErr w:type="spellEnd"/>
      <w:r>
        <w:rPr>
          <w:rFonts w:ascii="Arial" w:hAnsi="Arial" w:cs="Arial"/>
        </w:rPr>
        <w:t xml:space="preserve">, M. and </w:t>
      </w:r>
      <w:proofErr w:type="spellStart"/>
      <w:r>
        <w:rPr>
          <w:rFonts w:ascii="Arial" w:hAnsi="Arial" w:cs="Arial"/>
        </w:rPr>
        <w:t>Davvetas</w:t>
      </w:r>
      <w:proofErr w:type="spellEnd"/>
      <w:r>
        <w:rPr>
          <w:rFonts w:ascii="Arial" w:hAnsi="Arial" w:cs="Arial"/>
        </w:rPr>
        <w:t xml:space="preserve">, V. (2022). The product life cycle revisited: an integrative review and research agenda. </w:t>
      </w:r>
      <w:r>
        <w:rPr>
          <w:rFonts w:ascii="Arial" w:hAnsi="Arial" w:cs="Arial"/>
          <w:i/>
          <w:iCs/>
        </w:rPr>
        <w:t>European Journal of Marketing</w:t>
      </w:r>
      <w:r>
        <w:rPr>
          <w:rFonts w:ascii="Arial" w:hAnsi="Arial" w:cs="Arial"/>
        </w:rPr>
        <w:t>, 56(2), pp.467-499.</w:t>
      </w:r>
    </w:p>
    <w:p w14:paraId="3F587A27" w14:textId="77777777" w:rsidR="00DB62B0" w:rsidRDefault="00507735">
      <w:pPr>
        <w:rPr>
          <w:rFonts w:ascii="Arial" w:hAnsi="Arial" w:cs="Arial"/>
        </w:rPr>
      </w:pPr>
      <w:proofErr w:type="spellStart"/>
      <w:r>
        <w:rPr>
          <w:rFonts w:ascii="Arial" w:hAnsi="Arial" w:cs="Arial"/>
        </w:rPr>
        <w:t>Kafoe</w:t>
      </w:r>
      <w:proofErr w:type="spellEnd"/>
      <w:r>
        <w:rPr>
          <w:rFonts w:ascii="Arial" w:hAnsi="Arial" w:cs="Arial"/>
        </w:rPr>
        <w:t xml:space="preserve">, A.S. (2025). Conquering the competitive landscape: A fusion of defensive and offensive strategies for sustainable growth. In </w:t>
      </w:r>
      <w:r>
        <w:rPr>
          <w:rFonts w:ascii="Arial" w:hAnsi="Arial" w:cs="Arial"/>
          <w:i/>
          <w:iCs/>
        </w:rPr>
        <w:t>Organisational Readiness and Research: Security, Management, and Decision Making</w:t>
      </w:r>
      <w:r>
        <w:rPr>
          <w:rFonts w:ascii="Arial" w:hAnsi="Arial" w:cs="Arial"/>
        </w:rPr>
        <w:t xml:space="preserve"> (pp. 53-100). IGI Global Scientific Publishing.</w:t>
      </w:r>
    </w:p>
    <w:p w14:paraId="4052F745" w14:textId="77777777" w:rsidR="00DB62B0" w:rsidRDefault="00507735">
      <w:pPr>
        <w:rPr>
          <w:rFonts w:ascii="Arial" w:hAnsi="Arial" w:cs="Arial"/>
        </w:rPr>
      </w:pPr>
      <w:proofErr w:type="spellStart"/>
      <w:r>
        <w:rPr>
          <w:rFonts w:ascii="Arial" w:hAnsi="Arial" w:cs="Arial"/>
        </w:rPr>
        <w:t>Kornelakis</w:t>
      </w:r>
      <w:proofErr w:type="spellEnd"/>
      <w:r>
        <w:rPr>
          <w:rFonts w:ascii="Arial" w:hAnsi="Arial" w:cs="Arial"/>
        </w:rPr>
        <w:t xml:space="preserve">, A. and </w:t>
      </w:r>
      <w:proofErr w:type="spellStart"/>
      <w:r>
        <w:rPr>
          <w:rFonts w:ascii="Arial" w:hAnsi="Arial" w:cs="Arial"/>
        </w:rPr>
        <w:t>Petrakaki</w:t>
      </w:r>
      <w:proofErr w:type="spellEnd"/>
      <w:r>
        <w:rPr>
          <w:rFonts w:ascii="Arial" w:hAnsi="Arial" w:cs="Arial"/>
        </w:rPr>
        <w:t xml:space="preserve">, D. (2024). Technological innovation, industry platforms or </w:t>
      </w:r>
      <w:proofErr w:type="spellStart"/>
      <w:r>
        <w:rPr>
          <w:rFonts w:ascii="Arial" w:hAnsi="Arial" w:cs="Arial"/>
        </w:rPr>
        <w:t>financialisation</w:t>
      </w:r>
      <w:proofErr w:type="spellEnd"/>
      <w:r>
        <w:rPr>
          <w:rFonts w:ascii="Arial" w:hAnsi="Arial" w:cs="Arial"/>
        </w:rPr>
        <w:t xml:space="preserve">? A comparative institutional perspective on Nokia, Apple, and Samsung. </w:t>
      </w:r>
      <w:r>
        <w:rPr>
          <w:rFonts w:ascii="Arial" w:hAnsi="Arial" w:cs="Arial"/>
          <w:i/>
          <w:iCs/>
        </w:rPr>
        <w:t>Business History</w:t>
      </w:r>
      <w:r>
        <w:rPr>
          <w:rFonts w:ascii="Arial" w:hAnsi="Arial" w:cs="Arial"/>
        </w:rPr>
        <w:t>, pp.1-26.</w:t>
      </w:r>
    </w:p>
    <w:p w14:paraId="49E4E862" w14:textId="77777777" w:rsidR="00DB62B0" w:rsidRDefault="00507735">
      <w:pPr>
        <w:rPr>
          <w:rFonts w:ascii="Arial" w:hAnsi="Arial" w:cs="Arial"/>
        </w:rPr>
      </w:pPr>
      <w:r>
        <w:rPr>
          <w:rFonts w:ascii="Arial" w:hAnsi="Arial" w:cs="Arial"/>
        </w:rPr>
        <w:t xml:space="preserve">McDonald, R. and Gao, C. (2019). Pivoting isn’t enough? Managing strategic reorientation in new ventures. </w:t>
      </w:r>
      <w:r>
        <w:rPr>
          <w:rFonts w:ascii="Arial" w:hAnsi="Arial" w:cs="Arial"/>
          <w:i/>
          <w:iCs/>
        </w:rPr>
        <w:t>Organisation Science</w:t>
      </w:r>
      <w:r>
        <w:rPr>
          <w:rFonts w:ascii="Arial" w:hAnsi="Arial" w:cs="Arial"/>
        </w:rPr>
        <w:t>, 30(6), pp.1289-1318.</w:t>
      </w:r>
    </w:p>
    <w:p w14:paraId="6DB3DB07" w14:textId="77777777" w:rsidR="00DB62B0" w:rsidRDefault="00507735">
      <w:pPr>
        <w:rPr>
          <w:rFonts w:ascii="Arial" w:hAnsi="Arial" w:cs="Arial"/>
        </w:rPr>
      </w:pPr>
      <w:proofErr w:type="spellStart"/>
      <w:r>
        <w:rPr>
          <w:rFonts w:ascii="Arial" w:hAnsi="Arial" w:cs="Arial"/>
        </w:rPr>
        <w:t>Mohammadi</w:t>
      </w:r>
      <w:proofErr w:type="spellEnd"/>
      <w:r>
        <w:rPr>
          <w:rFonts w:ascii="Arial" w:hAnsi="Arial" w:cs="Arial"/>
        </w:rPr>
        <w:t xml:space="preserve">, H., </w:t>
      </w:r>
      <w:proofErr w:type="spellStart"/>
      <w:r>
        <w:rPr>
          <w:rFonts w:ascii="Arial" w:hAnsi="Arial" w:cs="Arial"/>
        </w:rPr>
        <w:t>Saghaian</w:t>
      </w:r>
      <w:proofErr w:type="spellEnd"/>
      <w:r>
        <w:rPr>
          <w:rFonts w:ascii="Arial" w:hAnsi="Arial" w:cs="Arial"/>
        </w:rPr>
        <w:t xml:space="preserve">, S. and </w:t>
      </w:r>
      <w:proofErr w:type="spellStart"/>
      <w:r>
        <w:rPr>
          <w:rFonts w:ascii="Arial" w:hAnsi="Arial" w:cs="Arial"/>
        </w:rPr>
        <w:t>Alizadeh</w:t>
      </w:r>
      <w:proofErr w:type="spellEnd"/>
      <w:r>
        <w:rPr>
          <w:rFonts w:ascii="Arial" w:hAnsi="Arial" w:cs="Arial"/>
        </w:rPr>
        <w:t>, P. (2017). Prioritisation of expanded marketing mix in different stages of the product life cycle: The case of food industry.</w:t>
      </w:r>
    </w:p>
    <w:p w14:paraId="27E69D2C" w14:textId="77777777" w:rsidR="00DB62B0" w:rsidRDefault="00507735">
      <w:pPr>
        <w:rPr>
          <w:rFonts w:ascii="Arial" w:hAnsi="Arial" w:cs="Arial"/>
        </w:rPr>
      </w:pPr>
      <w:proofErr w:type="spellStart"/>
      <w:r>
        <w:rPr>
          <w:rFonts w:ascii="Arial" w:hAnsi="Arial" w:cs="Arial"/>
        </w:rPr>
        <w:t>Montaguti</w:t>
      </w:r>
      <w:proofErr w:type="spellEnd"/>
      <w:r>
        <w:rPr>
          <w:rFonts w:ascii="Arial" w:hAnsi="Arial" w:cs="Arial"/>
        </w:rPr>
        <w:t xml:space="preserve">, E. and </w:t>
      </w:r>
      <w:proofErr w:type="spellStart"/>
      <w:r>
        <w:rPr>
          <w:rFonts w:ascii="Arial" w:hAnsi="Arial" w:cs="Arial"/>
        </w:rPr>
        <w:t>Zammit</w:t>
      </w:r>
      <w:proofErr w:type="spellEnd"/>
      <w:r>
        <w:rPr>
          <w:rFonts w:ascii="Arial" w:hAnsi="Arial" w:cs="Arial"/>
        </w:rPr>
        <w:t xml:space="preserve">, A. (2017). Being the first entrant and getting stuck in the middle: The risks of becoming the intermediate pioneer. </w:t>
      </w:r>
      <w:r>
        <w:rPr>
          <w:rFonts w:ascii="Arial" w:hAnsi="Arial" w:cs="Arial"/>
          <w:i/>
          <w:iCs/>
        </w:rPr>
        <w:t>European Journal of Marketing</w:t>
      </w:r>
      <w:r>
        <w:rPr>
          <w:rFonts w:ascii="Arial" w:hAnsi="Arial" w:cs="Arial"/>
        </w:rPr>
        <w:t>, 51(7/8), pp.1178-1196.</w:t>
      </w:r>
    </w:p>
    <w:p w14:paraId="55285D9A" w14:textId="77777777" w:rsidR="00DB62B0" w:rsidRDefault="00507735">
      <w:pPr>
        <w:rPr>
          <w:rFonts w:ascii="Arial" w:hAnsi="Arial" w:cs="Arial"/>
        </w:rPr>
      </w:pPr>
      <w:proofErr w:type="spellStart"/>
      <w:r>
        <w:rPr>
          <w:rFonts w:ascii="Arial" w:hAnsi="Arial" w:cs="Arial"/>
        </w:rPr>
        <w:t>Olorunfemi</w:t>
      </w:r>
      <w:proofErr w:type="spellEnd"/>
      <w:r>
        <w:rPr>
          <w:rFonts w:ascii="Arial" w:hAnsi="Arial" w:cs="Arial"/>
        </w:rPr>
        <w:t xml:space="preserve">, B. (2024). The innovations driving Tesla's success: Disruptions, customer transformation, and entrepreneurial strategies. </w:t>
      </w:r>
      <w:proofErr w:type="spellStart"/>
      <w:r>
        <w:rPr>
          <w:rFonts w:ascii="Arial" w:hAnsi="Arial" w:cs="Arial"/>
          <w:i/>
          <w:iCs/>
        </w:rPr>
        <w:t>Qeios</w:t>
      </w:r>
      <w:proofErr w:type="spellEnd"/>
      <w:r>
        <w:rPr>
          <w:rFonts w:ascii="Arial" w:hAnsi="Arial" w:cs="Arial"/>
        </w:rPr>
        <w:t>. DOI: https://doi.org/10.32388/ha56oh.</w:t>
      </w:r>
    </w:p>
    <w:p w14:paraId="089BB4C4" w14:textId="77777777" w:rsidR="00DB62B0" w:rsidRDefault="00507735">
      <w:pPr>
        <w:rPr>
          <w:rFonts w:ascii="Arial" w:hAnsi="Arial" w:cs="Arial"/>
        </w:rPr>
      </w:pPr>
      <w:proofErr w:type="spellStart"/>
      <w:r>
        <w:rPr>
          <w:rFonts w:ascii="Arial" w:hAnsi="Arial" w:cs="Arial"/>
        </w:rPr>
        <w:t>Otte</w:t>
      </w:r>
      <w:proofErr w:type="spellEnd"/>
      <w:r>
        <w:rPr>
          <w:rFonts w:ascii="Arial" w:hAnsi="Arial" w:cs="Arial"/>
        </w:rPr>
        <w:t xml:space="preserve">, J. N., </w:t>
      </w:r>
      <w:proofErr w:type="spellStart"/>
      <w:r>
        <w:rPr>
          <w:rFonts w:ascii="Arial" w:hAnsi="Arial" w:cs="Arial"/>
        </w:rPr>
        <w:t>Kiritsi</w:t>
      </w:r>
      <w:proofErr w:type="spellEnd"/>
      <w:r>
        <w:rPr>
          <w:rFonts w:ascii="Arial" w:hAnsi="Arial" w:cs="Arial"/>
        </w:rPr>
        <w:t xml:space="preserve">, D., Ali, M. M., Yang, R., Zhang, B., </w:t>
      </w:r>
      <w:proofErr w:type="spellStart"/>
      <w:r>
        <w:rPr>
          <w:rFonts w:ascii="Arial" w:hAnsi="Arial" w:cs="Arial"/>
        </w:rPr>
        <w:t>Rudnicki</w:t>
      </w:r>
      <w:proofErr w:type="spellEnd"/>
      <w:r>
        <w:rPr>
          <w:rFonts w:ascii="Arial" w:hAnsi="Arial" w:cs="Arial"/>
        </w:rPr>
        <w:t xml:space="preserve">, R., Rai, R., &amp; Smith, B. (2019). An ontological approach to representing the product life cycle. </w:t>
      </w:r>
      <w:r>
        <w:rPr>
          <w:rFonts w:ascii="Arial" w:hAnsi="Arial" w:cs="Arial"/>
          <w:i/>
          <w:iCs/>
        </w:rPr>
        <w:t>Applied Ontology</w:t>
      </w:r>
      <w:r>
        <w:rPr>
          <w:rFonts w:ascii="Arial" w:hAnsi="Arial" w:cs="Arial"/>
        </w:rPr>
        <w:t>, 14(2), pp.179-197.</w:t>
      </w:r>
    </w:p>
    <w:p w14:paraId="5872722F" w14:textId="77777777" w:rsidR="00DB62B0" w:rsidRDefault="00507735">
      <w:pPr>
        <w:rPr>
          <w:rFonts w:ascii="Arial" w:hAnsi="Arial" w:cs="Arial"/>
        </w:rPr>
      </w:pPr>
      <w:r>
        <w:rPr>
          <w:rFonts w:ascii="Arial" w:hAnsi="Arial" w:cs="Arial"/>
        </w:rPr>
        <w:t xml:space="preserve">Parry, M. E., &amp; </w:t>
      </w:r>
      <w:proofErr w:type="spellStart"/>
      <w:r>
        <w:rPr>
          <w:rFonts w:ascii="Arial" w:hAnsi="Arial" w:cs="Arial"/>
        </w:rPr>
        <w:t>Sarma</w:t>
      </w:r>
      <w:proofErr w:type="spellEnd"/>
      <w:r>
        <w:rPr>
          <w:rFonts w:ascii="Arial" w:hAnsi="Arial" w:cs="Arial"/>
        </w:rPr>
        <w:t xml:space="preserve">, S. (2019). The impact of pioneer adopter characteristics and perceptions on the perceived costs of switching to a follower product. </w:t>
      </w:r>
      <w:r>
        <w:rPr>
          <w:rFonts w:ascii="Arial" w:hAnsi="Arial" w:cs="Arial"/>
          <w:i/>
          <w:iCs/>
        </w:rPr>
        <w:t>Asia Pacific Journal of Marketing and Logistics</w:t>
      </w:r>
      <w:r>
        <w:rPr>
          <w:rFonts w:ascii="Arial" w:hAnsi="Arial" w:cs="Arial"/>
        </w:rPr>
        <w:t>, 31(4), pp.875-897.</w:t>
      </w:r>
    </w:p>
    <w:p w14:paraId="39934AA5" w14:textId="77777777" w:rsidR="00DB62B0" w:rsidRDefault="00507735">
      <w:pPr>
        <w:rPr>
          <w:rFonts w:ascii="Arial" w:hAnsi="Arial" w:cs="Arial"/>
        </w:rPr>
      </w:pPr>
      <w:proofErr w:type="spellStart"/>
      <w:r>
        <w:rPr>
          <w:rFonts w:ascii="Arial" w:hAnsi="Arial" w:cs="Arial"/>
        </w:rPr>
        <w:t>Rakita</w:t>
      </w:r>
      <w:proofErr w:type="spellEnd"/>
      <w:r>
        <w:rPr>
          <w:rFonts w:ascii="Arial" w:hAnsi="Arial" w:cs="Arial"/>
        </w:rPr>
        <w:t xml:space="preserve">, B., </w:t>
      </w:r>
      <w:proofErr w:type="spellStart"/>
      <w:r>
        <w:rPr>
          <w:rFonts w:ascii="Arial" w:hAnsi="Arial" w:cs="Arial"/>
        </w:rPr>
        <w:t>Madić</w:t>
      </w:r>
      <w:proofErr w:type="spellEnd"/>
      <w:r>
        <w:rPr>
          <w:rFonts w:ascii="Arial" w:hAnsi="Arial" w:cs="Arial"/>
        </w:rPr>
        <w:t xml:space="preserve">, V. and </w:t>
      </w:r>
      <w:proofErr w:type="spellStart"/>
      <w:r>
        <w:rPr>
          <w:rFonts w:ascii="Arial" w:hAnsi="Arial" w:cs="Arial"/>
        </w:rPr>
        <w:t>Marković</w:t>
      </w:r>
      <w:proofErr w:type="spellEnd"/>
      <w:r>
        <w:rPr>
          <w:rFonts w:ascii="Arial" w:hAnsi="Arial" w:cs="Arial"/>
        </w:rPr>
        <w:t xml:space="preserve">, D. (2017). Competitive strategies of late followers in the auto industry: Case study Hyundai-Kia. </w:t>
      </w:r>
      <w:proofErr w:type="spellStart"/>
      <w:r>
        <w:rPr>
          <w:rFonts w:ascii="Arial" w:hAnsi="Arial" w:cs="Arial"/>
          <w:i/>
          <w:iCs/>
        </w:rPr>
        <w:t>Industrija</w:t>
      </w:r>
      <w:proofErr w:type="spellEnd"/>
      <w:r>
        <w:rPr>
          <w:rFonts w:ascii="Arial" w:hAnsi="Arial" w:cs="Arial"/>
        </w:rPr>
        <w:t>, 45(1).</w:t>
      </w:r>
    </w:p>
    <w:p w14:paraId="62A3600D" w14:textId="77777777" w:rsidR="00DB62B0" w:rsidRDefault="00507735">
      <w:pPr>
        <w:rPr>
          <w:rFonts w:ascii="Arial" w:hAnsi="Arial" w:cs="Arial"/>
        </w:rPr>
      </w:pPr>
      <w:proofErr w:type="spellStart"/>
      <w:r>
        <w:rPr>
          <w:rFonts w:ascii="Arial" w:hAnsi="Arial" w:cs="Arial"/>
        </w:rPr>
        <w:t>Suntsova</w:t>
      </w:r>
      <w:proofErr w:type="spellEnd"/>
      <w:r>
        <w:rPr>
          <w:rFonts w:ascii="Arial" w:hAnsi="Arial" w:cs="Arial"/>
        </w:rPr>
        <w:t xml:space="preserve">, O. (2024). </w:t>
      </w:r>
      <w:r>
        <w:rPr>
          <w:rFonts w:ascii="Arial" w:hAnsi="Arial" w:cs="Arial"/>
          <w:i/>
          <w:iCs/>
        </w:rPr>
        <w:t>The impact of “first-mover advantage” on global market structure and dynamics</w:t>
      </w:r>
      <w:r>
        <w:rPr>
          <w:rFonts w:ascii="Arial" w:hAnsi="Arial" w:cs="Arial"/>
        </w:rPr>
        <w:t>. Available at SSRN 5125609.</w:t>
      </w:r>
    </w:p>
    <w:p w14:paraId="30A8B0D5" w14:textId="77777777" w:rsidR="00DB62B0" w:rsidRDefault="00507735">
      <w:pPr>
        <w:rPr>
          <w:rFonts w:ascii="Arial" w:hAnsi="Arial" w:cs="Arial"/>
        </w:rPr>
      </w:pPr>
      <w:r>
        <w:rPr>
          <w:rFonts w:ascii="Arial" w:hAnsi="Arial" w:cs="Arial"/>
        </w:rPr>
        <w:t xml:space="preserve">Tien, N.H. and Ngoc, N.M. (2019). Comparative analysis of advantages and disadvantages of the modes of entering the international market. </w:t>
      </w:r>
      <w:r>
        <w:rPr>
          <w:rFonts w:ascii="Arial" w:hAnsi="Arial" w:cs="Arial"/>
          <w:i/>
          <w:iCs/>
        </w:rPr>
        <w:t>International Journal of Advanced Research in Engineering and Management</w:t>
      </w:r>
      <w:r>
        <w:rPr>
          <w:rFonts w:ascii="Arial" w:hAnsi="Arial" w:cs="Arial"/>
        </w:rPr>
        <w:t>, 5(7), pp.29-36.</w:t>
      </w:r>
    </w:p>
    <w:p w14:paraId="5294BA9D" w14:textId="77777777" w:rsidR="00DB62B0" w:rsidRDefault="00507735">
      <w:pPr>
        <w:rPr>
          <w:rFonts w:ascii="Arial" w:hAnsi="Arial" w:cs="Arial"/>
        </w:rPr>
      </w:pPr>
      <w:r>
        <w:rPr>
          <w:rFonts w:ascii="Arial" w:hAnsi="Arial" w:cs="Arial"/>
        </w:rPr>
        <w:t xml:space="preserve">Wu, Y.S., </w:t>
      </w:r>
      <w:proofErr w:type="spellStart"/>
      <w:r>
        <w:rPr>
          <w:rFonts w:ascii="Arial" w:hAnsi="Arial" w:cs="Arial"/>
        </w:rPr>
        <w:t>Tonsukchai</w:t>
      </w:r>
      <w:proofErr w:type="spellEnd"/>
      <w:r>
        <w:rPr>
          <w:rFonts w:ascii="Arial" w:hAnsi="Arial" w:cs="Arial"/>
        </w:rPr>
        <w:t xml:space="preserve">, G., </w:t>
      </w:r>
      <w:proofErr w:type="spellStart"/>
      <w:r>
        <w:rPr>
          <w:rFonts w:ascii="Arial" w:hAnsi="Arial" w:cs="Arial"/>
        </w:rPr>
        <w:t>Chatpokponjaroon</w:t>
      </w:r>
      <w:proofErr w:type="spellEnd"/>
      <w:r>
        <w:rPr>
          <w:rFonts w:ascii="Arial" w:hAnsi="Arial" w:cs="Arial"/>
        </w:rPr>
        <w:t>, P., Wu, C.Y. and Molina, M.F.D. (</w:t>
      </w:r>
      <w:proofErr w:type="spellStart"/>
      <w:r>
        <w:rPr>
          <w:rFonts w:ascii="Arial" w:hAnsi="Arial" w:cs="Arial"/>
        </w:rPr>
        <w:t>n.d.</w:t>
      </w:r>
      <w:proofErr w:type="spellEnd"/>
      <w:r>
        <w:rPr>
          <w:rFonts w:ascii="Arial" w:hAnsi="Arial" w:cs="Arial"/>
        </w:rPr>
        <w:t>). Ahead of the curve: The strategic analysis of Samsung.</w:t>
      </w:r>
    </w:p>
    <w:p w14:paraId="2EC7EDB5" w14:textId="77777777" w:rsidR="00DB62B0" w:rsidRDefault="00507735">
      <w:pPr>
        <w:rPr>
          <w:rFonts w:ascii="Arial" w:hAnsi="Arial" w:cs="Arial"/>
        </w:rPr>
      </w:pPr>
      <w:r>
        <w:rPr>
          <w:rFonts w:ascii="Arial" w:hAnsi="Arial" w:cs="Arial"/>
        </w:rPr>
        <w:t>WU, Z.Q., NGUYEN, P.Q., PHANKASEMSAN, I. and WOLF, E. (2021). Driving sustainability and electric vehicles evolution: Tesla company's success strategies.</w:t>
      </w:r>
    </w:p>
    <w:p w14:paraId="46F6F5F8" w14:textId="77777777" w:rsidR="00DB62B0" w:rsidRDefault="00DB62B0">
      <w:pPr>
        <w:rPr>
          <w:rFonts w:ascii="Arial" w:hAnsi="Arial" w:cs="Arial"/>
        </w:rPr>
      </w:pPr>
    </w:p>
    <w:sectPr w:rsidR="00DB62B0">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8B4EE" w14:textId="77777777" w:rsidR="00DB62B0" w:rsidRDefault="00507735">
      <w:pPr>
        <w:spacing w:line="240" w:lineRule="auto"/>
      </w:pPr>
      <w:r>
        <w:separator/>
      </w:r>
    </w:p>
  </w:endnote>
  <w:endnote w:type="continuationSeparator" w:id="0">
    <w:p w14:paraId="33434044" w14:textId="77777777" w:rsidR="00DB62B0" w:rsidRDefault="005077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833871476"/>
      <w:docPartObj>
        <w:docPartGallery w:val="AutoText"/>
      </w:docPartObj>
    </w:sdtPr>
    <w:sdtEndPr/>
    <w:sdtContent>
      <w:p w14:paraId="042C069F" w14:textId="77777777" w:rsidR="00DB62B0" w:rsidRDefault="00507735">
        <w:pPr>
          <w:pStyle w:val="Footer"/>
          <w:jc w:val="right"/>
          <w:rPr>
            <w:rFonts w:ascii="Arial" w:hAnsi="Arial" w:cs="Arial"/>
          </w:rPr>
        </w:pPr>
        <w:r>
          <w:rPr>
            <w:rFonts w:ascii="Arial" w:hAnsi="Arial" w:cs="Arial"/>
          </w:rPr>
          <w:fldChar w:fldCharType="begin"/>
        </w:r>
        <w:r>
          <w:rPr>
            <w:rFonts w:ascii="Arial" w:hAnsi="Arial" w:cs="Arial"/>
          </w:rPr>
          <w:instrText xml:space="preserve"> PAGE   \* MERGEFORMAT </w:instrText>
        </w:r>
        <w:r>
          <w:rPr>
            <w:rFonts w:ascii="Arial" w:hAnsi="Arial" w:cs="Arial"/>
          </w:rPr>
          <w:fldChar w:fldCharType="separate"/>
        </w:r>
        <w:r>
          <w:rPr>
            <w:rFonts w:ascii="Arial" w:hAnsi="Arial" w:cs="Arial"/>
          </w:rPr>
          <w:t>2</w:t>
        </w:r>
        <w:r>
          <w:rPr>
            <w:rFonts w:ascii="Arial" w:hAnsi="Arial" w:cs="Arial"/>
          </w:rPr>
          <w:fldChar w:fldCharType="end"/>
        </w:r>
      </w:p>
    </w:sdtContent>
  </w:sdt>
  <w:p w14:paraId="2806A9B3" w14:textId="77777777" w:rsidR="00DB62B0" w:rsidRDefault="00DB62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6CF40" w14:textId="77777777" w:rsidR="00DB62B0" w:rsidRDefault="00507735">
      <w:pPr>
        <w:spacing w:after="0"/>
      </w:pPr>
      <w:r>
        <w:separator/>
      </w:r>
    </w:p>
  </w:footnote>
  <w:footnote w:type="continuationSeparator" w:id="0">
    <w:p w14:paraId="324162D6" w14:textId="77777777" w:rsidR="00DB62B0" w:rsidRDefault="00507735">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71568"/>
    <w:multiLevelType w:val="multilevel"/>
    <w:tmpl w:val="1C371568"/>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193056E"/>
    <w:multiLevelType w:val="multilevel"/>
    <w:tmpl w:val="3193056E"/>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41DB3C0C"/>
    <w:multiLevelType w:val="multilevel"/>
    <w:tmpl w:val="41DB3C0C"/>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1A4768D"/>
    <w:multiLevelType w:val="multilevel"/>
    <w:tmpl w:val="71A4768D"/>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7FAF20BB"/>
    <w:multiLevelType w:val="multilevel"/>
    <w:tmpl w:val="7FAF20BB"/>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521864799">
    <w:abstractNumId w:val="1"/>
  </w:num>
  <w:num w:numId="2" w16cid:durableId="784690269">
    <w:abstractNumId w:val="4"/>
  </w:num>
  <w:num w:numId="3" w16cid:durableId="1935939643">
    <w:abstractNumId w:val="3"/>
  </w:num>
  <w:num w:numId="4" w16cid:durableId="450637913">
    <w:abstractNumId w:val="2"/>
  </w:num>
  <w:num w:numId="5" w16cid:durableId="761492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30"/>
  <w:removePersonalInformation/>
  <w:hideSpellingErrors/>
  <w:hideGrammaticalError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961"/>
    <w:rsid w:val="00006389"/>
    <w:rsid w:val="00010110"/>
    <w:rsid w:val="00010A9D"/>
    <w:rsid w:val="000130FA"/>
    <w:rsid w:val="000140F0"/>
    <w:rsid w:val="000169A7"/>
    <w:rsid w:val="00016E85"/>
    <w:rsid w:val="00020A1D"/>
    <w:rsid w:val="000211BA"/>
    <w:rsid w:val="00024024"/>
    <w:rsid w:val="00026BA0"/>
    <w:rsid w:val="00032077"/>
    <w:rsid w:val="00032EC3"/>
    <w:rsid w:val="000362C0"/>
    <w:rsid w:val="00037352"/>
    <w:rsid w:val="00037F6D"/>
    <w:rsid w:val="00043508"/>
    <w:rsid w:val="000443FC"/>
    <w:rsid w:val="00044BDC"/>
    <w:rsid w:val="00053821"/>
    <w:rsid w:val="0005528C"/>
    <w:rsid w:val="00056AB7"/>
    <w:rsid w:val="00063575"/>
    <w:rsid w:val="00070C66"/>
    <w:rsid w:val="00072242"/>
    <w:rsid w:val="00074660"/>
    <w:rsid w:val="00075FC7"/>
    <w:rsid w:val="00076CBD"/>
    <w:rsid w:val="00083A03"/>
    <w:rsid w:val="00086294"/>
    <w:rsid w:val="00087715"/>
    <w:rsid w:val="00093BD4"/>
    <w:rsid w:val="00094B54"/>
    <w:rsid w:val="0009608C"/>
    <w:rsid w:val="000A2C6E"/>
    <w:rsid w:val="000A5AE2"/>
    <w:rsid w:val="000A605A"/>
    <w:rsid w:val="000B1A38"/>
    <w:rsid w:val="000B2F34"/>
    <w:rsid w:val="000B4451"/>
    <w:rsid w:val="000C0E7C"/>
    <w:rsid w:val="000C205A"/>
    <w:rsid w:val="000C30C9"/>
    <w:rsid w:val="000C3E8A"/>
    <w:rsid w:val="000C3EEC"/>
    <w:rsid w:val="000C5294"/>
    <w:rsid w:val="000D4D38"/>
    <w:rsid w:val="000E2DC0"/>
    <w:rsid w:val="000E3CC4"/>
    <w:rsid w:val="000E4C63"/>
    <w:rsid w:val="000E6130"/>
    <w:rsid w:val="000E6DD0"/>
    <w:rsid w:val="000F17D7"/>
    <w:rsid w:val="000F437C"/>
    <w:rsid w:val="000F5BC0"/>
    <w:rsid w:val="000F5CF8"/>
    <w:rsid w:val="000F76EB"/>
    <w:rsid w:val="00101BDE"/>
    <w:rsid w:val="0010458B"/>
    <w:rsid w:val="00105C99"/>
    <w:rsid w:val="00105E90"/>
    <w:rsid w:val="0011748C"/>
    <w:rsid w:val="00121AB2"/>
    <w:rsid w:val="00123FF2"/>
    <w:rsid w:val="00133A97"/>
    <w:rsid w:val="00136D6B"/>
    <w:rsid w:val="001374C9"/>
    <w:rsid w:val="001378A9"/>
    <w:rsid w:val="001441C9"/>
    <w:rsid w:val="00145D77"/>
    <w:rsid w:val="00146395"/>
    <w:rsid w:val="00152A4D"/>
    <w:rsid w:val="00155B9E"/>
    <w:rsid w:val="00155C8D"/>
    <w:rsid w:val="00157EDE"/>
    <w:rsid w:val="001605D9"/>
    <w:rsid w:val="00161782"/>
    <w:rsid w:val="00161853"/>
    <w:rsid w:val="00161E71"/>
    <w:rsid w:val="00161E97"/>
    <w:rsid w:val="00163741"/>
    <w:rsid w:val="001666CE"/>
    <w:rsid w:val="001675FF"/>
    <w:rsid w:val="00172509"/>
    <w:rsid w:val="0017448C"/>
    <w:rsid w:val="00182BD5"/>
    <w:rsid w:val="0019049B"/>
    <w:rsid w:val="001928E9"/>
    <w:rsid w:val="00193231"/>
    <w:rsid w:val="00193391"/>
    <w:rsid w:val="0019405B"/>
    <w:rsid w:val="00195B07"/>
    <w:rsid w:val="0019718D"/>
    <w:rsid w:val="001A2701"/>
    <w:rsid w:val="001A35F9"/>
    <w:rsid w:val="001A393B"/>
    <w:rsid w:val="001A42EC"/>
    <w:rsid w:val="001B0329"/>
    <w:rsid w:val="001B08BF"/>
    <w:rsid w:val="001B142F"/>
    <w:rsid w:val="001B7052"/>
    <w:rsid w:val="001B7B45"/>
    <w:rsid w:val="001C2E91"/>
    <w:rsid w:val="001C3157"/>
    <w:rsid w:val="001C390C"/>
    <w:rsid w:val="001C5FF1"/>
    <w:rsid w:val="001D3821"/>
    <w:rsid w:val="001D66DD"/>
    <w:rsid w:val="001E165E"/>
    <w:rsid w:val="001E26A3"/>
    <w:rsid w:val="001E3971"/>
    <w:rsid w:val="001E4F04"/>
    <w:rsid w:val="001E7D6C"/>
    <w:rsid w:val="001F1983"/>
    <w:rsid w:val="001F31AD"/>
    <w:rsid w:val="001F31C7"/>
    <w:rsid w:val="001F32DE"/>
    <w:rsid w:val="001F5874"/>
    <w:rsid w:val="001F6731"/>
    <w:rsid w:val="001F6ECD"/>
    <w:rsid w:val="001F7246"/>
    <w:rsid w:val="001F76F2"/>
    <w:rsid w:val="00200410"/>
    <w:rsid w:val="002039C3"/>
    <w:rsid w:val="0020676C"/>
    <w:rsid w:val="002108B6"/>
    <w:rsid w:val="00212A34"/>
    <w:rsid w:val="00213DA0"/>
    <w:rsid w:val="00213E2B"/>
    <w:rsid w:val="00215319"/>
    <w:rsid w:val="00215582"/>
    <w:rsid w:val="00217F70"/>
    <w:rsid w:val="00223D31"/>
    <w:rsid w:val="00226C69"/>
    <w:rsid w:val="00226F01"/>
    <w:rsid w:val="00234ED2"/>
    <w:rsid w:val="00235716"/>
    <w:rsid w:val="00236737"/>
    <w:rsid w:val="002519D4"/>
    <w:rsid w:val="0025339C"/>
    <w:rsid w:val="00253FE8"/>
    <w:rsid w:val="00254E51"/>
    <w:rsid w:val="00255D5A"/>
    <w:rsid w:val="00255F8F"/>
    <w:rsid w:val="00257AF3"/>
    <w:rsid w:val="00262671"/>
    <w:rsid w:val="0026316B"/>
    <w:rsid w:val="002710AE"/>
    <w:rsid w:val="002722FE"/>
    <w:rsid w:val="00274051"/>
    <w:rsid w:val="00275C91"/>
    <w:rsid w:val="00276A87"/>
    <w:rsid w:val="00276FF7"/>
    <w:rsid w:val="002870BC"/>
    <w:rsid w:val="002877D6"/>
    <w:rsid w:val="00292D81"/>
    <w:rsid w:val="0029410F"/>
    <w:rsid w:val="0029592D"/>
    <w:rsid w:val="00295ED9"/>
    <w:rsid w:val="00295F03"/>
    <w:rsid w:val="002A0DF9"/>
    <w:rsid w:val="002A20D2"/>
    <w:rsid w:val="002A2C59"/>
    <w:rsid w:val="002A33B6"/>
    <w:rsid w:val="002A3833"/>
    <w:rsid w:val="002B1F87"/>
    <w:rsid w:val="002B2401"/>
    <w:rsid w:val="002B4670"/>
    <w:rsid w:val="002B6497"/>
    <w:rsid w:val="002C1D16"/>
    <w:rsid w:val="002C47E8"/>
    <w:rsid w:val="002C731F"/>
    <w:rsid w:val="002C78B5"/>
    <w:rsid w:val="002D05F8"/>
    <w:rsid w:val="002D0A46"/>
    <w:rsid w:val="002D18A9"/>
    <w:rsid w:val="002D7043"/>
    <w:rsid w:val="002E1949"/>
    <w:rsid w:val="002E4231"/>
    <w:rsid w:val="002E6A72"/>
    <w:rsid w:val="002F1563"/>
    <w:rsid w:val="002F509F"/>
    <w:rsid w:val="002F7F7D"/>
    <w:rsid w:val="0031269F"/>
    <w:rsid w:val="00316220"/>
    <w:rsid w:val="003174D1"/>
    <w:rsid w:val="003215F4"/>
    <w:rsid w:val="00326561"/>
    <w:rsid w:val="00326ABD"/>
    <w:rsid w:val="00330A0D"/>
    <w:rsid w:val="003334DB"/>
    <w:rsid w:val="0033447F"/>
    <w:rsid w:val="00335951"/>
    <w:rsid w:val="0033705F"/>
    <w:rsid w:val="00345D6A"/>
    <w:rsid w:val="00350CDF"/>
    <w:rsid w:val="00354269"/>
    <w:rsid w:val="003553F4"/>
    <w:rsid w:val="003624F4"/>
    <w:rsid w:val="00363C17"/>
    <w:rsid w:val="0036676D"/>
    <w:rsid w:val="00366F9A"/>
    <w:rsid w:val="003710F3"/>
    <w:rsid w:val="0037434B"/>
    <w:rsid w:val="00377466"/>
    <w:rsid w:val="00380750"/>
    <w:rsid w:val="00382A74"/>
    <w:rsid w:val="00384B97"/>
    <w:rsid w:val="0039056F"/>
    <w:rsid w:val="00390F9E"/>
    <w:rsid w:val="0039536D"/>
    <w:rsid w:val="003A0B46"/>
    <w:rsid w:val="003A106E"/>
    <w:rsid w:val="003A30D8"/>
    <w:rsid w:val="003A4232"/>
    <w:rsid w:val="003A5DC0"/>
    <w:rsid w:val="003A65E1"/>
    <w:rsid w:val="003B059A"/>
    <w:rsid w:val="003B30BF"/>
    <w:rsid w:val="003B5156"/>
    <w:rsid w:val="003B5F3B"/>
    <w:rsid w:val="003C1143"/>
    <w:rsid w:val="003C1EE2"/>
    <w:rsid w:val="003C4C0E"/>
    <w:rsid w:val="003C611D"/>
    <w:rsid w:val="003D01A4"/>
    <w:rsid w:val="003D233A"/>
    <w:rsid w:val="003D432D"/>
    <w:rsid w:val="003D734B"/>
    <w:rsid w:val="003D7B7F"/>
    <w:rsid w:val="003E011B"/>
    <w:rsid w:val="003E0E77"/>
    <w:rsid w:val="003E1C2D"/>
    <w:rsid w:val="003E3084"/>
    <w:rsid w:val="003E5231"/>
    <w:rsid w:val="003F2907"/>
    <w:rsid w:val="003F399D"/>
    <w:rsid w:val="003F3FDA"/>
    <w:rsid w:val="003F51D4"/>
    <w:rsid w:val="003F5F2B"/>
    <w:rsid w:val="003F5F96"/>
    <w:rsid w:val="003F6288"/>
    <w:rsid w:val="0040007A"/>
    <w:rsid w:val="00405217"/>
    <w:rsid w:val="004068C7"/>
    <w:rsid w:val="004077A8"/>
    <w:rsid w:val="00413470"/>
    <w:rsid w:val="004138F2"/>
    <w:rsid w:val="00414448"/>
    <w:rsid w:val="00414DEB"/>
    <w:rsid w:val="00420333"/>
    <w:rsid w:val="00422B8F"/>
    <w:rsid w:val="00423173"/>
    <w:rsid w:val="004264A1"/>
    <w:rsid w:val="0043091F"/>
    <w:rsid w:val="00433232"/>
    <w:rsid w:val="00436B83"/>
    <w:rsid w:val="0044357F"/>
    <w:rsid w:val="00443B60"/>
    <w:rsid w:val="00444458"/>
    <w:rsid w:val="004502A3"/>
    <w:rsid w:val="00453E9A"/>
    <w:rsid w:val="00455BD0"/>
    <w:rsid w:val="00457D8F"/>
    <w:rsid w:val="00457F8A"/>
    <w:rsid w:val="00461680"/>
    <w:rsid w:val="00465374"/>
    <w:rsid w:val="00465651"/>
    <w:rsid w:val="00470318"/>
    <w:rsid w:val="004704C6"/>
    <w:rsid w:val="00472D4C"/>
    <w:rsid w:val="00475C21"/>
    <w:rsid w:val="0048251E"/>
    <w:rsid w:val="00482FFA"/>
    <w:rsid w:val="00491939"/>
    <w:rsid w:val="00493456"/>
    <w:rsid w:val="00495608"/>
    <w:rsid w:val="00495A59"/>
    <w:rsid w:val="00495BE2"/>
    <w:rsid w:val="0049620E"/>
    <w:rsid w:val="004971BB"/>
    <w:rsid w:val="004A5424"/>
    <w:rsid w:val="004A7412"/>
    <w:rsid w:val="004A77D7"/>
    <w:rsid w:val="004B3961"/>
    <w:rsid w:val="004B6285"/>
    <w:rsid w:val="004C1483"/>
    <w:rsid w:val="004C3C15"/>
    <w:rsid w:val="004C6420"/>
    <w:rsid w:val="004C69F7"/>
    <w:rsid w:val="004C6FCC"/>
    <w:rsid w:val="004C72B5"/>
    <w:rsid w:val="004D3CBE"/>
    <w:rsid w:val="004D574F"/>
    <w:rsid w:val="004D6090"/>
    <w:rsid w:val="004D6205"/>
    <w:rsid w:val="004E2DA8"/>
    <w:rsid w:val="004E4D37"/>
    <w:rsid w:val="004E787E"/>
    <w:rsid w:val="004F17E2"/>
    <w:rsid w:val="004F2037"/>
    <w:rsid w:val="004F2909"/>
    <w:rsid w:val="0050020C"/>
    <w:rsid w:val="00502911"/>
    <w:rsid w:val="00502E72"/>
    <w:rsid w:val="0050441B"/>
    <w:rsid w:val="00505C37"/>
    <w:rsid w:val="00507735"/>
    <w:rsid w:val="00510445"/>
    <w:rsid w:val="00510870"/>
    <w:rsid w:val="0051163A"/>
    <w:rsid w:val="00512BA3"/>
    <w:rsid w:val="00514373"/>
    <w:rsid w:val="00521157"/>
    <w:rsid w:val="00522E05"/>
    <w:rsid w:val="00522FAD"/>
    <w:rsid w:val="00525991"/>
    <w:rsid w:val="005271AB"/>
    <w:rsid w:val="00527CB3"/>
    <w:rsid w:val="00533D27"/>
    <w:rsid w:val="0053760A"/>
    <w:rsid w:val="00546047"/>
    <w:rsid w:val="00547139"/>
    <w:rsid w:val="00547AE8"/>
    <w:rsid w:val="005514AD"/>
    <w:rsid w:val="0055353A"/>
    <w:rsid w:val="00553909"/>
    <w:rsid w:val="005539E0"/>
    <w:rsid w:val="005547E0"/>
    <w:rsid w:val="005627CB"/>
    <w:rsid w:val="005652A2"/>
    <w:rsid w:val="00565CAF"/>
    <w:rsid w:val="005676CA"/>
    <w:rsid w:val="00570469"/>
    <w:rsid w:val="00570D03"/>
    <w:rsid w:val="0057241F"/>
    <w:rsid w:val="00573C3A"/>
    <w:rsid w:val="00577AE1"/>
    <w:rsid w:val="00586D31"/>
    <w:rsid w:val="0059107F"/>
    <w:rsid w:val="00593083"/>
    <w:rsid w:val="005A48B0"/>
    <w:rsid w:val="005B0641"/>
    <w:rsid w:val="005B53FA"/>
    <w:rsid w:val="005B5FED"/>
    <w:rsid w:val="005C0C09"/>
    <w:rsid w:val="005D38FB"/>
    <w:rsid w:val="005D3B71"/>
    <w:rsid w:val="005D7217"/>
    <w:rsid w:val="005E1573"/>
    <w:rsid w:val="005E42C6"/>
    <w:rsid w:val="005E5EC8"/>
    <w:rsid w:val="005E6D83"/>
    <w:rsid w:val="005E7710"/>
    <w:rsid w:val="005F0431"/>
    <w:rsid w:val="005F0A08"/>
    <w:rsid w:val="005F2889"/>
    <w:rsid w:val="005F66A3"/>
    <w:rsid w:val="005F7181"/>
    <w:rsid w:val="00602016"/>
    <w:rsid w:val="0060268E"/>
    <w:rsid w:val="0060332F"/>
    <w:rsid w:val="006051CE"/>
    <w:rsid w:val="0060577C"/>
    <w:rsid w:val="006144C2"/>
    <w:rsid w:val="00622D71"/>
    <w:rsid w:val="006237F2"/>
    <w:rsid w:val="00623927"/>
    <w:rsid w:val="00626884"/>
    <w:rsid w:val="006367DD"/>
    <w:rsid w:val="00637D7A"/>
    <w:rsid w:val="006403F8"/>
    <w:rsid w:val="00640EE9"/>
    <w:rsid w:val="006411AC"/>
    <w:rsid w:val="0065051F"/>
    <w:rsid w:val="00651AD8"/>
    <w:rsid w:val="006525AD"/>
    <w:rsid w:val="00653A2A"/>
    <w:rsid w:val="00655B30"/>
    <w:rsid w:val="0065652A"/>
    <w:rsid w:val="00656D77"/>
    <w:rsid w:val="00660C14"/>
    <w:rsid w:val="00660F84"/>
    <w:rsid w:val="00663A57"/>
    <w:rsid w:val="00663C23"/>
    <w:rsid w:val="00663E5A"/>
    <w:rsid w:val="0066463A"/>
    <w:rsid w:val="00664D78"/>
    <w:rsid w:val="00670226"/>
    <w:rsid w:val="00670603"/>
    <w:rsid w:val="006718F8"/>
    <w:rsid w:val="006757EE"/>
    <w:rsid w:val="0067792D"/>
    <w:rsid w:val="00681A5C"/>
    <w:rsid w:val="00681D23"/>
    <w:rsid w:val="0068626A"/>
    <w:rsid w:val="00690B53"/>
    <w:rsid w:val="00692012"/>
    <w:rsid w:val="00696C31"/>
    <w:rsid w:val="006A1DAF"/>
    <w:rsid w:val="006B14B4"/>
    <w:rsid w:val="006B152A"/>
    <w:rsid w:val="006B4257"/>
    <w:rsid w:val="006C085E"/>
    <w:rsid w:val="006C62D2"/>
    <w:rsid w:val="006C744F"/>
    <w:rsid w:val="006C7910"/>
    <w:rsid w:val="006D0963"/>
    <w:rsid w:val="006D2721"/>
    <w:rsid w:val="006D4FE8"/>
    <w:rsid w:val="006D782E"/>
    <w:rsid w:val="006E2588"/>
    <w:rsid w:val="006E57A1"/>
    <w:rsid w:val="006E5845"/>
    <w:rsid w:val="006E61A3"/>
    <w:rsid w:val="006F3208"/>
    <w:rsid w:val="006F353A"/>
    <w:rsid w:val="006F48DC"/>
    <w:rsid w:val="006F52D2"/>
    <w:rsid w:val="006F52E5"/>
    <w:rsid w:val="006F5FF7"/>
    <w:rsid w:val="006F70F6"/>
    <w:rsid w:val="006F79B2"/>
    <w:rsid w:val="00700455"/>
    <w:rsid w:val="00701166"/>
    <w:rsid w:val="0070135C"/>
    <w:rsid w:val="00705FDA"/>
    <w:rsid w:val="00711D23"/>
    <w:rsid w:val="00715898"/>
    <w:rsid w:val="00720CAE"/>
    <w:rsid w:val="0072301F"/>
    <w:rsid w:val="00723FC7"/>
    <w:rsid w:val="007263A6"/>
    <w:rsid w:val="007268AC"/>
    <w:rsid w:val="007301CC"/>
    <w:rsid w:val="00731E2D"/>
    <w:rsid w:val="00732DB4"/>
    <w:rsid w:val="007359F0"/>
    <w:rsid w:val="007361FF"/>
    <w:rsid w:val="00736455"/>
    <w:rsid w:val="007368FB"/>
    <w:rsid w:val="00740175"/>
    <w:rsid w:val="007427D1"/>
    <w:rsid w:val="00747059"/>
    <w:rsid w:val="0074747D"/>
    <w:rsid w:val="00747F37"/>
    <w:rsid w:val="00751CE4"/>
    <w:rsid w:val="007527E4"/>
    <w:rsid w:val="00754F00"/>
    <w:rsid w:val="00756F02"/>
    <w:rsid w:val="0075774B"/>
    <w:rsid w:val="00763D35"/>
    <w:rsid w:val="007672F0"/>
    <w:rsid w:val="00771048"/>
    <w:rsid w:val="00782DE0"/>
    <w:rsid w:val="00786749"/>
    <w:rsid w:val="007A4EA6"/>
    <w:rsid w:val="007B247D"/>
    <w:rsid w:val="007B6BA2"/>
    <w:rsid w:val="007B7D16"/>
    <w:rsid w:val="007C2C29"/>
    <w:rsid w:val="007C3607"/>
    <w:rsid w:val="007D746D"/>
    <w:rsid w:val="007E003A"/>
    <w:rsid w:val="007E16C6"/>
    <w:rsid w:val="007E2566"/>
    <w:rsid w:val="007E47B5"/>
    <w:rsid w:val="007E7452"/>
    <w:rsid w:val="007F26AE"/>
    <w:rsid w:val="007F61F7"/>
    <w:rsid w:val="00803CC1"/>
    <w:rsid w:val="00805C83"/>
    <w:rsid w:val="008076A7"/>
    <w:rsid w:val="00811CA4"/>
    <w:rsid w:val="00814969"/>
    <w:rsid w:val="00814F24"/>
    <w:rsid w:val="00820C40"/>
    <w:rsid w:val="00825597"/>
    <w:rsid w:val="00826731"/>
    <w:rsid w:val="00831AE2"/>
    <w:rsid w:val="00834FF9"/>
    <w:rsid w:val="0083578A"/>
    <w:rsid w:val="00835CB5"/>
    <w:rsid w:val="0083765F"/>
    <w:rsid w:val="00837B5D"/>
    <w:rsid w:val="008459B1"/>
    <w:rsid w:val="00846671"/>
    <w:rsid w:val="00846C82"/>
    <w:rsid w:val="008545D9"/>
    <w:rsid w:val="00854E8B"/>
    <w:rsid w:val="00856C8B"/>
    <w:rsid w:val="00865EF7"/>
    <w:rsid w:val="00866498"/>
    <w:rsid w:val="008716D2"/>
    <w:rsid w:val="00877E4C"/>
    <w:rsid w:val="00884428"/>
    <w:rsid w:val="00892DF4"/>
    <w:rsid w:val="008930BA"/>
    <w:rsid w:val="008967A1"/>
    <w:rsid w:val="00897B75"/>
    <w:rsid w:val="00897E32"/>
    <w:rsid w:val="008A1663"/>
    <w:rsid w:val="008A1B82"/>
    <w:rsid w:val="008A5721"/>
    <w:rsid w:val="008B30D7"/>
    <w:rsid w:val="008C221D"/>
    <w:rsid w:val="008C455F"/>
    <w:rsid w:val="008C51D3"/>
    <w:rsid w:val="008C5979"/>
    <w:rsid w:val="008C72E9"/>
    <w:rsid w:val="008C7A92"/>
    <w:rsid w:val="008D1DDF"/>
    <w:rsid w:val="008D1F48"/>
    <w:rsid w:val="008D632E"/>
    <w:rsid w:val="008E1766"/>
    <w:rsid w:val="008E23D9"/>
    <w:rsid w:val="008E4C78"/>
    <w:rsid w:val="008E6940"/>
    <w:rsid w:val="008F2F71"/>
    <w:rsid w:val="008F5802"/>
    <w:rsid w:val="008F6E03"/>
    <w:rsid w:val="009007AE"/>
    <w:rsid w:val="0090666E"/>
    <w:rsid w:val="00907C46"/>
    <w:rsid w:val="00910CB9"/>
    <w:rsid w:val="00910E1A"/>
    <w:rsid w:val="00911EBA"/>
    <w:rsid w:val="009159DF"/>
    <w:rsid w:val="00917812"/>
    <w:rsid w:val="00920018"/>
    <w:rsid w:val="009206F2"/>
    <w:rsid w:val="00920F77"/>
    <w:rsid w:val="009253AA"/>
    <w:rsid w:val="009275FF"/>
    <w:rsid w:val="00931252"/>
    <w:rsid w:val="00933DF0"/>
    <w:rsid w:val="00934B68"/>
    <w:rsid w:val="009359E6"/>
    <w:rsid w:val="00937727"/>
    <w:rsid w:val="00941FD4"/>
    <w:rsid w:val="0094455F"/>
    <w:rsid w:val="009463F7"/>
    <w:rsid w:val="009501C0"/>
    <w:rsid w:val="00950555"/>
    <w:rsid w:val="009514B1"/>
    <w:rsid w:val="00951516"/>
    <w:rsid w:val="00952FC6"/>
    <w:rsid w:val="0095639D"/>
    <w:rsid w:val="00961C7C"/>
    <w:rsid w:val="00964ED6"/>
    <w:rsid w:val="009703FF"/>
    <w:rsid w:val="00970C79"/>
    <w:rsid w:val="00971A78"/>
    <w:rsid w:val="00971B6F"/>
    <w:rsid w:val="0098219C"/>
    <w:rsid w:val="00987B0A"/>
    <w:rsid w:val="00990278"/>
    <w:rsid w:val="009911BB"/>
    <w:rsid w:val="00994C7A"/>
    <w:rsid w:val="009A04B4"/>
    <w:rsid w:val="009A064A"/>
    <w:rsid w:val="009A4134"/>
    <w:rsid w:val="009A5FDA"/>
    <w:rsid w:val="009B0B66"/>
    <w:rsid w:val="009B3352"/>
    <w:rsid w:val="009C0549"/>
    <w:rsid w:val="009C399D"/>
    <w:rsid w:val="009C4AC1"/>
    <w:rsid w:val="009C5A8B"/>
    <w:rsid w:val="009C6132"/>
    <w:rsid w:val="009C7563"/>
    <w:rsid w:val="009D05E7"/>
    <w:rsid w:val="009E505B"/>
    <w:rsid w:val="009F000C"/>
    <w:rsid w:val="009F00D0"/>
    <w:rsid w:val="009F0713"/>
    <w:rsid w:val="009F24C7"/>
    <w:rsid w:val="009F2572"/>
    <w:rsid w:val="009F4A83"/>
    <w:rsid w:val="009F5A6C"/>
    <w:rsid w:val="00A0269D"/>
    <w:rsid w:val="00A035AA"/>
    <w:rsid w:val="00A04AB8"/>
    <w:rsid w:val="00A05674"/>
    <w:rsid w:val="00A0617C"/>
    <w:rsid w:val="00A075BE"/>
    <w:rsid w:val="00A12B84"/>
    <w:rsid w:val="00A167CD"/>
    <w:rsid w:val="00A16B29"/>
    <w:rsid w:val="00A208EA"/>
    <w:rsid w:val="00A233C9"/>
    <w:rsid w:val="00A274B5"/>
    <w:rsid w:val="00A27599"/>
    <w:rsid w:val="00A277C9"/>
    <w:rsid w:val="00A32AA8"/>
    <w:rsid w:val="00A3387A"/>
    <w:rsid w:val="00A34132"/>
    <w:rsid w:val="00A40F52"/>
    <w:rsid w:val="00A4242B"/>
    <w:rsid w:val="00A47BAC"/>
    <w:rsid w:val="00A50210"/>
    <w:rsid w:val="00A57FF5"/>
    <w:rsid w:val="00A61EA4"/>
    <w:rsid w:val="00A635E3"/>
    <w:rsid w:val="00A641BD"/>
    <w:rsid w:val="00A67A7D"/>
    <w:rsid w:val="00A67F84"/>
    <w:rsid w:val="00A7328A"/>
    <w:rsid w:val="00A763C9"/>
    <w:rsid w:val="00A81D14"/>
    <w:rsid w:val="00A82097"/>
    <w:rsid w:val="00A83F33"/>
    <w:rsid w:val="00A848B3"/>
    <w:rsid w:val="00A90633"/>
    <w:rsid w:val="00A91271"/>
    <w:rsid w:val="00A9330B"/>
    <w:rsid w:val="00A962B9"/>
    <w:rsid w:val="00A972B1"/>
    <w:rsid w:val="00AA570D"/>
    <w:rsid w:val="00AA6298"/>
    <w:rsid w:val="00AA65BD"/>
    <w:rsid w:val="00AA7D36"/>
    <w:rsid w:val="00AB204D"/>
    <w:rsid w:val="00AB22D5"/>
    <w:rsid w:val="00AB625B"/>
    <w:rsid w:val="00AB6C57"/>
    <w:rsid w:val="00AC2C8F"/>
    <w:rsid w:val="00AC3760"/>
    <w:rsid w:val="00AC46FB"/>
    <w:rsid w:val="00AC5FEE"/>
    <w:rsid w:val="00AC73AB"/>
    <w:rsid w:val="00AD2EB4"/>
    <w:rsid w:val="00AD3F37"/>
    <w:rsid w:val="00AD442F"/>
    <w:rsid w:val="00AD5D16"/>
    <w:rsid w:val="00AD6649"/>
    <w:rsid w:val="00AD7FC8"/>
    <w:rsid w:val="00AE3A71"/>
    <w:rsid w:val="00AE5EA9"/>
    <w:rsid w:val="00AE7721"/>
    <w:rsid w:val="00AF2C0C"/>
    <w:rsid w:val="00AF3416"/>
    <w:rsid w:val="00AF6895"/>
    <w:rsid w:val="00B034F7"/>
    <w:rsid w:val="00B03CA6"/>
    <w:rsid w:val="00B03F70"/>
    <w:rsid w:val="00B04AB3"/>
    <w:rsid w:val="00B05859"/>
    <w:rsid w:val="00B067EE"/>
    <w:rsid w:val="00B07565"/>
    <w:rsid w:val="00B129A4"/>
    <w:rsid w:val="00B132DD"/>
    <w:rsid w:val="00B17061"/>
    <w:rsid w:val="00B22629"/>
    <w:rsid w:val="00B2593A"/>
    <w:rsid w:val="00B307A5"/>
    <w:rsid w:val="00B35756"/>
    <w:rsid w:val="00B41687"/>
    <w:rsid w:val="00B47606"/>
    <w:rsid w:val="00B50DE1"/>
    <w:rsid w:val="00B531F8"/>
    <w:rsid w:val="00B53306"/>
    <w:rsid w:val="00B543E6"/>
    <w:rsid w:val="00B61535"/>
    <w:rsid w:val="00B61E99"/>
    <w:rsid w:val="00B63CBC"/>
    <w:rsid w:val="00B70AE1"/>
    <w:rsid w:val="00B72BC2"/>
    <w:rsid w:val="00B82159"/>
    <w:rsid w:val="00B82B55"/>
    <w:rsid w:val="00B97F42"/>
    <w:rsid w:val="00BA192F"/>
    <w:rsid w:val="00BA1B83"/>
    <w:rsid w:val="00BA4258"/>
    <w:rsid w:val="00BB07F0"/>
    <w:rsid w:val="00BB37F1"/>
    <w:rsid w:val="00BB724D"/>
    <w:rsid w:val="00BC3570"/>
    <w:rsid w:val="00BC37E8"/>
    <w:rsid w:val="00BC5AB3"/>
    <w:rsid w:val="00BC5FFB"/>
    <w:rsid w:val="00BC7D24"/>
    <w:rsid w:val="00BD03B4"/>
    <w:rsid w:val="00BD1651"/>
    <w:rsid w:val="00BD41B5"/>
    <w:rsid w:val="00BF323A"/>
    <w:rsid w:val="00BF5292"/>
    <w:rsid w:val="00BF614D"/>
    <w:rsid w:val="00BF6A86"/>
    <w:rsid w:val="00BF6CE9"/>
    <w:rsid w:val="00C01B8B"/>
    <w:rsid w:val="00C04117"/>
    <w:rsid w:val="00C10680"/>
    <w:rsid w:val="00C106DA"/>
    <w:rsid w:val="00C13430"/>
    <w:rsid w:val="00C162DC"/>
    <w:rsid w:val="00C16E48"/>
    <w:rsid w:val="00C246DC"/>
    <w:rsid w:val="00C31B4E"/>
    <w:rsid w:val="00C32195"/>
    <w:rsid w:val="00C33B5E"/>
    <w:rsid w:val="00C33B8F"/>
    <w:rsid w:val="00C34D03"/>
    <w:rsid w:val="00C36830"/>
    <w:rsid w:val="00C4034A"/>
    <w:rsid w:val="00C42E4A"/>
    <w:rsid w:val="00C465F0"/>
    <w:rsid w:val="00C469D2"/>
    <w:rsid w:val="00C533FE"/>
    <w:rsid w:val="00C60291"/>
    <w:rsid w:val="00C75DA8"/>
    <w:rsid w:val="00C80992"/>
    <w:rsid w:val="00C82C7D"/>
    <w:rsid w:val="00C8387D"/>
    <w:rsid w:val="00C84368"/>
    <w:rsid w:val="00C84389"/>
    <w:rsid w:val="00C85F96"/>
    <w:rsid w:val="00C91DF9"/>
    <w:rsid w:val="00C924E7"/>
    <w:rsid w:val="00C939DE"/>
    <w:rsid w:val="00C93B1A"/>
    <w:rsid w:val="00C97D37"/>
    <w:rsid w:val="00C97E6D"/>
    <w:rsid w:val="00CA26B9"/>
    <w:rsid w:val="00CA53A1"/>
    <w:rsid w:val="00CA68DE"/>
    <w:rsid w:val="00CB1C36"/>
    <w:rsid w:val="00CB2EE9"/>
    <w:rsid w:val="00CB7801"/>
    <w:rsid w:val="00CB7D95"/>
    <w:rsid w:val="00CB7E48"/>
    <w:rsid w:val="00CC1F1B"/>
    <w:rsid w:val="00CC22BC"/>
    <w:rsid w:val="00CC4FB9"/>
    <w:rsid w:val="00CC530A"/>
    <w:rsid w:val="00CC54D4"/>
    <w:rsid w:val="00CC6D31"/>
    <w:rsid w:val="00CC7A25"/>
    <w:rsid w:val="00CD4132"/>
    <w:rsid w:val="00CD424B"/>
    <w:rsid w:val="00CE6849"/>
    <w:rsid w:val="00D06240"/>
    <w:rsid w:val="00D1352F"/>
    <w:rsid w:val="00D14A21"/>
    <w:rsid w:val="00D20FA0"/>
    <w:rsid w:val="00D24295"/>
    <w:rsid w:val="00D27CC2"/>
    <w:rsid w:val="00D31CA5"/>
    <w:rsid w:val="00D367D0"/>
    <w:rsid w:val="00D42416"/>
    <w:rsid w:val="00D4285A"/>
    <w:rsid w:val="00D45E0F"/>
    <w:rsid w:val="00D467F0"/>
    <w:rsid w:val="00D5113F"/>
    <w:rsid w:val="00D5121C"/>
    <w:rsid w:val="00D52A08"/>
    <w:rsid w:val="00D538D2"/>
    <w:rsid w:val="00D57841"/>
    <w:rsid w:val="00D6152A"/>
    <w:rsid w:val="00D62357"/>
    <w:rsid w:val="00D63533"/>
    <w:rsid w:val="00D64C44"/>
    <w:rsid w:val="00D65903"/>
    <w:rsid w:val="00D65D95"/>
    <w:rsid w:val="00D67C44"/>
    <w:rsid w:val="00D724E1"/>
    <w:rsid w:val="00D732F2"/>
    <w:rsid w:val="00D738EC"/>
    <w:rsid w:val="00D744AE"/>
    <w:rsid w:val="00D90208"/>
    <w:rsid w:val="00D93524"/>
    <w:rsid w:val="00DA0011"/>
    <w:rsid w:val="00DA047A"/>
    <w:rsid w:val="00DA1F74"/>
    <w:rsid w:val="00DA2C4E"/>
    <w:rsid w:val="00DA6450"/>
    <w:rsid w:val="00DB31F6"/>
    <w:rsid w:val="00DB62B0"/>
    <w:rsid w:val="00DB6FEC"/>
    <w:rsid w:val="00DC766E"/>
    <w:rsid w:val="00DD2962"/>
    <w:rsid w:val="00DD40CB"/>
    <w:rsid w:val="00DE26BF"/>
    <w:rsid w:val="00DE327A"/>
    <w:rsid w:val="00DE374D"/>
    <w:rsid w:val="00DE3E5E"/>
    <w:rsid w:val="00DE7656"/>
    <w:rsid w:val="00DF3136"/>
    <w:rsid w:val="00DF41FF"/>
    <w:rsid w:val="00DF4ADE"/>
    <w:rsid w:val="00DF4EF2"/>
    <w:rsid w:val="00DF5E37"/>
    <w:rsid w:val="00DF7008"/>
    <w:rsid w:val="00DF7094"/>
    <w:rsid w:val="00DF7248"/>
    <w:rsid w:val="00DF7F77"/>
    <w:rsid w:val="00E01728"/>
    <w:rsid w:val="00E01C03"/>
    <w:rsid w:val="00E028FE"/>
    <w:rsid w:val="00E03523"/>
    <w:rsid w:val="00E069C2"/>
    <w:rsid w:val="00E06AB8"/>
    <w:rsid w:val="00E10324"/>
    <w:rsid w:val="00E121F1"/>
    <w:rsid w:val="00E13751"/>
    <w:rsid w:val="00E13D05"/>
    <w:rsid w:val="00E14712"/>
    <w:rsid w:val="00E1624C"/>
    <w:rsid w:val="00E225AD"/>
    <w:rsid w:val="00E232D3"/>
    <w:rsid w:val="00E2476E"/>
    <w:rsid w:val="00E25DD2"/>
    <w:rsid w:val="00E26395"/>
    <w:rsid w:val="00E272E8"/>
    <w:rsid w:val="00E306CF"/>
    <w:rsid w:val="00E30807"/>
    <w:rsid w:val="00E32D98"/>
    <w:rsid w:val="00E35857"/>
    <w:rsid w:val="00E37C90"/>
    <w:rsid w:val="00E47212"/>
    <w:rsid w:val="00E534F3"/>
    <w:rsid w:val="00E5410E"/>
    <w:rsid w:val="00E54139"/>
    <w:rsid w:val="00E56D3B"/>
    <w:rsid w:val="00E57AAD"/>
    <w:rsid w:val="00E651E6"/>
    <w:rsid w:val="00E71B6C"/>
    <w:rsid w:val="00E73398"/>
    <w:rsid w:val="00E7635D"/>
    <w:rsid w:val="00E77619"/>
    <w:rsid w:val="00E87A74"/>
    <w:rsid w:val="00EA3E1F"/>
    <w:rsid w:val="00EA4E93"/>
    <w:rsid w:val="00EB0609"/>
    <w:rsid w:val="00EB1604"/>
    <w:rsid w:val="00EB1AC7"/>
    <w:rsid w:val="00EB2771"/>
    <w:rsid w:val="00EB57E9"/>
    <w:rsid w:val="00EB680F"/>
    <w:rsid w:val="00EB7D72"/>
    <w:rsid w:val="00EC1FF5"/>
    <w:rsid w:val="00EC60C1"/>
    <w:rsid w:val="00EC6356"/>
    <w:rsid w:val="00EC70AB"/>
    <w:rsid w:val="00EC77AA"/>
    <w:rsid w:val="00ED253E"/>
    <w:rsid w:val="00ED6184"/>
    <w:rsid w:val="00EE3AC0"/>
    <w:rsid w:val="00EE671B"/>
    <w:rsid w:val="00F0073A"/>
    <w:rsid w:val="00F03E30"/>
    <w:rsid w:val="00F04C6E"/>
    <w:rsid w:val="00F12C3D"/>
    <w:rsid w:val="00F1472F"/>
    <w:rsid w:val="00F17C1E"/>
    <w:rsid w:val="00F24587"/>
    <w:rsid w:val="00F263CF"/>
    <w:rsid w:val="00F263E4"/>
    <w:rsid w:val="00F30B10"/>
    <w:rsid w:val="00F32185"/>
    <w:rsid w:val="00F45135"/>
    <w:rsid w:val="00F46055"/>
    <w:rsid w:val="00F46683"/>
    <w:rsid w:val="00F505C1"/>
    <w:rsid w:val="00F528BE"/>
    <w:rsid w:val="00F543C2"/>
    <w:rsid w:val="00F57BE0"/>
    <w:rsid w:val="00F6167F"/>
    <w:rsid w:val="00F640CC"/>
    <w:rsid w:val="00F653F8"/>
    <w:rsid w:val="00F816E5"/>
    <w:rsid w:val="00F859C7"/>
    <w:rsid w:val="00F86193"/>
    <w:rsid w:val="00F869FD"/>
    <w:rsid w:val="00F87194"/>
    <w:rsid w:val="00F93211"/>
    <w:rsid w:val="00F95234"/>
    <w:rsid w:val="00F95BEB"/>
    <w:rsid w:val="00F970E1"/>
    <w:rsid w:val="00FA238B"/>
    <w:rsid w:val="00FA7562"/>
    <w:rsid w:val="00FB39F4"/>
    <w:rsid w:val="00FB4E94"/>
    <w:rsid w:val="00FB6E22"/>
    <w:rsid w:val="00FC0E79"/>
    <w:rsid w:val="00FC27D9"/>
    <w:rsid w:val="00FC3C84"/>
    <w:rsid w:val="00FC4692"/>
    <w:rsid w:val="00FC4E0A"/>
    <w:rsid w:val="00FD0FAD"/>
    <w:rsid w:val="00FD52C3"/>
    <w:rsid w:val="00FE077B"/>
    <w:rsid w:val="00FE292B"/>
    <w:rsid w:val="00FE5EFB"/>
    <w:rsid w:val="00FE7B05"/>
    <w:rsid w:val="00FF067D"/>
    <w:rsid w:val="00FF0DF6"/>
    <w:rsid w:val="00FF4146"/>
    <w:rsid w:val="00FF6DC8"/>
    <w:rsid w:val="480A22D1"/>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2184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unhideWhenUsed="1" w:qFormat="1"/>
    <w:lsdException w:name="footer" w:unhideWhenUsed="1" w:qFormat="1"/>
    <w:lsdException w:name="index heading" w:semiHidden="1" w:unhideWhenUsed="1"/>
    <w:lsdException w:name="caption" w:uiPriority="35" w:unhideWhenUsed="1" w:qFormat="1"/>
    <w:lsdException w:name="table of figures"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qFormat="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sz w:val="24"/>
      <w:szCs w:val="24"/>
      <w:lang w:val="en-GB"/>
    </w:rPr>
  </w:style>
  <w:style w:type="paragraph" w:styleId="Heading1">
    <w:name w:val="heading 1"/>
    <w:basedOn w:val="Normal"/>
    <w:next w:val="Normal"/>
    <w:uiPriority w:val="9"/>
    <w:qFormat/>
    <w:pPr>
      <w:keepNext/>
      <w:keepLines/>
      <w:spacing w:after="0"/>
      <w:outlineLvl w:val="0"/>
    </w:pPr>
    <w:rPr>
      <w:b/>
      <w:color w:val="000000" w:themeColor="text1"/>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b/>
      <w:color w:val="000000"/>
      <w:sz w:val="28"/>
      <w:szCs w:val="28"/>
    </w:rPr>
  </w:style>
  <w:style w:type="paragraph" w:styleId="Heading3">
    <w:name w:val="heading 3"/>
    <w:basedOn w:val="Normal"/>
    <w:next w:val="Normal"/>
    <w:uiPriority w:val="9"/>
    <w:unhideWhenUsed/>
    <w:qFormat/>
    <w:pPr>
      <w:keepNext/>
      <w:keepLines/>
      <w:spacing w:before="40" w:after="0"/>
      <w:outlineLvl w:val="2"/>
    </w:pPr>
    <w:rPr>
      <w:b/>
      <w:color w:val="1F3863"/>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paragraph" w:styleId="BodyText">
    <w:name w:val="Body Text"/>
    <w:basedOn w:val="Normal"/>
    <w:link w:val="BodyTextChar"/>
    <w:uiPriority w:val="1"/>
    <w:semiHidden/>
    <w:unhideWhenUsed/>
    <w:qFormat/>
    <w:pPr>
      <w:widowControl w:val="0"/>
      <w:autoSpaceDE w:val="0"/>
      <w:autoSpaceDN w:val="0"/>
      <w:spacing w:after="0" w:line="240" w:lineRule="auto"/>
      <w:jc w:val="left"/>
    </w:pPr>
    <w:rPr>
      <w:lang w:val="en-US"/>
    </w:rPr>
  </w:style>
  <w:style w:type="paragraph" w:styleId="Caption">
    <w:name w:val="caption"/>
    <w:basedOn w:val="Normal"/>
    <w:next w:val="Normal"/>
    <w:uiPriority w:val="35"/>
    <w:unhideWhenUsed/>
    <w:qFormat/>
    <w:pPr>
      <w:spacing w:after="200" w:line="240" w:lineRule="auto"/>
    </w:pPr>
    <w:rPr>
      <w:i/>
      <w:iCs/>
      <w:color w:val="1F497D" w:themeColor="text2"/>
      <w:sz w:val="18"/>
      <w:szCs w:val="18"/>
    </w:rPr>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basedOn w:val="Normal"/>
    <w:link w:val="CommentTextChar"/>
    <w:uiPriority w:val="99"/>
    <w:semiHidden/>
    <w:unhideWhenUsed/>
    <w:qFormat/>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qFormat/>
    <w:rPr>
      <w:b/>
      <w:bCs/>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unhideWhenUsed/>
    <w:qFormat/>
    <w:pPr>
      <w:spacing w:before="100" w:beforeAutospacing="1" w:after="100" w:afterAutospacing="1" w:line="240" w:lineRule="auto"/>
      <w:jc w:val="left"/>
    </w:pPr>
    <w:rPr>
      <w:lang w:val="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qFormat/>
    <w:pPr>
      <w:spacing w:after="0"/>
    </w:pPr>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TOC1">
    <w:name w:val="toc 1"/>
    <w:basedOn w:val="Normal"/>
    <w:next w:val="Normal"/>
    <w:autoRedefine/>
    <w:uiPriority w:val="39"/>
    <w:unhideWhenUsed/>
    <w:qFormat/>
    <w:pPr>
      <w:tabs>
        <w:tab w:val="right" w:leader="dot" w:pos="9350"/>
      </w:tabs>
      <w:spacing w:after="100"/>
    </w:pPr>
  </w:style>
  <w:style w:type="paragraph" w:styleId="TOC2">
    <w:name w:val="toc 2"/>
    <w:basedOn w:val="Normal"/>
    <w:next w:val="Normal"/>
    <w:autoRedefine/>
    <w:uiPriority w:val="39"/>
    <w:unhideWhenUsed/>
    <w:qFormat/>
    <w:pPr>
      <w:spacing w:after="100"/>
      <w:ind w:left="240"/>
    </w:pPr>
  </w:style>
  <w:style w:type="paragraph" w:styleId="TOC3">
    <w:name w:val="toc 3"/>
    <w:basedOn w:val="Normal"/>
    <w:next w:val="Normal"/>
    <w:autoRedefine/>
    <w:uiPriority w:val="39"/>
    <w:unhideWhenUsed/>
    <w:qFormat/>
    <w:pPr>
      <w:spacing w:after="100"/>
      <w:ind w:left="480"/>
    </w:p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character" w:customStyle="1" w:styleId="TitleChar">
    <w:name w:val="Title Char"/>
    <w:basedOn w:val="DefaultParagraphFont"/>
    <w:link w:val="Title"/>
    <w:uiPriority w:val="10"/>
    <w:qFormat/>
    <w:rPr>
      <w:b/>
      <w:sz w:val="72"/>
      <w:szCs w:val="72"/>
    </w:rPr>
  </w:style>
  <w:style w:type="paragraph" w:styleId="ListParagraph">
    <w:name w:val="List Paragraph"/>
    <w:basedOn w:val="Normal"/>
    <w:uiPriority w:val="34"/>
    <w:qFormat/>
    <w:pPr>
      <w:ind w:left="720"/>
      <w:contextualSpacing/>
    </w:pPr>
  </w:style>
  <w:style w:type="table" w:customStyle="1" w:styleId="GridTable1Light-Accent11">
    <w:name w:val="Grid Table 1 Light - Accent 11"/>
    <w:basedOn w:val="TableNormal"/>
    <w:uiPriority w:val="46"/>
    <w:qFormat/>
    <w:tblPr>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paragraph" w:customStyle="1" w:styleId="TOCHeading1">
    <w:name w:val="TOC Heading1"/>
    <w:basedOn w:val="Heading1"/>
    <w:next w:val="Normal"/>
    <w:uiPriority w:val="39"/>
    <w:unhideWhenUsed/>
    <w:qFormat/>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table" w:customStyle="1" w:styleId="GridTable1Light-Accent51">
    <w:name w:val="Grid Table 1 Light - Accent 51"/>
    <w:basedOn w:val="TableNormal"/>
    <w:uiPriority w:val="46"/>
    <w:qFormat/>
    <w:tblPr>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character" w:customStyle="1" w:styleId="BodyTextChar">
    <w:name w:val="Body Text Char"/>
    <w:basedOn w:val="DefaultParagraphFont"/>
    <w:link w:val="BodyText"/>
    <w:uiPriority w:val="1"/>
    <w:semiHidden/>
    <w:qFormat/>
    <w:rPr>
      <w:lang w:val="en-US"/>
    </w:rPr>
  </w:style>
  <w:style w:type="paragraph" w:customStyle="1" w:styleId="TableParagraph">
    <w:name w:val="Table Paragraph"/>
    <w:basedOn w:val="Normal"/>
    <w:uiPriority w:val="1"/>
    <w:qFormat/>
    <w:pPr>
      <w:widowControl w:val="0"/>
      <w:autoSpaceDE w:val="0"/>
      <w:autoSpaceDN w:val="0"/>
      <w:spacing w:after="0" w:line="240" w:lineRule="auto"/>
      <w:ind w:left="832" w:hanging="360"/>
      <w:jc w:val="left"/>
    </w:pPr>
    <w:rPr>
      <w:sz w:val="22"/>
      <w:szCs w:val="22"/>
      <w:lang w:val="en-US"/>
    </w:rPr>
  </w:style>
  <w:style w:type="paragraph" w:styleId="NoSpacing">
    <w:name w:val="No Spacing"/>
    <w:uiPriority w:val="1"/>
    <w:qFormat/>
    <w:pPr>
      <w:jc w:val="both"/>
    </w:pPr>
    <w:rPr>
      <w:sz w:val="24"/>
      <w:szCs w:val="24"/>
      <w:lang w:val="en-GB"/>
    </w:rPr>
  </w:style>
  <w:style w:type="character" w:styleId="PlaceholderText">
    <w:name w:val="Placeholder Text"/>
    <w:basedOn w:val="DefaultParagraphFont"/>
    <w:uiPriority w:val="99"/>
    <w:semiHidden/>
    <w:qFormat/>
    <w:rPr>
      <w:color w:val="808080"/>
    </w:rPr>
  </w:style>
  <w:style w:type="character" w:customStyle="1" w:styleId="CommentTextChar">
    <w:name w:val="Comment Text Char"/>
    <w:basedOn w:val="DefaultParagraphFont"/>
    <w:link w:val="CommentText"/>
    <w:uiPriority w:val="99"/>
    <w:semiHidden/>
    <w:qFormat/>
    <w:rPr>
      <w:sz w:val="20"/>
      <w:szCs w:val="20"/>
    </w:rPr>
  </w:style>
  <w:style w:type="character" w:customStyle="1" w:styleId="CommentSubjectChar">
    <w:name w:val="Comment Subject Char"/>
    <w:basedOn w:val="CommentTextChar"/>
    <w:link w:val="CommentSubject"/>
    <w:uiPriority w:val="99"/>
    <w:semiHidden/>
    <w:qFormat/>
    <w:rPr>
      <w:b/>
      <w:bCs/>
      <w:sz w:val="20"/>
      <w:szCs w:val="20"/>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table" w:customStyle="1" w:styleId="GridTable4-Accent61">
    <w:name w:val="Grid Table 4 - Accent 61"/>
    <w:basedOn w:val="TableNormal"/>
    <w:uiPriority w:val="49"/>
    <w:rPr>
      <w:rFonts w:asciiTheme="minorHAnsi" w:eastAsiaTheme="minorHAnsi" w:hAnsiTheme="minorHAnsi" w:cstheme="minorBidi"/>
      <w:kern w:val="2"/>
      <w:sz w:val="22"/>
      <w:szCs w:val="22"/>
      <w14:ligatures w14:val="standardContextual"/>
    </w:rPr>
    <w:tblPr>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customStyle="1" w:styleId="GridTable4-Accent51">
    <w:name w:val="Grid Table 4 - Accent 51"/>
    <w:basedOn w:val="TableNormal"/>
    <w:uiPriority w:val="49"/>
    <w:tblPr>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customStyle="1" w:styleId="GridTable4-Accent11">
    <w:name w:val="Grid Table 4 - Accent 11"/>
    <w:basedOn w:val="TableNormal"/>
    <w:uiPriority w:val="49"/>
    <w:tblPr>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customStyle="1" w:styleId="PlainTable31">
    <w:name w:val="Plain Table 31"/>
    <w:basedOn w:val="TableNormal"/>
    <w:uiPriority w:val="43"/>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11">
    <w:name w:val="Plain Table 11"/>
    <w:basedOn w:val="TableNormal"/>
    <w:uiPriority w:val="41"/>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2-Accent61">
    <w:name w:val="Grid Table 2 - Accent 61"/>
    <w:basedOn w:val="TableNormal"/>
    <w:uiPriority w:val="47"/>
    <w:tblPr>
      <w:tblBorders>
        <w:top w:val="single" w:sz="2" w:space="0" w:color="FABF8F" w:themeColor="accent6" w:themeTint="99"/>
        <w:bottom w:val="single" w:sz="2" w:space="0" w:color="FABF8F" w:themeColor="accent6" w:themeTint="99"/>
        <w:insideH w:val="single" w:sz="2" w:space="0" w:color="FABF8F" w:themeColor="accent6" w:themeTint="99"/>
        <w:insideV w:val="single" w:sz="2" w:space="0" w:color="FABF8F" w:themeColor="accent6" w:themeTint="99"/>
      </w:tblBorders>
    </w:tblPr>
    <w:tblStylePr w:type="firstRow">
      <w:rPr>
        <w:b/>
        <w:bCs/>
      </w:rPr>
      <w:tblPr/>
      <w:tcPr>
        <w:tcBorders>
          <w:top w:val="nil"/>
          <w:bottom w:val="single" w:sz="12" w:space="0" w:color="FABF8F" w:themeColor="accent6" w:themeTint="99"/>
          <w:insideH w:val="nil"/>
          <w:insideV w:val="nil"/>
        </w:tcBorders>
        <w:shd w:val="clear" w:color="auto" w:fill="FFFFFF" w:themeFill="background1"/>
      </w:tcPr>
    </w:tblStylePr>
    <w:tblStylePr w:type="lastRow">
      <w:rPr>
        <w:b/>
        <w:bCs/>
      </w:rPr>
      <w:tblPr/>
      <w:tcPr>
        <w:tcBorders>
          <w:top w:val="double" w:sz="2" w:space="0" w:color="FABF8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customStyle="1" w:styleId="GridTable3-Accent41">
    <w:name w:val="Grid Table 3 - Accent 41"/>
    <w:basedOn w:val="TableNormal"/>
    <w:uiPriority w:val="48"/>
    <w:tblPr>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table" w:customStyle="1" w:styleId="TableGridLight1">
    <w:name w:val="Table Grid Light1"/>
    <w:basedOn w:val="TableNormal"/>
    <w:uiPriority w:val="4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2Char">
    <w:name w:val="Heading 2 Char"/>
    <w:basedOn w:val="DefaultParagraphFont"/>
    <w:link w:val="Heading2"/>
    <w:uiPriority w:val="9"/>
    <w:rPr>
      <w:b/>
      <w:color w:val="000000"/>
      <w:sz w:val="28"/>
      <w:szCs w:val="28"/>
    </w:rPr>
  </w:style>
  <w:style w:type="character" w:customStyle="1" w:styleId="UnresolvedMention1">
    <w:name w:val="Unresolved Mention1"/>
    <w:basedOn w:val="DefaultParagraphFont"/>
    <w:uiPriority w:val="99"/>
    <w:semiHidden/>
    <w:unhideWhenUs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7E95F6-E344-44DE-ADD9-A5F6BE730DD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3245</Words>
  <Characters>19498</Characters>
  <Application>Microsoft Office Word</Application>
  <DocSecurity>0</DocSecurity>
  <Lines>162</Lines>
  <Paragraphs>45</Paragraphs>
  <ScaleCrop>false</ScaleCrop>
  <LinksUpToDate>false</LinksUpToDate>
  <CharactersWithSpaces>22698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2025-03-28T13:47:00Z</dcterms:created>
  <dcterms:modified xsi:type="dcterms:W3CDTF">2025-03-28T13:47:00Z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fb012a862f089aebe57e319d6f0985849f843fbc3ed98421cb36b870862b7b5a</vt:lpwstr>
  </property>
  <property fmtid="{D5CDD505-2E9C-101B-9397-08002B2CF9AE}" pid="3" name="KSOProductBuildVer">
    <vt:lpwstr>1033-12.2.0.20326</vt:lpwstr>
  </property>
  <property fmtid="{D5CDD505-2E9C-101B-9397-08002B2CF9AE}" pid="4" name="ICV">
    <vt:lpwstr>1ED0807D91F14FE9A6DDE3E6907E1165_12</vt:lpwstr>
  </property>
</Properties>
</file>