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ACDEE" w14:textId="0EC35591" w:rsidR="004111E0" w:rsidRPr="001F4128" w:rsidRDefault="00000000" w:rsidP="004111E0">
      <w:pPr>
        <w:spacing w:line="360" w:lineRule="auto"/>
        <w:jc w:val="center"/>
        <w:rPr>
          <w:rFonts w:ascii="Arial" w:hAnsi="Arial" w:cs="Arial"/>
          <w:sz w:val="24"/>
          <w:szCs w:val="24"/>
        </w:rPr>
      </w:pPr>
      <w:r w:rsidRPr="001F4128">
        <w:rPr>
          <w:rFonts w:ascii="Arial" w:eastAsia="Times New Roman" w:hAnsi="Arial" w:cs="Arial"/>
          <w:kern w:val="0"/>
          <w:sz w:val="24"/>
          <w:szCs w:val="24"/>
          <w:lang w:val="lv-LV" w:eastAsia="lv-LV"/>
          <w14:ligatures w14:val="none"/>
        </w:rPr>
        <w:pict w14:anchorId="620F5AC9">
          <v:rect id="_x0000_i1025" style="width:468pt;height:1pt" o:hralign="center" o:hrstd="t" o:hr="t" fillcolor="#a0a0a0" stroked="f"/>
        </w:pict>
      </w:r>
    </w:p>
    <w:p w14:paraId="595ACF11" w14:textId="77777777" w:rsidR="004111E0" w:rsidRPr="001F4128" w:rsidRDefault="004111E0" w:rsidP="004111E0">
      <w:pPr>
        <w:spacing w:line="360" w:lineRule="auto"/>
        <w:jc w:val="center"/>
        <w:rPr>
          <w:rFonts w:ascii="Arial" w:hAnsi="Arial" w:cs="Arial"/>
          <w:sz w:val="24"/>
          <w:szCs w:val="24"/>
        </w:rPr>
      </w:pPr>
    </w:p>
    <w:p w14:paraId="0BC6B472" w14:textId="77777777" w:rsidR="004111E0" w:rsidRPr="001F4128" w:rsidRDefault="004111E0" w:rsidP="004111E0">
      <w:pPr>
        <w:spacing w:line="360" w:lineRule="auto"/>
        <w:jc w:val="center"/>
        <w:rPr>
          <w:rFonts w:ascii="Arial" w:hAnsi="Arial" w:cs="Arial"/>
          <w:sz w:val="24"/>
          <w:szCs w:val="24"/>
        </w:rPr>
      </w:pPr>
    </w:p>
    <w:p w14:paraId="610527CB" w14:textId="77777777" w:rsidR="004111E0" w:rsidRPr="001F4128" w:rsidRDefault="004111E0" w:rsidP="004111E0">
      <w:pPr>
        <w:pStyle w:val="NormalWeb"/>
        <w:spacing w:before="120" w:beforeAutospacing="0" w:after="0" w:afterAutospacing="0" w:line="360" w:lineRule="auto"/>
        <w:jc w:val="center"/>
        <w:rPr>
          <w:rFonts w:ascii="Arial" w:eastAsiaTheme="minorEastAsia" w:hAnsi="Arial" w:cs="Arial"/>
          <w:color w:val="000000"/>
          <w:kern w:val="24"/>
          <w:lang w:val="en-US"/>
        </w:rPr>
      </w:pPr>
      <w:r w:rsidRPr="001F4128">
        <w:rPr>
          <w:rFonts w:ascii="Arial" w:hAnsi="Arial" w:cs="Arial"/>
        </w:rPr>
        <w:t>Behind the Smiles: Addressing Burnout and the Mental Health Crisis Among Hospitality  Employees.</w:t>
      </w:r>
    </w:p>
    <w:p w14:paraId="1DD4814C" w14:textId="77777777" w:rsidR="004111E0" w:rsidRPr="001F4128" w:rsidRDefault="004111E0" w:rsidP="004111E0">
      <w:pPr>
        <w:pStyle w:val="Default"/>
        <w:spacing w:line="360" w:lineRule="auto"/>
        <w:jc w:val="center"/>
        <w:rPr>
          <w:rFonts w:eastAsiaTheme="minorEastAsia"/>
          <w:kern w:val="24"/>
          <w:lang w:val="en-US"/>
        </w:rPr>
      </w:pPr>
    </w:p>
    <w:p w14:paraId="7C70FF52" w14:textId="77777777" w:rsidR="004111E0" w:rsidRPr="001F4128" w:rsidRDefault="004111E0" w:rsidP="004111E0">
      <w:pPr>
        <w:pStyle w:val="Default"/>
        <w:spacing w:line="360" w:lineRule="auto"/>
        <w:jc w:val="center"/>
      </w:pPr>
      <w:r w:rsidRPr="001F4128">
        <w:rPr>
          <w:rFonts w:eastAsiaTheme="minorEastAsia"/>
          <w:kern w:val="24"/>
          <w:lang w:val="en-US"/>
        </w:rPr>
        <w:t>Dina Priedulena</w:t>
      </w:r>
      <w:r w:rsidRPr="001F4128">
        <w:rPr>
          <w:rFonts w:eastAsiaTheme="minorEastAsia"/>
          <w:kern w:val="24"/>
          <w:lang w:val="en-US"/>
        </w:rPr>
        <w:br/>
        <w:t>Student ID Number: 2233688</w:t>
      </w:r>
      <w:r w:rsidRPr="001F4128">
        <w:rPr>
          <w:rFonts w:eastAsiaTheme="minorEastAsia"/>
          <w:kern w:val="24"/>
          <w:lang w:val="en-US"/>
        </w:rPr>
        <w:br/>
      </w:r>
      <w:r w:rsidRPr="001F4128">
        <w:t>Contemporary Themes in the Hotel and</w:t>
      </w:r>
    </w:p>
    <w:p w14:paraId="15FFEE45" w14:textId="77777777" w:rsidR="004111E0" w:rsidRPr="001F4128" w:rsidRDefault="004111E0" w:rsidP="004111E0">
      <w:pPr>
        <w:pStyle w:val="Default"/>
        <w:spacing w:line="360" w:lineRule="auto"/>
        <w:jc w:val="center"/>
      </w:pPr>
      <w:r w:rsidRPr="001F4128">
        <w:t xml:space="preserve">Hospitality Sector </w:t>
      </w:r>
      <w:r w:rsidRPr="001F4128">
        <w:rPr>
          <w:rFonts w:eastAsiaTheme="minorEastAsia"/>
          <w:kern w:val="24"/>
          <w:lang w:val="en-US"/>
        </w:rPr>
        <w:br/>
      </w:r>
      <w:r w:rsidRPr="001F4128">
        <w:t xml:space="preserve">BMIH6001 </w:t>
      </w:r>
      <w:r w:rsidRPr="001F4128">
        <w:rPr>
          <w:rFonts w:eastAsiaTheme="minorEastAsia"/>
          <w:kern w:val="24"/>
          <w:lang w:val="en-US"/>
        </w:rPr>
        <w:br/>
      </w:r>
      <w:r w:rsidRPr="001F4128">
        <w:t>Natalie Brailsford</w:t>
      </w:r>
    </w:p>
    <w:p w14:paraId="16647BC0" w14:textId="77777777" w:rsidR="004111E0" w:rsidRPr="001F4128" w:rsidRDefault="004111E0" w:rsidP="004111E0">
      <w:pPr>
        <w:pStyle w:val="Default"/>
        <w:spacing w:line="360" w:lineRule="auto"/>
        <w:jc w:val="center"/>
      </w:pPr>
      <w:r w:rsidRPr="001F4128">
        <w:t>30.10.2025.</w:t>
      </w:r>
    </w:p>
    <w:p w14:paraId="27EC2E72" w14:textId="4D2EC684" w:rsidR="00B836A8" w:rsidRPr="001F4128" w:rsidRDefault="004111E0" w:rsidP="004111E0">
      <w:pPr>
        <w:spacing w:after="0" w:line="360" w:lineRule="auto"/>
        <w:jc w:val="center"/>
        <w:rPr>
          <w:rFonts w:ascii="Arial" w:eastAsia="Times New Roman" w:hAnsi="Arial" w:cs="Arial"/>
          <w:sz w:val="24"/>
          <w:szCs w:val="24"/>
        </w:rPr>
      </w:pPr>
      <w:r w:rsidRPr="001F4128">
        <w:rPr>
          <w:rFonts w:ascii="Arial" w:eastAsia="Times New Roman" w:hAnsi="Arial" w:cs="Arial"/>
          <w:sz w:val="24"/>
          <w:szCs w:val="24"/>
        </w:rPr>
        <w:t>Word Count:</w:t>
      </w:r>
      <w:r w:rsidR="001F4128" w:rsidRPr="001F4128">
        <w:rPr>
          <w:rFonts w:ascii="Arial" w:eastAsia="Times New Roman" w:hAnsi="Arial" w:cs="Arial"/>
          <w:sz w:val="24"/>
          <w:szCs w:val="24"/>
        </w:rPr>
        <w:t xml:space="preserve"> 2743</w:t>
      </w:r>
    </w:p>
    <w:p w14:paraId="6F179B10" w14:textId="77777777" w:rsidR="00B836A8" w:rsidRPr="001F4128" w:rsidRDefault="00B836A8">
      <w:pPr>
        <w:rPr>
          <w:rFonts w:ascii="Arial" w:eastAsia="Times New Roman" w:hAnsi="Arial" w:cs="Arial"/>
          <w:sz w:val="24"/>
          <w:szCs w:val="24"/>
        </w:rPr>
      </w:pPr>
      <w:r w:rsidRPr="001F4128">
        <w:rPr>
          <w:rFonts w:ascii="Arial" w:eastAsia="Times New Roman" w:hAnsi="Arial" w:cs="Arial"/>
          <w:sz w:val="24"/>
          <w:szCs w:val="24"/>
        </w:rPr>
        <w:br w:type="page"/>
      </w:r>
    </w:p>
    <w:p w14:paraId="36E6F966" w14:textId="08E72646" w:rsidR="000D3834" w:rsidRPr="001F4128" w:rsidRDefault="00000000" w:rsidP="00B836A8">
      <w:pPr>
        <w:spacing w:line="360" w:lineRule="auto"/>
        <w:rPr>
          <w:rFonts w:ascii="Arial" w:eastAsia="Times New Roman" w:hAnsi="Arial" w:cs="Arial"/>
          <w:sz w:val="24"/>
          <w:szCs w:val="24"/>
        </w:rPr>
      </w:pPr>
      <w:r w:rsidRPr="001F4128">
        <w:rPr>
          <w:rFonts w:ascii="Arial" w:eastAsia="Times New Roman" w:hAnsi="Arial" w:cs="Arial"/>
          <w:kern w:val="0"/>
          <w:sz w:val="24"/>
          <w:szCs w:val="24"/>
          <w:lang w:val="lv-LV" w:eastAsia="lv-LV"/>
          <w14:ligatures w14:val="none"/>
        </w:rPr>
        <w:lastRenderedPageBreak/>
        <w:pict w14:anchorId="55FA9306">
          <v:rect id="_x0000_i1026" style="width:468pt;height:1pt" o:hralign="center" o:hrstd="t" o:hr="t" fillcolor="#a0a0a0" stroked="f"/>
        </w:pict>
      </w:r>
    </w:p>
    <w:p w14:paraId="77A49BB0" w14:textId="19E30FEF" w:rsidR="00B836A8" w:rsidRPr="001F4128" w:rsidRDefault="00B836A8" w:rsidP="00B836A8">
      <w:pPr>
        <w:spacing w:line="360" w:lineRule="auto"/>
        <w:rPr>
          <w:rFonts w:ascii="Arial" w:eastAsia="Times New Roman" w:hAnsi="Arial" w:cs="Arial"/>
          <w:sz w:val="24"/>
          <w:szCs w:val="24"/>
        </w:rPr>
      </w:pPr>
      <w:r w:rsidRPr="001F4128">
        <w:rPr>
          <w:rFonts w:ascii="Arial" w:eastAsia="Times New Roman" w:hAnsi="Arial" w:cs="Arial"/>
          <w:sz w:val="24"/>
          <w:szCs w:val="24"/>
        </w:rPr>
        <w:t>AI Acknowledgement Statement.</w:t>
      </w:r>
    </w:p>
    <w:p w14:paraId="2846D623" w14:textId="77777777" w:rsidR="000D3834" w:rsidRPr="001F4128" w:rsidRDefault="00B836A8" w:rsidP="000D3834">
      <w:pPr>
        <w:spacing w:after="0" w:line="360" w:lineRule="auto"/>
        <w:rPr>
          <w:rFonts w:ascii="Arial" w:hAnsi="Arial" w:cs="Arial"/>
          <w:sz w:val="24"/>
          <w:szCs w:val="24"/>
        </w:rPr>
      </w:pPr>
      <w:r w:rsidRPr="001F4128">
        <w:rPr>
          <w:rFonts w:ascii="Arial" w:eastAsia="Times New Roman" w:hAnsi="Arial" w:cs="Arial"/>
          <w:kern w:val="0"/>
          <w:sz w:val="24"/>
          <w:szCs w:val="24"/>
          <w:lang w:val="lv-LV" w:eastAsia="lv-LV"/>
          <w14:ligatures w14:val="none"/>
        </w:rPr>
        <w:t>I acknowledge the use of Grammarly (</w:t>
      </w:r>
      <w:hyperlink r:id="rId8" w:tgtFrame="_new" w:history="1">
        <w:r w:rsidRPr="001F4128">
          <w:rPr>
            <w:rFonts w:ascii="Arial" w:eastAsia="Times New Roman" w:hAnsi="Arial" w:cs="Arial"/>
            <w:color w:val="0000FF"/>
            <w:kern w:val="0"/>
            <w:sz w:val="24"/>
            <w:szCs w:val="24"/>
            <w:u w:val="single"/>
            <w:lang w:val="lv-LV" w:eastAsia="lv-LV"/>
            <w14:ligatures w14:val="none"/>
          </w:rPr>
          <w:t>https://www.grammarly.com/</w:t>
        </w:r>
      </w:hyperlink>
      <w:r w:rsidRPr="001F4128">
        <w:rPr>
          <w:rFonts w:ascii="Arial" w:eastAsia="Times New Roman" w:hAnsi="Arial" w:cs="Arial"/>
          <w:kern w:val="0"/>
          <w:sz w:val="24"/>
          <w:szCs w:val="24"/>
          <w:lang w:val="lv-LV" w:eastAsia="lv-LV"/>
          <w14:ligatures w14:val="none"/>
        </w:rPr>
        <w:t xml:space="preserve">) </w:t>
      </w:r>
      <w:r w:rsidRPr="001F4128">
        <w:rPr>
          <w:rFonts w:ascii="Arial" w:hAnsi="Arial" w:cs="Arial"/>
          <w:sz w:val="24"/>
          <w:szCs w:val="24"/>
        </w:rPr>
        <w:t xml:space="preserve">as an integrated tool on my computer from </w:t>
      </w:r>
      <w:r w:rsidRPr="001F4128">
        <w:rPr>
          <w:rStyle w:val="Strong"/>
          <w:rFonts w:ascii="Arial" w:hAnsi="Arial" w:cs="Arial"/>
          <w:b w:val="0"/>
          <w:bCs w:val="0"/>
          <w:sz w:val="24"/>
          <w:szCs w:val="24"/>
        </w:rPr>
        <w:t>1 October to 6 November 2025</w:t>
      </w:r>
      <w:r w:rsidRPr="001F4128">
        <w:rPr>
          <w:rFonts w:ascii="Arial" w:hAnsi="Arial" w:cs="Arial"/>
          <w:b/>
          <w:bCs/>
          <w:sz w:val="24"/>
          <w:szCs w:val="24"/>
        </w:rPr>
        <w:t xml:space="preserve"> </w:t>
      </w:r>
      <w:r w:rsidRPr="001F4128">
        <w:rPr>
          <w:rFonts w:ascii="Arial" w:hAnsi="Arial" w:cs="Arial"/>
          <w:sz w:val="24"/>
          <w:szCs w:val="24"/>
        </w:rPr>
        <w:t>to check my work for grammatical and syntactical mistakes, ensuring clarity, readability, and professional presentation. Grammarly operates as an integrated tool and automatically reviews my text without the use of specific prompts.</w:t>
      </w:r>
    </w:p>
    <w:p w14:paraId="68D1B1EA" w14:textId="64944C7A" w:rsidR="00B836A8" w:rsidRPr="001F4128" w:rsidRDefault="00B836A8" w:rsidP="000D3834">
      <w:pPr>
        <w:spacing w:after="0" w:line="360" w:lineRule="auto"/>
        <w:rPr>
          <w:rFonts w:ascii="Arial" w:hAnsi="Arial" w:cs="Arial"/>
          <w:sz w:val="24"/>
          <w:szCs w:val="24"/>
        </w:rPr>
      </w:pPr>
      <w:r w:rsidRPr="001F4128">
        <w:rPr>
          <w:rFonts w:ascii="Arial" w:eastAsia="Times New Roman" w:hAnsi="Arial" w:cs="Arial"/>
          <w:kern w:val="0"/>
          <w:sz w:val="24"/>
          <w:szCs w:val="24"/>
          <w:lang w:val="lv-LV" w:eastAsia="lv-LV"/>
          <w14:ligatures w14:val="none"/>
        </w:rPr>
        <w:t>I also acknowledge that between 1 October and 6 November 2025, I used ChatGPT (</w:t>
      </w:r>
      <w:hyperlink r:id="rId9" w:tgtFrame="_new" w:history="1">
        <w:r w:rsidRPr="001F4128">
          <w:rPr>
            <w:rFonts w:ascii="Arial" w:eastAsia="Times New Roman" w:hAnsi="Arial" w:cs="Arial"/>
            <w:color w:val="0000FF"/>
            <w:kern w:val="0"/>
            <w:sz w:val="24"/>
            <w:szCs w:val="24"/>
            <w:u w:val="single"/>
            <w:lang w:val="lv-LV" w:eastAsia="lv-LV"/>
            <w14:ligatures w14:val="none"/>
          </w:rPr>
          <w:t>https://chatgpt.com/</w:t>
        </w:r>
      </w:hyperlink>
      <w:r w:rsidRPr="001F4128">
        <w:rPr>
          <w:rFonts w:ascii="Arial" w:eastAsia="Times New Roman" w:hAnsi="Arial" w:cs="Arial"/>
          <w:kern w:val="0"/>
          <w:sz w:val="24"/>
          <w:szCs w:val="24"/>
          <w:lang w:val="lv-LV" w:eastAsia="lv-LV"/>
          <w14:ligatures w14:val="none"/>
        </w:rPr>
        <w:t>) for the following permitted purposes in line with university guidance:</w:t>
      </w:r>
    </w:p>
    <w:p w14:paraId="4FA349E8" w14:textId="77777777" w:rsidR="00B836A8" w:rsidRPr="001F4128" w:rsidRDefault="00B836A8" w:rsidP="00CD2857">
      <w:pPr>
        <w:numPr>
          <w:ilvl w:val="0"/>
          <w:numId w:val="3"/>
        </w:num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Structuring My Submission</w:t>
      </w:r>
    </w:p>
    <w:p w14:paraId="46571DCD" w14:textId="79021B0C" w:rsidR="00B836A8" w:rsidRPr="001F4128" w:rsidRDefault="00B836A8" w:rsidP="00CD2857">
      <w:pPr>
        <w:pStyle w:val="ListParagraph"/>
        <w:numPr>
          <w:ilvl w:val="0"/>
          <w:numId w:val="4"/>
        </w:num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Assisted in organising my research project, including developing a draft argument structure, identifying sections, and refining headings.</w:t>
      </w:r>
      <w:r w:rsidR="00BF4D99" w:rsidRPr="001F4128">
        <w:rPr>
          <w:rFonts w:ascii="Arial" w:eastAsia="Times New Roman" w:hAnsi="Arial" w:cs="Arial"/>
          <w:kern w:val="0"/>
          <w:sz w:val="24"/>
          <w:szCs w:val="24"/>
          <w:lang w:val="lv-LV" w:eastAsia="lv-LV"/>
          <w14:ligatures w14:val="none"/>
        </w:rPr>
        <w:t>Used the prompt: “Create a report structure according to the following academic requirements.”</w:t>
      </w:r>
    </w:p>
    <w:p w14:paraId="1EC6A4FB" w14:textId="77777777" w:rsidR="00B836A8" w:rsidRPr="001F4128" w:rsidRDefault="00B836A8" w:rsidP="00B836A8">
      <w:pPr>
        <w:numPr>
          <w:ilvl w:val="0"/>
          <w:numId w:val="3"/>
        </w:num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Research Support</w:t>
      </w:r>
    </w:p>
    <w:p w14:paraId="215DB8CF" w14:textId="18A6BDB7" w:rsidR="00B836A8" w:rsidRPr="001F4128" w:rsidRDefault="00B836A8" w:rsidP="00CA12D6">
      <w:pPr>
        <w:pStyle w:val="ListParagraph"/>
        <w:numPr>
          <w:ilvl w:val="0"/>
          <w:numId w:val="5"/>
        </w:num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Used ChatGPT to assist with secondary data organisation and literature summarisation to better understand academic materials and identify key themes.</w:t>
      </w:r>
      <w:r w:rsidR="00CA12D6" w:rsidRPr="001F4128">
        <w:rPr>
          <w:rFonts w:ascii="Arial" w:eastAsia="Times New Roman" w:hAnsi="Arial" w:cs="Arial"/>
          <w:kern w:val="0"/>
          <w:sz w:val="24"/>
          <w:szCs w:val="24"/>
          <w:lang w:val="lv-LV" w:eastAsia="lv-LV"/>
          <w14:ligatures w14:val="none"/>
        </w:rPr>
        <w:t xml:space="preserve"> </w:t>
      </w:r>
      <w:r w:rsidRPr="001F4128">
        <w:rPr>
          <w:rFonts w:ascii="Arial" w:eastAsia="Times New Roman" w:hAnsi="Arial" w:cs="Arial"/>
          <w:kern w:val="0"/>
          <w:sz w:val="24"/>
          <w:szCs w:val="24"/>
          <w:lang w:val="lv-LV" w:eastAsia="lv-LV"/>
          <w14:ligatures w14:val="none"/>
        </w:rPr>
        <w:t>Used the prompt: “Summarise and compare key findings from these sources related to staff shortages and financial pressures in hospitality.”</w:t>
      </w:r>
    </w:p>
    <w:p w14:paraId="2387AE59" w14:textId="77777777" w:rsidR="00B836A8" w:rsidRPr="001F4128" w:rsidRDefault="00B836A8" w:rsidP="00B836A8">
      <w:pPr>
        <w:numPr>
          <w:ilvl w:val="0"/>
          <w:numId w:val="3"/>
        </w:num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Proofreading and Reference Formatting</w:t>
      </w:r>
    </w:p>
    <w:p w14:paraId="27385B4F" w14:textId="77777777" w:rsidR="00B836A8" w:rsidRPr="001F4128" w:rsidRDefault="00B836A8" w:rsidP="00B836A8">
      <w:pPr>
        <w:pStyle w:val="ListParagraph"/>
        <w:numPr>
          <w:ilvl w:val="0"/>
          <w:numId w:val="6"/>
        </w:numPr>
        <w:spacing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Used ChatGPT to rephrase complex sentences for clarity and academic tone.</w:t>
      </w:r>
    </w:p>
    <w:p w14:paraId="657D4746" w14:textId="51440B82" w:rsidR="00B836A8" w:rsidRPr="001F4128" w:rsidRDefault="00B836A8" w:rsidP="00CD2857">
      <w:pPr>
        <w:pStyle w:val="ListParagraph"/>
        <w:numPr>
          <w:ilvl w:val="0"/>
          <w:numId w:val="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Used ChatGPT to format references alphabetically and check Harvard referencing accuracy.</w:t>
      </w:r>
      <w:r w:rsidR="00CD2857" w:rsidRPr="001F4128">
        <w:rPr>
          <w:rFonts w:ascii="Arial" w:eastAsia="Times New Roman" w:hAnsi="Arial" w:cs="Arial"/>
          <w:kern w:val="0"/>
          <w:sz w:val="24"/>
          <w:szCs w:val="24"/>
          <w:lang w:val="lv-LV" w:eastAsia="lv-LV"/>
          <w14:ligatures w14:val="none"/>
        </w:rPr>
        <w:t xml:space="preserve"> </w:t>
      </w:r>
      <w:r w:rsidRPr="001F4128">
        <w:rPr>
          <w:rFonts w:ascii="Arial" w:eastAsia="Times New Roman" w:hAnsi="Arial" w:cs="Arial"/>
          <w:kern w:val="0"/>
          <w:sz w:val="24"/>
          <w:szCs w:val="24"/>
          <w:lang w:val="lv-LV" w:eastAsia="lv-LV"/>
          <w14:ligatures w14:val="none"/>
        </w:rPr>
        <w:t>Used the prompt: “Format the following references in Harvard style and alphabetical order.”</w:t>
      </w:r>
    </w:p>
    <w:p w14:paraId="5A96C1A3" w14:textId="46F6B072" w:rsidR="004111E0" w:rsidRPr="001F4128" w:rsidRDefault="00B836A8" w:rsidP="0063777E">
      <w:pPr>
        <w:spacing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I confirm that I have not presented any AI-generated text as my own original work. I also confirm that I have retained copies of my drafts, notes, and supporting materials created before and after the use of AI tools, which can be provided as evidence if required.</w:t>
      </w:r>
      <w:r w:rsidRPr="001F4128">
        <w:rPr>
          <w:rFonts w:ascii="Arial" w:eastAsia="Times New Roman" w:hAnsi="Arial" w:cs="Arial"/>
          <w:kern w:val="0"/>
          <w:sz w:val="24"/>
          <w:szCs w:val="24"/>
          <w:lang w:val="lv-LV" w:eastAsia="lv-LV"/>
          <w14:ligatures w14:val="none"/>
        </w:rPr>
        <w:br w:type="page"/>
      </w:r>
    </w:p>
    <w:p w14:paraId="29312E2B" w14:textId="46B91ED5" w:rsidR="00AE4C9C" w:rsidRPr="001F4128" w:rsidRDefault="00000000" w:rsidP="005378C1">
      <w:pPr>
        <w:pStyle w:val="Default"/>
        <w:rPr>
          <w:sz w:val="23"/>
          <w:szCs w:val="23"/>
        </w:rPr>
      </w:pPr>
      <w:r w:rsidRPr="001F4128">
        <w:rPr>
          <w:rFonts w:eastAsia="Times New Roman"/>
          <w:lang w:eastAsia="lv-LV"/>
          <w14:ligatures w14:val="none"/>
        </w:rPr>
        <w:lastRenderedPageBreak/>
        <w:pict w14:anchorId="5EC500B6">
          <v:rect id="_x0000_i1027" style="width:468pt;height:1pt" o:hralign="center" o:hrstd="t" o:hr="t" fillcolor="#a0a0a0" stroked="f"/>
        </w:pict>
      </w:r>
    </w:p>
    <w:p w14:paraId="4A2B3BF5" w14:textId="77777777" w:rsidR="002F33B2" w:rsidRPr="001F4128" w:rsidRDefault="002F33B2" w:rsidP="005378C1">
      <w:pPr>
        <w:pStyle w:val="Default"/>
        <w:rPr>
          <w:sz w:val="23"/>
          <w:szCs w:val="23"/>
        </w:rPr>
      </w:pPr>
    </w:p>
    <w:p w14:paraId="2BA8890D" w14:textId="09DEFA0B" w:rsidR="002F33B2" w:rsidRPr="001F4128" w:rsidRDefault="005378C1" w:rsidP="002F33B2">
      <w:pPr>
        <w:pStyle w:val="Default"/>
        <w:spacing w:line="360" w:lineRule="auto"/>
        <w:rPr>
          <w:b/>
          <w:bCs/>
        </w:rPr>
      </w:pPr>
      <w:r w:rsidRPr="001F4128">
        <w:rPr>
          <w:b/>
          <w:bCs/>
        </w:rPr>
        <w:t>Abstract</w:t>
      </w:r>
      <w:r w:rsidR="002F33B2" w:rsidRPr="001F4128">
        <w:rPr>
          <w:b/>
          <w:bCs/>
        </w:rPr>
        <w:t>.</w:t>
      </w:r>
      <w:r w:rsidRPr="001F4128">
        <w:rPr>
          <w:b/>
          <w:bCs/>
        </w:rPr>
        <w:t xml:space="preserve"> </w:t>
      </w:r>
    </w:p>
    <w:p w14:paraId="2AD3D7E4" w14:textId="58559CE4" w:rsidR="005378C1" w:rsidRPr="001F4128" w:rsidRDefault="002F33B2" w:rsidP="002F33B2">
      <w:pPr>
        <w:pStyle w:val="Default"/>
        <w:spacing w:line="360" w:lineRule="auto"/>
      </w:pPr>
      <w:r w:rsidRPr="001F4128">
        <w:t xml:space="preserve">This paper explores the growing mental health crisis within the UK hospitality industry, focusing on the dual challenges of </w:t>
      </w:r>
      <w:r w:rsidRPr="001F4128">
        <w:rPr>
          <w:rStyle w:val="Strong"/>
          <w:b w:val="0"/>
          <w:bCs w:val="0"/>
        </w:rPr>
        <w:t>why mental health problems arise</w:t>
      </w:r>
      <w:r w:rsidRPr="001F4128">
        <w:rPr>
          <w:b/>
          <w:bCs/>
        </w:rPr>
        <w:t xml:space="preserve"> </w:t>
      </w:r>
      <w:r w:rsidRPr="001F4128">
        <w:t>and</w:t>
      </w:r>
      <w:r w:rsidRPr="001F4128">
        <w:rPr>
          <w:b/>
          <w:bCs/>
        </w:rPr>
        <w:t xml:space="preserve"> </w:t>
      </w:r>
      <w:r w:rsidRPr="001F4128">
        <w:rPr>
          <w:rStyle w:val="Strong"/>
          <w:b w:val="0"/>
          <w:bCs w:val="0"/>
        </w:rPr>
        <w:t>why existing support systems often fail to address them effectively</w:t>
      </w:r>
      <w:r w:rsidRPr="001F4128">
        <w:t xml:space="preserve">. Drawing on secondary data from academic literature, government reports, and industry surveys, the study employs a qualitative, desk-based research design informed by the </w:t>
      </w:r>
      <w:r w:rsidRPr="001F4128">
        <w:rPr>
          <w:rStyle w:val="Strong"/>
          <w:b w:val="0"/>
          <w:bCs w:val="0"/>
        </w:rPr>
        <w:t>Job Demands–Resources (JD–R) model</w:t>
      </w:r>
      <w:r w:rsidR="000F1E74" w:rsidRPr="001F4128">
        <w:rPr>
          <w:rStyle w:val="Strong"/>
          <w:b w:val="0"/>
          <w:bCs w:val="0"/>
        </w:rPr>
        <w:t xml:space="preserve"> </w:t>
      </w:r>
      <w:r w:rsidR="00E03DE1" w:rsidRPr="001F4128">
        <w:rPr>
          <w:rFonts w:eastAsia="Times New Roman"/>
          <w:lang w:eastAsia="lv-LV"/>
          <w14:ligatures w14:val="none"/>
        </w:rPr>
        <w:t>(Bakker and Demerouti, 2017)</w:t>
      </w:r>
      <w:r w:rsidRPr="001F4128">
        <w:t xml:space="preserve">, </w:t>
      </w:r>
      <w:r w:rsidRPr="001F4128">
        <w:rPr>
          <w:rStyle w:val="Strong"/>
          <w:b w:val="0"/>
          <w:bCs w:val="0"/>
        </w:rPr>
        <w:t xml:space="preserve">Conservation of Resources (COR) </w:t>
      </w:r>
      <w:r w:rsidRPr="001F4128">
        <w:rPr>
          <w:rStyle w:val="Strong"/>
          <w:b w:val="0"/>
          <w:bCs w:val="0"/>
          <w:color w:val="auto"/>
        </w:rPr>
        <w:t>theory</w:t>
      </w:r>
      <w:r w:rsidR="005E748A" w:rsidRPr="001F4128">
        <w:rPr>
          <w:b/>
          <w:bCs/>
          <w:color w:val="auto"/>
          <w:shd w:val="clear" w:color="auto" w:fill="FFFFFF"/>
        </w:rPr>
        <w:t> </w:t>
      </w:r>
      <w:r w:rsidR="005E748A" w:rsidRPr="001F4128">
        <w:rPr>
          <w:color w:val="auto"/>
          <w:shd w:val="clear" w:color="auto" w:fill="FFFFFF"/>
        </w:rPr>
        <w:t>(Hobfoll, 1989)</w:t>
      </w:r>
      <w:r w:rsidRPr="001F4128">
        <w:rPr>
          <w:color w:val="auto"/>
        </w:rPr>
        <w:t xml:space="preserve">, and </w:t>
      </w:r>
      <w:r w:rsidRPr="001F4128">
        <w:rPr>
          <w:rStyle w:val="Strong"/>
          <w:b w:val="0"/>
          <w:bCs w:val="0"/>
          <w:color w:val="auto"/>
        </w:rPr>
        <w:t>Maslow’s</w:t>
      </w:r>
      <w:r w:rsidRPr="001F4128">
        <w:rPr>
          <w:rStyle w:val="Strong"/>
          <w:b w:val="0"/>
          <w:bCs w:val="0"/>
        </w:rPr>
        <w:t xml:space="preserve"> Hierarchy of Needs</w:t>
      </w:r>
      <w:r w:rsidR="00383065" w:rsidRPr="001F4128">
        <w:rPr>
          <w:rFonts w:eastAsia="Times New Roman"/>
          <w:lang w:eastAsia="lv-LV"/>
          <w14:ligatures w14:val="none"/>
        </w:rPr>
        <w:t>(1943)</w:t>
      </w:r>
      <w:r w:rsidRPr="001F4128">
        <w:t xml:space="preserve">. Findings reveal that structural stressors—such as long hours, emotional labour, and financial insecurity—combine with organisational weaknesses, including inadequate communication, insufficient management training, and stigma surrounding help-seeking, to exacerbate burnout and disengagement. While many causes are external and difficult for employers to control, internal factors such as leadership style and organisational culture remain highly influential. The paper concludes that meaningful progress requires a </w:t>
      </w:r>
      <w:r w:rsidRPr="001F4128">
        <w:rPr>
          <w:rStyle w:val="Strong"/>
          <w:b w:val="0"/>
          <w:bCs w:val="0"/>
        </w:rPr>
        <w:t>shift from policy to practice</w:t>
      </w:r>
      <w:r w:rsidRPr="001F4128">
        <w:t xml:space="preserve">, embedding empathy, servant leadership, and consistent </w:t>
      </w:r>
      <w:r w:rsidR="006A5731" w:rsidRPr="001F4128">
        <w:t>well-being</w:t>
      </w:r>
      <w:r w:rsidRPr="001F4128">
        <w:t xml:space="preserve"> communication into everyday management. Recommendations emphasise leadership development, fair scheduling, accessible support programmes, and open dialogue as essential strategies for fostering a resilient, mentally healthy workforce and achieving sustainable performance in the hospitality sector.</w:t>
      </w:r>
    </w:p>
    <w:p w14:paraId="2ABEA002" w14:textId="77777777" w:rsidR="004111E0" w:rsidRPr="001F4128" w:rsidRDefault="004111E0" w:rsidP="002F33B2">
      <w:pPr>
        <w:spacing w:line="360" w:lineRule="auto"/>
        <w:rPr>
          <w:rFonts w:ascii="Arial" w:eastAsia="Times New Roman" w:hAnsi="Arial" w:cs="Arial"/>
          <w:sz w:val="24"/>
          <w:szCs w:val="24"/>
        </w:rPr>
      </w:pPr>
      <w:r w:rsidRPr="001F4128">
        <w:rPr>
          <w:rFonts w:ascii="Arial" w:eastAsia="Times New Roman" w:hAnsi="Arial" w:cs="Arial"/>
          <w:sz w:val="24"/>
          <w:szCs w:val="24"/>
        </w:rPr>
        <w:br w:type="page"/>
      </w:r>
    </w:p>
    <w:p w14:paraId="657DC165" w14:textId="2668347B" w:rsidR="00AE4C9C" w:rsidRPr="001F4128" w:rsidRDefault="00000000" w:rsidP="002F33B2">
      <w:pPr>
        <w:pStyle w:val="Default"/>
        <w:spacing w:line="360" w:lineRule="auto"/>
        <w:rPr>
          <w:sz w:val="23"/>
          <w:szCs w:val="23"/>
        </w:rPr>
      </w:pPr>
      <w:r w:rsidRPr="001F4128">
        <w:rPr>
          <w:rFonts w:eastAsia="Times New Roman"/>
          <w:lang w:eastAsia="lv-LV"/>
          <w14:ligatures w14:val="none"/>
        </w:rPr>
        <w:lastRenderedPageBreak/>
        <w:pict w14:anchorId="2471376E">
          <v:rect id="_x0000_i1028" style="width:468pt;height:1pt" o:hralign="center" o:hrstd="t" o:hr="t" fillcolor="#a0a0a0" stroked="f"/>
        </w:pict>
      </w:r>
    </w:p>
    <w:p w14:paraId="067C7F62" w14:textId="0C94BC6F" w:rsidR="00B00078" w:rsidRPr="001F4128" w:rsidRDefault="00EF4BD1" w:rsidP="00EF4BD1">
      <w:pPr>
        <w:pStyle w:val="Default"/>
        <w:spacing w:before="240" w:line="360" w:lineRule="auto"/>
        <w:rPr>
          <w:b/>
          <w:bCs/>
        </w:rPr>
      </w:pPr>
      <w:r w:rsidRPr="001F4128">
        <w:rPr>
          <w:rFonts w:eastAsia="Times New Roman"/>
          <w:b/>
          <w:bCs/>
          <w:kern w:val="36"/>
          <w:lang w:eastAsia="lv-LV"/>
          <w14:ligatures w14:val="none"/>
        </w:rPr>
        <w:t xml:space="preserve">1. </w:t>
      </w:r>
      <w:r w:rsidR="00B00078" w:rsidRPr="001F4128">
        <w:rPr>
          <w:b/>
          <w:bCs/>
        </w:rPr>
        <w:t>Introduction</w:t>
      </w:r>
      <w:r w:rsidR="00275FCF" w:rsidRPr="001F4128">
        <w:rPr>
          <w:b/>
          <w:bCs/>
        </w:rPr>
        <w:t>.</w:t>
      </w:r>
    </w:p>
    <w:p w14:paraId="6A1C3E73" w14:textId="77777777" w:rsidR="00C26538" w:rsidRPr="001F4128" w:rsidRDefault="00E27ACB" w:rsidP="00C26538">
      <w:p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According to recent industry reports, mental health has emerged as one of the fastest-growing challenges within the UK hospitality sector. Despite the introduction of wellbeing initiatives and increased awareness, evidence shows that psychological distress among hospitality workers continues to rise, making this a pressing concern for both academic research and industry practice.</w:t>
      </w:r>
    </w:p>
    <w:p w14:paraId="22C16AAD" w14:textId="3F16D5FE" w:rsidR="00E27ACB" w:rsidRPr="001F4128" w:rsidRDefault="00E27ACB" w:rsidP="00C26538">
      <w:pPr>
        <w:spacing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This study seeks to understand the root causes of poor mental health, assess the effectiveness of existing organisational support systems, and identify practical strategies for improvement. Using a qualitative, desk-based methodology, it analyses secondary data drawn from academic journals, government publications, and industry sources. The analysis is guided by established frameworks to examine the interplay between workload, resource depletion, and employee motivation. The paper includes a literature review exploring causes and impacts, a methodology outlining research design, a theme impact analysis interpreting findings, and a conclusion and recommendations offering evidence-based actions to promote wellbeing and sustainability within the hospitality workforce.</w:t>
      </w:r>
    </w:p>
    <w:p w14:paraId="0CD2114F" w14:textId="6D5DB1DF" w:rsidR="00AE4C9C" w:rsidRPr="001F4128" w:rsidRDefault="00000000" w:rsidP="00B00078">
      <w:pPr>
        <w:pStyle w:val="Default"/>
        <w:rPr>
          <w:sz w:val="23"/>
          <w:szCs w:val="23"/>
        </w:rPr>
      </w:pPr>
      <w:r w:rsidRPr="001F4128">
        <w:rPr>
          <w:rFonts w:eastAsia="Times New Roman"/>
          <w:lang w:eastAsia="lv-LV"/>
          <w14:ligatures w14:val="none"/>
        </w:rPr>
        <w:pict w14:anchorId="71EEB333">
          <v:rect id="_x0000_i1029" style="width:468pt;height:1pt" o:hralign="center" o:hrstd="t" o:hr="t" fillcolor="#a0a0a0" stroked="f"/>
        </w:pict>
      </w:r>
    </w:p>
    <w:p w14:paraId="0957657C" w14:textId="6AE10ADE" w:rsidR="006C49B9" w:rsidRPr="001F4128" w:rsidRDefault="00BB14E3" w:rsidP="00BB14E3">
      <w:pPr>
        <w:spacing w:before="100" w:beforeAutospacing="1" w:after="0" w:line="360" w:lineRule="auto"/>
        <w:outlineLvl w:val="0"/>
        <w:rPr>
          <w:rFonts w:ascii="Arial" w:eastAsia="Times New Roman" w:hAnsi="Arial" w:cs="Arial"/>
          <w:b/>
          <w:bCs/>
          <w:kern w:val="36"/>
          <w:sz w:val="24"/>
          <w:szCs w:val="24"/>
          <w:lang w:val="lv-LV" w:eastAsia="lv-LV"/>
          <w14:ligatures w14:val="none"/>
        </w:rPr>
      </w:pPr>
      <w:r w:rsidRPr="001F4128">
        <w:rPr>
          <w:rFonts w:ascii="Arial" w:eastAsia="Times New Roman" w:hAnsi="Arial" w:cs="Arial"/>
          <w:b/>
          <w:bCs/>
          <w:kern w:val="36"/>
          <w:sz w:val="24"/>
          <w:szCs w:val="24"/>
          <w:lang w:val="lv-LV" w:eastAsia="lv-LV"/>
          <w14:ligatures w14:val="none"/>
        </w:rPr>
        <w:t xml:space="preserve">2. </w:t>
      </w:r>
      <w:r w:rsidR="006C49B9" w:rsidRPr="001F4128">
        <w:rPr>
          <w:rFonts w:ascii="Arial" w:eastAsia="Times New Roman" w:hAnsi="Arial" w:cs="Arial"/>
          <w:b/>
          <w:bCs/>
          <w:kern w:val="36"/>
          <w:sz w:val="24"/>
          <w:szCs w:val="24"/>
          <w:lang w:val="lv-LV" w:eastAsia="lv-LV"/>
          <w14:ligatures w14:val="none"/>
        </w:rPr>
        <w:t>Literature Review</w:t>
      </w:r>
      <w:r w:rsidR="00686076" w:rsidRPr="001F4128">
        <w:rPr>
          <w:rFonts w:ascii="Arial" w:eastAsia="Times New Roman" w:hAnsi="Arial" w:cs="Arial"/>
          <w:b/>
          <w:bCs/>
          <w:kern w:val="36"/>
          <w:sz w:val="24"/>
          <w:szCs w:val="24"/>
          <w:lang w:val="lv-LV" w:eastAsia="lv-LV"/>
          <w14:ligatures w14:val="none"/>
        </w:rPr>
        <w:t>.</w:t>
      </w:r>
    </w:p>
    <w:p w14:paraId="78DD0608" w14:textId="45C8B3DA" w:rsidR="006C49B9" w:rsidRPr="001F4128" w:rsidRDefault="006C49B9" w:rsidP="00686076">
      <w:pPr>
        <w:spacing w:after="0" w:line="360" w:lineRule="auto"/>
        <w:outlineLvl w:val="1"/>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2.1 Prevalence and Sector Specificity</w:t>
      </w:r>
      <w:r w:rsidR="001C7FEE" w:rsidRPr="001F4128">
        <w:rPr>
          <w:rFonts w:ascii="Arial" w:eastAsia="Times New Roman" w:hAnsi="Arial" w:cs="Arial"/>
          <w:b/>
          <w:bCs/>
          <w:kern w:val="0"/>
          <w:sz w:val="24"/>
          <w:szCs w:val="24"/>
          <w:lang w:val="lv-LV" w:eastAsia="lv-LV"/>
          <w14:ligatures w14:val="none"/>
        </w:rPr>
        <w:t>.</w:t>
      </w:r>
    </w:p>
    <w:p w14:paraId="523D65C1" w14:textId="43F4DD37" w:rsidR="006C49B9" w:rsidRPr="001F4128" w:rsidRDefault="00092ECE" w:rsidP="00F96572">
      <w:p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 xml:space="preserve">Evidence consistently shows that Mental health has become a critical concern in the UK hospitality industry and is more acute than in many other sectors. Hospitality Action’s 2024 survey reports that 76% of hospitality workers have experienced mental health issues during their careers (up from 56% in 2018), 69% in the past five years, and 49% in the last two years alone—underscoring a deepening, not diminishing, problem (Hospitality Action, 2024).  Industry initiatives mirror these findings: The Burnt Chef Project’s surveys routinely find around 4 in 5 hospitality professionals reporting mental health challenges, reinforcing that this is structural, not marginal (The Burnt Chef Project, 2020; 2025). </w:t>
      </w:r>
    </w:p>
    <w:p w14:paraId="605845E0" w14:textId="77777777" w:rsidR="00A36C8C" w:rsidRPr="001F4128" w:rsidRDefault="006C49B9" w:rsidP="00686076">
      <w:p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Broader national data reinforce the scale of the problem. The Health and Safety Executive (HSE) (2024) estimated that 776,000 UK workers suffered from work-related stress, depression or anxiety in 2023/24</w:t>
      </w:r>
      <w:r w:rsidR="00C70031" w:rsidRPr="001F4128">
        <w:rPr>
          <w:rFonts w:ascii="Arial" w:eastAsia="Times New Roman" w:hAnsi="Arial" w:cs="Arial"/>
          <w:kern w:val="0"/>
          <w:sz w:val="24"/>
          <w:szCs w:val="24"/>
          <w:lang w:val="lv-LV" w:eastAsia="lv-LV"/>
          <w14:ligatures w14:val="none"/>
        </w:rPr>
        <w:t xml:space="preserve">. </w:t>
      </w:r>
      <w:r w:rsidRPr="001F4128">
        <w:rPr>
          <w:rFonts w:ascii="Arial" w:eastAsia="Times New Roman" w:hAnsi="Arial" w:cs="Arial"/>
          <w:kern w:val="0"/>
          <w:sz w:val="24"/>
          <w:szCs w:val="24"/>
          <w:lang w:val="lv-LV" w:eastAsia="lv-LV"/>
          <w14:ligatures w14:val="none"/>
        </w:rPr>
        <w:t xml:space="preserve">Stress and psychological ill-health </w:t>
      </w:r>
      <w:r w:rsidRPr="001F4128">
        <w:rPr>
          <w:rFonts w:ascii="Arial" w:eastAsia="Times New Roman" w:hAnsi="Arial" w:cs="Arial"/>
          <w:kern w:val="0"/>
          <w:sz w:val="24"/>
          <w:szCs w:val="24"/>
          <w:lang w:val="lv-LV" w:eastAsia="lv-LV"/>
          <w14:ligatures w14:val="none"/>
        </w:rPr>
        <w:lastRenderedPageBreak/>
        <w:t>remain the leading causes of work-related sickness absence across all sectors. Although these data encompass the wider economy, the hospitality sector’s low pay, long hours, and emotionally demanding service culture make it particularly vulnerable</w:t>
      </w:r>
      <w:r w:rsidR="00F8104B" w:rsidRPr="001F4128">
        <w:rPr>
          <w:rFonts w:ascii="Arial" w:eastAsia="Times New Roman" w:hAnsi="Arial" w:cs="Arial"/>
          <w:kern w:val="0"/>
          <w:sz w:val="24"/>
          <w:szCs w:val="24"/>
          <w:lang w:val="lv-LV" w:eastAsia="lv-LV"/>
          <w14:ligatures w14:val="none"/>
        </w:rPr>
        <w:t xml:space="preserve"> to these issues</w:t>
      </w:r>
      <w:r w:rsidRPr="001F4128">
        <w:rPr>
          <w:rFonts w:ascii="Arial" w:eastAsia="Times New Roman" w:hAnsi="Arial" w:cs="Arial"/>
          <w:kern w:val="0"/>
          <w:sz w:val="24"/>
          <w:szCs w:val="24"/>
          <w:lang w:val="lv-LV" w:eastAsia="lv-LV"/>
          <w14:ligatures w14:val="none"/>
        </w:rPr>
        <w:t>. Mental health problems are therefore best understood not as individual weaknesses, but as symptoms of systemic pressures inherent in hospitality work.</w:t>
      </w:r>
    </w:p>
    <w:p w14:paraId="7E43593A" w14:textId="77777777" w:rsidR="00977C38" w:rsidRPr="001F4128" w:rsidRDefault="00977C38" w:rsidP="00686076">
      <w:pPr>
        <w:spacing w:after="0" w:line="360" w:lineRule="auto"/>
        <w:rPr>
          <w:rFonts w:ascii="Arial" w:eastAsia="Times New Roman" w:hAnsi="Arial" w:cs="Arial"/>
          <w:kern w:val="0"/>
          <w:sz w:val="24"/>
          <w:szCs w:val="24"/>
          <w:lang w:val="lv-LV" w:eastAsia="lv-LV"/>
          <w14:ligatures w14:val="none"/>
        </w:rPr>
      </w:pPr>
    </w:p>
    <w:p w14:paraId="1BAAE2E6" w14:textId="77777777" w:rsidR="004B6878" w:rsidRPr="001F4128" w:rsidRDefault="006C49B9" w:rsidP="001955C9">
      <w:pPr>
        <w:spacing w:after="0" w:line="360" w:lineRule="auto"/>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 xml:space="preserve">2.2 Causes and Stressors: </w:t>
      </w:r>
      <w:r w:rsidR="00C0009C" w:rsidRPr="001F4128">
        <w:rPr>
          <w:rFonts w:ascii="Arial" w:eastAsia="Times New Roman" w:hAnsi="Arial" w:cs="Arial"/>
          <w:b/>
          <w:bCs/>
          <w:kern w:val="0"/>
          <w:sz w:val="24"/>
          <w:szCs w:val="24"/>
          <w:lang w:val="lv-LV" w:eastAsia="lv-LV"/>
          <w14:ligatures w14:val="none"/>
        </w:rPr>
        <w:t xml:space="preserve">the </w:t>
      </w:r>
      <w:r w:rsidR="00660FAD" w:rsidRPr="001F4128">
        <w:rPr>
          <w:rFonts w:ascii="Arial" w:eastAsia="Times New Roman" w:hAnsi="Arial" w:cs="Arial"/>
          <w:b/>
          <w:bCs/>
          <w:kern w:val="0"/>
          <w:sz w:val="24"/>
          <w:szCs w:val="24"/>
          <w:lang w:val="lv-LV" w:eastAsia="lv-LV"/>
          <w14:ligatures w14:val="none"/>
        </w:rPr>
        <w:t>industry’s work design</w:t>
      </w:r>
      <w:r w:rsidR="004B6878" w:rsidRPr="001F4128">
        <w:rPr>
          <w:rFonts w:ascii="Arial" w:eastAsia="Times New Roman" w:hAnsi="Arial" w:cs="Arial"/>
          <w:b/>
          <w:bCs/>
          <w:kern w:val="0"/>
          <w:sz w:val="24"/>
          <w:szCs w:val="24"/>
          <w:lang w:val="lv-LV" w:eastAsia="lv-LV"/>
          <w14:ligatures w14:val="none"/>
        </w:rPr>
        <w:t>.</w:t>
      </w:r>
    </w:p>
    <w:p w14:paraId="080C04D9" w14:textId="64405FDA" w:rsidR="00C3596D" w:rsidRPr="001F4128" w:rsidRDefault="003F73C9" w:rsidP="00977C38">
      <w:pPr>
        <w:spacing w:after="100" w:afterAutospacing="1" w:line="360" w:lineRule="auto"/>
        <w:rPr>
          <w:rFonts w:ascii="Arial" w:eastAsia="Times New Roman" w:hAnsi="Arial" w:cs="Arial"/>
          <w:kern w:val="0"/>
          <w:sz w:val="24"/>
          <w:szCs w:val="24"/>
          <w:lang w:val="lv-LV" w:eastAsia="lv-LV"/>
          <w14:ligatures w14:val="none"/>
        </w:rPr>
      </w:pPr>
      <w:r w:rsidRPr="003F73C9">
        <w:rPr>
          <w:rFonts w:ascii="Arial" w:eastAsia="Times New Roman" w:hAnsi="Arial" w:cs="Arial"/>
          <w:kern w:val="0"/>
          <w:sz w:val="24"/>
          <w:szCs w:val="24"/>
          <w:lang w:val="lv-LV" w:eastAsia="lv-LV"/>
          <w14:ligatures w14:val="none"/>
        </w:rPr>
        <w:t>Hospitality employees face multiple, compounding stressors: long hours, unpredictable shifts, demanding customers, limited task control, and minimal recognition. As a 24/7 sector, staff frequently work nights and weekends, leaving little opportunity for rest or social life. This disruption to work–life balance, coupled with the expectation to remain cheerful and professional, exacerbates psychological strain (Hospitality Institute, 2024).</w:t>
      </w:r>
      <w:r w:rsidR="00977C38" w:rsidRPr="001F4128">
        <w:rPr>
          <w:rFonts w:ascii="Arial" w:eastAsia="Times New Roman" w:hAnsi="Arial" w:cs="Arial"/>
          <w:kern w:val="0"/>
          <w:sz w:val="24"/>
          <w:szCs w:val="24"/>
          <w:lang w:val="lv-LV" w:eastAsia="lv-LV"/>
          <w14:ligatures w14:val="none"/>
        </w:rPr>
        <w:t xml:space="preserve"> </w:t>
      </w:r>
      <w:r w:rsidRPr="003F73C9">
        <w:rPr>
          <w:rFonts w:ascii="Arial" w:eastAsia="Times New Roman" w:hAnsi="Arial" w:cs="Arial"/>
          <w:kern w:val="0"/>
          <w:sz w:val="24"/>
          <w:szCs w:val="24"/>
          <w:lang w:val="lv-LV" w:eastAsia="lv-LV"/>
          <w14:ligatures w14:val="none"/>
        </w:rPr>
        <w:t>Modern Hospitality (2024) reports a surge in helpline calls linked to financial hardship and mental distress, while the CIPD (2021) identifies irregular hours and shift work as primary occupational stressors. Together, these factors create a work design that amplifies fatigue and anxiety, reducing both performance and job satisfaction.</w:t>
      </w:r>
    </w:p>
    <w:p w14:paraId="785F568B" w14:textId="5360ED6C" w:rsidR="00DC1753" w:rsidRPr="001F4128" w:rsidRDefault="00DC1753" w:rsidP="001955C9">
      <w:pPr>
        <w:spacing w:after="0" w:line="360" w:lineRule="auto"/>
        <w:outlineLvl w:val="2"/>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2.3 Staff Shortages and Workload Intensification</w:t>
      </w:r>
      <w:r w:rsidR="00110A8C" w:rsidRPr="001F4128">
        <w:rPr>
          <w:rFonts w:ascii="Arial" w:eastAsia="Times New Roman" w:hAnsi="Arial" w:cs="Arial"/>
          <w:b/>
          <w:bCs/>
          <w:kern w:val="0"/>
          <w:sz w:val="24"/>
          <w:szCs w:val="24"/>
          <w:lang w:val="lv-LV" w:eastAsia="lv-LV"/>
          <w14:ligatures w14:val="none"/>
        </w:rPr>
        <w:t>.</w:t>
      </w:r>
    </w:p>
    <w:p w14:paraId="75E1271C" w14:textId="58FDB5B8" w:rsidR="006942A7" w:rsidRPr="001F4128" w:rsidRDefault="006942A7" w:rsidP="001955C9">
      <w:pPr>
        <w:spacing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Post-pandemic labour shortages have significantly intensified mental health pressures across the UK hospitality sector. Downes (2023) notes that many hotels and restaurants continue to face acute recruitment challenges, forcing existing staff to take on heavier workloads and additional responsibilities. This workload intensification leads to fatigue, emotional exhaustion, and reduced job satisfaction—core symptoms of burnout. Baker and Kim (2024) further demonstrate that overwork diminishes both employee well-being and performance, while Vo-Thanh et al. (2022) associate ongoing staffing gaps with rising turnover intentions.</w:t>
      </w:r>
      <w:r w:rsidR="00110A8C" w:rsidRPr="001F4128">
        <w:rPr>
          <w:rFonts w:ascii="Arial" w:eastAsia="Times New Roman" w:hAnsi="Arial" w:cs="Arial"/>
          <w:kern w:val="0"/>
          <w:sz w:val="24"/>
          <w:szCs w:val="24"/>
          <w:lang w:val="lv-LV" w:eastAsia="lv-LV"/>
          <w14:ligatures w14:val="none"/>
        </w:rPr>
        <w:t xml:space="preserve"> </w:t>
      </w:r>
      <w:r w:rsidRPr="001F4128">
        <w:rPr>
          <w:rFonts w:ascii="Arial" w:eastAsia="Times New Roman" w:hAnsi="Arial" w:cs="Arial"/>
          <w:kern w:val="0"/>
          <w:sz w:val="24"/>
          <w:szCs w:val="24"/>
          <w:lang w:val="lv-LV" w:eastAsia="lv-LV"/>
          <w14:ligatures w14:val="none"/>
        </w:rPr>
        <w:t xml:space="preserve">The relationship between staffing levels and mental health is cyclical and self-reinforcing. Chronic understaffing heightens stress and fatigue, while burnout and declining </w:t>
      </w:r>
      <w:r w:rsidR="001F163D" w:rsidRPr="001F4128">
        <w:rPr>
          <w:rFonts w:ascii="Arial" w:eastAsia="Times New Roman" w:hAnsi="Arial" w:cs="Arial"/>
          <w:kern w:val="0"/>
          <w:sz w:val="24"/>
          <w:szCs w:val="24"/>
          <w:lang w:val="lv-LV" w:eastAsia="lv-LV"/>
          <w14:ligatures w14:val="none"/>
        </w:rPr>
        <w:t>well-being</w:t>
      </w:r>
      <w:r w:rsidRPr="001F4128">
        <w:rPr>
          <w:rFonts w:ascii="Arial" w:eastAsia="Times New Roman" w:hAnsi="Arial" w:cs="Arial"/>
          <w:kern w:val="0"/>
          <w:sz w:val="24"/>
          <w:szCs w:val="24"/>
          <w:lang w:val="lv-LV" w:eastAsia="lv-LV"/>
          <w14:ligatures w14:val="none"/>
        </w:rPr>
        <w:t xml:space="preserve"> drive absenteeism and resignations, further deepening shortages. Davidson, McPhail and Barry (2011) highlight that minimal training and reliance on “sink-or-swim” socialisation increase role ambiguity and anxiety, especially in understaffed environments. Likewise, CIPD (2021) observes that persistent recruitment gaps </w:t>
      </w:r>
      <w:r w:rsidRPr="001F4128">
        <w:rPr>
          <w:rFonts w:ascii="Arial" w:eastAsia="Times New Roman" w:hAnsi="Arial" w:cs="Arial"/>
          <w:kern w:val="0"/>
          <w:sz w:val="24"/>
          <w:szCs w:val="24"/>
          <w:lang w:val="lv-LV" w:eastAsia="lv-LV"/>
          <w14:ligatures w14:val="none"/>
        </w:rPr>
        <w:lastRenderedPageBreak/>
        <w:t>place unsustainable pressure on existing teams.</w:t>
      </w:r>
      <w:r w:rsidR="00FB216A" w:rsidRPr="001F4128">
        <w:rPr>
          <w:rFonts w:ascii="Arial" w:eastAsia="Times New Roman" w:hAnsi="Arial" w:cs="Arial"/>
          <w:kern w:val="0"/>
          <w:sz w:val="24"/>
          <w:szCs w:val="24"/>
          <w:lang w:val="lv-LV" w:eastAsia="lv-LV"/>
          <w14:ligatures w14:val="none"/>
        </w:rPr>
        <w:t xml:space="preserve"> </w:t>
      </w:r>
      <w:r w:rsidRPr="001F4128">
        <w:rPr>
          <w:rFonts w:ascii="Arial" w:eastAsia="Times New Roman" w:hAnsi="Arial" w:cs="Arial"/>
          <w:kern w:val="0"/>
          <w:sz w:val="24"/>
          <w:szCs w:val="24"/>
          <w:lang w:val="lv-LV" w:eastAsia="lv-LV"/>
          <w14:ligatures w14:val="none"/>
        </w:rPr>
        <w:t>Ultimately, the sector faces a vicious circle in which labour shortages and poor mental health continually feed one another.</w:t>
      </w:r>
    </w:p>
    <w:p w14:paraId="05EFFC77" w14:textId="3A5CC8A0" w:rsidR="00DA1782" w:rsidRPr="001F4128" w:rsidRDefault="00DA1782" w:rsidP="00C3596D">
      <w:pPr>
        <w:spacing w:before="100" w:beforeAutospacing="1" w:after="0" w:line="360" w:lineRule="auto"/>
        <w:outlineLvl w:val="2"/>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2.4 Emotional Labour and Customer Incivility</w:t>
      </w:r>
      <w:r w:rsidR="00C3596D" w:rsidRPr="001F4128">
        <w:rPr>
          <w:rFonts w:ascii="Arial" w:eastAsia="Times New Roman" w:hAnsi="Arial" w:cs="Arial"/>
          <w:b/>
          <w:bCs/>
          <w:kern w:val="0"/>
          <w:sz w:val="24"/>
          <w:szCs w:val="24"/>
          <w:lang w:val="lv-LV" w:eastAsia="lv-LV"/>
          <w14:ligatures w14:val="none"/>
        </w:rPr>
        <w:t>.</w:t>
      </w:r>
    </w:p>
    <w:p w14:paraId="009F6453" w14:textId="03D19ECB" w:rsidR="00784FC9" w:rsidRPr="001F4128" w:rsidRDefault="00DA1782" w:rsidP="009B6112">
      <w:pPr>
        <w:spacing w:after="0" w:line="360" w:lineRule="auto"/>
        <w:rPr>
          <w:rFonts w:ascii="Arial" w:hAnsi="Arial" w:cs="Arial"/>
          <w:sz w:val="24"/>
          <w:szCs w:val="24"/>
          <w14:ligatures w14:val="none"/>
        </w:rPr>
      </w:pPr>
      <w:r w:rsidRPr="001F4128">
        <w:rPr>
          <w:rFonts w:ascii="Arial" w:eastAsia="Times New Roman" w:hAnsi="Arial" w:cs="Arial"/>
          <w:kern w:val="0"/>
          <w:sz w:val="24"/>
          <w:szCs w:val="24"/>
          <w:lang w:val="lv-LV" w:eastAsia="lv-LV"/>
          <w14:ligatures w14:val="none"/>
        </w:rPr>
        <w:t xml:space="preserve">Hospitality work is grounded in emotional labour—the regulation of emotions to maintain professionalism and warmth even under pressure. The requirement to “always smile” or manage difficult customers can create emotional dissonance and cumulative strain. Baker and Kim (2024) provide empirical evidence that customer incivility and customer-first policies heighten employee vulnerability and lower job performance, particularly among those with existing mental-health challenges. </w:t>
      </w:r>
      <w:r w:rsidR="00C015FC" w:rsidRPr="001F4128">
        <w:rPr>
          <w:rFonts w:ascii="Arial" w:hAnsi="Arial" w:cs="Arial"/>
          <w:sz w:val="24"/>
          <w:szCs w:val="24"/>
          <w14:ligatures w14:val="none"/>
        </w:rPr>
        <w:t xml:space="preserve"> Over time, this continuous emotional effort leads to </w:t>
      </w:r>
      <w:r w:rsidR="00C015FC" w:rsidRPr="001F4128">
        <w:rPr>
          <w:rFonts w:ascii="Arial" w:eastAsia="Times New Roman" w:hAnsi="Arial" w:cs="Arial"/>
          <w:sz w:val="24"/>
          <w:szCs w:val="24"/>
          <w14:ligatures w14:val="none"/>
        </w:rPr>
        <w:t>resource loss</w:t>
      </w:r>
      <w:r w:rsidR="00C015FC" w:rsidRPr="001F4128">
        <w:rPr>
          <w:rFonts w:ascii="Arial" w:hAnsi="Arial" w:cs="Arial"/>
          <w:sz w:val="24"/>
          <w:szCs w:val="24"/>
          <w14:ligatures w14:val="none"/>
        </w:rPr>
        <w:t>, leaving employees vulnerable to exhaustion, reduced well-being, and diminished service quality (Lee and Ok, 2014).</w:t>
      </w:r>
    </w:p>
    <w:p w14:paraId="04518410" w14:textId="34175231" w:rsidR="00476F7C" w:rsidRPr="001F4128" w:rsidRDefault="00EE0645" w:rsidP="0081711B">
      <w:pPr>
        <w:spacing w:before="100" w:beforeAutospacing="1" w:after="0" w:line="360" w:lineRule="auto"/>
        <w:rPr>
          <w:rFonts w:ascii="Arial" w:hAnsi="Arial" w:cs="Arial"/>
          <w:b/>
          <w:bCs/>
          <w:sz w:val="24"/>
          <w:szCs w:val="24"/>
        </w:rPr>
      </w:pPr>
      <w:r w:rsidRPr="001F4128">
        <w:rPr>
          <w:rFonts w:ascii="Arial" w:hAnsi="Arial" w:cs="Arial"/>
          <w:b/>
          <w:bCs/>
          <w:sz w:val="24"/>
          <w:szCs w:val="24"/>
        </w:rPr>
        <w:t xml:space="preserve">2.5. </w:t>
      </w:r>
      <w:r w:rsidR="007C32D3" w:rsidRPr="001F4128">
        <w:rPr>
          <w:rFonts w:ascii="Arial" w:hAnsi="Arial" w:cs="Arial"/>
          <w:b/>
          <w:bCs/>
          <w:sz w:val="24"/>
          <w:szCs w:val="24"/>
        </w:rPr>
        <w:t>Job Insecurity, Low Pay, and Financial Pressures</w:t>
      </w:r>
      <w:r w:rsidR="009B6112" w:rsidRPr="001F4128">
        <w:rPr>
          <w:rFonts w:ascii="Arial" w:hAnsi="Arial" w:cs="Arial"/>
          <w:b/>
          <w:bCs/>
          <w:sz w:val="24"/>
          <w:szCs w:val="24"/>
        </w:rPr>
        <w:t>.</w:t>
      </w:r>
    </w:p>
    <w:p w14:paraId="3ADB7B26" w14:textId="77777777" w:rsidR="00E77E97" w:rsidRPr="001F4128" w:rsidRDefault="00E77E97" w:rsidP="0081711B">
      <w:pPr>
        <w:spacing w:after="0" w:line="360" w:lineRule="auto"/>
        <w:rPr>
          <w:rFonts w:ascii="Arial" w:hAnsi="Arial" w:cs="Arial"/>
          <w:sz w:val="24"/>
          <w:szCs w:val="24"/>
        </w:rPr>
      </w:pPr>
      <w:r w:rsidRPr="001F4128">
        <w:rPr>
          <w:rFonts w:ascii="Arial" w:hAnsi="Arial" w:cs="Arial"/>
          <w:sz w:val="24"/>
          <w:szCs w:val="24"/>
        </w:rPr>
        <w:t xml:space="preserve">Hospitality’s reliance on casual, seasonal, and zero-hours contracts generates unstable incomes and limited rights, fostering chronic stress. </w:t>
      </w:r>
      <w:r w:rsidRPr="001F4128">
        <w:rPr>
          <w:rStyle w:val="Emphasis"/>
          <w:rFonts w:ascii="Arial" w:hAnsi="Arial" w:cs="Arial"/>
          <w:i w:val="0"/>
          <w:iCs w:val="0"/>
          <w:sz w:val="24"/>
          <w:szCs w:val="24"/>
        </w:rPr>
        <w:t>Davidson, McPhail and Barry</w:t>
      </w:r>
      <w:r w:rsidRPr="001F4128">
        <w:rPr>
          <w:rFonts w:ascii="Arial" w:hAnsi="Arial" w:cs="Arial"/>
          <w:sz w:val="24"/>
          <w:szCs w:val="24"/>
        </w:rPr>
        <w:t xml:space="preserve"> (2011) characterise the sector as part of the secondary labour market—low pay, high turnover, and limited career progression—all of which undermine motivation and loyalty. </w:t>
      </w:r>
      <w:r w:rsidRPr="001F4128">
        <w:rPr>
          <w:rStyle w:val="Emphasis"/>
          <w:rFonts w:ascii="Arial" w:hAnsi="Arial" w:cs="Arial"/>
          <w:i w:val="0"/>
          <w:iCs w:val="0"/>
          <w:sz w:val="24"/>
          <w:szCs w:val="24"/>
        </w:rPr>
        <w:t>Partington</w:t>
      </w:r>
      <w:r w:rsidRPr="001F4128">
        <w:rPr>
          <w:rFonts w:ascii="Arial" w:hAnsi="Arial" w:cs="Arial"/>
          <w:sz w:val="24"/>
          <w:szCs w:val="24"/>
        </w:rPr>
        <w:t xml:space="preserve"> (2025) estimates that over 1.2 million UK workers are on zero-hours contracts, many within hospitality, living “on the back foot” economically. </w:t>
      </w:r>
      <w:r w:rsidRPr="001F4128">
        <w:rPr>
          <w:rStyle w:val="Emphasis"/>
          <w:rFonts w:ascii="Arial" w:hAnsi="Arial" w:cs="Arial"/>
          <w:i w:val="0"/>
          <w:iCs w:val="0"/>
          <w:sz w:val="24"/>
          <w:szCs w:val="24"/>
        </w:rPr>
        <w:t>Dabo</w:t>
      </w:r>
      <w:r w:rsidRPr="001F4128">
        <w:rPr>
          <w:rFonts w:ascii="Arial" w:hAnsi="Arial" w:cs="Arial"/>
          <w:sz w:val="24"/>
          <w:szCs w:val="24"/>
        </w:rPr>
        <w:t xml:space="preserve"> (2025) notes that the absence of health benefits or paid sick leave deepens insecurity and anxiety. Modern Hospitality (2024) found that 42 per cent of respondents identified financial stress as a leading personal concern, confirming the strong link between economic strain and mental distress.</w:t>
      </w:r>
    </w:p>
    <w:p w14:paraId="44EDD75F" w14:textId="77777777" w:rsidR="00A474F7" w:rsidRPr="001F4128" w:rsidRDefault="00A474F7" w:rsidP="0081711B">
      <w:pPr>
        <w:spacing w:after="0" w:line="360" w:lineRule="auto"/>
        <w:rPr>
          <w:rFonts w:ascii="Arial" w:hAnsi="Arial" w:cs="Arial"/>
          <w:sz w:val="24"/>
          <w:szCs w:val="24"/>
        </w:rPr>
      </w:pPr>
    </w:p>
    <w:p w14:paraId="166639A8" w14:textId="3130DEAE" w:rsidR="00996F02" w:rsidRPr="001F4128" w:rsidRDefault="00996F02" w:rsidP="0081711B">
      <w:pPr>
        <w:spacing w:after="0" w:line="360" w:lineRule="auto"/>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 xml:space="preserve">2.6 </w:t>
      </w:r>
      <w:r w:rsidR="00713D50" w:rsidRPr="001F4128">
        <w:rPr>
          <w:rFonts w:ascii="Arial" w:hAnsi="Arial" w:cs="Arial"/>
          <w:b/>
          <w:bCs/>
          <w:sz w:val="24"/>
          <w:szCs w:val="24"/>
        </w:rPr>
        <w:t>Toxic Work Culture, Stigma, and Lack of Organisational Support</w:t>
      </w:r>
      <w:r w:rsidR="000E57B5" w:rsidRPr="001F4128">
        <w:rPr>
          <w:rFonts w:ascii="Arial" w:hAnsi="Arial" w:cs="Arial"/>
          <w:b/>
          <w:bCs/>
          <w:sz w:val="24"/>
          <w:szCs w:val="24"/>
        </w:rPr>
        <w:t>.</w:t>
      </w:r>
    </w:p>
    <w:p w14:paraId="751B4844" w14:textId="77777777" w:rsidR="000E028C" w:rsidRPr="001F4128" w:rsidRDefault="000E028C" w:rsidP="00346A50">
      <w:pPr>
        <w:spacing w:after="0" w:line="360" w:lineRule="auto"/>
        <w:outlineLvl w:val="1"/>
      </w:pPr>
      <w:r w:rsidRPr="001F4128">
        <w:rPr>
          <w:rFonts w:ascii="Arial" w:hAnsi="Arial" w:cs="Arial"/>
          <w:sz w:val="24"/>
          <w:szCs w:val="24"/>
        </w:rPr>
        <w:t xml:space="preserve">Cultural norms within hospitality continue to exacerbate mental-health risks. Kitchens and bars have long celebrated endurance and “toughness,” discouraging open discussion of stress or fatigue. Despite growing awareness, stigma remains pervasive. </w:t>
      </w:r>
      <w:r w:rsidRPr="001F4128">
        <w:rPr>
          <w:rStyle w:val="Emphasis"/>
          <w:rFonts w:ascii="Arial" w:hAnsi="Arial" w:cs="Arial"/>
          <w:i w:val="0"/>
          <w:iCs w:val="0"/>
          <w:sz w:val="24"/>
          <w:szCs w:val="24"/>
        </w:rPr>
        <w:t>The Burnt Chef Project</w:t>
      </w:r>
      <w:r w:rsidRPr="001F4128">
        <w:rPr>
          <w:rFonts w:ascii="Arial" w:hAnsi="Arial" w:cs="Arial"/>
          <w:sz w:val="24"/>
          <w:szCs w:val="24"/>
        </w:rPr>
        <w:t xml:space="preserve"> (2023) found that nearly half of workers would not disclose a mental-health issue at work, while </w:t>
      </w:r>
      <w:r w:rsidRPr="001F4128">
        <w:rPr>
          <w:rStyle w:val="Emphasis"/>
          <w:rFonts w:ascii="Arial" w:hAnsi="Arial" w:cs="Arial"/>
          <w:i w:val="0"/>
          <w:iCs w:val="0"/>
          <w:sz w:val="24"/>
          <w:szCs w:val="24"/>
        </w:rPr>
        <w:t>Modern Hospitality</w:t>
      </w:r>
      <w:r w:rsidRPr="001F4128">
        <w:rPr>
          <w:rFonts w:ascii="Arial" w:hAnsi="Arial" w:cs="Arial"/>
          <w:sz w:val="24"/>
          <w:szCs w:val="24"/>
        </w:rPr>
        <w:t xml:space="preserve"> (2024) reported that only 52% feel comfortable discussing such issues and 65% fear career </w:t>
      </w:r>
      <w:r w:rsidRPr="001F4128">
        <w:rPr>
          <w:rFonts w:ascii="Arial" w:hAnsi="Arial" w:cs="Arial"/>
          <w:sz w:val="24"/>
          <w:szCs w:val="24"/>
        </w:rPr>
        <w:lastRenderedPageBreak/>
        <w:t xml:space="preserve">repercussions. This “culture of silence” fosters isolation and delays intervention. Managerial inaction further compounds the problem, as many supervisors lack the skills to recognise or address distress (Ayachit and Chitta, 2022). </w:t>
      </w:r>
      <w:r w:rsidRPr="001F4128">
        <w:rPr>
          <w:rStyle w:val="Emphasis"/>
          <w:rFonts w:ascii="Arial" w:hAnsi="Arial" w:cs="Arial"/>
          <w:i w:val="0"/>
          <w:iCs w:val="0"/>
          <w:sz w:val="24"/>
          <w:szCs w:val="24"/>
        </w:rPr>
        <w:t>Taha</w:t>
      </w:r>
      <w:r w:rsidRPr="001F4128">
        <w:rPr>
          <w:rFonts w:ascii="Arial" w:hAnsi="Arial" w:cs="Arial"/>
          <w:sz w:val="24"/>
          <w:szCs w:val="24"/>
        </w:rPr>
        <w:t xml:space="preserve"> (2024) stresses that leadership visibility and mental-health literacy are essential for building trust, while </w:t>
      </w:r>
      <w:r w:rsidRPr="001F4128">
        <w:rPr>
          <w:rStyle w:val="Emphasis"/>
          <w:rFonts w:ascii="Arial" w:hAnsi="Arial" w:cs="Arial"/>
          <w:i w:val="0"/>
          <w:iCs w:val="0"/>
          <w:sz w:val="24"/>
          <w:szCs w:val="24"/>
        </w:rPr>
        <w:t>Leach</w:t>
      </w:r>
      <w:r w:rsidRPr="001F4128">
        <w:rPr>
          <w:rFonts w:ascii="Arial" w:hAnsi="Arial" w:cs="Arial"/>
          <w:sz w:val="24"/>
          <w:szCs w:val="24"/>
        </w:rPr>
        <w:t xml:space="preserve"> (2024) notes that overwork normalisation turns stress into chronic harm. Although wellbeing programmes like Marriott’s </w:t>
      </w:r>
      <w:r w:rsidRPr="001F4128">
        <w:rPr>
          <w:rStyle w:val="Emphasis"/>
          <w:rFonts w:ascii="Arial" w:hAnsi="Arial" w:cs="Arial"/>
          <w:i w:val="0"/>
          <w:iCs w:val="0"/>
          <w:sz w:val="24"/>
          <w:szCs w:val="24"/>
        </w:rPr>
        <w:t>TakeCare</w:t>
      </w:r>
      <w:r w:rsidRPr="001F4128">
        <w:rPr>
          <w:rFonts w:ascii="Arial" w:hAnsi="Arial" w:cs="Arial"/>
          <w:sz w:val="24"/>
          <w:szCs w:val="24"/>
        </w:rPr>
        <w:t xml:space="preserve"> and Hilton’s </w:t>
      </w:r>
      <w:r w:rsidRPr="001F4128">
        <w:rPr>
          <w:rStyle w:val="Emphasis"/>
          <w:rFonts w:ascii="Arial" w:hAnsi="Arial" w:cs="Arial"/>
          <w:i w:val="0"/>
          <w:iCs w:val="0"/>
          <w:sz w:val="24"/>
          <w:szCs w:val="24"/>
        </w:rPr>
        <w:t>Thrive</w:t>
      </w:r>
      <w:r w:rsidRPr="001F4128">
        <w:rPr>
          <w:rFonts w:ascii="Arial" w:hAnsi="Arial" w:cs="Arial"/>
          <w:sz w:val="24"/>
          <w:szCs w:val="24"/>
        </w:rPr>
        <w:t xml:space="preserve"> promote empathy and flexibility (Boogaard, 2021), implementation gaps persist (Ayachit and Chitta, 2022). </w:t>
      </w:r>
      <w:r w:rsidRPr="001F4128">
        <w:rPr>
          <w:rStyle w:val="Emphasis"/>
          <w:rFonts w:ascii="Arial" w:hAnsi="Arial" w:cs="Arial"/>
          <w:i w:val="0"/>
          <w:iCs w:val="0"/>
          <w:sz w:val="24"/>
          <w:szCs w:val="24"/>
        </w:rPr>
        <w:t>Modern Hospitality</w:t>
      </w:r>
      <w:r w:rsidRPr="001F4128">
        <w:rPr>
          <w:rFonts w:ascii="Arial" w:hAnsi="Arial" w:cs="Arial"/>
          <w:sz w:val="24"/>
          <w:szCs w:val="24"/>
        </w:rPr>
        <w:t xml:space="preserve"> (2024) highlights weak communication—many employees rely on family support rather than managers, and nearly half are unaware of their mental-health first aider. Perceptions of organisational care remain divided, with 44% believing employers do not prioritise wellbeing.</w:t>
      </w:r>
    </w:p>
    <w:p w14:paraId="5627C97B" w14:textId="21592CE0" w:rsidR="006C49B9" w:rsidRPr="001F4128" w:rsidRDefault="006C49B9" w:rsidP="00946086">
      <w:pPr>
        <w:spacing w:before="100" w:beforeAutospacing="1" w:after="0" w:line="360" w:lineRule="auto"/>
        <w:outlineLvl w:val="1"/>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2.</w:t>
      </w:r>
      <w:r w:rsidR="00946086" w:rsidRPr="001F4128">
        <w:rPr>
          <w:rFonts w:ascii="Arial" w:eastAsia="Times New Roman" w:hAnsi="Arial" w:cs="Arial"/>
          <w:b/>
          <w:bCs/>
          <w:kern w:val="0"/>
          <w:sz w:val="24"/>
          <w:szCs w:val="24"/>
          <w:lang w:val="lv-LV" w:eastAsia="lv-LV"/>
          <w14:ligatures w14:val="none"/>
        </w:rPr>
        <w:t>7</w:t>
      </w:r>
      <w:r w:rsidRPr="001F4128">
        <w:rPr>
          <w:rFonts w:ascii="Arial" w:eastAsia="Times New Roman" w:hAnsi="Arial" w:cs="Arial"/>
          <w:b/>
          <w:bCs/>
          <w:kern w:val="0"/>
          <w:sz w:val="24"/>
          <w:szCs w:val="24"/>
          <w:lang w:val="lv-LV" w:eastAsia="lv-LV"/>
          <w14:ligatures w14:val="none"/>
        </w:rPr>
        <w:t xml:space="preserve"> Consequences for Organisations</w:t>
      </w:r>
      <w:r w:rsidR="00946086" w:rsidRPr="001F4128">
        <w:rPr>
          <w:rFonts w:ascii="Arial" w:eastAsia="Times New Roman" w:hAnsi="Arial" w:cs="Arial"/>
          <w:b/>
          <w:bCs/>
          <w:kern w:val="0"/>
          <w:sz w:val="24"/>
          <w:szCs w:val="24"/>
          <w:lang w:val="lv-LV" w:eastAsia="lv-LV"/>
          <w14:ligatures w14:val="none"/>
        </w:rPr>
        <w:t>.</w:t>
      </w:r>
    </w:p>
    <w:p w14:paraId="4F696008" w14:textId="3A765D88" w:rsidR="006C49B9" w:rsidRPr="001F4128" w:rsidRDefault="006C49B9" w:rsidP="00946086">
      <w:pPr>
        <w:spacing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 xml:space="preserve">The implications of poor mental health in hospitality are severe, both organisationally and economically. Burnout and disengagement lead to reduced productivity, absenteeism, and high turnover, directly undermining service quality and profitability (Ayachit and Chitta, 2022; Baker and Kim, 2024). The HSE (2024) recorded 16.4 million working days lost to stress, anxiety, and depression, while Bawden (2024) estimated that mental illness costs England £300 billion annually in lost productivity. Within hospitality, chronic stress drives a feedback loop of turnover, understaffing, and declining morale (Davidson, McPhail and Barry, 2011; Downes, 2023). These outcomes confirm that mental health is not only a </w:t>
      </w:r>
      <w:r w:rsidR="00140D14" w:rsidRPr="001F4128">
        <w:rPr>
          <w:rFonts w:ascii="Arial" w:eastAsia="Times New Roman" w:hAnsi="Arial" w:cs="Arial"/>
          <w:kern w:val="0"/>
          <w:sz w:val="24"/>
          <w:szCs w:val="24"/>
          <w:lang w:val="lv-LV" w:eastAsia="lv-LV"/>
          <w14:ligatures w14:val="none"/>
        </w:rPr>
        <w:t>well-being</w:t>
      </w:r>
      <w:r w:rsidRPr="001F4128">
        <w:rPr>
          <w:rFonts w:ascii="Arial" w:eastAsia="Times New Roman" w:hAnsi="Arial" w:cs="Arial"/>
          <w:kern w:val="0"/>
          <w:sz w:val="24"/>
          <w:szCs w:val="24"/>
          <w:lang w:val="lv-LV" w:eastAsia="lv-LV"/>
          <w14:ligatures w14:val="none"/>
        </w:rPr>
        <w:t xml:space="preserve"> concern but a strategic business issue central to retention, performance, and organisational sustainability.</w:t>
      </w:r>
    </w:p>
    <w:p w14:paraId="10D1F02B" w14:textId="55FDF479" w:rsidR="009346A8" w:rsidRPr="001F4128" w:rsidRDefault="009346A8" w:rsidP="001F4128">
      <w:pPr>
        <w:spacing w:before="100" w:beforeAutospacing="1" w:after="0" w:line="360" w:lineRule="auto"/>
        <w:outlineLvl w:val="2"/>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2.8 Industry and Institutional Responses: Policy Perspectives and Workforce Sustainability</w:t>
      </w:r>
      <w:r w:rsidR="00955ED5" w:rsidRPr="001F4128">
        <w:rPr>
          <w:rFonts w:ascii="Arial" w:eastAsia="Times New Roman" w:hAnsi="Arial" w:cs="Arial"/>
          <w:b/>
          <w:bCs/>
          <w:kern w:val="0"/>
          <w:sz w:val="24"/>
          <w:szCs w:val="24"/>
          <w:lang w:val="lv-LV" w:eastAsia="lv-LV"/>
          <w14:ligatures w14:val="none"/>
        </w:rPr>
        <w:t>.</w:t>
      </w:r>
    </w:p>
    <w:p w14:paraId="07F08E3F" w14:textId="7129AB57" w:rsidR="009346A8" w:rsidRPr="001F4128" w:rsidRDefault="00955ED5" w:rsidP="001F4128">
      <w:pPr>
        <w:spacing w:after="100" w:afterAutospacing="1" w:line="360" w:lineRule="auto"/>
        <w:rPr>
          <w:rFonts w:ascii="Times New Roman" w:eastAsia="Times New Roman" w:hAnsi="Times New Roman" w:cs="Times New Roman"/>
          <w:kern w:val="0"/>
          <w:sz w:val="24"/>
          <w:szCs w:val="24"/>
          <w:lang w:val="lv-LV" w:eastAsia="lv-LV"/>
          <w14:ligatures w14:val="none"/>
        </w:rPr>
      </w:pPr>
      <w:r w:rsidRPr="00955ED5">
        <w:rPr>
          <w:rFonts w:ascii="Arial" w:eastAsia="Times New Roman" w:hAnsi="Arial" w:cs="Arial"/>
          <w:kern w:val="0"/>
          <w:sz w:val="24"/>
          <w:szCs w:val="24"/>
          <w:lang w:val="lv-LV" w:eastAsia="lv-LV"/>
          <w14:ligatures w14:val="none"/>
        </w:rPr>
        <w:t>Recent developments have reframed mental health from an individual issue to a structural and policy priority within UK hospitality. Industry initiatives</w:t>
      </w:r>
      <w:r w:rsidR="00B57719" w:rsidRPr="001F4128">
        <w:rPr>
          <w:rFonts w:ascii="Arial" w:eastAsia="Times New Roman" w:hAnsi="Arial" w:cs="Arial"/>
          <w:kern w:val="0"/>
          <w:sz w:val="24"/>
          <w:szCs w:val="24"/>
          <w:lang w:val="lv-LV" w:eastAsia="lv-LV"/>
          <w14:ligatures w14:val="none"/>
        </w:rPr>
        <w:t xml:space="preserve">, such as The Burnt Chef Project (2024), which offers Mental Health First Aid training, a 24/7 helpline, and resilience workshops, </w:t>
      </w:r>
      <w:r w:rsidRPr="00955ED5">
        <w:rPr>
          <w:rFonts w:ascii="Arial" w:eastAsia="Times New Roman" w:hAnsi="Arial" w:cs="Arial"/>
          <w:kern w:val="0"/>
          <w:sz w:val="24"/>
          <w:szCs w:val="24"/>
          <w:lang w:val="lv-LV" w:eastAsia="lv-LV"/>
          <w14:ligatures w14:val="none"/>
        </w:rPr>
        <w:t xml:space="preserve">have improved managerial confidence in discussing wellbeing from 65% to 90%. Hospitality Action (2024) similarly provides crisis grants and counselling, promoting preventive support. At the policy level, Acas (2025) emphasises employers’ duty under the Equality Act 2010 to make reasonable </w:t>
      </w:r>
      <w:r w:rsidRPr="00955ED5">
        <w:rPr>
          <w:rFonts w:ascii="Arial" w:eastAsia="Times New Roman" w:hAnsi="Arial" w:cs="Arial"/>
          <w:kern w:val="0"/>
          <w:sz w:val="24"/>
          <w:szCs w:val="24"/>
          <w:lang w:val="lv-LV" w:eastAsia="lv-LV"/>
          <w14:ligatures w14:val="none"/>
        </w:rPr>
        <w:lastRenderedPageBreak/>
        <w:t>adjustments, while the CIPD (2024) outlines a three-stage model of prevention, early intervention, and sustained support, positioning wellbeing as central to “good work.” Investment in mental health also delivers measurable returns—Deloitte (2022) estimates £5 for every £1 spent. Scholars such as Wong et al. (2024) call for multi-level collaboration between government, industry, and education to develop national standards and accredited wellbeing schemes. Collectively, these initiatives signal a policy landscape that links ethical responsibility with economic resilience, embedding mental health into leadership, HR strategy, and long-term workforce sustainability.</w:t>
      </w:r>
    </w:p>
    <w:p w14:paraId="3D06C45E" w14:textId="196527FB" w:rsidR="00AE4C9C" w:rsidRPr="001F4128" w:rsidRDefault="00000000" w:rsidP="006C49B9">
      <w:pPr>
        <w:spacing w:before="100" w:beforeAutospacing="1"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pict w14:anchorId="47A82A22">
          <v:rect id="_x0000_i1030" style="width:468pt;height:1pt" o:hralign="center" o:hrstd="t" o:hr="t" fillcolor="#a0a0a0" stroked="f"/>
        </w:pict>
      </w:r>
    </w:p>
    <w:p w14:paraId="5814F278" w14:textId="32B4B379" w:rsidR="001C3334" w:rsidRPr="001F4128" w:rsidRDefault="001C3334" w:rsidP="00946086">
      <w:pPr>
        <w:spacing w:before="100" w:beforeAutospacing="1" w:after="0" w:line="360" w:lineRule="auto"/>
        <w:outlineLvl w:val="1"/>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3. Method</w:t>
      </w:r>
      <w:r w:rsidR="00946086" w:rsidRPr="001F4128">
        <w:rPr>
          <w:rFonts w:ascii="Arial" w:eastAsia="Times New Roman" w:hAnsi="Arial" w:cs="Arial"/>
          <w:b/>
          <w:bCs/>
          <w:kern w:val="0"/>
          <w:sz w:val="24"/>
          <w:szCs w:val="24"/>
          <w:lang w:val="lv-LV" w:eastAsia="lv-LV"/>
          <w14:ligatures w14:val="none"/>
        </w:rPr>
        <w:t>.</w:t>
      </w:r>
    </w:p>
    <w:p w14:paraId="36A6D6D0" w14:textId="77777777" w:rsidR="001C3334" w:rsidRPr="001F4128" w:rsidRDefault="001C3334" w:rsidP="00A217CC">
      <w:p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This study adopts a qualitative, desk-based research design that draws upon secondary data from academic journals, government publications, and industry reports to investigate the ongoing mental health crisis within the UK hospitality sector. Sources were selected for their relevance, credibility, and recency, focusing on publications from 2019 to 2025 to capture the post-pandemic realities of workplace culture and employee wellbeing.</w:t>
      </w:r>
    </w:p>
    <w:p w14:paraId="398BAEA6" w14:textId="7805D2DA" w:rsidR="001C3334" w:rsidRPr="001F4128" w:rsidRDefault="001C3334" w:rsidP="00A217CC">
      <w:p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 xml:space="preserve">A systematic literature review was conducted to identify recurring themes and theoretical perspectives relevant to hospitality mental health. Analytical interpretation was guided by the Job Demands–Resources (JD–R) model (Bakker and Demerouti, </w:t>
      </w:r>
      <w:r w:rsidR="007642B8" w:rsidRPr="001F4128">
        <w:rPr>
          <w:rFonts w:ascii="Arial" w:eastAsia="Times New Roman" w:hAnsi="Arial" w:cs="Arial"/>
          <w:kern w:val="0"/>
          <w:sz w:val="24"/>
          <w:szCs w:val="24"/>
          <w:lang w:val="lv-LV" w:eastAsia="lv-LV"/>
          <w14:ligatures w14:val="none"/>
        </w:rPr>
        <w:t>2017</w:t>
      </w:r>
      <w:r w:rsidRPr="001F4128">
        <w:rPr>
          <w:rFonts w:ascii="Arial" w:eastAsia="Times New Roman" w:hAnsi="Arial" w:cs="Arial"/>
          <w:kern w:val="0"/>
          <w:sz w:val="24"/>
          <w:szCs w:val="24"/>
          <w:lang w:val="lv-LV" w:eastAsia="lv-LV"/>
          <w14:ligatures w14:val="none"/>
        </w:rPr>
        <w:t xml:space="preserve">) and Conservation of Resources (COR) theory (Hobfoll, 1989), which together explain how workplace demands, available resources, and leadership practices influence burnout, engagement, and overall </w:t>
      </w:r>
      <w:r w:rsidR="008338D4" w:rsidRPr="001F4128">
        <w:rPr>
          <w:rFonts w:ascii="Arial" w:eastAsia="Times New Roman" w:hAnsi="Arial" w:cs="Arial"/>
          <w:kern w:val="0"/>
          <w:sz w:val="24"/>
          <w:szCs w:val="24"/>
          <w:lang w:val="lv-LV" w:eastAsia="lv-LV"/>
          <w14:ligatures w14:val="none"/>
        </w:rPr>
        <w:t>well-being</w:t>
      </w:r>
      <w:r w:rsidRPr="001F4128">
        <w:rPr>
          <w:rFonts w:ascii="Arial" w:eastAsia="Times New Roman" w:hAnsi="Arial" w:cs="Arial"/>
          <w:kern w:val="0"/>
          <w:sz w:val="24"/>
          <w:szCs w:val="24"/>
          <w:lang w:val="lv-LV" w:eastAsia="lv-LV"/>
          <w14:ligatures w14:val="none"/>
        </w:rPr>
        <w:t>. Additionally, Maslow’s Hierarchy of Needs (19</w:t>
      </w:r>
      <w:r w:rsidR="00A217CC" w:rsidRPr="001F4128">
        <w:rPr>
          <w:rFonts w:ascii="Arial" w:eastAsia="Times New Roman" w:hAnsi="Arial" w:cs="Arial"/>
          <w:kern w:val="0"/>
          <w:sz w:val="24"/>
          <w:szCs w:val="24"/>
          <w:lang w:val="lv-LV" w:eastAsia="lv-LV"/>
          <w14:ligatures w14:val="none"/>
        </w:rPr>
        <w:t>43</w:t>
      </w:r>
      <w:r w:rsidRPr="001F4128">
        <w:rPr>
          <w:rFonts w:ascii="Arial" w:eastAsia="Times New Roman" w:hAnsi="Arial" w:cs="Arial"/>
          <w:kern w:val="0"/>
          <w:sz w:val="24"/>
          <w:szCs w:val="24"/>
          <w:lang w:val="lv-LV" w:eastAsia="lv-LV"/>
          <w14:ligatures w14:val="none"/>
        </w:rPr>
        <w:t>) was used to contextualise motivational and psychological dimensions of employee experience.</w:t>
      </w:r>
    </w:p>
    <w:p w14:paraId="3EB7DBEA" w14:textId="280DABBE" w:rsidR="001C3334" w:rsidRPr="001F4128" w:rsidRDefault="001C3334" w:rsidP="00A217CC">
      <w:pPr>
        <w:spacing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A thematic analysis approach (Olanrewaju, 2024) was applied to categorise findings into major dimensions—stressors, organisational support, culture, stigma, and strategic impact. The research also integrates reflective insights from the researcher’s professional experience in hospitality, aligning theoretical concepts with lived realities. This interpretivist perspective enriches the analysis by connecting academic evidence to the practical challenges faced by employees and managers in the industry.</w:t>
      </w:r>
    </w:p>
    <w:p w14:paraId="5268B923" w14:textId="77777777" w:rsidR="00C73ECB" w:rsidRPr="001F4128" w:rsidRDefault="00C73ECB" w:rsidP="00A217CC">
      <w:pPr>
        <w:spacing w:after="100" w:afterAutospacing="1" w:line="360" w:lineRule="auto"/>
        <w:rPr>
          <w:rFonts w:ascii="Arial" w:eastAsia="Times New Roman" w:hAnsi="Arial" w:cs="Arial"/>
          <w:kern w:val="0"/>
          <w:sz w:val="24"/>
          <w:szCs w:val="24"/>
          <w:lang w:val="lv-LV" w:eastAsia="lv-LV"/>
          <w14:ligatures w14:val="none"/>
        </w:rPr>
      </w:pPr>
    </w:p>
    <w:p w14:paraId="474D136F" w14:textId="641DFB0A" w:rsidR="00AE4C9C" w:rsidRPr="001F4128" w:rsidRDefault="00000000" w:rsidP="001C3334">
      <w:pPr>
        <w:spacing w:before="100" w:beforeAutospacing="1" w:after="100" w:afterAutospacing="1" w:line="240" w:lineRule="auto"/>
        <w:rPr>
          <w:rFonts w:ascii="Times New Roman" w:eastAsia="Times New Roman" w:hAnsi="Times New Roman" w:cs="Times New Roman"/>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lastRenderedPageBreak/>
        <w:pict w14:anchorId="72EF5F0A">
          <v:rect id="_x0000_i1031" style="width:468pt;height:1pt" o:hralign="center" o:hrstd="t" o:hr="t" fillcolor="#a0a0a0" stroked="f"/>
        </w:pict>
      </w:r>
    </w:p>
    <w:p w14:paraId="278DDC7F" w14:textId="785CFE95" w:rsidR="006D55F9" w:rsidRPr="001F4128" w:rsidRDefault="009C5C2F" w:rsidP="006C49B9">
      <w:pPr>
        <w:pStyle w:val="Default"/>
        <w:spacing w:line="360" w:lineRule="auto"/>
        <w:rPr>
          <w:b/>
          <w:bCs/>
        </w:rPr>
      </w:pPr>
      <w:r w:rsidRPr="001F4128">
        <w:rPr>
          <w:b/>
          <w:bCs/>
        </w:rPr>
        <w:t>4.</w:t>
      </w:r>
      <w:r w:rsidR="00A217CC" w:rsidRPr="001F4128">
        <w:rPr>
          <w:b/>
          <w:bCs/>
        </w:rPr>
        <w:t xml:space="preserve"> </w:t>
      </w:r>
      <w:r w:rsidR="006D55F9" w:rsidRPr="001F4128">
        <w:rPr>
          <w:b/>
          <w:bCs/>
        </w:rPr>
        <w:t>Theme impact analysis</w:t>
      </w:r>
      <w:r w:rsidR="00A217CC" w:rsidRPr="001F4128">
        <w:rPr>
          <w:b/>
          <w:bCs/>
        </w:rPr>
        <w:t>.</w:t>
      </w:r>
    </w:p>
    <w:p w14:paraId="72EF4434" w14:textId="1F43266B" w:rsidR="00FE1616" w:rsidRPr="001F4128" w:rsidRDefault="00FE1616" w:rsidP="006C49B9">
      <w:pPr>
        <w:pStyle w:val="Default"/>
        <w:spacing w:line="360" w:lineRule="auto"/>
      </w:pPr>
      <w:r w:rsidRPr="001F4128">
        <w:rPr>
          <w:rFonts w:eastAsia="Times New Roman"/>
          <w:lang w:eastAsia="lv-LV"/>
          <w14:ligatures w14:val="none"/>
        </w:rPr>
        <w:t>This paper is structured using the PEAS framework, a four-step model designed to guide critical thinking and analysis. The framework encourages an iterative process—revisiting each stage as needed to refine the problem, collect additional evidence, or deepen the analysis to reach more informed conclusions (George Brown College, 2025).</w:t>
      </w:r>
    </w:p>
    <w:p w14:paraId="2DB7EDE3" w14:textId="34186655" w:rsidR="00186E51" w:rsidRPr="001F4128" w:rsidRDefault="00186E51" w:rsidP="00C73ECB">
      <w:pPr>
        <w:spacing w:before="100" w:beforeAutospacing="1" w:after="0" w:line="360" w:lineRule="auto"/>
        <w:rPr>
          <w:rFonts w:ascii="Arial" w:hAnsi="Arial" w:cs="Arial"/>
          <w:b/>
          <w:bCs/>
          <w:sz w:val="24"/>
          <w:szCs w:val="24"/>
        </w:rPr>
      </w:pPr>
      <w:r w:rsidRPr="001F4128">
        <w:rPr>
          <w:rFonts w:ascii="Arial" w:hAnsi="Arial" w:cs="Arial"/>
          <w:b/>
          <w:bCs/>
          <w:sz w:val="24"/>
          <w:szCs w:val="24"/>
        </w:rPr>
        <w:t>4.1 Problem Identification, Evidence, and Consequences</w:t>
      </w:r>
      <w:r w:rsidR="00562EE1" w:rsidRPr="001F4128">
        <w:rPr>
          <w:rFonts w:ascii="Arial" w:hAnsi="Arial" w:cs="Arial"/>
          <w:b/>
          <w:bCs/>
          <w:sz w:val="24"/>
          <w:szCs w:val="24"/>
        </w:rPr>
        <w:t>.</w:t>
      </w:r>
    </w:p>
    <w:p w14:paraId="0968DA22" w14:textId="77777777" w:rsidR="00964482" w:rsidRPr="001F4128" w:rsidRDefault="00964482" w:rsidP="00964482">
      <w:pPr>
        <w:pStyle w:val="Default"/>
        <w:spacing w:line="360" w:lineRule="auto"/>
      </w:pPr>
      <w:r w:rsidRPr="001F4128">
        <w:t>Industry evidence shows that the mental health crisis in hospitality arises from two interlinked factors: structural pressures and the limited impact of organisational support. The sector’s long hours, emotional labour, staff shortages, and financial insecurity generate chronic psychological strain (Ayachit and Chitta, 2022; Baker and Kim, 2024; Downes, 2023). While many organisations promote wellbeing programmes, their effectiveness is undermined by poor communication, insufficient managerial training, and stigma around help-seeking (Modern Hospitality, 2024; The Burnt Chef Project, 2023). The researcher’s professional experience reflects these findings: despite existing wellbeing policies, awareness was low and management engagement superficial, with stress often dismissed as “part of the job.” This gap between policy and practice perpetuates burnout and disengagement (Modern Hospitality, 2024; Ayachit and Chitta, 2022). The alignment between personal observation and empirical evidence reinforces that the issue is not the absence of support mechanisms but their limited visibility, inconsistent delivery, and cultural resistance, which collectively perpetuate stress and burnout within the industry.</w:t>
      </w:r>
    </w:p>
    <w:p w14:paraId="7565C0B2" w14:textId="77777777" w:rsidR="00964482" w:rsidRDefault="00964482" w:rsidP="00964482">
      <w:pPr>
        <w:pStyle w:val="Default"/>
        <w:spacing w:line="360" w:lineRule="auto"/>
      </w:pPr>
      <w:r w:rsidRPr="001F4128">
        <w:t xml:space="preserve"> The Job Demands–Resources (JD–R) model (Bakker and Demerouti, 2017) provides a comprehensive framework for understanding how workplace conditions affect employee well-being. It proposes that job demands—such as high workloads, time pressure, emotional labour, and role conflict—require sustained physical and psychological effort, leading to fatigue and stress. Conversely, job resources—including managerial support, autonomy, training, and recognition—help employees cope with these demands, foster motivation, and enhance engagement. When demands chronically exceed available resources, employees experience energy depletion, burnout, and disengagement, while adequate resources can buffer stress and promote resilience and performance. Hobfoll’s (1989) Conservation of </w:t>
      </w:r>
      <w:r w:rsidRPr="001F4128">
        <w:lastRenderedPageBreak/>
        <w:t xml:space="preserve">Resources (COR) theory provides deeper insight into how stress develops and escalates in the workplace. The theory posits that individuals strive to obtain, maintain, and protect valuable resources—such as time, energy, social support, and emotional stability. When these resources are threatened, lost, or not replenished through effective organisational support, employees experience psychological strain. In hospitality, where workloads are heavy and emotional demands are constant, the inability to recover or access supportive mechanisms accelerates resource depletion, leading to heightened stress, vulnerability, and ultimately burnout. Conversely, when organisations actively restore these resources through empathy, training, and wellbeing initiatives, they help rebuild resilience and sustain employee wellbeing. Maslow’s (1943) hierarchy of needs offers an additional lens through which to interpret the sector’s mental health challenges. The model posits that motivation depends on the progressive fulfilment of human needs—from physiological and safety requirements to belonging, esteem, and self-actualisation. Within hospitality, many employees struggle to satisfy even the lower tiers of this hierarchy due to low pay, irregular hours, and job insecurity, leaving them unable to pursue higher-order needs such as belonging or personal growth. This deprivation fosters chronic stress, alienation, and emotional exhaustion, reinforcing the risk of burnout and disengagement. Together, these frameworks reveal that the crisis is sustained not only by workplace stressors but also by systemic failures to provide accessible and meaningful support that meets employees’ fundamental psychological and social needs. The interaction between toxic work culture, stigma, and limited organisational support forms a powerful barrier to mental health progress in hospitality. The consequences are wide-reaching: diminished well-being reduces productivity and service quality, while burnout and attrition threaten workforce stability. Breaking this cycle requires not only the introduction of wellbeing initiatives but also cultural and leadership transformation—anchored in empathy, communication, and consistent managerial accountability. </w:t>
      </w:r>
    </w:p>
    <w:p w14:paraId="7E8BF9D4" w14:textId="77777777" w:rsidR="000C7406" w:rsidRDefault="000C7406" w:rsidP="00964482">
      <w:pPr>
        <w:pStyle w:val="Default"/>
        <w:spacing w:line="360" w:lineRule="auto"/>
      </w:pPr>
    </w:p>
    <w:p w14:paraId="35CBC94E" w14:textId="77777777" w:rsidR="000C7406" w:rsidRDefault="000C7406" w:rsidP="00964482">
      <w:pPr>
        <w:pStyle w:val="Default"/>
        <w:spacing w:line="360" w:lineRule="auto"/>
      </w:pPr>
    </w:p>
    <w:p w14:paraId="3DF98D5E" w14:textId="77777777" w:rsidR="000C7406" w:rsidRDefault="000C7406" w:rsidP="00964482">
      <w:pPr>
        <w:pStyle w:val="Default"/>
        <w:spacing w:line="360" w:lineRule="auto"/>
      </w:pPr>
    </w:p>
    <w:p w14:paraId="0A171F43" w14:textId="77777777" w:rsidR="000C7406" w:rsidRDefault="000C7406" w:rsidP="00964482">
      <w:pPr>
        <w:pStyle w:val="Default"/>
        <w:spacing w:line="360" w:lineRule="auto"/>
      </w:pPr>
    </w:p>
    <w:p w14:paraId="7164A526" w14:textId="77777777" w:rsidR="000C7406" w:rsidRDefault="000C7406" w:rsidP="00964482">
      <w:pPr>
        <w:pStyle w:val="Default"/>
        <w:spacing w:line="360" w:lineRule="auto"/>
      </w:pPr>
    </w:p>
    <w:p w14:paraId="23F2C553" w14:textId="77777777" w:rsidR="000C7406" w:rsidRPr="001F4128" w:rsidRDefault="000C7406" w:rsidP="00964482">
      <w:pPr>
        <w:pStyle w:val="Default"/>
        <w:spacing w:line="360" w:lineRule="auto"/>
      </w:pPr>
    </w:p>
    <w:p w14:paraId="10F26C9E" w14:textId="5EE28683" w:rsidR="00964482" w:rsidRPr="001F4128" w:rsidRDefault="00964482" w:rsidP="00964482">
      <w:pPr>
        <w:pStyle w:val="Default"/>
        <w:spacing w:line="360" w:lineRule="auto"/>
      </w:pPr>
      <w:r w:rsidRPr="001F4128">
        <w:rPr>
          <w:rFonts w:eastAsia="Times New Roman"/>
          <w:lang w:eastAsia="lv-LV"/>
          <w14:ligatures w14:val="none"/>
        </w:rPr>
        <w:lastRenderedPageBreak/>
        <w:pict w14:anchorId="3F3DB081">
          <v:rect id="_x0000_i1037" style="width:468pt;height:1pt" o:hralign="center" o:hrstd="t" o:hr="t" fillcolor="#a0a0a0" stroked="f"/>
        </w:pict>
      </w:r>
    </w:p>
    <w:p w14:paraId="6A9D9047" w14:textId="77777777" w:rsidR="000C7406" w:rsidRDefault="000C7406" w:rsidP="00964482">
      <w:pPr>
        <w:pStyle w:val="Default"/>
        <w:spacing w:line="360" w:lineRule="auto"/>
        <w:rPr>
          <w:b/>
          <w:bCs/>
        </w:rPr>
      </w:pPr>
    </w:p>
    <w:p w14:paraId="6DD15009" w14:textId="6A6D3B60" w:rsidR="000C7406" w:rsidRDefault="000C7406" w:rsidP="000C7406">
      <w:pPr>
        <w:pStyle w:val="Default"/>
        <w:spacing w:line="360" w:lineRule="auto"/>
        <w:rPr>
          <w:b/>
          <w:bCs/>
        </w:rPr>
      </w:pPr>
      <w:r>
        <w:rPr>
          <w:b/>
          <w:bCs/>
        </w:rPr>
        <w:t>5</w:t>
      </w:r>
      <w:r w:rsidRPr="001F4128">
        <w:rPr>
          <w:b/>
          <w:bCs/>
        </w:rPr>
        <w:t xml:space="preserve">. </w:t>
      </w:r>
      <w:r w:rsidR="00D72AAA" w:rsidRPr="001F4128">
        <w:rPr>
          <w:b/>
          <w:bCs/>
        </w:rPr>
        <w:t>Conclusion</w:t>
      </w:r>
      <w:r>
        <w:rPr>
          <w:b/>
          <w:bCs/>
        </w:rPr>
        <w:t>s</w:t>
      </w:r>
      <w:r w:rsidR="00731AB7" w:rsidRPr="001F4128">
        <w:rPr>
          <w:b/>
          <w:bCs/>
        </w:rPr>
        <w:t>.</w:t>
      </w:r>
    </w:p>
    <w:p w14:paraId="1BC91674" w14:textId="4E820A48" w:rsidR="000858D4" w:rsidRPr="000858D4" w:rsidRDefault="000858D4" w:rsidP="000C7406">
      <w:pPr>
        <w:pStyle w:val="Default"/>
        <w:spacing w:line="360" w:lineRule="auto"/>
        <w:rPr>
          <w:b/>
          <w:bCs/>
        </w:rPr>
      </w:pPr>
      <w:r w:rsidRPr="000858D4">
        <w:rPr>
          <w:rFonts w:eastAsia="Times New Roman"/>
          <w:lang w:eastAsia="lv-LV"/>
          <w14:ligatures w14:val="none"/>
        </w:rPr>
        <w:t>As established in the preceding analysis, the mental health crisis in the UK hospitality sector stems from the interaction between structural pressures and insufficient organisational support. It can therefore be concluded that effective progress requires reframing the issue—not as an individual failing but as a systemic challenge demanding both external reform and internal change. While companies have limited capacity to alter structural factors such as pay levels, staffing shortages, or economic instability, they possess significant control over internal conditions, particularly workplace culture, communication, and leadership practices.</w:t>
      </w:r>
    </w:p>
    <w:p w14:paraId="0C6F327E" w14:textId="77777777" w:rsidR="000858D4" w:rsidRPr="000858D4" w:rsidRDefault="000858D4" w:rsidP="000C7406">
      <w:pPr>
        <w:spacing w:after="100" w:afterAutospacing="1" w:line="360" w:lineRule="auto"/>
        <w:rPr>
          <w:rFonts w:ascii="Arial" w:eastAsia="Times New Roman" w:hAnsi="Arial" w:cs="Arial"/>
          <w:kern w:val="0"/>
          <w:sz w:val="24"/>
          <w:szCs w:val="24"/>
          <w:lang w:val="lv-LV" w:eastAsia="lv-LV"/>
          <w14:ligatures w14:val="none"/>
        </w:rPr>
      </w:pPr>
      <w:r w:rsidRPr="000858D4">
        <w:rPr>
          <w:rFonts w:ascii="Arial" w:eastAsia="Times New Roman" w:hAnsi="Arial" w:cs="Arial"/>
          <w:kern w:val="0"/>
          <w:sz w:val="24"/>
          <w:szCs w:val="24"/>
          <w:lang w:val="lv-LV" w:eastAsia="lv-LV"/>
          <w14:ligatures w14:val="none"/>
        </w:rPr>
        <w:t>Industry initiatives such as The Burnt Chef Project and Hospitality Action illustrate how targeted training and open dialogue can enhance psychological safety, while policy frameworks from Acas (2025) and the CIPD (2024) position mental health as both a legal responsibility and a performance driver. Embedding wellbeing within leadership development, HR systems, and employment policy can transform organisational culture from reactive to preventative. Ultimately, prioritising mental health as a core element of “good work” is key to building a sustainable hospitality workforce that balances wellbeing, resilience, and profitability.</w:t>
      </w:r>
    </w:p>
    <w:p w14:paraId="730E8A83" w14:textId="77777777" w:rsidR="00B67BD6" w:rsidRPr="001F4128" w:rsidRDefault="00B67BD6" w:rsidP="006C49B9">
      <w:pPr>
        <w:pStyle w:val="Default"/>
        <w:spacing w:line="360" w:lineRule="auto"/>
      </w:pPr>
    </w:p>
    <w:p w14:paraId="523EC6C4" w14:textId="63D3FCD9" w:rsidR="00B67BD6" w:rsidRPr="001F4128" w:rsidRDefault="00000000" w:rsidP="006C49B9">
      <w:pPr>
        <w:pStyle w:val="Default"/>
        <w:spacing w:line="360" w:lineRule="auto"/>
      </w:pPr>
      <w:r w:rsidRPr="001F4128">
        <w:rPr>
          <w:rFonts w:eastAsia="Times New Roman"/>
          <w:lang w:eastAsia="lv-LV"/>
          <w14:ligatures w14:val="none"/>
        </w:rPr>
        <w:pict w14:anchorId="4D5C2A6A">
          <v:rect id="_x0000_i1033" style="width:468pt;height:1pt" o:hralign="center" o:hrstd="t" o:hr="t" fillcolor="#a0a0a0" stroked="f"/>
        </w:pict>
      </w:r>
    </w:p>
    <w:p w14:paraId="2D116DFF" w14:textId="47238E9E" w:rsidR="00BC22C7" w:rsidRPr="001F4128" w:rsidRDefault="00B67BD6" w:rsidP="003D0D8B">
      <w:pPr>
        <w:spacing w:before="100" w:beforeAutospacing="1" w:after="0" w:line="360" w:lineRule="auto"/>
        <w:outlineLvl w:val="2"/>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6</w:t>
      </w:r>
      <w:r w:rsidR="00BC22C7" w:rsidRPr="001F4128">
        <w:rPr>
          <w:rFonts w:ascii="Arial" w:eastAsia="Times New Roman" w:hAnsi="Arial" w:cs="Arial"/>
          <w:b/>
          <w:bCs/>
          <w:kern w:val="0"/>
          <w:sz w:val="24"/>
          <w:szCs w:val="24"/>
          <w:lang w:val="lv-LV" w:eastAsia="lv-LV"/>
          <w14:ligatures w14:val="none"/>
        </w:rPr>
        <w:t>. Recommendations</w:t>
      </w:r>
      <w:r w:rsidR="003D0D8B" w:rsidRPr="001F4128">
        <w:rPr>
          <w:rFonts w:ascii="Arial" w:eastAsia="Times New Roman" w:hAnsi="Arial" w:cs="Arial"/>
          <w:b/>
          <w:bCs/>
          <w:kern w:val="0"/>
          <w:sz w:val="24"/>
          <w:szCs w:val="24"/>
          <w:lang w:val="lv-LV" w:eastAsia="lv-LV"/>
          <w14:ligatures w14:val="none"/>
        </w:rPr>
        <w:t>.</w:t>
      </w:r>
    </w:p>
    <w:p w14:paraId="10B5A954" w14:textId="3F20C359" w:rsidR="00BC22C7" w:rsidRPr="001F4128" w:rsidRDefault="00BC22C7" w:rsidP="00A2323F">
      <w:p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 xml:space="preserve">Addressing the mental health crisis within the UK hospitality sector requires a strategic, multi-dimensional approach that tackles both structural causes and organisational shortcomings. The following recommendations </w:t>
      </w:r>
      <w:r w:rsidR="00313CF8" w:rsidRPr="001F4128">
        <w:rPr>
          <w:rFonts w:ascii="Arial" w:eastAsia="Times New Roman" w:hAnsi="Arial" w:cs="Arial"/>
          <w:kern w:val="0"/>
          <w:sz w:val="24"/>
          <w:szCs w:val="24"/>
          <w:lang w:val="lv-LV" w:eastAsia="lv-LV"/>
          <w14:ligatures w14:val="none"/>
        </w:rPr>
        <w:t>are based on evidence from recent literature and industry practices</w:t>
      </w:r>
      <w:r w:rsidRPr="001F4128">
        <w:rPr>
          <w:rFonts w:ascii="Arial" w:eastAsia="Times New Roman" w:hAnsi="Arial" w:cs="Arial"/>
          <w:kern w:val="0"/>
          <w:sz w:val="24"/>
          <w:szCs w:val="24"/>
          <w:lang w:val="lv-LV" w:eastAsia="lv-LV"/>
          <w14:ligatures w14:val="none"/>
        </w:rPr>
        <w:t>.</w:t>
      </w:r>
    </w:p>
    <w:p w14:paraId="242DBF41" w14:textId="08A987C4" w:rsidR="00BC22C7" w:rsidRPr="001F4128" w:rsidRDefault="00BC22C7" w:rsidP="00A2323F">
      <w:pPr>
        <w:pStyle w:val="ListParagraph"/>
        <w:numPr>
          <w:ilvl w:val="0"/>
          <w:numId w:val="7"/>
        </w:numPr>
        <w:spacing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Strengthen Leadership through Empathy and Servant Leadership</w:t>
      </w:r>
      <w:r w:rsidR="00A2323F" w:rsidRPr="001F4128">
        <w:rPr>
          <w:rFonts w:ascii="Arial" w:eastAsia="Times New Roman" w:hAnsi="Arial" w:cs="Arial"/>
          <w:kern w:val="0"/>
          <w:sz w:val="24"/>
          <w:szCs w:val="24"/>
          <w:lang w:val="lv-LV" w:eastAsia="lv-LV"/>
          <w14:ligatures w14:val="none"/>
        </w:rPr>
        <w:t>.</w:t>
      </w:r>
      <w:r w:rsidRPr="001F4128">
        <w:rPr>
          <w:rFonts w:ascii="Arial" w:eastAsia="Times New Roman" w:hAnsi="Arial" w:cs="Arial"/>
          <w:kern w:val="0"/>
          <w:sz w:val="24"/>
          <w:szCs w:val="24"/>
          <w:lang w:val="lv-LV" w:eastAsia="lv-LV"/>
          <w14:ligatures w14:val="none"/>
        </w:rPr>
        <w:br/>
        <w:t xml:space="preserve">Empathetic and servant leadership should be at the heart of cultural transformation in hospitality. As Pătru (2024) notes, empathetic leaders build trust, motivation, and engagement, directly enhancing staff morale and guest satisfaction. Adopting the principles of servant leadership—where leaders prioritise the growth, </w:t>
      </w:r>
      <w:r w:rsidR="00B67BD6" w:rsidRPr="001F4128">
        <w:rPr>
          <w:rFonts w:ascii="Arial" w:eastAsia="Times New Roman" w:hAnsi="Arial" w:cs="Arial"/>
          <w:kern w:val="0"/>
          <w:sz w:val="24"/>
          <w:szCs w:val="24"/>
          <w:lang w:val="lv-LV" w:eastAsia="lv-LV"/>
          <w14:ligatures w14:val="none"/>
        </w:rPr>
        <w:t>well-being</w:t>
      </w:r>
      <w:r w:rsidRPr="001F4128">
        <w:rPr>
          <w:rFonts w:ascii="Arial" w:eastAsia="Times New Roman" w:hAnsi="Arial" w:cs="Arial"/>
          <w:kern w:val="0"/>
          <w:sz w:val="24"/>
          <w:szCs w:val="24"/>
          <w:lang w:val="lv-LV" w:eastAsia="lv-LV"/>
          <w14:ligatures w14:val="none"/>
        </w:rPr>
        <w:t>, and empowerment of their teams—</w:t>
      </w:r>
      <w:r w:rsidRPr="001F4128">
        <w:rPr>
          <w:rFonts w:ascii="Arial" w:eastAsia="Times New Roman" w:hAnsi="Arial" w:cs="Arial"/>
          <w:kern w:val="0"/>
          <w:sz w:val="24"/>
          <w:szCs w:val="24"/>
          <w:lang w:val="lv-LV" w:eastAsia="lv-LV"/>
          <w14:ligatures w14:val="none"/>
        </w:rPr>
        <w:lastRenderedPageBreak/>
        <w:t>encourages healthier, more resilient workplaces (Blanchard and Broadwell, 2018). Leadership training programmes should therefore focus on emotional intelligence, compassion, and the ability to recognise early signs of stress or burnout.</w:t>
      </w:r>
    </w:p>
    <w:p w14:paraId="0A0EDBE3" w14:textId="4F5371BE" w:rsidR="00BC22C7" w:rsidRPr="001F4128" w:rsidRDefault="00BC22C7" w:rsidP="00A2323F">
      <w:pPr>
        <w:pStyle w:val="ListParagraph"/>
        <w:numPr>
          <w:ilvl w:val="0"/>
          <w:numId w:val="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Improve Communication and Mental Health Awareness</w:t>
      </w:r>
      <w:r w:rsidR="00810F44" w:rsidRPr="001F4128">
        <w:rPr>
          <w:rFonts w:ascii="Arial" w:eastAsia="Times New Roman" w:hAnsi="Arial" w:cs="Arial"/>
          <w:kern w:val="0"/>
          <w:sz w:val="24"/>
          <w:szCs w:val="24"/>
          <w:lang w:val="lv-LV" w:eastAsia="lv-LV"/>
          <w14:ligatures w14:val="none"/>
        </w:rPr>
        <w:t>.</w:t>
      </w:r>
      <w:r w:rsidRPr="001F4128">
        <w:rPr>
          <w:rFonts w:ascii="Arial" w:eastAsia="Times New Roman" w:hAnsi="Arial" w:cs="Arial"/>
          <w:kern w:val="0"/>
          <w:sz w:val="24"/>
          <w:szCs w:val="24"/>
          <w:lang w:val="lv-LV" w:eastAsia="lv-LV"/>
          <w14:ligatures w14:val="none"/>
        </w:rPr>
        <w:br/>
        <w:t>Research highlights a persistent gap between policy and practice, where many employees are unaware of existing support (Modern Hospitality, 2024; The Burnt Chef Project, 2023). Organisations should ensure that wellbeing resources—such as Employee Assistance Programmes (EAPs), mental health first aiders, and counselling services—are visible and accessible. Regular wellbeing briefings, clear communication channels, and anonymous feedback tools can normalise mental health conversations and encourage help-seeking without fear of stigma.</w:t>
      </w:r>
    </w:p>
    <w:p w14:paraId="77163A93" w14:textId="39F6A241" w:rsidR="00BC22C7" w:rsidRPr="001F4128" w:rsidRDefault="00BC22C7" w:rsidP="00A2323F">
      <w:pPr>
        <w:pStyle w:val="ListParagraph"/>
        <w:numPr>
          <w:ilvl w:val="0"/>
          <w:numId w:val="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Embed Fair Scheduling and Work–Life Balance</w:t>
      </w:r>
      <w:r w:rsidR="00182A5F" w:rsidRPr="001F4128">
        <w:rPr>
          <w:rFonts w:ascii="Arial" w:eastAsia="Times New Roman" w:hAnsi="Arial" w:cs="Arial"/>
          <w:kern w:val="0"/>
          <w:sz w:val="24"/>
          <w:szCs w:val="24"/>
          <w:lang w:val="lv-LV" w:eastAsia="lv-LV"/>
          <w14:ligatures w14:val="none"/>
        </w:rPr>
        <w:t>.</w:t>
      </w:r>
      <w:r w:rsidRPr="001F4128">
        <w:rPr>
          <w:rFonts w:ascii="Arial" w:eastAsia="Times New Roman" w:hAnsi="Arial" w:cs="Arial"/>
          <w:kern w:val="0"/>
          <w:sz w:val="24"/>
          <w:szCs w:val="24"/>
          <w:lang w:val="lv-LV" w:eastAsia="lv-LV"/>
          <w14:ligatures w14:val="none"/>
        </w:rPr>
        <w:br/>
        <w:t>Excessive hours and unpredictable shifts are key drivers of burnout (Ayachit and Chitta, 2022). Employers should adopt fair scheduling practices, ensuring sufficient rest periods, consecutive days off, and predictable rotas. These changes align with the Job Demands–Resources (JD–R) model (Bakker and Demerouti, 2024), which highlights the importance of balancing job demands with adequate recovery opportunities to prevent exhaustion and disengagement.</w:t>
      </w:r>
    </w:p>
    <w:p w14:paraId="2AD21290" w14:textId="45BB5D26" w:rsidR="00BC22C7" w:rsidRPr="0057196D" w:rsidRDefault="00BC22C7" w:rsidP="0057196D">
      <w:pPr>
        <w:pStyle w:val="ListParagraph"/>
        <w:numPr>
          <w:ilvl w:val="0"/>
          <w:numId w:val="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57196D">
        <w:rPr>
          <w:rFonts w:ascii="Arial" w:eastAsia="Times New Roman" w:hAnsi="Arial" w:cs="Arial"/>
          <w:kern w:val="0"/>
          <w:sz w:val="24"/>
          <w:szCs w:val="24"/>
          <w:lang w:val="lv-LV" w:eastAsia="lv-LV"/>
          <w14:ligatures w14:val="none"/>
        </w:rPr>
        <w:t>Develop Scalable Wellbeing Programmes</w:t>
      </w:r>
      <w:r w:rsidR="00182A5F" w:rsidRPr="0057196D">
        <w:rPr>
          <w:rFonts w:ascii="Arial" w:eastAsia="Times New Roman" w:hAnsi="Arial" w:cs="Arial"/>
          <w:kern w:val="0"/>
          <w:sz w:val="24"/>
          <w:szCs w:val="24"/>
          <w:lang w:val="lv-LV" w:eastAsia="lv-LV"/>
          <w14:ligatures w14:val="none"/>
        </w:rPr>
        <w:t>.</w:t>
      </w:r>
      <w:r w:rsidRPr="0057196D">
        <w:rPr>
          <w:rFonts w:ascii="Arial" w:eastAsia="Times New Roman" w:hAnsi="Arial" w:cs="Arial"/>
          <w:kern w:val="0"/>
          <w:sz w:val="24"/>
          <w:szCs w:val="24"/>
          <w:lang w:val="lv-LV" w:eastAsia="lv-LV"/>
          <w14:ligatures w14:val="none"/>
        </w:rPr>
        <w:br/>
        <w:t>While large hotel chains such as Hilton (“Thrive”), Marriott (“TakeCare”), and Accor (“All Heartist”) have implemented effective wellbeing frameworks (Boogaard, 2021), smaller businesses can adapt these models to their scale. Low-cost initiatives—like peer-support networks, recognition schemes, or access to local wellbeing workshops—can foster inclusion and belonging without significant financial burden.</w:t>
      </w:r>
    </w:p>
    <w:p w14:paraId="09DAC713" w14:textId="0104550C" w:rsidR="00EF3E57" w:rsidRPr="00DD47C4" w:rsidRDefault="00EF3E57" w:rsidP="0057196D">
      <w:pPr>
        <w:pStyle w:val="ListParagraph"/>
        <w:numPr>
          <w:ilvl w:val="0"/>
          <w:numId w:val="7"/>
        </w:numPr>
        <w:spacing w:before="100" w:beforeAutospacing="1" w:after="100" w:afterAutospacing="1" w:line="360" w:lineRule="auto"/>
        <w:outlineLvl w:val="2"/>
        <w:rPr>
          <w:rFonts w:ascii="Arial" w:eastAsia="Times New Roman" w:hAnsi="Arial" w:cs="Arial"/>
          <w:kern w:val="0"/>
          <w:sz w:val="24"/>
          <w:szCs w:val="24"/>
          <w:lang w:val="lv-LV" w:eastAsia="lv-LV"/>
          <w14:ligatures w14:val="none"/>
        </w:rPr>
      </w:pPr>
      <w:r w:rsidRPr="00DD47C4">
        <w:rPr>
          <w:rFonts w:ascii="Arial" w:eastAsia="Times New Roman" w:hAnsi="Arial" w:cs="Arial"/>
          <w:kern w:val="0"/>
          <w:sz w:val="24"/>
          <w:szCs w:val="24"/>
          <w:lang w:val="lv-LV" w:eastAsia="lv-LV"/>
          <w14:ligatures w14:val="none"/>
        </w:rPr>
        <w:t>Foster a Supportive and Psychologically Safe Work Culture</w:t>
      </w:r>
      <w:r w:rsidR="00DD47C4" w:rsidRPr="00DD47C4">
        <w:rPr>
          <w:rFonts w:ascii="Arial" w:eastAsia="Times New Roman" w:hAnsi="Arial" w:cs="Arial"/>
          <w:kern w:val="0"/>
          <w:sz w:val="24"/>
          <w:szCs w:val="24"/>
          <w:lang w:val="lv-LV" w:eastAsia="lv-LV"/>
          <w14:ligatures w14:val="none"/>
        </w:rPr>
        <w:t>.</w:t>
      </w:r>
    </w:p>
    <w:p w14:paraId="2913CD6A" w14:textId="77777777" w:rsidR="00EF3E57" w:rsidRPr="0057196D" w:rsidRDefault="00EF3E57" w:rsidP="0057196D">
      <w:pPr>
        <w:pStyle w:val="ListParagraph"/>
        <w:spacing w:before="100" w:beforeAutospacing="1" w:after="100" w:afterAutospacing="1" w:line="360" w:lineRule="auto"/>
        <w:rPr>
          <w:rFonts w:ascii="Arial" w:eastAsia="Times New Roman" w:hAnsi="Arial" w:cs="Arial"/>
          <w:kern w:val="0"/>
          <w:sz w:val="24"/>
          <w:szCs w:val="24"/>
          <w:lang w:val="lv-LV" w:eastAsia="lv-LV"/>
          <w14:ligatures w14:val="none"/>
        </w:rPr>
      </w:pPr>
      <w:r w:rsidRPr="0057196D">
        <w:rPr>
          <w:rFonts w:ascii="Arial" w:eastAsia="Times New Roman" w:hAnsi="Arial" w:cs="Arial"/>
          <w:kern w:val="0"/>
          <w:sz w:val="24"/>
          <w:szCs w:val="24"/>
          <w:lang w:val="lv-LV" w:eastAsia="lv-LV"/>
          <w14:ligatures w14:val="none"/>
        </w:rPr>
        <w:t xml:space="preserve">Cultural transformation remains central to addressing the hospitality sector’s entrenched “toughness” mentality (Leach, 2024). Employers and leaders must actively promote psychological safety by normalising conversations about mental health, recognising employee achievements, and creating inclusive spaces for open dialogue. Encouraging managers to model healthy </w:t>
      </w:r>
      <w:r w:rsidRPr="0057196D">
        <w:rPr>
          <w:rFonts w:ascii="Arial" w:eastAsia="Times New Roman" w:hAnsi="Arial" w:cs="Arial"/>
          <w:kern w:val="0"/>
          <w:sz w:val="24"/>
          <w:szCs w:val="24"/>
          <w:lang w:val="lv-LV" w:eastAsia="lv-LV"/>
          <w14:ligatures w14:val="none"/>
        </w:rPr>
        <w:lastRenderedPageBreak/>
        <w:t>behaviours—taking breaks, acknowledging stress, and showing vulnerability—helps dismantle stigma and builds trust. Initiatives such as anonymous feedback channels, peer-support groups, and wellbeing recognition schemes can further embed openness into organisational culture. Ultimately, integrating these values into company missions and leadership practices establishes wellbeing as a shared responsibility and a cornerstone of sustainable workforce engagement.</w:t>
      </w:r>
    </w:p>
    <w:p w14:paraId="3161540A" w14:textId="16F080B6" w:rsidR="0076603E" w:rsidRPr="0057196D" w:rsidRDefault="001E505C" w:rsidP="0057196D">
      <w:pPr>
        <w:pStyle w:val="ListParagraph"/>
        <w:numPr>
          <w:ilvl w:val="0"/>
          <w:numId w:val="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57196D">
        <w:rPr>
          <w:rFonts w:ascii="Arial" w:hAnsi="Arial" w:cs="Arial"/>
          <w:sz w:val="24"/>
          <w:szCs w:val="24"/>
        </w:rPr>
        <w:t xml:space="preserve">Following the </w:t>
      </w:r>
      <w:r w:rsidRPr="0057196D">
        <w:rPr>
          <w:rStyle w:val="Emphasis"/>
          <w:rFonts w:ascii="Arial" w:hAnsi="Arial" w:cs="Arial"/>
          <w:i w:val="0"/>
          <w:iCs w:val="0"/>
          <w:sz w:val="24"/>
          <w:szCs w:val="24"/>
        </w:rPr>
        <w:t>CIPD’s</w:t>
      </w:r>
      <w:r w:rsidRPr="0057196D">
        <w:rPr>
          <w:rFonts w:ascii="Arial" w:hAnsi="Arial" w:cs="Arial"/>
          <w:sz w:val="24"/>
          <w:szCs w:val="24"/>
        </w:rPr>
        <w:t xml:space="preserve"> (2024) framework, organisations should formalise mental health within HR policy through </w:t>
      </w:r>
      <w:r w:rsidRPr="0057196D">
        <w:rPr>
          <w:rStyle w:val="Strong"/>
          <w:rFonts w:ascii="Arial" w:hAnsi="Arial" w:cs="Arial"/>
          <w:b w:val="0"/>
          <w:bCs w:val="0"/>
          <w:sz w:val="24"/>
          <w:szCs w:val="24"/>
        </w:rPr>
        <w:t>prevention, early intervention, and sustained support</w:t>
      </w:r>
      <w:r w:rsidRPr="0057196D">
        <w:rPr>
          <w:rFonts w:ascii="Arial" w:hAnsi="Arial" w:cs="Arial"/>
          <w:b/>
          <w:bCs/>
          <w:sz w:val="24"/>
          <w:szCs w:val="24"/>
        </w:rPr>
        <w:t>.</w:t>
      </w:r>
      <w:r w:rsidRPr="0057196D">
        <w:rPr>
          <w:rFonts w:ascii="Arial" w:hAnsi="Arial" w:cs="Arial"/>
          <w:sz w:val="24"/>
          <w:szCs w:val="24"/>
        </w:rPr>
        <w:t xml:space="preserve"> This includes establishing Wellness Action Plans, clear return-to-work procedures, and confidential access to counselling and Employee Assistance Programmes (EAPs). Regular training for managers in mental-health literacy should be mandatory, supported by government-backed initiatives and sector-wide standards for fair scheduling and rest periods.</w:t>
      </w:r>
    </w:p>
    <w:p w14:paraId="357F14B9" w14:textId="2050B69B" w:rsidR="00BC22C7" w:rsidRPr="0057196D" w:rsidRDefault="00BC22C7" w:rsidP="0057196D">
      <w:pPr>
        <w:pStyle w:val="ListParagraph"/>
        <w:numPr>
          <w:ilvl w:val="0"/>
          <w:numId w:val="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57196D">
        <w:rPr>
          <w:rFonts w:ascii="Arial" w:eastAsia="Times New Roman" w:hAnsi="Arial" w:cs="Arial"/>
          <w:kern w:val="0"/>
          <w:sz w:val="24"/>
          <w:szCs w:val="24"/>
          <w:lang w:val="lv-LV" w:eastAsia="lv-LV"/>
          <w14:ligatures w14:val="none"/>
        </w:rPr>
        <w:t>Monitor Progress and Accountability</w:t>
      </w:r>
      <w:r w:rsidR="00250766" w:rsidRPr="0057196D">
        <w:rPr>
          <w:rFonts w:ascii="Arial" w:eastAsia="Times New Roman" w:hAnsi="Arial" w:cs="Arial"/>
          <w:kern w:val="0"/>
          <w:sz w:val="24"/>
          <w:szCs w:val="24"/>
          <w:lang w:val="lv-LV" w:eastAsia="lv-LV"/>
          <w14:ligatures w14:val="none"/>
        </w:rPr>
        <w:t>.</w:t>
      </w:r>
      <w:r w:rsidRPr="0057196D">
        <w:rPr>
          <w:rFonts w:ascii="Arial" w:eastAsia="Times New Roman" w:hAnsi="Arial" w:cs="Arial"/>
          <w:kern w:val="0"/>
          <w:sz w:val="24"/>
          <w:szCs w:val="24"/>
          <w:lang w:val="lv-LV" w:eastAsia="lv-LV"/>
          <w14:ligatures w14:val="none"/>
        </w:rPr>
        <w:br/>
        <w:t xml:space="preserve">Finally, organisations should integrate mental health metrics into regular performance reviews and staff surveys to assess progress and accountability. Transparent reporting on wellbeing outcomes reinforces trust and demonstrates </w:t>
      </w:r>
      <w:r w:rsidR="000A0868" w:rsidRPr="0057196D">
        <w:rPr>
          <w:rFonts w:ascii="Arial" w:eastAsia="Times New Roman" w:hAnsi="Arial" w:cs="Arial"/>
          <w:kern w:val="0"/>
          <w:sz w:val="24"/>
          <w:szCs w:val="24"/>
          <w:lang w:val="lv-LV" w:eastAsia="lv-LV"/>
          <w14:ligatures w14:val="none"/>
        </w:rPr>
        <w:t xml:space="preserve">a </w:t>
      </w:r>
      <w:r w:rsidRPr="0057196D">
        <w:rPr>
          <w:rFonts w:ascii="Arial" w:eastAsia="Times New Roman" w:hAnsi="Arial" w:cs="Arial"/>
          <w:kern w:val="0"/>
          <w:sz w:val="24"/>
          <w:szCs w:val="24"/>
          <w:lang w:val="lv-LV" w:eastAsia="lv-LV"/>
          <w14:ligatures w14:val="none"/>
        </w:rPr>
        <w:t>genuine commitment to improvement.</w:t>
      </w:r>
    </w:p>
    <w:p w14:paraId="0FEDC3D1" w14:textId="7A18C0B2" w:rsidR="00D23E56" w:rsidRPr="001F4128" w:rsidRDefault="00150D3E" w:rsidP="0057196D">
      <w:pPr>
        <w:spacing w:line="360" w:lineRule="auto"/>
        <w:rPr>
          <w:rFonts w:ascii="Arial" w:eastAsia="Times New Roman" w:hAnsi="Arial" w:cs="Arial"/>
          <w:kern w:val="0"/>
          <w:sz w:val="24"/>
          <w:szCs w:val="24"/>
          <w:lang w:val="lv-LV" w:eastAsia="lv-LV"/>
          <w14:ligatures w14:val="none"/>
        </w:rPr>
      </w:pPr>
      <w:r w:rsidRPr="0057196D">
        <w:rPr>
          <w:rFonts w:ascii="Arial" w:hAnsi="Arial" w:cs="Arial"/>
          <w:sz w:val="24"/>
          <w:szCs w:val="24"/>
        </w:rPr>
        <w:t xml:space="preserve">A sustainable hospitality workforce depends on </w:t>
      </w:r>
      <w:r w:rsidR="00087E8E" w:rsidRPr="0057196D">
        <w:rPr>
          <w:rFonts w:ascii="Arial" w:hAnsi="Arial" w:cs="Arial"/>
          <w:sz w:val="24"/>
          <w:szCs w:val="24"/>
        </w:rPr>
        <w:t>striking a balance between commercial objectives and employee well-being</w:t>
      </w:r>
      <w:r w:rsidRPr="0057196D">
        <w:rPr>
          <w:rFonts w:ascii="Arial" w:hAnsi="Arial" w:cs="Arial"/>
          <w:sz w:val="24"/>
          <w:szCs w:val="24"/>
        </w:rPr>
        <w:t>. Policy frameworks now provide both the mandate and the opportunity to act. By embedding wellbeing into leadership practice, HR systems, and policy compliance, the sector can move beyond short-term fixes toward lasting cultural and structural transformation—ensuring that people and profit are not competing priorities but mutually reinforcing foundations of success.</w:t>
      </w:r>
      <w:r w:rsidR="00D23E56" w:rsidRPr="001F4128">
        <w:rPr>
          <w:rFonts w:ascii="Arial" w:eastAsia="Times New Roman" w:hAnsi="Arial" w:cs="Arial"/>
          <w:kern w:val="0"/>
          <w:sz w:val="24"/>
          <w:szCs w:val="24"/>
          <w:lang w:val="lv-LV" w:eastAsia="lv-LV"/>
          <w14:ligatures w14:val="none"/>
        </w:rPr>
        <w:br w:type="page"/>
      </w:r>
    </w:p>
    <w:p w14:paraId="7B0B4CF7" w14:textId="0DE705C7" w:rsidR="00BC22C7" w:rsidRPr="001F4128" w:rsidRDefault="00000000" w:rsidP="00CB13D1">
      <w:pPr>
        <w:spacing w:before="100" w:beforeAutospacing="1"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lastRenderedPageBreak/>
        <w:pict w14:anchorId="2F7DF32E">
          <v:rect id="_x0000_i1034" style="width:468pt;height:1pt" o:hralign="center" o:hrstd="t" o:hr="t" fillcolor="#a0a0a0" stroked="f"/>
        </w:pict>
      </w:r>
    </w:p>
    <w:p w14:paraId="12EAD2E0" w14:textId="559C055A" w:rsidR="00D65376" w:rsidRPr="001F4128" w:rsidRDefault="00D65376" w:rsidP="00D65376">
      <w:pPr>
        <w:spacing w:after="100" w:afterAutospacing="1" w:line="360" w:lineRule="auto"/>
        <w:rPr>
          <w:rFonts w:ascii="Arial" w:eastAsia="Times New Roman" w:hAnsi="Arial" w:cs="Arial"/>
          <w:b/>
          <w:kern w:val="0"/>
          <w:sz w:val="24"/>
          <w:szCs w:val="24"/>
          <w:lang w:eastAsia="en-GB"/>
          <w14:ligatures w14:val="none"/>
        </w:rPr>
      </w:pPr>
      <w:r w:rsidRPr="001F4128">
        <w:rPr>
          <w:rFonts w:ascii="Arial" w:eastAsia="Times New Roman" w:hAnsi="Arial" w:cs="Arial"/>
          <w:b/>
          <w:kern w:val="0"/>
          <w:sz w:val="24"/>
          <w:szCs w:val="24"/>
          <w:lang w:eastAsia="en-GB"/>
          <w14:ligatures w14:val="none"/>
        </w:rPr>
        <w:t xml:space="preserve"> Reference list</w:t>
      </w:r>
      <w:r w:rsidR="00105D3E">
        <w:rPr>
          <w:rFonts w:ascii="Arial" w:eastAsia="Times New Roman" w:hAnsi="Arial" w:cs="Arial"/>
          <w:b/>
          <w:kern w:val="0"/>
          <w:sz w:val="24"/>
          <w:szCs w:val="24"/>
          <w:lang w:eastAsia="en-GB"/>
          <w14:ligatures w14:val="none"/>
        </w:rPr>
        <w:t>:</w:t>
      </w:r>
    </w:p>
    <w:p w14:paraId="077E4A08" w14:textId="77777777" w:rsidR="00D65376" w:rsidRPr="001F4128" w:rsidRDefault="00D65376" w:rsidP="00BC22C7">
      <w:pPr>
        <w:spacing w:before="100" w:beforeAutospacing="1" w:after="100" w:afterAutospacing="1" w:line="240" w:lineRule="auto"/>
        <w:rPr>
          <w:rFonts w:ascii="Times New Roman" w:eastAsia="Times New Roman" w:hAnsi="Times New Roman" w:cs="Times New Roman"/>
          <w:kern w:val="0"/>
          <w:sz w:val="24"/>
          <w:szCs w:val="24"/>
          <w:lang w:val="lv-LV" w:eastAsia="lv-LV"/>
          <w14:ligatures w14:val="none"/>
        </w:rPr>
      </w:pPr>
    </w:p>
    <w:p w14:paraId="212B75C3" w14:textId="77777777" w:rsidR="00AF0DDB" w:rsidRPr="001F4128" w:rsidRDefault="00AF0DDB" w:rsidP="006C49B9">
      <w:pPr>
        <w:pStyle w:val="Default"/>
        <w:spacing w:line="360" w:lineRule="auto"/>
      </w:pPr>
    </w:p>
    <w:p w14:paraId="778C0DE4" w14:textId="77777777" w:rsidR="00E20D35" w:rsidRPr="001F4128" w:rsidRDefault="00E20D35" w:rsidP="006C49B9">
      <w:pPr>
        <w:spacing w:line="360" w:lineRule="auto"/>
        <w:rPr>
          <w:rFonts w:ascii="Arial" w:hAnsi="Arial" w:cs="Arial"/>
          <w:sz w:val="24"/>
          <w:szCs w:val="24"/>
        </w:rPr>
      </w:pPr>
    </w:p>
    <w:sectPr w:rsidR="00E20D35" w:rsidRPr="001F4128" w:rsidSect="00E20D3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7651C" w14:textId="77777777" w:rsidR="009B2315" w:rsidRDefault="009B2315" w:rsidP="00965781">
      <w:pPr>
        <w:spacing w:after="0" w:line="240" w:lineRule="auto"/>
      </w:pPr>
      <w:r>
        <w:separator/>
      </w:r>
    </w:p>
  </w:endnote>
  <w:endnote w:type="continuationSeparator" w:id="0">
    <w:p w14:paraId="504777C7" w14:textId="77777777" w:rsidR="009B2315" w:rsidRDefault="009B2315" w:rsidP="00965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5425124"/>
      <w:docPartObj>
        <w:docPartGallery w:val="Page Numbers (Bottom of Page)"/>
        <w:docPartUnique/>
      </w:docPartObj>
    </w:sdtPr>
    <w:sdtEndPr>
      <w:rPr>
        <w:noProof/>
      </w:rPr>
    </w:sdtEndPr>
    <w:sdtContent>
      <w:p w14:paraId="6802FB36" w14:textId="3D03C2C5" w:rsidR="00965781" w:rsidRDefault="009657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92F3E6" w14:textId="77777777" w:rsidR="00965781" w:rsidRDefault="009657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A6990" w14:textId="77777777" w:rsidR="009B2315" w:rsidRDefault="009B2315" w:rsidP="00965781">
      <w:pPr>
        <w:spacing w:after="0" w:line="240" w:lineRule="auto"/>
      </w:pPr>
      <w:r>
        <w:separator/>
      </w:r>
    </w:p>
  </w:footnote>
  <w:footnote w:type="continuationSeparator" w:id="0">
    <w:p w14:paraId="1017988C" w14:textId="77777777" w:rsidR="009B2315" w:rsidRDefault="009B2315" w:rsidP="009657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D38D9"/>
    <w:multiLevelType w:val="hybridMultilevel"/>
    <w:tmpl w:val="5AAAB376"/>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AE27369"/>
    <w:multiLevelType w:val="hybridMultilevel"/>
    <w:tmpl w:val="80001E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A445328"/>
    <w:multiLevelType w:val="hybridMultilevel"/>
    <w:tmpl w:val="B970A26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4E514D13"/>
    <w:multiLevelType w:val="hybridMultilevel"/>
    <w:tmpl w:val="19B69960"/>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4" w15:restartNumberingAfterBreak="0">
    <w:nsid w:val="4E9C7D3D"/>
    <w:multiLevelType w:val="hybridMultilevel"/>
    <w:tmpl w:val="D1AA24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0993E10"/>
    <w:multiLevelType w:val="hybridMultilevel"/>
    <w:tmpl w:val="605E53E2"/>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6" w15:restartNumberingAfterBreak="0">
    <w:nsid w:val="562D483E"/>
    <w:multiLevelType w:val="hybridMultilevel"/>
    <w:tmpl w:val="28B02EB8"/>
    <w:lvl w:ilvl="0" w:tplc="0426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5EB8019E"/>
    <w:multiLevelType w:val="hybridMultilevel"/>
    <w:tmpl w:val="C30E61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4A96EF3"/>
    <w:multiLevelType w:val="multilevel"/>
    <w:tmpl w:val="3AAC3A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7F7BF0"/>
    <w:multiLevelType w:val="hybridMultilevel"/>
    <w:tmpl w:val="FD9CD67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 w15:restartNumberingAfterBreak="0">
    <w:nsid w:val="6DC9107F"/>
    <w:multiLevelType w:val="hybridMultilevel"/>
    <w:tmpl w:val="B874DA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4616B66"/>
    <w:multiLevelType w:val="hybridMultilevel"/>
    <w:tmpl w:val="760C2B70"/>
    <w:lvl w:ilvl="0" w:tplc="2E0286A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7ABA7C38"/>
    <w:multiLevelType w:val="hybridMultilevel"/>
    <w:tmpl w:val="7140100C"/>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num w:numId="1" w16cid:durableId="815610617">
    <w:abstractNumId w:val="6"/>
  </w:num>
  <w:num w:numId="2" w16cid:durableId="1339654001">
    <w:abstractNumId w:val="9"/>
  </w:num>
  <w:num w:numId="3" w16cid:durableId="48967760">
    <w:abstractNumId w:val="8"/>
  </w:num>
  <w:num w:numId="4" w16cid:durableId="974675760">
    <w:abstractNumId w:val="12"/>
  </w:num>
  <w:num w:numId="5" w16cid:durableId="1738552298">
    <w:abstractNumId w:val="5"/>
  </w:num>
  <w:num w:numId="6" w16cid:durableId="33315103">
    <w:abstractNumId w:val="3"/>
  </w:num>
  <w:num w:numId="7" w16cid:durableId="1408763273">
    <w:abstractNumId w:val="0"/>
  </w:num>
  <w:num w:numId="8" w16cid:durableId="768743932">
    <w:abstractNumId w:val="11"/>
  </w:num>
  <w:num w:numId="9" w16cid:durableId="237986951">
    <w:abstractNumId w:val="10"/>
  </w:num>
  <w:num w:numId="10" w16cid:durableId="2034571169">
    <w:abstractNumId w:val="1"/>
  </w:num>
  <w:num w:numId="11" w16cid:durableId="942490600">
    <w:abstractNumId w:val="7"/>
  </w:num>
  <w:num w:numId="12" w16cid:durableId="356085505">
    <w:abstractNumId w:val="2"/>
  </w:num>
  <w:num w:numId="13" w16cid:durableId="4748318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FD702F"/>
    <w:rsid w:val="00000AFE"/>
    <w:rsid w:val="00050E2B"/>
    <w:rsid w:val="00056871"/>
    <w:rsid w:val="000726CC"/>
    <w:rsid w:val="0007416B"/>
    <w:rsid w:val="00083447"/>
    <w:rsid w:val="000845F8"/>
    <w:rsid w:val="000858D4"/>
    <w:rsid w:val="00087B6C"/>
    <w:rsid w:val="00087E8E"/>
    <w:rsid w:val="00091733"/>
    <w:rsid w:val="00092ECE"/>
    <w:rsid w:val="00095AF5"/>
    <w:rsid w:val="000A0868"/>
    <w:rsid w:val="000A3827"/>
    <w:rsid w:val="000A6DEE"/>
    <w:rsid w:val="000B0122"/>
    <w:rsid w:val="000C7406"/>
    <w:rsid w:val="000D3834"/>
    <w:rsid w:val="000E028C"/>
    <w:rsid w:val="000E26AE"/>
    <w:rsid w:val="000E57B5"/>
    <w:rsid w:val="000F03DC"/>
    <w:rsid w:val="000F1E74"/>
    <w:rsid w:val="000F3B3A"/>
    <w:rsid w:val="00105D3E"/>
    <w:rsid w:val="00110A8C"/>
    <w:rsid w:val="00140655"/>
    <w:rsid w:val="00140D14"/>
    <w:rsid w:val="00146B7E"/>
    <w:rsid w:val="00150D3E"/>
    <w:rsid w:val="001616EF"/>
    <w:rsid w:val="0016212A"/>
    <w:rsid w:val="00175D71"/>
    <w:rsid w:val="00182A5F"/>
    <w:rsid w:val="00185C71"/>
    <w:rsid w:val="00186E51"/>
    <w:rsid w:val="0019232E"/>
    <w:rsid w:val="001955C9"/>
    <w:rsid w:val="00197AB7"/>
    <w:rsid w:val="001B2257"/>
    <w:rsid w:val="001B4DA6"/>
    <w:rsid w:val="001C011E"/>
    <w:rsid w:val="001C3334"/>
    <w:rsid w:val="001C7FEE"/>
    <w:rsid w:val="001E505C"/>
    <w:rsid w:val="001E7D85"/>
    <w:rsid w:val="001F163D"/>
    <w:rsid w:val="001F4128"/>
    <w:rsid w:val="00203169"/>
    <w:rsid w:val="002156F2"/>
    <w:rsid w:val="00244CD3"/>
    <w:rsid w:val="00250766"/>
    <w:rsid w:val="002514C6"/>
    <w:rsid w:val="002566D5"/>
    <w:rsid w:val="00262E30"/>
    <w:rsid w:val="00275FCF"/>
    <w:rsid w:val="00280496"/>
    <w:rsid w:val="002A58E2"/>
    <w:rsid w:val="002D188D"/>
    <w:rsid w:val="002D5B96"/>
    <w:rsid w:val="002E24E4"/>
    <w:rsid w:val="002F33B2"/>
    <w:rsid w:val="00313CF8"/>
    <w:rsid w:val="00337FD1"/>
    <w:rsid w:val="00341248"/>
    <w:rsid w:val="00346A50"/>
    <w:rsid w:val="00383065"/>
    <w:rsid w:val="00385A51"/>
    <w:rsid w:val="00393BE0"/>
    <w:rsid w:val="003A6A80"/>
    <w:rsid w:val="003B3FA6"/>
    <w:rsid w:val="003D0D8B"/>
    <w:rsid w:val="003D58BE"/>
    <w:rsid w:val="003E2377"/>
    <w:rsid w:val="003F73C9"/>
    <w:rsid w:val="00401A19"/>
    <w:rsid w:val="004111E0"/>
    <w:rsid w:val="004632DB"/>
    <w:rsid w:val="004753A3"/>
    <w:rsid w:val="00476F7C"/>
    <w:rsid w:val="00486A9D"/>
    <w:rsid w:val="00487216"/>
    <w:rsid w:val="004877A8"/>
    <w:rsid w:val="004B6878"/>
    <w:rsid w:val="004D57F4"/>
    <w:rsid w:val="004D7489"/>
    <w:rsid w:val="004E19C1"/>
    <w:rsid w:val="004F45A7"/>
    <w:rsid w:val="005028A2"/>
    <w:rsid w:val="00502D4B"/>
    <w:rsid w:val="00506A22"/>
    <w:rsid w:val="005277AB"/>
    <w:rsid w:val="005378C1"/>
    <w:rsid w:val="00562EE1"/>
    <w:rsid w:val="0057196D"/>
    <w:rsid w:val="005C5E60"/>
    <w:rsid w:val="005D251B"/>
    <w:rsid w:val="005D2F42"/>
    <w:rsid w:val="005E748A"/>
    <w:rsid w:val="005F360E"/>
    <w:rsid w:val="00604957"/>
    <w:rsid w:val="00625DA7"/>
    <w:rsid w:val="006352FD"/>
    <w:rsid w:val="0063777E"/>
    <w:rsid w:val="00645C8F"/>
    <w:rsid w:val="0065050C"/>
    <w:rsid w:val="00652C57"/>
    <w:rsid w:val="00660FAD"/>
    <w:rsid w:val="00686076"/>
    <w:rsid w:val="006942A7"/>
    <w:rsid w:val="006A5731"/>
    <w:rsid w:val="006B1AFB"/>
    <w:rsid w:val="006C49B9"/>
    <w:rsid w:val="006D55F9"/>
    <w:rsid w:val="006E1721"/>
    <w:rsid w:val="00711C02"/>
    <w:rsid w:val="00713D50"/>
    <w:rsid w:val="00716022"/>
    <w:rsid w:val="00717E63"/>
    <w:rsid w:val="00720676"/>
    <w:rsid w:val="00731AB7"/>
    <w:rsid w:val="00753B05"/>
    <w:rsid w:val="007570FC"/>
    <w:rsid w:val="007642B8"/>
    <w:rsid w:val="0076603E"/>
    <w:rsid w:val="00784FC9"/>
    <w:rsid w:val="0078509C"/>
    <w:rsid w:val="00793229"/>
    <w:rsid w:val="00796DE4"/>
    <w:rsid w:val="007C32D3"/>
    <w:rsid w:val="007C7DBE"/>
    <w:rsid w:val="007D101F"/>
    <w:rsid w:val="007D56AB"/>
    <w:rsid w:val="007F6807"/>
    <w:rsid w:val="00802357"/>
    <w:rsid w:val="00810F44"/>
    <w:rsid w:val="0081711B"/>
    <w:rsid w:val="008338D4"/>
    <w:rsid w:val="008C2EC0"/>
    <w:rsid w:val="008E31CB"/>
    <w:rsid w:val="0090135B"/>
    <w:rsid w:val="00907D39"/>
    <w:rsid w:val="009346A8"/>
    <w:rsid w:val="00946086"/>
    <w:rsid w:val="00955ED5"/>
    <w:rsid w:val="00964482"/>
    <w:rsid w:val="00965781"/>
    <w:rsid w:val="00971A84"/>
    <w:rsid w:val="00975112"/>
    <w:rsid w:val="00977BB0"/>
    <w:rsid w:val="00977C38"/>
    <w:rsid w:val="00996F02"/>
    <w:rsid w:val="009A3995"/>
    <w:rsid w:val="009B2315"/>
    <w:rsid w:val="009B6112"/>
    <w:rsid w:val="009B6808"/>
    <w:rsid w:val="009C0066"/>
    <w:rsid w:val="009C5C2F"/>
    <w:rsid w:val="00A15F93"/>
    <w:rsid w:val="00A217CC"/>
    <w:rsid w:val="00A2323F"/>
    <w:rsid w:val="00A34454"/>
    <w:rsid w:val="00A36C8C"/>
    <w:rsid w:val="00A4164E"/>
    <w:rsid w:val="00A423DA"/>
    <w:rsid w:val="00A46495"/>
    <w:rsid w:val="00A474F7"/>
    <w:rsid w:val="00A47D80"/>
    <w:rsid w:val="00A60A4B"/>
    <w:rsid w:val="00A64D5F"/>
    <w:rsid w:val="00A939EF"/>
    <w:rsid w:val="00AA5297"/>
    <w:rsid w:val="00AD19BB"/>
    <w:rsid w:val="00AE25AD"/>
    <w:rsid w:val="00AE4C9C"/>
    <w:rsid w:val="00AE53D7"/>
    <w:rsid w:val="00AF0DDB"/>
    <w:rsid w:val="00B00078"/>
    <w:rsid w:val="00B1465A"/>
    <w:rsid w:val="00B164E3"/>
    <w:rsid w:val="00B24A9A"/>
    <w:rsid w:val="00B57719"/>
    <w:rsid w:val="00B67BD6"/>
    <w:rsid w:val="00B836A8"/>
    <w:rsid w:val="00B86F01"/>
    <w:rsid w:val="00BB14E3"/>
    <w:rsid w:val="00BB43A5"/>
    <w:rsid w:val="00BB6798"/>
    <w:rsid w:val="00BC22C7"/>
    <w:rsid w:val="00BF22ED"/>
    <w:rsid w:val="00BF4D99"/>
    <w:rsid w:val="00C0009C"/>
    <w:rsid w:val="00C015FC"/>
    <w:rsid w:val="00C177A1"/>
    <w:rsid w:val="00C26538"/>
    <w:rsid w:val="00C3596D"/>
    <w:rsid w:val="00C512AE"/>
    <w:rsid w:val="00C671A7"/>
    <w:rsid w:val="00C70031"/>
    <w:rsid w:val="00C71FC3"/>
    <w:rsid w:val="00C73ECB"/>
    <w:rsid w:val="00C76CA2"/>
    <w:rsid w:val="00C84FEA"/>
    <w:rsid w:val="00C90CA7"/>
    <w:rsid w:val="00CA12D6"/>
    <w:rsid w:val="00CA4E1A"/>
    <w:rsid w:val="00CB13D1"/>
    <w:rsid w:val="00CB2093"/>
    <w:rsid w:val="00CB69C5"/>
    <w:rsid w:val="00CB7E75"/>
    <w:rsid w:val="00CC2454"/>
    <w:rsid w:val="00CD2857"/>
    <w:rsid w:val="00CD3CB6"/>
    <w:rsid w:val="00D03173"/>
    <w:rsid w:val="00D07F9E"/>
    <w:rsid w:val="00D14A9D"/>
    <w:rsid w:val="00D17545"/>
    <w:rsid w:val="00D20CE1"/>
    <w:rsid w:val="00D23E56"/>
    <w:rsid w:val="00D24D67"/>
    <w:rsid w:val="00D423DC"/>
    <w:rsid w:val="00D6509E"/>
    <w:rsid w:val="00D65376"/>
    <w:rsid w:val="00D66AF0"/>
    <w:rsid w:val="00D72AAA"/>
    <w:rsid w:val="00DA1782"/>
    <w:rsid w:val="00DC1753"/>
    <w:rsid w:val="00DD47C4"/>
    <w:rsid w:val="00DF158A"/>
    <w:rsid w:val="00E03DE1"/>
    <w:rsid w:val="00E20D35"/>
    <w:rsid w:val="00E226B2"/>
    <w:rsid w:val="00E27ACB"/>
    <w:rsid w:val="00E30066"/>
    <w:rsid w:val="00E35879"/>
    <w:rsid w:val="00E563A4"/>
    <w:rsid w:val="00E63203"/>
    <w:rsid w:val="00E721D2"/>
    <w:rsid w:val="00E7722C"/>
    <w:rsid w:val="00E77E97"/>
    <w:rsid w:val="00E80FCF"/>
    <w:rsid w:val="00EA1241"/>
    <w:rsid w:val="00EA6F80"/>
    <w:rsid w:val="00EE0645"/>
    <w:rsid w:val="00EE7B14"/>
    <w:rsid w:val="00EF3E57"/>
    <w:rsid w:val="00EF4BD1"/>
    <w:rsid w:val="00F363E5"/>
    <w:rsid w:val="00F460DE"/>
    <w:rsid w:val="00F52D03"/>
    <w:rsid w:val="00F578D8"/>
    <w:rsid w:val="00F7420C"/>
    <w:rsid w:val="00F8104B"/>
    <w:rsid w:val="00F944C2"/>
    <w:rsid w:val="00F96572"/>
    <w:rsid w:val="00F97432"/>
    <w:rsid w:val="00FB216A"/>
    <w:rsid w:val="00FD3F60"/>
    <w:rsid w:val="00FD702F"/>
    <w:rsid w:val="00FE1616"/>
    <w:rsid w:val="00FF011E"/>
    <w:rsid w:val="00FF4B84"/>
    <w:rsid w:val="00FF6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DF5994"/>
  <w15:chartTrackingRefBased/>
  <w15:docId w15:val="{C8522528-9416-4525-A4CA-F49CB6AE1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1E0"/>
  </w:style>
  <w:style w:type="paragraph" w:styleId="Heading1">
    <w:name w:val="heading 1"/>
    <w:basedOn w:val="Normal"/>
    <w:next w:val="Normal"/>
    <w:link w:val="Heading1Char"/>
    <w:uiPriority w:val="9"/>
    <w:qFormat/>
    <w:rsid w:val="00FD702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FD702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FD702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FD702F"/>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FD702F"/>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FD70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70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70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70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02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FD702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FD702F"/>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FD702F"/>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FD702F"/>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FD70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70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70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702F"/>
    <w:rPr>
      <w:rFonts w:eastAsiaTheme="majorEastAsia" w:cstheme="majorBidi"/>
      <w:color w:val="272727" w:themeColor="text1" w:themeTint="D8"/>
    </w:rPr>
  </w:style>
  <w:style w:type="paragraph" w:styleId="Title">
    <w:name w:val="Title"/>
    <w:basedOn w:val="Normal"/>
    <w:next w:val="Normal"/>
    <w:link w:val="TitleChar"/>
    <w:uiPriority w:val="10"/>
    <w:qFormat/>
    <w:rsid w:val="00FD70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70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702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70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702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D702F"/>
    <w:rPr>
      <w:i/>
      <w:iCs/>
      <w:color w:val="404040" w:themeColor="text1" w:themeTint="BF"/>
    </w:rPr>
  </w:style>
  <w:style w:type="paragraph" w:styleId="ListParagraph">
    <w:name w:val="List Paragraph"/>
    <w:basedOn w:val="Normal"/>
    <w:uiPriority w:val="34"/>
    <w:qFormat/>
    <w:rsid w:val="00FD702F"/>
    <w:pPr>
      <w:ind w:left="720"/>
      <w:contextualSpacing/>
    </w:pPr>
  </w:style>
  <w:style w:type="character" w:styleId="IntenseEmphasis">
    <w:name w:val="Intense Emphasis"/>
    <w:basedOn w:val="DefaultParagraphFont"/>
    <w:uiPriority w:val="21"/>
    <w:qFormat/>
    <w:rsid w:val="00FD702F"/>
    <w:rPr>
      <w:i/>
      <w:iCs/>
      <w:color w:val="365F91" w:themeColor="accent1" w:themeShade="BF"/>
    </w:rPr>
  </w:style>
  <w:style w:type="paragraph" w:styleId="IntenseQuote">
    <w:name w:val="Intense Quote"/>
    <w:basedOn w:val="Normal"/>
    <w:next w:val="Normal"/>
    <w:link w:val="IntenseQuoteChar"/>
    <w:uiPriority w:val="30"/>
    <w:qFormat/>
    <w:rsid w:val="00FD702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D702F"/>
    <w:rPr>
      <w:i/>
      <w:iCs/>
      <w:color w:val="365F91" w:themeColor="accent1" w:themeShade="BF"/>
    </w:rPr>
  </w:style>
  <w:style w:type="character" w:styleId="IntenseReference">
    <w:name w:val="Intense Reference"/>
    <w:basedOn w:val="DefaultParagraphFont"/>
    <w:uiPriority w:val="32"/>
    <w:qFormat/>
    <w:rsid w:val="00FD702F"/>
    <w:rPr>
      <w:b/>
      <w:bCs/>
      <w:smallCaps/>
      <w:color w:val="365F91" w:themeColor="accent1" w:themeShade="BF"/>
      <w:spacing w:val="5"/>
    </w:rPr>
  </w:style>
  <w:style w:type="paragraph" w:styleId="NormalWeb">
    <w:name w:val="Normal (Web)"/>
    <w:basedOn w:val="Normal"/>
    <w:uiPriority w:val="99"/>
    <w:unhideWhenUsed/>
    <w:rsid w:val="004111E0"/>
    <w:pPr>
      <w:spacing w:before="100" w:beforeAutospacing="1" w:after="100" w:afterAutospacing="1" w:line="240" w:lineRule="auto"/>
    </w:pPr>
    <w:rPr>
      <w:rFonts w:ascii="Times New Roman" w:eastAsia="Times New Roman" w:hAnsi="Times New Roman" w:cs="Times New Roman"/>
      <w:kern w:val="0"/>
      <w:sz w:val="24"/>
      <w:szCs w:val="24"/>
      <w:lang w:val="lv-LV" w:eastAsia="lv-LV"/>
    </w:rPr>
  </w:style>
  <w:style w:type="paragraph" w:customStyle="1" w:styleId="Default">
    <w:name w:val="Default"/>
    <w:rsid w:val="004111E0"/>
    <w:pPr>
      <w:autoSpaceDE w:val="0"/>
      <w:autoSpaceDN w:val="0"/>
      <w:adjustRightInd w:val="0"/>
      <w:spacing w:after="0" w:line="240" w:lineRule="auto"/>
    </w:pPr>
    <w:rPr>
      <w:rFonts w:ascii="Arial" w:hAnsi="Arial" w:cs="Arial"/>
      <w:color w:val="000000"/>
      <w:kern w:val="0"/>
      <w:sz w:val="24"/>
      <w:szCs w:val="24"/>
      <w:lang w:val="lv-LV"/>
    </w:rPr>
  </w:style>
  <w:style w:type="character" w:styleId="Strong">
    <w:name w:val="Strong"/>
    <w:basedOn w:val="DefaultParagraphFont"/>
    <w:uiPriority w:val="22"/>
    <w:qFormat/>
    <w:rsid w:val="00B836A8"/>
    <w:rPr>
      <w:b/>
      <w:bCs/>
    </w:rPr>
  </w:style>
  <w:style w:type="character" w:styleId="Emphasis">
    <w:name w:val="Emphasis"/>
    <w:basedOn w:val="DefaultParagraphFont"/>
    <w:uiPriority w:val="20"/>
    <w:qFormat/>
    <w:rsid w:val="00092ECE"/>
    <w:rPr>
      <w:i/>
      <w:iCs/>
    </w:rPr>
  </w:style>
  <w:style w:type="paragraph" w:styleId="Header">
    <w:name w:val="header"/>
    <w:basedOn w:val="Normal"/>
    <w:link w:val="HeaderChar"/>
    <w:uiPriority w:val="99"/>
    <w:unhideWhenUsed/>
    <w:rsid w:val="009657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781"/>
  </w:style>
  <w:style w:type="paragraph" w:styleId="Footer">
    <w:name w:val="footer"/>
    <w:basedOn w:val="Normal"/>
    <w:link w:val="FooterChar"/>
    <w:uiPriority w:val="99"/>
    <w:unhideWhenUsed/>
    <w:rsid w:val="009657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7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mmarly.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981BE-CDF1-47EE-B9F3-ED6A689BF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3825</TotalTime>
  <Pages>14</Pages>
  <Words>3430</Words>
  <Characters>22370</Characters>
  <Application>Microsoft Office Word</Application>
  <DocSecurity>0</DocSecurity>
  <Lines>399</Lines>
  <Paragraphs>72</Paragraphs>
  <ScaleCrop>false</ScaleCrop>
  <Company/>
  <LinksUpToDate>false</LinksUpToDate>
  <CharactersWithSpaces>25728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Priedulena</dc:creator>
  <cp:keywords/>
  <dc:description/>
  <cp:lastModifiedBy>Dina Priedulena</cp:lastModifiedBy>
  <cp:revision>253</cp:revision>
  <dcterms:created xsi:type="dcterms:W3CDTF">2025-10-16T22:45:00Z</dcterms:created>
  <dcterms:modified xsi:type="dcterms:W3CDTF">2025-10-29T22:03:00Z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38e556aa-550e-4d58-a6ca-8d73d7ea6429</vt:lpwstr>
  </property>
</Properties>
</file>