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36D08781">
      <w:bookmarkStart w:name="_GoBack" w:id="0"/>
      <w:bookmarkEnd w:id="0"/>
      <w:r w:rsidR="16C3A880">
        <w:rPr/>
        <w:t>Angharad Abbott</w:t>
      </w:r>
    </w:p>
    <w:p w:rsidR="16C3A880" w:rsidP="7AD98485" w:rsidRDefault="16C3A880" w14:paraId="59BB35FC" w14:textId="3389CE17">
      <w:pPr>
        <w:pStyle w:val="Normal"/>
      </w:pPr>
      <w:r w:rsidR="16C3A880">
        <w:rPr/>
        <w:t>2219680</w:t>
      </w:r>
    </w:p>
    <w:p w:rsidR="4973E745" w:rsidP="7AD98485" w:rsidRDefault="4973E745" w14:paraId="29ECFF22" w14:textId="61ACF506">
      <w:pPr>
        <w:pStyle w:val="Normal"/>
        <w:jc w:val="center"/>
      </w:pPr>
      <w:r w:rsidR="4973E745">
        <w:rPr/>
        <w:t>Common Law</w:t>
      </w:r>
    </w:p>
    <w:p w:rsidR="4973E745" w:rsidP="7AD98485" w:rsidRDefault="4973E745" w14:paraId="34967A56" w14:textId="239D010A">
      <w:pPr>
        <w:pStyle w:val="Normal"/>
        <w:jc w:val="left"/>
        <w:rPr>
          <w:rFonts w:ascii="Calibri" w:hAnsi="Calibri" w:eastAsia="Calibri" w:cs="Calibri" w:asciiTheme="minorAscii" w:hAnsiTheme="minorAscii" w:eastAsiaTheme="minorAscii" w:cstheme="minorAscii"/>
          <w:sz w:val="22"/>
          <w:szCs w:val="22"/>
        </w:rPr>
      </w:pP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The law </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established</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by judges and derived from custom, and precedent is known as common law. It was first introduced with King Henry II's 12th-century judicial reforms and was given the name "common" because it applied uniformly over the entire nation. To simplify the </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definition,</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common law can be seen as a ‘body of law’ which is made up of decisions made through the courts rather than pre-existing statutes. Common law courts use </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previous</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court rulings to </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summarise</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the legal tenets of earlier cases (</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Kiralfy</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Glendon and Lewis, 2023; common law, n.d.). Within this essay I will be evaluating the common law principles that have built the foundation for The English Legal System. I will be conducting an analysis into common law and its comparisons with civil law, effectively evaluating their differences and similarities. This history of common law will be </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established</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along with its relevance in today’s working world. </w:t>
      </w:r>
      <w:r w:rsidRPr="7AD98485" w:rsidR="4973E74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Following this I will draw a conclusion with my findings.</w:t>
      </w:r>
    </w:p>
    <w:p w:rsidR="40864662" w:rsidP="7AD98485" w:rsidRDefault="40864662" w14:paraId="4620A48F" w14:textId="3505C631">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Common law is distinguished by the fact that it develops through precedent. Common law courts use </w:t>
      </w: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court rulings to summarise the legal tenets of past cases. The notion of ‘stare decisis’ which argues that cases should be handled using uniform, guiding principles so that similar facts will yield </w:t>
      </w:r>
      <w:r w:rsidRPr="7AD98485" w:rsidR="4896FB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comparable results</w:t>
      </w: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the cornerstone of all common law systems. A court </w:t>
      </w: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 typically required to</w:t>
      </w: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adopt the justification used in the </w:t>
      </w: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decision if it </w:t>
      </w: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determines</w:t>
      </w: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an issue </w:t>
      </w:r>
      <w:bookmarkStart w:name="_Int_MUYOa3uk" w:id="648531734"/>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similar to</w:t>
      </w:r>
      <w:bookmarkEnd w:id="648531734"/>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one at hand has already been settled. However, if the court </w:t>
      </w: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determines</w:t>
      </w: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the current disagreement is fundamentally different from all prior cases and legislative situations are either quiet or vague on the matter, judges have the power and responsibility to make the decisions. Judicial precedent is distinct from and</w:t>
      </w:r>
      <w:r w:rsidRPr="7AD98485" w:rsidR="7D4B56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AD98485" w:rsidR="40864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equal to statutes in legal systems that acknowledge common law. The other primary legal system employed by nations is called civil law, which codifies basic legal concepts into legal codes but does not regard judicial judgements as being legally enforceable (F A R Bennion, 2009)</w:t>
      </w:r>
      <w:r w:rsidRPr="7AD98485" w:rsidR="7C3BBE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68E6C42B" w:rsidP="7AD98485" w:rsidRDefault="68E6C42B" w14:paraId="6B64B24D" w14:textId="1C81BE70">
      <w:pPr>
        <w:pStyle w:val="Normal"/>
        <w:jc w:val="left"/>
        <w:rPr>
          <w:rFonts w:ascii="Calibri" w:hAnsi="Calibri" w:eastAsia="Calibri" w:cs="Calibri" w:asciiTheme="minorAscii" w:hAnsiTheme="minorAscii" w:eastAsiaTheme="minorAscii" w:cstheme="minorAscii"/>
          <w:noProof w:val="0"/>
          <w:sz w:val="22"/>
          <w:szCs w:val="22"/>
          <w:lang w:val="en-GB"/>
        </w:rPr>
      </w:pPr>
      <w:r w:rsidRPr="7AD98485" w:rsidR="68E6C4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Civil law is the body of law that regulates interpersonal interactions within a community as opposed to matters </w:t>
      </w:r>
      <w:r w:rsidRPr="7AD98485" w:rsidR="68E6C4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pertaining to</w:t>
      </w:r>
      <w:r w:rsidRPr="7AD98485" w:rsidR="68E6C4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military, the criminal justice system, or religion. Cases involving civil law typically include financial settlement, an </w:t>
      </w:r>
      <w:r w:rsidRPr="7AD98485" w:rsidR="2DF23F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agreement,</w:t>
      </w:r>
      <w:r w:rsidRPr="7AD98485" w:rsidR="68E6C4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a judgement. Unlike criminal proceedings, which are typically brought by the government, civil cases are typically brought by private parties. Criminal law aims to create a society where people uphold the law by preventing offenders from committing the crime again. Contrarily, civil law </w:t>
      </w:r>
      <w:r w:rsidRPr="7AD98485" w:rsidR="68E6C4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seeks</w:t>
      </w:r>
      <w:r w:rsidRPr="7AD98485" w:rsidR="68E6C4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remedy unfair circumstances, </w:t>
      </w:r>
      <w:r w:rsidRPr="7AD98485" w:rsidR="68E6C4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frequently</w:t>
      </w:r>
      <w:r w:rsidRPr="7AD98485" w:rsidR="68E6C4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through compensating the victim. The major </w:t>
      </w:r>
      <w:r w:rsidRPr="7AD98485" w:rsidR="68E6C4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w:t>
      </w:r>
      <w:r w:rsidRPr="7AD98485" w:rsidR="68E6C4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to put the victim back in the circumstance from before the wrongdoing occurred (Nicoletta </w:t>
      </w:r>
      <w:r w:rsidRPr="7AD98485" w:rsidR="68E6C4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Bersier</w:t>
      </w:r>
      <w:r w:rsidRPr="7AD98485" w:rsidR="68E6C4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Bezemek and Schauer, 2021; Salhi et al., 2019).</w:t>
      </w:r>
    </w:p>
    <w:p w:rsidR="4256D282" w:rsidP="7AD98485" w:rsidRDefault="4256D282" w14:paraId="4164773B" w14:textId="7B0C5CA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AD98485" w:rsidR="4256D2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However, when assessing the main differences between common law and civil law, many factors arise. Common law </w:t>
      </w:r>
      <w:r w:rsidRPr="7AD98485" w:rsidR="4256D2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operates</w:t>
      </w:r>
      <w:r w:rsidRPr="7AD98485" w:rsidR="4256D2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no coding's </w:t>
      </w:r>
      <w:r w:rsidRPr="7AD98485" w:rsidR="4256D2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whereas</w:t>
      </w:r>
      <w:r w:rsidRPr="7AD98485" w:rsidR="4256D2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civil law is very much a codified set of laws. Within common law judicial precedents can be enforced, however this is not the case within civil law. Within common law the main sources are judicial precedents and case laws, within civil law its main sources are statutes and other ancillary laws. Contrary to civil law, which is an inquisitorial system, common law is very much an adversarial one (Salhi et al., 2019)</w:t>
      </w: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455D625" w:rsidP="7AD98485" w:rsidRDefault="4455D625" w14:paraId="6645CECC" w14:textId="543D757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are three main </w:t>
      </w:r>
      <w:bookmarkStart w:name="_Int_6mmSCYl2" w:id="2022136753"/>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jurisdictions</w:t>
      </w:r>
      <w:bookmarkEnd w:id="2022136753"/>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United Kingdom, these are England and Wales, Scotland, and Northern Ireland (</w:t>
      </w: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Giliker</w:t>
      </w: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2018). As already states, common law was first introduced with King Henry II's 12th-century judicial reforms and was given the name "common" because it applied uniformly over the entire nation. Every </w:t>
      </w:r>
      <w:bookmarkStart w:name="_Int_JJecs0A2" w:id="120220596"/>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jurisdiction</w:t>
      </w:r>
      <w:bookmarkEnd w:id="120220596"/>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has its own set of laws, courts, attorneys, and judges. However, when laws are generated from legislation, they often apply identically or very similarly in other </w:t>
      </w:r>
      <w:bookmarkStart w:name="_Int_f6Z3Iuf9" w:id="1266215663"/>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jurisdictions</w:t>
      </w:r>
      <w:bookmarkEnd w:id="1266215663"/>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is especially true if the laws are applicable in one </w:t>
      </w:r>
      <w:bookmarkStart w:name="_Int_ial9TwcF" w:id="497537371"/>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jurisdiction</w:t>
      </w:r>
      <w:bookmarkEnd w:id="497537371"/>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Although each </w:t>
      </w:r>
      <w:bookmarkStart w:name="_Int_wKVUqVDM" w:id="1535202187"/>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jurisdiction's</w:t>
      </w:r>
      <w:bookmarkEnd w:id="1535202187"/>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courts have the discretion to consider matters differently from those in other </w:t>
      </w:r>
      <w:bookmarkStart w:name="_Int_1Y5aBCvf" w:id="1384086242"/>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jurisdictions</w:t>
      </w:r>
      <w:bookmarkEnd w:id="1384086242"/>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but it is the </w:t>
      </w:r>
      <w:bookmarkStart w:name="_Int_PAubNVxW" w:id="1068114665"/>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UK</w:t>
      </w:r>
      <w:bookmarkEnd w:id="1068114665"/>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Supreme Court hears all final appeals (Price, 2021). The common law is made up of procedural rules like court procedure rules derived from the inherent </w:t>
      </w:r>
      <w:bookmarkStart w:name="_Int_RMTcuL2k" w:id="1032170801"/>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jurisdiction</w:t>
      </w:r>
      <w:bookmarkEnd w:id="1032170801"/>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court as well as substantive rules like the crime of murder. Legislation, which is referred to as "trumping" or "taking precedence over" the common law, may replace or surpass common law standards (</w:t>
      </w: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Kiralfy</w:t>
      </w: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Glendon and Lewis, 2023). Theft Acts 1968, 1978, and others now govern theft offences, for instance, while the Homicide Act of 1957 and, more recently, the Coroners and Justice Act of 2009 replaced the original penalties for murder, though not the crime itself. These statutes are based on the old common law offence of larceny. In the past, the common-law system in England—which has been extended to Wales since 1536—has directly influenced that in Ireland, but it has only had a limited impact on Scotland's unique legal system. Beginning in 1973, the legal systems of the United Kingdom underwent integration into the system of European Union (EU) law, which directly </w:t>
      </w: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impacted</w:t>
      </w: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domestic law of its member states. </w:t>
      </w:r>
      <w:bookmarkStart w:name="_Int_XHn5TXy3" w:id="1094945968"/>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majority of</w:t>
      </w:r>
      <w:bookmarkEnd w:id="1094945968"/>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these states had domestic legal systems that were influenced by the civil-law tradition and that promoted a more purposeful method of interpreting legislation than was typical in the English common law (</w:t>
      </w: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Plucknett</w:t>
      </w: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2010). The UK did, however, leave the EU in 2020. Since Parliament passed the Human Rights Act in 1998, the European Convention on Human Rights (1950) framework of human rights has had a similar impact on the United Kingdom. The British legal system, like many other early legal systems, was initially composed on procedural remedies rather than substantive rights. The development of these remedies overtime gave rise to the contemporary legal system, which prioritises rights over formalities. Judges, not lawmakers, continued to play </w:t>
      </w:r>
      <w:r w:rsidRPr="7AD98485" w:rsidR="6FC353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significant role</w:t>
      </w: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development of English common law until the late 19th century. The early dominating position the royal courts </w:t>
      </w: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attained</w:t>
      </w:r>
      <w:r w:rsidRPr="7AD98485" w:rsidR="4455D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contributed to the homogeneity and consistency of the common law. The new Norman court was given broad judicial authority, in contrast to the earlier Saxon witan, or king's council, which only dealt with significant matters of state. The common law was "proclaimed" by its judges.</w:t>
      </w:r>
    </w:p>
    <w:p w:rsidR="1BB8A7BF" w:rsidP="7AD98485" w:rsidRDefault="1BB8A7BF" w14:paraId="013AA258" w14:textId="50C5461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AD98485" w:rsidR="1BB8A7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Protecting the public by discovering and preventing crime is the primary responsibility of the police force. The police have both common law and legislative authority to carry out this responsibility, which has been </w:t>
      </w:r>
      <w:r w:rsidRPr="7AD98485" w:rsidR="1BB8A7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established</w:t>
      </w:r>
      <w:r w:rsidRPr="7AD98485" w:rsidR="1BB8A7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common law and precedents created by court rulings. Whether an action is within the general parameters of a duty placed on the police by statute or common law must be </w:t>
      </w:r>
      <w:r w:rsidRPr="7AD98485" w:rsidR="1BB8A7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determined</w:t>
      </w:r>
      <w:r w:rsidRPr="7AD98485" w:rsidR="1BB8A7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the court (Jackson, 2013; Mclaughlin, 2007). The upkeep of the peace, the suppression of crime, and the defence of person and property are all common law police obligations. The police are empowered to carry out both common law and statutory duties. The use of force is also protected under common law for both officers on duty and the public, for example, the use of a pre-emptive force would be protected by common law. The use of force must be moderate and cease as soon as the threat is removed. You may use as much force as is reasonable and necessary to avert the danger if you have a sincere belief that you or another person will implement it. For the public this would be covered under the common law self-defence legislation. As a police force, the police are also governed by </w:t>
      </w:r>
      <w:r w:rsidRPr="7AD98485" w:rsidR="1BB8A7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PACE,</w:t>
      </w:r>
      <w:r w:rsidRPr="7AD98485" w:rsidR="1BB8A7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which is the Police and Criminal Evidence Act 1984, this gives the police the powers to exercise their duties whilst also being governed to </w:t>
      </w:r>
      <w:r w:rsidRPr="7AD98485" w:rsidR="1BB8A7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w:t>
      </w:r>
      <w:r w:rsidRPr="7AD98485" w:rsidR="1BB8A7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own and the </w:t>
      </w:r>
      <w:r w:rsidRPr="7AD98485" w:rsidR="1BB8A7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public's</w:t>
      </w:r>
      <w:r w:rsidRPr="7AD98485" w:rsidR="1BB8A7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safety. In relation to this, more recently the government have reform this act through introducing and implementing the Police Powers: Police, Crime, Sentencing and Courts Act 2022 (Pound, 1999; Whitaker, 2023)</w:t>
      </w:r>
    </w:p>
    <w:p w:rsidR="7AD98485" w:rsidP="7AD98485" w:rsidRDefault="7AD98485" w14:paraId="483DE0C6" w14:textId="034B7BD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B8F4C79" w:rsidP="7AD98485" w:rsidRDefault="7B8F4C79" w14:paraId="576FE480" w14:textId="747CF93D">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AD98485" w:rsidR="7B8F4C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conclude, </w:t>
      </w:r>
      <w:bookmarkStart w:name="_Int_JQNm6aIi" w:id="559946481"/>
      <w:r w:rsidRPr="7AD98485" w:rsidR="7B8F4C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is clear that common</w:t>
      </w:r>
      <w:bookmarkEnd w:id="559946481"/>
      <w:r w:rsidRPr="7AD98485" w:rsidR="7B8F4C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law has had a very substantive history within the English legal system which is also applicable to the legal system within Wales. Common law originated many centuries ago and has since developed to align with this current day and age and the developing justice system. Common law holds many similarities with civil law although these are two different frameworks. </w:t>
      </w:r>
      <w:bookmarkStart w:name="_Int_4cuvkRIy" w:id="1130003574"/>
      <w:r w:rsidRPr="7AD98485" w:rsidR="7B8F4C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is clear that common</w:t>
      </w:r>
      <w:bookmarkEnd w:id="1130003574"/>
      <w:r w:rsidRPr="7AD98485" w:rsidR="7B8F4C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law still holds strong relevance in </w:t>
      </w:r>
      <w:r w:rsidRPr="7AD98485" w:rsidR="7B8F4C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today's</w:t>
      </w:r>
      <w:r w:rsidRPr="7AD98485" w:rsidR="7B8F4C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world and its legal systems as well as the application and implementations that it has had and continues to have on police forces within England and Wales. Although sounding complex, common law follows a structural system in England and Wales.</w:t>
      </w:r>
    </w:p>
    <w:p w:rsidR="7AD98485" w:rsidP="7AD98485" w:rsidRDefault="7AD98485" w14:paraId="63DF9494" w14:textId="02D2509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B8F4C79" w:rsidP="7AD98485" w:rsidRDefault="7B8F4C79" w14:paraId="7DEDF1AF" w14:textId="2FD3C765">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AD98485" w:rsidR="7B8F4C7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Reference list</w:t>
      </w:r>
    </w:p>
    <w:p w:rsidR="7EBB7B1E" w:rsidP="7AD98485" w:rsidRDefault="7EBB7B1E" w14:paraId="620994A3" w14:textId="40533CB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common law. (n.d.). In: Collins English Dictionary. [online] Collins. Available at: www.collinsdictionary.com/dictionary/english/common-law [Accessed 27 Feb. 2023].</w:t>
      </w:r>
    </w:p>
    <w:p w:rsidR="7EBB7B1E" w:rsidP="7AD98485" w:rsidRDefault="7EBB7B1E" w14:paraId="7DF58B8F" w14:textId="5D50AEAF">
      <w:pPr>
        <w:pStyle w:val="Normal"/>
        <w:jc w:val="left"/>
      </w:pP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 A R Bennion (2009). Understanding common law legislation: Drafting and interpretation. New York: Oxford University Press.</w:t>
      </w:r>
    </w:p>
    <w:p w:rsidR="7EBB7B1E" w:rsidP="7AD98485" w:rsidRDefault="7EBB7B1E" w14:paraId="61F75A7E" w14:textId="2BD898E1">
      <w:pPr>
        <w:pStyle w:val="Normal"/>
        <w:jc w:val="left"/>
      </w:pP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Giliker</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 (2018). Comparing UK and Irish law. Common Law World Review, 47(1), pp.3–6. </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 HTTPs</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://doi.org/10.1177/1473779518773645.</w:t>
      </w:r>
    </w:p>
    <w:p w:rsidR="7EBB7B1E" w:rsidP="7AD98485" w:rsidRDefault="7EBB7B1E" w14:paraId="444379AB" w14:textId="2A2EA908">
      <w:pPr>
        <w:pStyle w:val="Normal"/>
        <w:jc w:val="left"/>
      </w:pP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Jackson, J. (2013). Just authority: trust in the police in England and Wales. London; New York, Ny: Routledge, Taylor &amp; Francis Group.</w:t>
      </w:r>
    </w:p>
    <w:p w:rsidR="7EBB7B1E" w:rsidP="7AD98485" w:rsidRDefault="7EBB7B1E" w14:paraId="7516716B" w14:textId="57E6B325">
      <w:pPr>
        <w:pStyle w:val="Normal"/>
        <w:jc w:val="left"/>
      </w:pP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Kiralfy</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 Glendon, M.A. and Lewis, A.D.E. (2023). common law. In: Britannica. [online] </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Encyclopaedia</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Britannica. Available at: https://www.britannica.com/topic/common-law [Accessed 27 Feb. 2023]</w:t>
      </w:r>
    </w:p>
    <w:p w:rsidR="7EBB7B1E" w:rsidP="7AD98485" w:rsidRDefault="7EBB7B1E" w14:paraId="6442F9DD" w14:textId="53603CA4">
      <w:pPr>
        <w:pStyle w:val="Normal"/>
        <w:jc w:val="left"/>
      </w:pP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Mclaughlin, E. (2007). The new policing. London: Sage.</w:t>
      </w:r>
    </w:p>
    <w:p w:rsidR="7EBB7B1E" w:rsidP="7AD98485" w:rsidRDefault="7EBB7B1E" w14:paraId="3CEF01D1" w14:textId="2F720241">
      <w:pPr>
        <w:pStyle w:val="Normal"/>
        <w:jc w:val="left"/>
      </w:pP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Nicoletta Bersier, Bezemek, C. and Schauer, F.F. (2021). Common Law - Civil Law. Springer Nature.</w:t>
      </w:r>
    </w:p>
    <w:p w:rsidR="7EBB7B1E" w:rsidP="7AD98485" w:rsidRDefault="7EBB7B1E" w14:paraId="3CFEFC53" w14:textId="705DDDE5">
      <w:pPr>
        <w:pStyle w:val="Normal"/>
        <w:jc w:val="left"/>
      </w:pP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Plucknett, T.F.T. (2010). A Concise History of the Common Law. Clark, Nj: Lawbook Exchange.</w:t>
      </w:r>
    </w:p>
    <w:p w:rsidR="7EBB7B1E" w:rsidP="7AD98485" w:rsidRDefault="7EBB7B1E" w14:paraId="4415CA6F" w14:textId="1F09AACC">
      <w:pPr>
        <w:pStyle w:val="Normal"/>
        <w:jc w:val="left"/>
      </w:pP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Pound, R. (1999). The spirit of the common law. New Brunswick, Nj: Transaction Publishers.</w:t>
      </w:r>
    </w:p>
    <w:p w:rsidR="7EBB7B1E" w:rsidP="7AD98485" w:rsidRDefault="7EBB7B1E" w14:paraId="4165FAE0" w14:textId="04528687">
      <w:pPr>
        <w:pStyle w:val="Normal"/>
        <w:jc w:val="left"/>
      </w:pP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Price, F. (2021). Legal System of England and Wales. The University of Law.</w:t>
      </w:r>
    </w:p>
    <w:p w:rsidR="7EBB7B1E" w:rsidP="7AD98485" w:rsidRDefault="7EBB7B1E" w14:paraId="6A16CF3D" w14:textId="2101F41A">
      <w:pPr>
        <w:pStyle w:val="Normal"/>
        <w:jc w:val="left"/>
      </w:pP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Salhi, B., </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Riguen</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 </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Kachouri</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 and </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Jarbou</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(2019). The mediating role of corporate social responsibility on the relationship between governance and tax avoidance: UK common law versus French civil law. Social Responsibility Journal, ahead-of-print(ahead-of-print). </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doi:https</w:t>
      </w: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://doi.org/10.1108/srj-04-2019-0125.</w:t>
      </w:r>
    </w:p>
    <w:p w:rsidR="7EBB7B1E" w:rsidP="7AD98485" w:rsidRDefault="7EBB7B1E" w14:paraId="48D134D7" w14:textId="66A045AD">
      <w:pPr>
        <w:pStyle w:val="Normal"/>
        <w:jc w:val="left"/>
      </w:pPr>
      <w:r w:rsidRPr="7AD98485" w:rsidR="7EBB7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Whitaker, B. (2023). The Police in Society. Taylor &amp; Francis.</w:t>
      </w:r>
    </w:p>
    <w:p w:rsidR="7AD98485" w:rsidP="7AD98485" w:rsidRDefault="7AD98485" w14:paraId="5CD27911" w14:textId="14577B0D">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AD98485" w:rsidP="7AD98485" w:rsidRDefault="7AD98485" w14:paraId="138BD20D" w14:textId="22297F01">
      <w:pPr>
        <w:pStyle w:val="Normal"/>
        <w:jc w:val="lef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ri3+69+1gFCrcw" int2:id="PK4JFlYs">
      <int2:state int2:type="AugLoop_Text_Critique" int2:value="Rejected"/>
    </int2:textHash>
    <int2:textHash int2:hashCode="Bu7VkRvZ8+w4yc" int2:id="dSgopmJJ">
      <int2:state int2:type="AugLoop_Text_Critique" int2:value="Rejected"/>
    </int2:textHash>
    <int2:textHash int2:hashCode="60gaeME6+qICtx" int2:id="MHTyeuh4">
      <int2:state int2:type="AugLoop_Text_Critique" int2:value="Rejected"/>
    </int2:textHash>
    <int2:textHash int2:hashCode="GahiT46ci1Sb5o" int2:id="Mm83rUNV">
      <int2:state int2:type="AugLoop_Text_Critique" int2:value="Rejected"/>
    </int2:textHash>
    <int2:bookmark int2:bookmarkName="_Int_4cuvkRIy" int2:invalidationBookmarkName="" int2:hashCode="ZCdfU0PTyuSuxI" int2:id="0j7wvv7t">
      <int2:state int2:type="AugLoop_Text_Critique" int2:value="Rejected"/>
    </int2:bookmark>
    <int2:bookmark int2:bookmarkName="_Int_JQNm6aIi" int2:invalidationBookmarkName="" int2:hashCode="PhnGBPSV+KmW7K" int2:id="XENCvtmm">
      <int2:state int2:type="AugLoop_Text_Critique" int2:value="Rejected"/>
    </int2:bookmark>
    <int2:bookmark int2:bookmarkName="_Int_XHn5TXy3" int2:invalidationBookmarkName="" int2:hashCode="pZGmU5Q5PUeaBE" int2:id="WxoYPxml">
      <int2:state int2:type="AugLoop_Text_Critique" int2:value="Rejected"/>
    </int2:bookmark>
    <int2:bookmark int2:bookmarkName="_Int_RMTcuL2k" int2:invalidationBookmarkName="" int2:hashCode="FiNCzSReCiV7Qq" int2:id="3ppJKcv2">
      <int2:state int2:type="AugLoop_Text_Critique" int2:value="Rejected"/>
    </int2:bookmark>
    <int2:bookmark int2:bookmarkName="_Int_PAubNVxW" int2:invalidationBookmarkName="" int2:hashCode="d3DQTHv7eR58lZ" int2:id="3gN1dEpc">
      <int2:state int2:type="AugLoop_Acronyms_AcronymsCritique" int2:value="Rejected"/>
    </int2:bookmark>
    <int2:bookmark int2:bookmarkName="_Int_1Y5aBCvf" int2:invalidationBookmarkName="" int2:hashCode="af2yLWATS+riUZ" int2:id="GfbQfoDh">
      <int2:state int2:type="AugLoop_Text_Critique" int2:value="Rejected"/>
    </int2:bookmark>
    <int2:bookmark int2:bookmarkName="_Int_f6Z3Iuf9" int2:invalidationBookmarkName="" int2:hashCode="af2yLWATS+riUZ" int2:id="A02xEeBX">
      <int2:state int2:type="AugLoop_Text_Critique" int2:value="Rejected"/>
    </int2:bookmark>
    <int2:bookmark int2:bookmarkName="_Int_wKVUqVDM" int2:invalidationBookmarkName="" int2:hashCode="dLj0HSLXWlRwST" int2:id="wXr7ErLg">
      <int2:state int2:type="AugLoop_Text_Critique" int2:value="Rejected"/>
    </int2:bookmark>
    <int2:bookmark int2:bookmarkName="_Int_ial9TwcF" int2:invalidationBookmarkName="" int2:hashCode="FiNCzSReCiV7Qq" int2:id="fl4CEEgO">
      <int2:state int2:type="AugLoop_Text_Critique" int2:value="Rejected"/>
    </int2:bookmark>
    <int2:bookmark int2:bookmarkName="_Int_JJecs0A2" int2:invalidationBookmarkName="" int2:hashCode="FiNCzSReCiV7Qq" int2:id="1UuhFS3B">
      <int2:state int2:type="AugLoop_Text_Critique" int2:value="Rejected"/>
    </int2:bookmark>
    <int2:bookmark int2:bookmarkName="_Int_6mmSCYl2" int2:invalidationBookmarkName="" int2:hashCode="af2yLWATS+riUZ" int2:id="8O0x5qhU">
      <int2:state int2:type="AugLoop_Text_Critique" int2:value="Rejected"/>
    </int2:bookmark>
    <int2:bookmark int2:bookmarkName="_Int_MUYOa3uk" int2:invalidationBookmarkName="" int2:hashCode="E1+Tt6RJBbZOzq" int2:id="oMGMZSNp">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502D84"/>
    <w:rsid w:val="076E87B0"/>
    <w:rsid w:val="0DF6F191"/>
    <w:rsid w:val="10502D84"/>
    <w:rsid w:val="12B13A57"/>
    <w:rsid w:val="144D0AB8"/>
    <w:rsid w:val="15F0C89F"/>
    <w:rsid w:val="16C3A880"/>
    <w:rsid w:val="1784AB7A"/>
    <w:rsid w:val="19EC06A9"/>
    <w:rsid w:val="1BB8A7BF"/>
    <w:rsid w:val="1F97AAE5"/>
    <w:rsid w:val="21337B46"/>
    <w:rsid w:val="22CF4BA7"/>
    <w:rsid w:val="2DF23FC1"/>
    <w:rsid w:val="30886945"/>
    <w:rsid w:val="3BC13628"/>
    <w:rsid w:val="40864662"/>
    <w:rsid w:val="4256D282"/>
    <w:rsid w:val="4455D625"/>
    <w:rsid w:val="463D8900"/>
    <w:rsid w:val="4896FB4C"/>
    <w:rsid w:val="48A99EF4"/>
    <w:rsid w:val="4973E745"/>
    <w:rsid w:val="53122644"/>
    <w:rsid w:val="5662BC92"/>
    <w:rsid w:val="63413F9A"/>
    <w:rsid w:val="68E6C42B"/>
    <w:rsid w:val="6B3B16A8"/>
    <w:rsid w:val="6CD6E709"/>
    <w:rsid w:val="6CF00F66"/>
    <w:rsid w:val="6FC35397"/>
    <w:rsid w:val="7003D8EE"/>
    <w:rsid w:val="700E87CB"/>
    <w:rsid w:val="7AD98485"/>
    <w:rsid w:val="7B8F4C79"/>
    <w:rsid w:val="7C3BBE8B"/>
    <w:rsid w:val="7CED0AD3"/>
    <w:rsid w:val="7D4B56EC"/>
    <w:rsid w:val="7EBB7B1E"/>
    <w:rsid w:val="7F63A8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02D84"/>
  <w15:chartTrackingRefBased/>
  <w15:docId w15:val="{9542F2AD-8C6C-4A39-B1B4-5185A1508B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AD9848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AD98485"/>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AD98485"/>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AD98485"/>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AD98485"/>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AD98485"/>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AD98485"/>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AD98485"/>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AD98485"/>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AD98485"/>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AD9848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AD9848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AD9848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AD9848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AD98485"/>
    <w:pPr>
      <w:spacing/>
      <w:ind w:left="720"/>
      <w:contextualSpacing/>
    </w:pPr>
  </w:style>
  <w:style w:type="character" w:styleId="Heading1Char" w:customStyle="true">
    <w:uiPriority w:val="9"/>
    <w:name w:val="Heading 1 Char"/>
    <w:basedOn w:val="DefaultParagraphFont"/>
    <w:link w:val="Heading1"/>
    <w:rsid w:val="7AD9848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AD9848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AD9848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AD9848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AD9848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AD9848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AD9848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AD9848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AD9848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AD9848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AD9848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AD9848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AD98485"/>
    <w:rPr>
      <w:i w:val="1"/>
      <w:iCs w:val="1"/>
      <w:noProof w:val="0"/>
      <w:color w:val="4472C4" w:themeColor="accent1" w:themeTint="FF" w:themeShade="FF"/>
      <w:lang w:val="en-GB"/>
    </w:rPr>
  </w:style>
  <w:style w:type="paragraph" w:styleId="TOC1">
    <w:uiPriority w:val="39"/>
    <w:name w:val="toc 1"/>
    <w:basedOn w:val="Normal"/>
    <w:next w:val="Normal"/>
    <w:unhideWhenUsed/>
    <w:rsid w:val="7AD98485"/>
    <w:pPr>
      <w:spacing w:after="100"/>
    </w:pPr>
  </w:style>
  <w:style w:type="paragraph" w:styleId="TOC2">
    <w:uiPriority w:val="39"/>
    <w:name w:val="toc 2"/>
    <w:basedOn w:val="Normal"/>
    <w:next w:val="Normal"/>
    <w:unhideWhenUsed/>
    <w:rsid w:val="7AD98485"/>
    <w:pPr>
      <w:spacing w:after="100"/>
      <w:ind w:left="220"/>
    </w:pPr>
  </w:style>
  <w:style w:type="paragraph" w:styleId="TOC3">
    <w:uiPriority w:val="39"/>
    <w:name w:val="toc 3"/>
    <w:basedOn w:val="Normal"/>
    <w:next w:val="Normal"/>
    <w:unhideWhenUsed/>
    <w:rsid w:val="7AD98485"/>
    <w:pPr>
      <w:spacing w:after="100"/>
      <w:ind w:left="440"/>
    </w:pPr>
  </w:style>
  <w:style w:type="paragraph" w:styleId="TOC4">
    <w:uiPriority w:val="39"/>
    <w:name w:val="toc 4"/>
    <w:basedOn w:val="Normal"/>
    <w:next w:val="Normal"/>
    <w:unhideWhenUsed/>
    <w:rsid w:val="7AD98485"/>
    <w:pPr>
      <w:spacing w:after="100"/>
      <w:ind w:left="660"/>
    </w:pPr>
  </w:style>
  <w:style w:type="paragraph" w:styleId="TOC5">
    <w:uiPriority w:val="39"/>
    <w:name w:val="toc 5"/>
    <w:basedOn w:val="Normal"/>
    <w:next w:val="Normal"/>
    <w:unhideWhenUsed/>
    <w:rsid w:val="7AD98485"/>
    <w:pPr>
      <w:spacing w:after="100"/>
      <w:ind w:left="880"/>
    </w:pPr>
  </w:style>
  <w:style w:type="paragraph" w:styleId="TOC6">
    <w:uiPriority w:val="39"/>
    <w:name w:val="toc 6"/>
    <w:basedOn w:val="Normal"/>
    <w:next w:val="Normal"/>
    <w:unhideWhenUsed/>
    <w:rsid w:val="7AD98485"/>
    <w:pPr>
      <w:spacing w:after="100"/>
      <w:ind w:left="1100"/>
    </w:pPr>
  </w:style>
  <w:style w:type="paragraph" w:styleId="TOC7">
    <w:uiPriority w:val="39"/>
    <w:name w:val="toc 7"/>
    <w:basedOn w:val="Normal"/>
    <w:next w:val="Normal"/>
    <w:unhideWhenUsed/>
    <w:rsid w:val="7AD98485"/>
    <w:pPr>
      <w:spacing w:after="100"/>
      <w:ind w:left="1320"/>
    </w:pPr>
  </w:style>
  <w:style w:type="paragraph" w:styleId="TOC8">
    <w:uiPriority w:val="39"/>
    <w:name w:val="toc 8"/>
    <w:basedOn w:val="Normal"/>
    <w:next w:val="Normal"/>
    <w:unhideWhenUsed/>
    <w:rsid w:val="7AD98485"/>
    <w:pPr>
      <w:spacing w:after="100"/>
      <w:ind w:left="1540"/>
    </w:pPr>
  </w:style>
  <w:style w:type="paragraph" w:styleId="TOC9">
    <w:uiPriority w:val="39"/>
    <w:name w:val="toc 9"/>
    <w:basedOn w:val="Normal"/>
    <w:next w:val="Normal"/>
    <w:unhideWhenUsed/>
    <w:rsid w:val="7AD98485"/>
    <w:pPr>
      <w:spacing w:after="100"/>
      <w:ind w:left="1760"/>
    </w:pPr>
  </w:style>
  <w:style w:type="paragraph" w:styleId="EndnoteText">
    <w:uiPriority w:val="99"/>
    <w:name w:val="endnote text"/>
    <w:basedOn w:val="Normal"/>
    <w:semiHidden/>
    <w:unhideWhenUsed/>
    <w:link w:val="EndnoteTextChar"/>
    <w:rsid w:val="7AD98485"/>
    <w:rPr>
      <w:sz w:val="20"/>
      <w:szCs w:val="20"/>
    </w:rPr>
    <w:pPr>
      <w:spacing w:after="0"/>
    </w:pPr>
  </w:style>
  <w:style w:type="character" w:styleId="EndnoteTextChar" w:customStyle="true">
    <w:uiPriority w:val="99"/>
    <w:name w:val="Endnote Text Char"/>
    <w:basedOn w:val="DefaultParagraphFont"/>
    <w:semiHidden/>
    <w:link w:val="EndnoteText"/>
    <w:rsid w:val="7AD98485"/>
    <w:rPr>
      <w:noProof w:val="0"/>
      <w:sz w:val="20"/>
      <w:szCs w:val="20"/>
      <w:lang w:val="en-GB"/>
    </w:rPr>
  </w:style>
  <w:style w:type="paragraph" w:styleId="Footer">
    <w:uiPriority w:val="99"/>
    <w:name w:val="footer"/>
    <w:basedOn w:val="Normal"/>
    <w:unhideWhenUsed/>
    <w:link w:val="FooterChar"/>
    <w:rsid w:val="7AD9848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AD98485"/>
    <w:rPr>
      <w:noProof w:val="0"/>
      <w:lang w:val="en-GB"/>
    </w:rPr>
  </w:style>
  <w:style w:type="paragraph" w:styleId="FootnoteText">
    <w:uiPriority w:val="99"/>
    <w:name w:val="footnote text"/>
    <w:basedOn w:val="Normal"/>
    <w:semiHidden/>
    <w:unhideWhenUsed/>
    <w:link w:val="FootnoteTextChar"/>
    <w:rsid w:val="7AD98485"/>
    <w:rPr>
      <w:sz w:val="20"/>
      <w:szCs w:val="20"/>
    </w:rPr>
    <w:pPr>
      <w:spacing w:after="0"/>
    </w:pPr>
  </w:style>
  <w:style w:type="character" w:styleId="FootnoteTextChar" w:customStyle="true">
    <w:uiPriority w:val="99"/>
    <w:name w:val="Footnote Text Char"/>
    <w:basedOn w:val="DefaultParagraphFont"/>
    <w:semiHidden/>
    <w:link w:val="FootnoteText"/>
    <w:rsid w:val="7AD98485"/>
    <w:rPr>
      <w:noProof w:val="0"/>
      <w:sz w:val="20"/>
      <w:szCs w:val="20"/>
      <w:lang w:val="en-GB"/>
    </w:rPr>
  </w:style>
  <w:style w:type="paragraph" w:styleId="Header">
    <w:uiPriority w:val="99"/>
    <w:name w:val="header"/>
    <w:basedOn w:val="Normal"/>
    <w:unhideWhenUsed/>
    <w:link w:val="HeaderChar"/>
    <w:rsid w:val="7AD9848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AD98485"/>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80dd57d4cb447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2023-03-10T16:37:32.9353272Z</dcterms:created>
  <dcterms:modified xsi:type="dcterms:W3CDTF">2023-03-10T16:58:43.4537490Z</dcterms:modified>
  <dc:creator>Angharad Abbott (2219680)</dc:creator>
  <lastModifiedBy>Angharad Abbott (2219680)</lastModifiedBy>
</coreProperties>
</file>