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78827159"/>
        <w:docPartObj>
          <w:docPartGallery w:val="Cover Pages"/>
          <w:docPartUnique/>
        </w:docPartObj>
      </w:sdtPr>
      <w:sdtEndPr>
        <w:rPr>
          <w:rFonts w:ascii="Times New Roman" w:hAnsi="Times New Roman" w:cs="Times New Roman"/>
          <w:sz w:val="24"/>
          <w:szCs w:val="24"/>
        </w:rPr>
      </w:sdtEndPr>
      <w:sdtContent>
        <w:p w:rsidR="00C67BF9" w:rsidRDefault="00C67BF9">
          <w:r>
            <w:rPr>
              <w:noProof/>
            </w:rPr>
            <mc:AlternateContent>
              <mc:Choice Requires="wpg">
                <w:drawing>
                  <wp:anchor distT="0" distB="0" distL="114300" distR="114300" simplePos="0" relativeHeight="251659264" behindDoc="1" locked="0" layoutInCell="1" allowOverlap="1">
                    <wp:simplePos x="0" y="0"/>
                    <wp:positionH relativeFrom="page">
                      <wp:posOffset>229235</wp:posOffset>
                    </wp:positionH>
                    <wp:positionV relativeFrom="page">
                      <wp:posOffset>-746760</wp:posOffset>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6992B370" id="Group 451" o:spid="_x0000_s1026" style="position:absolute;margin-left:18.05pt;margin-top:-58.8pt;width:575.8pt;height:755.1pt;z-index:-251657216;mso-width-percent:941;mso-height-percent:954;mso-position-horizontal-relative:page;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5b9bd5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p w:rsidR="00C67BF9" w:rsidRDefault="00C67BF9">
                                      <w:pPr>
                                        <w:pStyle w:val="NoSpacing"/>
                                        <w:jc w:val="center"/>
                                        <w:rPr>
                                          <w:rFonts w:asciiTheme="majorHAnsi" w:hAnsiTheme="majorHAnsi"/>
                                          <w:caps/>
                                          <w:spacing w:val="160"/>
                                          <w:sz w:val="160"/>
                                          <w:szCs w:val="160"/>
                                        </w:rPr>
                                      </w:pPr>
                                      <w:r>
                                        <w:rPr>
                                          <w:rFonts w:asciiTheme="majorHAnsi" w:hAnsiTheme="majorHAnsi"/>
                                          <w:caps/>
                                          <w:spacing w:val="160"/>
                                          <w:sz w:val="180"/>
                                          <w:szCs w:val="180"/>
                                        </w:rPr>
                                        <w:t>Common Law</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id="Group 448" o:spid="_x0000_s1026"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">
                    <v:shape id="Freeform 5" o:spid="_x0000_s1027"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type id="_x0000_t202" coordsize="21600,21600" o:spt="202" path="m,l,21600r21600,l21600,xe">
                      <v:stroke joinstyle="miter"/>
                      <v:path gradientshapeok="t" o:connecttype="rect"/>
                    </v:shapetype>
                    <v:shape id="Text Box 450" o:spid="_x0000_s1028"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180"/>
                                <w:szCs w:val="180"/>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EndPr>
                              <w:rPr>
                                <w:sz w:val="160"/>
                                <w:szCs w:val="160"/>
                              </w:rPr>
                            </w:sdtEndPr>
                            <w:sdtContent>
                              <w:p w:rsidR="00C67BF9" w:rsidRDefault="00C67BF9">
                                <w:pPr>
                                  <w:pStyle w:val="NoSpacing"/>
                                  <w:jc w:val="center"/>
                                  <w:rPr>
                                    <w:rFonts w:asciiTheme="majorHAnsi" w:hAnsiTheme="majorHAnsi"/>
                                    <w:caps/>
                                    <w:spacing w:val="160"/>
                                    <w:sz w:val="160"/>
                                    <w:szCs w:val="160"/>
                                  </w:rPr>
                                </w:pPr>
                                <w:r>
                                  <w:rPr>
                                    <w:rFonts w:asciiTheme="majorHAnsi" w:hAnsiTheme="majorHAnsi"/>
                                    <w:caps/>
                                    <w:spacing w:val="160"/>
                                    <w:sz w:val="180"/>
                                    <w:szCs w:val="180"/>
                                  </w:rPr>
                                  <w:t>Common Law</w:t>
                                </w:r>
                              </w:p>
                            </w:sdtContent>
                          </w:sdt>
                        </w:txbxContent>
                      </v:textbox>
                    </v:shape>
                    <w10:wrap anchorx="page" anchory="page"/>
                  </v:group>
                </w:pict>
              </mc:Fallback>
            </mc:AlternateContent>
          </w:r>
        </w:p>
        <w:p w:rsidR="00C67BF9" w:rsidRDefault="00C67BF9">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simplePos x="0" y="0"/>
                    <wp:positionH relativeFrom="page">
                      <wp:posOffset>511810</wp:posOffset>
                    </wp:positionH>
                    <wp:positionV relativeFrom="page">
                      <wp:posOffset>6645910</wp:posOffset>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rsidR="00C67BF9" w:rsidRPr="00C67BF9" w:rsidRDefault="00C67BF9" w:rsidP="00C67BF9">
                                    <w:pPr>
                                      <w:pStyle w:val="NoSpacing"/>
                                      <w:spacing w:before="240"/>
                                      <w:jc w:val="center"/>
                                      <w:rPr>
                                        <w:b/>
                                        <w:caps/>
                                        <w:color w:val="44546A" w:themeColor="text2"/>
                                        <w:spacing w:val="140"/>
                                        <w:sz w:val="40"/>
                                        <w:szCs w:val="40"/>
                                      </w:rPr>
                                    </w:pPr>
                                    <w:r>
                                      <w:rPr>
                                        <w:b/>
                                        <w:caps/>
                                        <w:color w:val="44546A" w:themeColor="text2"/>
                                        <w:spacing w:val="140"/>
                                        <w:sz w:val="40"/>
                                        <w:szCs w:val="40"/>
                                      </w:rPr>
                                      <w:t>Saira BEGUM</w:t>
                                    </w:r>
                                  </w:p>
                                </w:sdtContent>
                              </w:sdt>
                              <w:bookmarkStart w:id="0" w:name="_GoBack" w:displacedByCustomXml="prev"/>
                              <w:bookmarkEnd w:id="0"/>
                              <w:p w:rsidR="00C67BF9" w:rsidRPr="00C67BF9" w:rsidRDefault="00C67BF9">
                                <w:pPr>
                                  <w:pStyle w:val="NoSpacing"/>
                                  <w:spacing w:before="720"/>
                                  <w:jc w:val="center"/>
                                  <w:rPr>
                                    <w:b/>
                                    <w:bCs/>
                                    <w:caps/>
                                    <w:color w:val="44546A" w:themeColor="text2"/>
                                    <w:spacing w:val="20"/>
                                    <w:sz w:val="40"/>
                                    <w:szCs w:val="40"/>
                                  </w:rPr>
                                </w:pPr>
                                <w:sdt>
                                  <w:sdtPr>
                                    <w:rPr>
                                      <w:b/>
                                      <w:bCs/>
                                    </w:r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caps/>
                                      <w:color w:val="44546A" w:themeColor="text2"/>
                                      <w:spacing w:val="20"/>
                                      <w:sz w:val="24"/>
                                      <w:szCs w:val="24"/>
                                    </w:rPr>
                                  </w:sdtEndPr>
                                  <w:sdtContent>
                                    <w:r w:rsidRPr="00C67BF9">
                                      <w:rPr>
                                        <w:b/>
                                        <w:bCs/>
                                      </w:rPr>
                                      <w:t xml:space="preserve">     </w:t>
                                    </w:r>
                                  </w:sdtContent>
                                </w:sdt>
                                <w:r w:rsidRPr="00C67BF9">
                                  <w:rPr>
                                    <w:b/>
                                    <w:bCs/>
                                    <w:sz w:val="40"/>
                                    <w:szCs w:val="40"/>
                                  </w:rPr>
                                  <w:t>2026007</w:t>
                                </w:r>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 id="Text Box 51" o:spid="_x0000_s1029" type="#_x0000_t202" alt="Title: Contact info text box" style="position:absolute;margin-left:40.3pt;margin-top:523.3pt;width:540pt;height:162.7pt;z-index:25166131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" filled="f" stroked="f" strokeweight=".5pt">
                    <v:textbox style="mso-fit-shape-to-text:t" inset="28.8pt,,,43.2pt">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rsidR="00C67BF9" w:rsidRPr="00C67BF9" w:rsidRDefault="00C67BF9" w:rsidP="00C67BF9">
                              <w:pPr>
                                <w:pStyle w:val="NoSpacing"/>
                                <w:spacing w:before="240"/>
                                <w:jc w:val="center"/>
                                <w:rPr>
                                  <w:b/>
                                  <w:caps/>
                                  <w:color w:val="44546A" w:themeColor="text2"/>
                                  <w:spacing w:val="140"/>
                                  <w:sz w:val="40"/>
                                  <w:szCs w:val="40"/>
                                </w:rPr>
                              </w:pPr>
                              <w:r>
                                <w:rPr>
                                  <w:b/>
                                  <w:caps/>
                                  <w:color w:val="44546A" w:themeColor="text2"/>
                                  <w:spacing w:val="140"/>
                                  <w:sz w:val="40"/>
                                  <w:szCs w:val="40"/>
                                </w:rPr>
                                <w:t>Saira BEGUM</w:t>
                              </w:r>
                            </w:p>
                          </w:sdtContent>
                        </w:sdt>
                        <w:bookmarkStart w:id="1" w:name="_GoBack" w:displacedByCustomXml="prev"/>
                        <w:bookmarkEnd w:id="1"/>
                        <w:p w:rsidR="00C67BF9" w:rsidRPr="00C67BF9" w:rsidRDefault="00C67BF9">
                          <w:pPr>
                            <w:pStyle w:val="NoSpacing"/>
                            <w:spacing w:before="720"/>
                            <w:jc w:val="center"/>
                            <w:rPr>
                              <w:b/>
                              <w:bCs/>
                              <w:caps/>
                              <w:color w:val="44546A" w:themeColor="text2"/>
                              <w:spacing w:val="20"/>
                              <w:sz w:val="40"/>
                              <w:szCs w:val="40"/>
                            </w:rPr>
                          </w:pPr>
                          <w:sdt>
                            <w:sdtPr>
                              <w:rPr>
                                <w:b/>
                                <w:bCs/>
                              </w:r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caps/>
                                <w:color w:val="44546A" w:themeColor="text2"/>
                                <w:spacing w:val="20"/>
                                <w:sz w:val="24"/>
                                <w:szCs w:val="24"/>
                              </w:rPr>
                            </w:sdtEndPr>
                            <w:sdtContent>
                              <w:r w:rsidRPr="00C67BF9">
                                <w:rPr>
                                  <w:b/>
                                  <w:bCs/>
                                </w:rPr>
                                <w:t xml:space="preserve">     </w:t>
                              </w:r>
                            </w:sdtContent>
                          </w:sdt>
                          <w:r w:rsidRPr="00C67BF9">
                            <w:rPr>
                              <w:b/>
                              <w:bCs/>
                              <w:sz w:val="40"/>
                              <w:szCs w:val="40"/>
                            </w:rPr>
                            <w:t>2026007</w:t>
                          </w:r>
                        </w:p>
                      </w:txbxContent>
                    </v:textbox>
                    <w10:wrap anchorx="page" anchory="page"/>
                  </v:shape>
                </w:pict>
              </mc:Fallback>
            </mc:AlternateContent>
          </w:r>
          <w:r>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rPr>
        <w:id w:val="1046110159"/>
        <w:docPartObj>
          <w:docPartGallery w:val="Table of Contents"/>
          <w:docPartUnique/>
        </w:docPartObj>
      </w:sdtPr>
      <w:sdtEndPr>
        <w:rPr>
          <w:b/>
          <w:bCs/>
          <w:noProof/>
        </w:rPr>
      </w:sdtEndPr>
      <w:sdtContent>
        <w:p w:rsidR="00E91E3C" w:rsidRPr="009D1C91" w:rsidRDefault="00E91E3C" w:rsidP="009D1C91">
          <w:pPr>
            <w:pStyle w:val="TOCHeading"/>
            <w:spacing w:line="360" w:lineRule="auto"/>
            <w:rPr>
              <w:rFonts w:ascii="Times New Roman" w:hAnsi="Times New Roman" w:cs="Times New Roman"/>
              <w:sz w:val="24"/>
              <w:szCs w:val="24"/>
            </w:rPr>
          </w:pPr>
          <w:r w:rsidRPr="009D1C91">
            <w:rPr>
              <w:rFonts w:ascii="Times New Roman" w:hAnsi="Times New Roman" w:cs="Times New Roman"/>
              <w:sz w:val="24"/>
              <w:szCs w:val="24"/>
            </w:rPr>
            <w:t>Contents</w:t>
          </w:r>
        </w:p>
        <w:p w:rsidR="00E91E3C" w:rsidRPr="009D1C91" w:rsidRDefault="00E91E3C" w:rsidP="009D1C91">
          <w:pPr>
            <w:pStyle w:val="TOC1"/>
            <w:tabs>
              <w:tab w:val="right" w:leader="dot" w:pos="9350"/>
            </w:tabs>
            <w:spacing w:line="360" w:lineRule="auto"/>
            <w:rPr>
              <w:rFonts w:ascii="Times New Roman" w:eastAsiaTheme="minorEastAsia" w:hAnsi="Times New Roman" w:cs="Times New Roman"/>
              <w:noProof/>
              <w:sz w:val="24"/>
              <w:szCs w:val="24"/>
            </w:rPr>
          </w:pPr>
          <w:r w:rsidRPr="009D1C91">
            <w:rPr>
              <w:rFonts w:ascii="Times New Roman" w:hAnsi="Times New Roman" w:cs="Times New Roman"/>
              <w:sz w:val="24"/>
              <w:szCs w:val="24"/>
            </w:rPr>
            <w:fldChar w:fldCharType="begin"/>
          </w:r>
          <w:r w:rsidRPr="009D1C91">
            <w:rPr>
              <w:rFonts w:ascii="Times New Roman" w:hAnsi="Times New Roman" w:cs="Times New Roman"/>
              <w:sz w:val="24"/>
              <w:szCs w:val="24"/>
            </w:rPr>
            <w:instrText xml:space="preserve"> TOC \o "1-3" \h \z \u </w:instrText>
          </w:r>
          <w:r w:rsidRPr="009D1C91">
            <w:rPr>
              <w:rFonts w:ascii="Times New Roman" w:hAnsi="Times New Roman" w:cs="Times New Roman"/>
              <w:sz w:val="24"/>
              <w:szCs w:val="24"/>
            </w:rPr>
            <w:fldChar w:fldCharType="separate"/>
          </w:r>
          <w:hyperlink w:anchor="_Toc129209043" w:history="1">
            <w:r w:rsidRPr="009D1C91">
              <w:rPr>
                <w:rStyle w:val="Hyperlink"/>
                <w:rFonts w:ascii="Times New Roman" w:hAnsi="Times New Roman" w:cs="Times New Roman"/>
                <w:noProof/>
                <w:sz w:val="24"/>
                <w:szCs w:val="24"/>
              </w:rPr>
              <w:t>Introduction:</w:t>
            </w:r>
            <w:r w:rsidRPr="009D1C91">
              <w:rPr>
                <w:rFonts w:ascii="Times New Roman" w:hAnsi="Times New Roman" w:cs="Times New Roman"/>
                <w:noProof/>
                <w:webHidden/>
                <w:sz w:val="24"/>
                <w:szCs w:val="24"/>
              </w:rPr>
              <w:tab/>
            </w:r>
            <w:r w:rsidRPr="009D1C91">
              <w:rPr>
                <w:rFonts w:ascii="Times New Roman" w:hAnsi="Times New Roman" w:cs="Times New Roman"/>
                <w:noProof/>
                <w:webHidden/>
                <w:sz w:val="24"/>
                <w:szCs w:val="24"/>
              </w:rPr>
              <w:fldChar w:fldCharType="begin"/>
            </w:r>
            <w:r w:rsidRPr="009D1C91">
              <w:rPr>
                <w:rFonts w:ascii="Times New Roman" w:hAnsi="Times New Roman" w:cs="Times New Roman"/>
                <w:noProof/>
                <w:webHidden/>
                <w:sz w:val="24"/>
                <w:szCs w:val="24"/>
              </w:rPr>
              <w:instrText xml:space="preserve"> PAGEREF _Toc129209043 \h </w:instrText>
            </w:r>
            <w:r w:rsidRPr="009D1C91">
              <w:rPr>
                <w:rFonts w:ascii="Times New Roman" w:hAnsi="Times New Roman" w:cs="Times New Roman"/>
                <w:noProof/>
                <w:webHidden/>
                <w:sz w:val="24"/>
                <w:szCs w:val="24"/>
              </w:rPr>
            </w:r>
            <w:r w:rsidRPr="009D1C91">
              <w:rPr>
                <w:rFonts w:ascii="Times New Roman" w:hAnsi="Times New Roman" w:cs="Times New Roman"/>
                <w:noProof/>
                <w:webHidden/>
                <w:sz w:val="24"/>
                <w:szCs w:val="24"/>
              </w:rPr>
              <w:fldChar w:fldCharType="separate"/>
            </w:r>
            <w:r w:rsidRPr="009D1C91">
              <w:rPr>
                <w:rFonts w:ascii="Times New Roman" w:hAnsi="Times New Roman" w:cs="Times New Roman"/>
                <w:noProof/>
                <w:webHidden/>
                <w:sz w:val="24"/>
                <w:szCs w:val="24"/>
              </w:rPr>
              <w:t>2</w:t>
            </w:r>
            <w:r w:rsidRPr="009D1C91">
              <w:rPr>
                <w:rFonts w:ascii="Times New Roman" w:hAnsi="Times New Roman" w:cs="Times New Roman"/>
                <w:noProof/>
                <w:webHidden/>
                <w:sz w:val="24"/>
                <w:szCs w:val="24"/>
              </w:rPr>
              <w:fldChar w:fldCharType="end"/>
            </w:r>
          </w:hyperlink>
        </w:p>
        <w:p w:rsidR="00E91E3C" w:rsidRPr="009D1C91" w:rsidRDefault="00C67BF9" w:rsidP="009D1C91">
          <w:pPr>
            <w:pStyle w:val="TOC1"/>
            <w:tabs>
              <w:tab w:val="right" w:leader="dot" w:pos="9350"/>
            </w:tabs>
            <w:spacing w:line="360" w:lineRule="auto"/>
            <w:rPr>
              <w:rFonts w:ascii="Times New Roman" w:eastAsiaTheme="minorEastAsia" w:hAnsi="Times New Roman" w:cs="Times New Roman"/>
              <w:noProof/>
              <w:sz w:val="24"/>
              <w:szCs w:val="24"/>
            </w:rPr>
          </w:pPr>
          <w:hyperlink w:anchor="_Toc129209044" w:history="1">
            <w:r w:rsidR="00E91E3C" w:rsidRPr="009D1C91">
              <w:rPr>
                <w:rStyle w:val="Hyperlink"/>
                <w:rFonts w:ascii="Times New Roman" w:hAnsi="Times New Roman" w:cs="Times New Roman"/>
                <w:noProof/>
                <w:sz w:val="24"/>
                <w:szCs w:val="24"/>
              </w:rPr>
              <w:t>Body:</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_Toc129209044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2</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2"/>
            <w:tabs>
              <w:tab w:val="right" w:leader="dot" w:pos="9350"/>
            </w:tabs>
            <w:spacing w:line="360" w:lineRule="auto"/>
            <w:rPr>
              <w:rFonts w:ascii="Times New Roman" w:eastAsiaTheme="minorEastAsia" w:hAnsi="Times New Roman" w:cs="Times New Roman"/>
              <w:noProof/>
              <w:sz w:val="24"/>
              <w:szCs w:val="24"/>
            </w:rPr>
          </w:pPr>
          <w:hyperlink w:anchor="_Toc129209045" w:history="1">
            <w:r w:rsidR="00E91E3C" w:rsidRPr="009D1C91">
              <w:rPr>
                <w:rStyle w:val="Hyperlink"/>
                <w:rFonts w:ascii="Times New Roman" w:hAnsi="Times New Roman" w:cs="Times New Roman"/>
                <w:noProof/>
                <w:sz w:val="24"/>
                <w:szCs w:val="24"/>
              </w:rPr>
              <w:t>Comparison of common law and civil law:</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_Toc129209045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2</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46"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The role of judges:</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_Toc129209046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47"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The role of lawyers:</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_Toc129209047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48"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The role of jury:</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_Toc129209048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49"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Evidence:</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_Toc129209049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50"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Precedent:</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_Toc129209050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51"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Sources of law:</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_Toc129209051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52"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Type of argument:</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_Toc129209052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3"/>
            <w:tabs>
              <w:tab w:val="left" w:pos="880"/>
              <w:tab w:val="right" w:leader="dot" w:pos="9350"/>
            </w:tabs>
            <w:spacing w:line="360" w:lineRule="auto"/>
            <w:rPr>
              <w:rFonts w:ascii="Times New Roman" w:eastAsiaTheme="minorEastAsia" w:hAnsi="Times New Roman" w:cs="Times New Roman"/>
              <w:noProof/>
              <w:sz w:val="24"/>
              <w:szCs w:val="24"/>
            </w:rPr>
          </w:pPr>
          <w:hyperlink w:anchor="_Toc129209053" w:history="1">
            <w:r w:rsidR="00E91E3C" w:rsidRPr="009D1C91">
              <w:rPr>
                <w:rStyle w:val="Hyperlink"/>
                <w:rFonts w:ascii="Times New Roman" w:hAnsi="Times New Roman" w:cs="Times New Roman"/>
                <w:noProof/>
                <w:sz w:val="24"/>
                <w:szCs w:val="24"/>
              </w:rPr>
              <w:t></w:t>
            </w:r>
            <w:r w:rsidR="00E91E3C" w:rsidRPr="009D1C91">
              <w:rPr>
                <w:rFonts w:ascii="Times New Roman" w:eastAsiaTheme="minorEastAsia" w:hAnsi="Times New Roman" w:cs="Times New Roman"/>
                <w:noProof/>
                <w:sz w:val="24"/>
                <w:szCs w:val="24"/>
              </w:rPr>
              <w:tab/>
            </w:r>
            <w:r w:rsidR="00E91E3C" w:rsidRPr="009D1C91">
              <w:rPr>
                <w:rStyle w:val="Hyperlink"/>
                <w:rFonts w:ascii="Times New Roman" w:hAnsi="Times New Roman" w:cs="Times New Roman"/>
                <w:noProof/>
                <w:sz w:val="24"/>
                <w:szCs w:val="24"/>
              </w:rPr>
              <w:t>Evolution:</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_Toc129209053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3</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2"/>
            <w:tabs>
              <w:tab w:val="right" w:leader="dot" w:pos="9350"/>
            </w:tabs>
            <w:spacing w:line="360" w:lineRule="auto"/>
            <w:rPr>
              <w:rFonts w:ascii="Times New Roman" w:eastAsiaTheme="minorEastAsia" w:hAnsi="Times New Roman" w:cs="Times New Roman"/>
              <w:noProof/>
              <w:sz w:val="24"/>
              <w:szCs w:val="24"/>
            </w:rPr>
          </w:pPr>
          <w:hyperlink w:anchor="_Toc129209054" w:history="1">
            <w:r w:rsidR="00E91E3C" w:rsidRPr="009D1C91">
              <w:rPr>
                <w:rStyle w:val="Hyperlink"/>
                <w:rFonts w:ascii="Times New Roman" w:hAnsi="Times New Roman" w:cs="Times New Roman"/>
                <w:noProof/>
                <w:sz w:val="24"/>
                <w:szCs w:val="24"/>
              </w:rPr>
              <w:t>History of common law:</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_Toc129209054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4</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2"/>
            <w:tabs>
              <w:tab w:val="right" w:leader="dot" w:pos="9350"/>
            </w:tabs>
            <w:spacing w:line="360" w:lineRule="auto"/>
            <w:rPr>
              <w:rFonts w:ascii="Times New Roman" w:eastAsiaTheme="minorEastAsia" w:hAnsi="Times New Roman" w:cs="Times New Roman"/>
              <w:noProof/>
              <w:sz w:val="24"/>
              <w:szCs w:val="24"/>
            </w:rPr>
          </w:pPr>
          <w:hyperlink w:anchor="_Toc129209055" w:history="1">
            <w:r w:rsidR="00E91E3C" w:rsidRPr="009D1C91">
              <w:rPr>
                <w:rStyle w:val="Hyperlink"/>
                <w:rFonts w:ascii="Times New Roman" w:hAnsi="Times New Roman" w:cs="Times New Roman"/>
                <w:noProof/>
                <w:sz w:val="24"/>
                <w:szCs w:val="24"/>
              </w:rPr>
              <w:t>Examples of common law in practice:</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_Toc129209055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4</w:t>
            </w:r>
            <w:r w:rsidR="00E91E3C" w:rsidRPr="009D1C91">
              <w:rPr>
                <w:rFonts w:ascii="Times New Roman" w:hAnsi="Times New Roman" w:cs="Times New Roman"/>
                <w:noProof/>
                <w:webHidden/>
                <w:sz w:val="24"/>
                <w:szCs w:val="24"/>
              </w:rPr>
              <w:fldChar w:fldCharType="end"/>
            </w:r>
          </w:hyperlink>
        </w:p>
        <w:p w:rsidR="00E91E3C" w:rsidRPr="009D1C91" w:rsidRDefault="00C67BF9" w:rsidP="009D1C91">
          <w:pPr>
            <w:pStyle w:val="TOC1"/>
            <w:tabs>
              <w:tab w:val="right" w:leader="dot" w:pos="9350"/>
            </w:tabs>
            <w:spacing w:line="360" w:lineRule="auto"/>
            <w:rPr>
              <w:rFonts w:ascii="Times New Roman" w:eastAsiaTheme="minorEastAsia" w:hAnsi="Times New Roman" w:cs="Times New Roman"/>
              <w:noProof/>
              <w:sz w:val="24"/>
              <w:szCs w:val="24"/>
            </w:rPr>
          </w:pPr>
          <w:hyperlink w:anchor="_Toc129209056" w:history="1">
            <w:r w:rsidR="00E91E3C" w:rsidRPr="009D1C91">
              <w:rPr>
                <w:rStyle w:val="Hyperlink"/>
                <w:rFonts w:ascii="Times New Roman" w:hAnsi="Times New Roman" w:cs="Times New Roman"/>
                <w:noProof/>
                <w:sz w:val="24"/>
                <w:szCs w:val="24"/>
              </w:rPr>
              <w:t>Conclusion:</w:t>
            </w:r>
            <w:r w:rsidR="00E91E3C" w:rsidRPr="009D1C91">
              <w:rPr>
                <w:rFonts w:ascii="Times New Roman" w:hAnsi="Times New Roman" w:cs="Times New Roman"/>
                <w:noProof/>
                <w:webHidden/>
                <w:sz w:val="24"/>
                <w:szCs w:val="24"/>
              </w:rPr>
              <w:tab/>
            </w:r>
            <w:r w:rsidR="00E91E3C" w:rsidRPr="009D1C91">
              <w:rPr>
                <w:rFonts w:ascii="Times New Roman" w:hAnsi="Times New Roman" w:cs="Times New Roman"/>
                <w:noProof/>
                <w:webHidden/>
                <w:sz w:val="24"/>
                <w:szCs w:val="24"/>
              </w:rPr>
              <w:fldChar w:fldCharType="begin"/>
            </w:r>
            <w:r w:rsidR="00E91E3C" w:rsidRPr="009D1C91">
              <w:rPr>
                <w:rFonts w:ascii="Times New Roman" w:hAnsi="Times New Roman" w:cs="Times New Roman"/>
                <w:noProof/>
                <w:webHidden/>
                <w:sz w:val="24"/>
                <w:szCs w:val="24"/>
              </w:rPr>
              <w:instrText xml:space="preserve"> PAGEREF _Toc129209056 \h </w:instrText>
            </w:r>
            <w:r w:rsidR="00E91E3C" w:rsidRPr="009D1C91">
              <w:rPr>
                <w:rFonts w:ascii="Times New Roman" w:hAnsi="Times New Roman" w:cs="Times New Roman"/>
                <w:noProof/>
                <w:webHidden/>
                <w:sz w:val="24"/>
                <w:szCs w:val="24"/>
              </w:rPr>
            </w:r>
            <w:r w:rsidR="00E91E3C" w:rsidRPr="009D1C91">
              <w:rPr>
                <w:rFonts w:ascii="Times New Roman" w:hAnsi="Times New Roman" w:cs="Times New Roman"/>
                <w:noProof/>
                <w:webHidden/>
                <w:sz w:val="24"/>
                <w:szCs w:val="24"/>
              </w:rPr>
              <w:fldChar w:fldCharType="separate"/>
            </w:r>
            <w:r w:rsidR="00E91E3C" w:rsidRPr="009D1C91">
              <w:rPr>
                <w:rFonts w:ascii="Times New Roman" w:hAnsi="Times New Roman" w:cs="Times New Roman"/>
                <w:noProof/>
                <w:webHidden/>
                <w:sz w:val="24"/>
                <w:szCs w:val="24"/>
              </w:rPr>
              <w:t>4</w:t>
            </w:r>
            <w:r w:rsidR="00E91E3C" w:rsidRPr="009D1C91">
              <w:rPr>
                <w:rFonts w:ascii="Times New Roman" w:hAnsi="Times New Roman" w:cs="Times New Roman"/>
                <w:noProof/>
                <w:webHidden/>
                <w:sz w:val="24"/>
                <w:szCs w:val="24"/>
              </w:rPr>
              <w:fldChar w:fldCharType="end"/>
            </w:r>
          </w:hyperlink>
        </w:p>
        <w:p w:rsidR="00E91E3C" w:rsidRPr="009D1C91" w:rsidRDefault="00E91E3C" w:rsidP="009D1C91">
          <w:pPr>
            <w:spacing w:line="360" w:lineRule="auto"/>
            <w:rPr>
              <w:rFonts w:ascii="Times New Roman" w:hAnsi="Times New Roman" w:cs="Times New Roman"/>
              <w:sz w:val="24"/>
              <w:szCs w:val="24"/>
            </w:rPr>
          </w:pPr>
          <w:r w:rsidRPr="009D1C91">
            <w:rPr>
              <w:rFonts w:ascii="Times New Roman" w:hAnsi="Times New Roman" w:cs="Times New Roman"/>
              <w:b/>
              <w:bCs/>
              <w:noProof/>
              <w:sz w:val="24"/>
              <w:szCs w:val="24"/>
            </w:rPr>
            <w:fldChar w:fldCharType="end"/>
          </w:r>
        </w:p>
      </w:sdtContent>
    </w:sdt>
    <w:p w:rsidR="00E91E3C" w:rsidRPr="009D1C91" w:rsidRDefault="00E91E3C" w:rsidP="009D1C91">
      <w:pPr>
        <w:spacing w:line="360" w:lineRule="auto"/>
        <w:rPr>
          <w:rFonts w:ascii="Times New Roman" w:hAnsi="Times New Roman" w:cs="Times New Roman"/>
          <w:sz w:val="24"/>
          <w:szCs w:val="24"/>
        </w:rPr>
      </w:pPr>
    </w:p>
    <w:p w:rsidR="00B03D71" w:rsidRPr="009D1C91" w:rsidRDefault="00E91E3C" w:rsidP="009D1C91">
      <w:pPr>
        <w:pStyle w:val="Heading1"/>
        <w:spacing w:line="360" w:lineRule="auto"/>
        <w:rPr>
          <w:rFonts w:ascii="Times New Roman" w:hAnsi="Times New Roman" w:cs="Times New Roman"/>
          <w:sz w:val="24"/>
          <w:szCs w:val="24"/>
        </w:rPr>
      </w:pPr>
      <w:r w:rsidRPr="009D1C91">
        <w:rPr>
          <w:rFonts w:ascii="Times New Roman" w:hAnsi="Times New Roman" w:cs="Times New Roman"/>
          <w:sz w:val="24"/>
          <w:szCs w:val="24"/>
        </w:rPr>
        <w:br w:type="column"/>
      </w:r>
      <w:bookmarkStart w:id="2" w:name="_Toc129209001"/>
      <w:bookmarkStart w:id="3" w:name="_Toc129209043"/>
      <w:r w:rsidR="00F977B2" w:rsidRPr="009D1C91">
        <w:rPr>
          <w:rFonts w:ascii="Times New Roman" w:hAnsi="Times New Roman" w:cs="Times New Roman"/>
          <w:sz w:val="24"/>
          <w:szCs w:val="24"/>
        </w:rPr>
        <w:lastRenderedPageBreak/>
        <w:t>Introduction:</w:t>
      </w:r>
      <w:bookmarkEnd w:id="2"/>
      <w:bookmarkEnd w:id="3"/>
    </w:p>
    <w:p w:rsidR="00F977B2" w:rsidRPr="009D1C91" w:rsidRDefault="006E0B5F"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In United Kingdom, England and Wales has a common law legal system, in which the decisions are made by the judges on the basis of past decisions of similar cases. The common law was initiated during King Henry II reign. While, Scotland follows its own judicial system of laws which is </w:t>
      </w:r>
      <w:r w:rsidR="000C4FA6" w:rsidRPr="009D1C91">
        <w:rPr>
          <w:rFonts w:ascii="Times New Roman" w:hAnsi="Times New Roman" w:cs="Times New Roman"/>
          <w:sz w:val="24"/>
          <w:szCs w:val="24"/>
        </w:rPr>
        <w:t xml:space="preserve">somewhat different from the common law. Hence the law of Scotland is not purely common. For example, in property matters, the law of Scotland is similar to that of civil laws more that of English laws. This report discusses the concept of common law and civil law in detail. And then discusses some major factors to compare the similarities and differences between the civil laws and common laws. </w:t>
      </w:r>
      <w:r w:rsidR="00675F07" w:rsidRPr="009D1C91">
        <w:rPr>
          <w:rFonts w:ascii="Times New Roman" w:hAnsi="Times New Roman" w:cs="Times New Roman"/>
          <w:sz w:val="24"/>
          <w:szCs w:val="24"/>
        </w:rPr>
        <w:t xml:space="preserve">The report </w:t>
      </w:r>
      <w:r w:rsidR="00E91E3C" w:rsidRPr="009D1C91">
        <w:rPr>
          <w:rFonts w:ascii="Times New Roman" w:hAnsi="Times New Roman" w:cs="Times New Roman"/>
          <w:sz w:val="24"/>
          <w:szCs w:val="24"/>
        </w:rPr>
        <w:t xml:space="preserve">is </w:t>
      </w:r>
      <w:r w:rsidR="00675F07" w:rsidRPr="009D1C91">
        <w:rPr>
          <w:rFonts w:ascii="Times New Roman" w:hAnsi="Times New Roman" w:cs="Times New Roman"/>
          <w:sz w:val="24"/>
          <w:szCs w:val="24"/>
        </w:rPr>
        <w:t>also consist</w:t>
      </w:r>
      <w:r w:rsidR="00E91E3C" w:rsidRPr="009D1C91">
        <w:rPr>
          <w:rFonts w:ascii="Times New Roman" w:hAnsi="Times New Roman" w:cs="Times New Roman"/>
          <w:sz w:val="24"/>
          <w:szCs w:val="24"/>
        </w:rPr>
        <w:t>ing</w:t>
      </w:r>
      <w:r w:rsidR="00675F07" w:rsidRPr="009D1C91">
        <w:rPr>
          <w:rFonts w:ascii="Times New Roman" w:hAnsi="Times New Roman" w:cs="Times New Roman"/>
          <w:sz w:val="24"/>
          <w:szCs w:val="24"/>
        </w:rPr>
        <w:t xml:space="preserve"> of pract</w:t>
      </w:r>
      <w:r w:rsidR="00673819" w:rsidRPr="009D1C91">
        <w:rPr>
          <w:rFonts w:ascii="Times New Roman" w:hAnsi="Times New Roman" w:cs="Times New Roman"/>
          <w:sz w:val="24"/>
          <w:szCs w:val="24"/>
        </w:rPr>
        <w:t xml:space="preserve">ical </w:t>
      </w:r>
      <w:r w:rsidR="00E91E3C" w:rsidRPr="009D1C91">
        <w:rPr>
          <w:rFonts w:ascii="Times New Roman" w:hAnsi="Times New Roman" w:cs="Times New Roman"/>
          <w:sz w:val="24"/>
          <w:szCs w:val="24"/>
        </w:rPr>
        <w:t xml:space="preserve">examples of </w:t>
      </w:r>
      <w:r w:rsidR="00673819" w:rsidRPr="009D1C91">
        <w:rPr>
          <w:rFonts w:ascii="Times New Roman" w:hAnsi="Times New Roman" w:cs="Times New Roman"/>
          <w:sz w:val="24"/>
          <w:szCs w:val="24"/>
        </w:rPr>
        <w:t xml:space="preserve">common law cases </w:t>
      </w:r>
      <w:r w:rsidR="00E91E3C" w:rsidRPr="009D1C91">
        <w:rPr>
          <w:rFonts w:ascii="Times New Roman" w:hAnsi="Times New Roman" w:cs="Times New Roman"/>
          <w:sz w:val="24"/>
          <w:szCs w:val="24"/>
        </w:rPr>
        <w:t xml:space="preserve">in UK. For example, the </w:t>
      </w:r>
      <w:r w:rsidR="006B5755" w:rsidRPr="009D1C91">
        <w:rPr>
          <w:rFonts w:ascii="Times New Roman" w:hAnsi="Times New Roman" w:cs="Times New Roman"/>
          <w:sz w:val="24"/>
          <w:szCs w:val="24"/>
        </w:rPr>
        <w:t xml:space="preserve">famous </w:t>
      </w:r>
      <w:r w:rsidR="00E91E3C" w:rsidRPr="009D1C91">
        <w:rPr>
          <w:rFonts w:ascii="Times New Roman" w:hAnsi="Times New Roman" w:cs="Times New Roman"/>
          <w:sz w:val="24"/>
          <w:szCs w:val="24"/>
        </w:rPr>
        <w:t xml:space="preserve">case of </w:t>
      </w:r>
      <w:r w:rsidR="00E91E3C" w:rsidRPr="009D1C91">
        <w:rPr>
          <w:rFonts w:ascii="Times New Roman" w:hAnsi="Times New Roman" w:cs="Times New Roman"/>
          <w:b/>
          <w:i/>
          <w:sz w:val="24"/>
          <w:szCs w:val="24"/>
        </w:rPr>
        <w:t>Donoghue v Stevenson (1932)</w:t>
      </w:r>
      <w:r w:rsidR="00E91E3C" w:rsidRPr="009D1C91">
        <w:rPr>
          <w:rFonts w:ascii="Times New Roman" w:hAnsi="Times New Roman" w:cs="Times New Roman"/>
          <w:sz w:val="24"/>
          <w:szCs w:val="24"/>
        </w:rPr>
        <w:t xml:space="preserve"> </w:t>
      </w:r>
      <w:r w:rsidR="006B5755" w:rsidRPr="009D1C91">
        <w:rPr>
          <w:rFonts w:ascii="Times New Roman" w:hAnsi="Times New Roman" w:cs="Times New Roman"/>
          <w:sz w:val="24"/>
          <w:szCs w:val="24"/>
        </w:rPr>
        <w:t xml:space="preserve">where a snail was found in a ginger beer bottle on which the negligence legal principle was formed and has been extended to cover many negligence areas inclusive of Defective structures, Defective products, Motor vehicle accidents, Work accidents, accidents on property, Negligent statements as well as the other case of </w:t>
      </w:r>
      <w:r w:rsidR="006B5755" w:rsidRPr="009D1C91">
        <w:rPr>
          <w:rFonts w:ascii="Times New Roman" w:hAnsi="Times New Roman" w:cs="Times New Roman"/>
          <w:b/>
          <w:i/>
          <w:sz w:val="24"/>
          <w:szCs w:val="24"/>
        </w:rPr>
        <w:t>Shaw v DPP</w:t>
      </w:r>
      <w:r w:rsidR="006B5755" w:rsidRPr="009D1C91">
        <w:rPr>
          <w:rFonts w:ascii="Times New Roman" w:hAnsi="Times New Roman" w:cs="Times New Roman"/>
          <w:sz w:val="24"/>
          <w:szCs w:val="24"/>
        </w:rPr>
        <w:t xml:space="preserve"> are referenced in the main body.</w:t>
      </w:r>
    </w:p>
    <w:p w:rsidR="00F977B2" w:rsidRPr="009D1C91" w:rsidRDefault="00F977B2" w:rsidP="009D1C91">
      <w:pPr>
        <w:pStyle w:val="Heading1"/>
        <w:spacing w:line="360" w:lineRule="auto"/>
        <w:rPr>
          <w:rFonts w:ascii="Times New Roman" w:hAnsi="Times New Roman" w:cs="Times New Roman"/>
          <w:sz w:val="24"/>
          <w:szCs w:val="24"/>
        </w:rPr>
      </w:pPr>
      <w:bookmarkStart w:id="4" w:name="_Toc129209002"/>
      <w:bookmarkStart w:id="5" w:name="_Toc129209044"/>
      <w:r w:rsidRPr="009D1C91">
        <w:rPr>
          <w:rFonts w:ascii="Times New Roman" w:hAnsi="Times New Roman" w:cs="Times New Roman"/>
          <w:sz w:val="24"/>
          <w:szCs w:val="24"/>
        </w:rPr>
        <w:t>Body:</w:t>
      </w:r>
      <w:bookmarkEnd w:id="4"/>
      <w:bookmarkEnd w:id="5"/>
    </w:p>
    <w:p w:rsidR="00F977B2" w:rsidRPr="009D1C91" w:rsidRDefault="00F977B2"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The </w:t>
      </w:r>
      <w:r w:rsidR="0030734F" w:rsidRPr="009D1C91">
        <w:rPr>
          <w:rFonts w:ascii="Times New Roman" w:hAnsi="Times New Roman" w:cs="Times New Roman"/>
          <w:sz w:val="24"/>
          <w:szCs w:val="24"/>
        </w:rPr>
        <w:t>law which is created</w:t>
      </w:r>
      <w:r w:rsidRPr="009D1C91">
        <w:rPr>
          <w:rFonts w:ascii="Times New Roman" w:hAnsi="Times New Roman" w:cs="Times New Roman"/>
          <w:sz w:val="24"/>
          <w:szCs w:val="24"/>
        </w:rPr>
        <w:t xml:space="preserve"> by judges and derived from the precedents and custom is known as common law.</w:t>
      </w:r>
      <w:r w:rsidR="0030734F" w:rsidRPr="009D1C91">
        <w:rPr>
          <w:rFonts w:ascii="Times New Roman" w:hAnsi="Times New Roman" w:cs="Times New Roman"/>
          <w:sz w:val="24"/>
          <w:szCs w:val="24"/>
        </w:rPr>
        <w:t xml:space="preserve"> It is the law which is based on the decisions of court rather than statues or courts.</w:t>
      </w:r>
      <w:r w:rsidRPr="009D1C91">
        <w:rPr>
          <w:rFonts w:ascii="Times New Roman" w:hAnsi="Times New Roman" w:cs="Times New Roman"/>
          <w:sz w:val="24"/>
          <w:szCs w:val="24"/>
        </w:rPr>
        <w:t xml:space="preserve"> In the 12</w:t>
      </w:r>
      <w:r w:rsidRPr="009D1C91">
        <w:rPr>
          <w:rFonts w:ascii="Times New Roman" w:hAnsi="Times New Roman" w:cs="Times New Roman"/>
          <w:sz w:val="24"/>
          <w:szCs w:val="24"/>
          <w:vertAlign w:val="superscript"/>
        </w:rPr>
        <w:t>th</w:t>
      </w:r>
      <w:r w:rsidRPr="009D1C91">
        <w:rPr>
          <w:rFonts w:ascii="Times New Roman" w:hAnsi="Times New Roman" w:cs="Times New Roman"/>
          <w:sz w:val="24"/>
          <w:szCs w:val="24"/>
        </w:rPr>
        <w:t xml:space="preserve"> century, during the era of Prince Henry II, the common law was </w:t>
      </w:r>
      <w:proofErr w:type="gramStart"/>
      <w:r w:rsidRPr="009D1C91">
        <w:rPr>
          <w:rFonts w:ascii="Times New Roman" w:hAnsi="Times New Roman" w:cs="Times New Roman"/>
          <w:sz w:val="24"/>
          <w:szCs w:val="24"/>
        </w:rPr>
        <w:t>began</w:t>
      </w:r>
      <w:proofErr w:type="gramEnd"/>
      <w:r w:rsidRPr="009D1C91">
        <w:rPr>
          <w:rFonts w:ascii="Times New Roman" w:hAnsi="Times New Roman" w:cs="Times New Roman"/>
          <w:sz w:val="24"/>
          <w:szCs w:val="24"/>
        </w:rPr>
        <w:t xml:space="preserve"> with his legal reforms. It is named as ‘common law” because of the fact that it is equally applied over the entire country. It primarily includes both the procedural as well as substantive rules, </w:t>
      </w:r>
      <w:r w:rsidR="0030734F" w:rsidRPr="009D1C91">
        <w:rPr>
          <w:rFonts w:ascii="Times New Roman" w:hAnsi="Times New Roman" w:cs="Times New Roman"/>
          <w:sz w:val="24"/>
          <w:szCs w:val="24"/>
        </w:rPr>
        <w:t>such as procedure rules of court and offence of murder respectively. The common law is only found in past decisions o similar cases and not in any code or body of l</w:t>
      </w:r>
      <w:r w:rsidR="000777A0" w:rsidRPr="009D1C91">
        <w:rPr>
          <w:rFonts w:ascii="Times New Roman" w:hAnsi="Times New Roman" w:cs="Times New Roman"/>
          <w:sz w:val="24"/>
          <w:szCs w:val="24"/>
        </w:rPr>
        <w:t>egislation. The legislation has</w:t>
      </w:r>
      <w:r w:rsidR="0030734F" w:rsidRPr="009D1C91">
        <w:rPr>
          <w:rFonts w:ascii="Times New Roman" w:hAnsi="Times New Roman" w:cs="Times New Roman"/>
          <w:sz w:val="24"/>
          <w:szCs w:val="24"/>
        </w:rPr>
        <w:t xml:space="preserve"> the authority to replace or supersede the rules of common law, which is c</w:t>
      </w:r>
      <w:r w:rsidR="000777A0" w:rsidRPr="009D1C91">
        <w:rPr>
          <w:rFonts w:ascii="Times New Roman" w:hAnsi="Times New Roman" w:cs="Times New Roman"/>
          <w:sz w:val="24"/>
          <w:szCs w:val="24"/>
        </w:rPr>
        <w:t>alled trump (</w:t>
      </w:r>
      <w:proofErr w:type="spellStart"/>
      <w:r w:rsidR="000777A0" w:rsidRPr="009D1C91">
        <w:rPr>
          <w:rFonts w:ascii="Times New Roman" w:hAnsi="Times New Roman" w:cs="Times New Roman"/>
          <w:color w:val="222222"/>
          <w:sz w:val="24"/>
          <w:szCs w:val="24"/>
          <w:shd w:val="clear" w:color="auto" w:fill="FFFFFF"/>
        </w:rPr>
        <w:t>Dainow</w:t>
      </w:r>
      <w:proofErr w:type="spellEnd"/>
      <w:r w:rsidR="000777A0" w:rsidRPr="009D1C91">
        <w:rPr>
          <w:rFonts w:ascii="Times New Roman" w:hAnsi="Times New Roman" w:cs="Times New Roman"/>
          <w:color w:val="222222"/>
          <w:sz w:val="24"/>
          <w:szCs w:val="24"/>
          <w:shd w:val="clear" w:color="auto" w:fill="FFFFFF"/>
        </w:rPr>
        <w:t>, 1966)</w:t>
      </w:r>
    </w:p>
    <w:p w:rsidR="0030734F" w:rsidRPr="009D1C91" w:rsidRDefault="0030734F"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On the other hand, a civil law is the law designed to deal with </w:t>
      </w:r>
      <w:r w:rsidR="00962575" w:rsidRPr="009D1C91">
        <w:rPr>
          <w:rFonts w:ascii="Times New Roman" w:hAnsi="Times New Roman" w:cs="Times New Roman"/>
          <w:sz w:val="24"/>
          <w:szCs w:val="24"/>
        </w:rPr>
        <w:t xml:space="preserve">people’s property disputes, people’s relationship, business agreement among the parties and </w:t>
      </w:r>
      <w:r w:rsidRPr="009D1C91">
        <w:rPr>
          <w:rFonts w:ascii="Times New Roman" w:hAnsi="Times New Roman" w:cs="Times New Roman"/>
          <w:sz w:val="24"/>
          <w:szCs w:val="24"/>
        </w:rPr>
        <w:t xml:space="preserve">the disputes arising between the organizations or individuals. </w:t>
      </w:r>
      <w:r w:rsidR="00962575" w:rsidRPr="009D1C91">
        <w:rPr>
          <w:rFonts w:ascii="Times New Roman" w:hAnsi="Times New Roman" w:cs="Times New Roman"/>
          <w:sz w:val="24"/>
          <w:szCs w:val="24"/>
        </w:rPr>
        <w:t>Not necessarily, but it can include some kind of judgment, agreement or compensation relating to money. Generally, private parties file civil law cases. Som</w:t>
      </w:r>
      <w:r w:rsidR="000777A0" w:rsidRPr="009D1C91">
        <w:rPr>
          <w:rFonts w:ascii="Times New Roman" w:hAnsi="Times New Roman" w:cs="Times New Roman"/>
          <w:sz w:val="24"/>
          <w:szCs w:val="24"/>
        </w:rPr>
        <w:t>e examples of civil law include</w:t>
      </w:r>
      <w:r w:rsidR="00962575" w:rsidRPr="009D1C91">
        <w:rPr>
          <w:rFonts w:ascii="Times New Roman" w:hAnsi="Times New Roman" w:cs="Times New Roman"/>
          <w:sz w:val="24"/>
          <w:szCs w:val="24"/>
        </w:rPr>
        <w:t xml:space="preserve"> defamation of an organization, bankruptcy, or custody </w:t>
      </w:r>
      <w:r w:rsidR="000777A0" w:rsidRPr="009D1C91">
        <w:rPr>
          <w:rFonts w:ascii="Times New Roman" w:hAnsi="Times New Roman" w:cs="Times New Roman"/>
          <w:sz w:val="24"/>
          <w:szCs w:val="24"/>
        </w:rPr>
        <w:t>disputes among the individuals (</w:t>
      </w:r>
      <w:r w:rsidR="000777A0" w:rsidRPr="009D1C91">
        <w:rPr>
          <w:rFonts w:ascii="Times New Roman" w:hAnsi="Times New Roman" w:cs="Times New Roman"/>
          <w:color w:val="222222"/>
          <w:sz w:val="24"/>
          <w:szCs w:val="24"/>
          <w:shd w:val="clear" w:color="auto" w:fill="FFFFFF"/>
        </w:rPr>
        <w:t xml:space="preserve">Douglas et al, 2011). </w:t>
      </w:r>
      <w:r w:rsidR="00962575" w:rsidRPr="009D1C91">
        <w:rPr>
          <w:rFonts w:ascii="Times New Roman" w:hAnsi="Times New Roman" w:cs="Times New Roman"/>
          <w:sz w:val="24"/>
          <w:szCs w:val="24"/>
        </w:rPr>
        <w:t>The civil laws can be primarily divided into four types:</w:t>
      </w:r>
    </w:p>
    <w:p w:rsidR="00962575" w:rsidRPr="009D1C91" w:rsidRDefault="00962575" w:rsidP="009D1C91">
      <w:pPr>
        <w:pStyle w:val="ListParagraph"/>
        <w:numPr>
          <w:ilvl w:val="0"/>
          <w:numId w:val="1"/>
        </w:numPr>
        <w:spacing w:line="360" w:lineRule="auto"/>
        <w:rPr>
          <w:rFonts w:ascii="Times New Roman" w:hAnsi="Times New Roman" w:cs="Times New Roman"/>
          <w:sz w:val="24"/>
          <w:szCs w:val="24"/>
        </w:rPr>
      </w:pPr>
      <w:r w:rsidRPr="009D1C91">
        <w:rPr>
          <w:rFonts w:ascii="Times New Roman" w:hAnsi="Times New Roman" w:cs="Times New Roman"/>
          <w:sz w:val="24"/>
          <w:szCs w:val="24"/>
        </w:rPr>
        <w:lastRenderedPageBreak/>
        <w:t>Family relations</w:t>
      </w:r>
    </w:p>
    <w:p w:rsidR="00962575" w:rsidRPr="009D1C91" w:rsidRDefault="00962575" w:rsidP="009D1C91">
      <w:pPr>
        <w:pStyle w:val="ListParagraph"/>
        <w:numPr>
          <w:ilvl w:val="0"/>
          <w:numId w:val="1"/>
        </w:numPr>
        <w:spacing w:line="360" w:lineRule="auto"/>
        <w:rPr>
          <w:rFonts w:ascii="Times New Roman" w:hAnsi="Times New Roman" w:cs="Times New Roman"/>
          <w:sz w:val="24"/>
          <w:szCs w:val="24"/>
        </w:rPr>
      </w:pPr>
      <w:r w:rsidRPr="009D1C91">
        <w:rPr>
          <w:rFonts w:ascii="Times New Roman" w:hAnsi="Times New Roman" w:cs="Times New Roman"/>
          <w:sz w:val="24"/>
          <w:szCs w:val="24"/>
        </w:rPr>
        <w:t>Contracts</w:t>
      </w:r>
    </w:p>
    <w:p w:rsidR="00962575" w:rsidRPr="009D1C91" w:rsidRDefault="00962575" w:rsidP="009D1C91">
      <w:pPr>
        <w:pStyle w:val="ListParagraph"/>
        <w:numPr>
          <w:ilvl w:val="0"/>
          <w:numId w:val="1"/>
        </w:numPr>
        <w:spacing w:line="360" w:lineRule="auto"/>
        <w:rPr>
          <w:rFonts w:ascii="Times New Roman" w:hAnsi="Times New Roman" w:cs="Times New Roman"/>
          <w:sz w:val="24"/>
          <w:szCs w:val="24"/>
        </w:rPr>
      </w:pPr>
      <w:r w:rsidRPr="009D1C91">
        <w:rPr>
          <w:rFonts w:ascii="Times New Roman" w:hAnsi="Times New Roman" w:cs="Times New Roman"/>
          <w:sz w:val="24"/>
          <w:szCs w:val="24"/>
        </w:rPr>
        <w:t>Civil wrongs causing property loss or physical injury</w:t>
      </w:r>
    </w:p>
    <w:p w:rsidR="00962575" w:rsidRPr="009D1C91" w:rsidRDefault="00962575" w:rsidP="009D1C91">
      <w:pPr>
        <w:pStyle w:val="ListParagraph"/>
        <w:numPr>
          <w:ilvl w:val="0"/>
          <w:numId w:val="1"/>
        </w:numPr>
        <w:spacing w:line="360" w:lineRule="auto"/>
        <w:rPr>
          <w:rFonts w:ascii="Times New Roman" w:hAnsi="Times New Roman" w:cs="Times New Roman"/>
          <w:sz w:val="24"/>
          <w:szCs w:val="24"/>
        </w:rPr>
      </w:pPr>
      <w:r w:rsidRPr="009D1C91">
        <w:rPr>
          <w:rFonts w:ascii="Times New Roman" w:hAnsi="Times New Roman" w:cs="Times New Roman"/>
          <w:sz w:val="24"/>
          <w:szCs w:val="24"/>
        </w:rPr>
        <w:t>Property</w:t>
      </w:r>
      <w:r w:rsidR="000777A0" w:rsidRPr="009D1C91">
        <w:rPr>
          <w:rFonts w:ascii="Times New Roman" w:hAnsi="Times New Roman" w:cs="Times New Roman"/>
          <w:sz w:val="24"/>
          <w:szCs w:val="24"/>
        </w:rPr>
        <w:t xml:space="preserve"> (</w:t>
      </w:r>
      <w:r w:rsidR="000777A0" w:rsidRPr="009D1C91">
        <w:rPr>
          <w:rFonts w:ascii="Times New Roman" w:hAnsi="Times New Roman" w:cs="Times New Roman"/>
          <w:color w:val="222222"/>
          <w:sz w:val="24"/>
          <w:szCs w:val="24"/>
          <w:shd w:val="clear" w:color="auto" w:fill="FFFFFF"/>
        </w:rPr>
        <w:t>O'Connor, 2012)</w:t>
      </w:r>
    </w:p>
    <w:p w:rsidR="00962575" w:rsidRPr="009D1C91" w:rsidRDefault="00AF21E4" w:rsidP="009D1C91">
      <w:pPr>
        <w:pStyle w:val="Heading2"/>
        <w:spacing w:line="360" w:lineRule="auto"/>
        <w:rPr>
          <w:rFonts w:ascii="Times New Roman" w:hAnsi="Times New Roman" w:cs="Times New Roman"/>
          <w:sz w:val="24"/>
          <w:szCs w:val="24"/>
        </w:rPr>
      </w:pPr>
      <w:bookmarkStart w:id="6" w:name="_Toc129209003"/>
      <w:bookmarkStart w:id="7" w:name="_Toc129209045"/>
      <w:r w:rsidRPr="009D1C91">
        <w:rPr>
          <w:rFonts w:ascii="Times New Roman" w:hAnsi="Times New Roman" w:cs="Times New Roman"/>
          <w:sz w:val="24"/>
          <w:szCs w:val="24"/>
        </w:rPr>
        <w:t>Comparison of common law and civil law:</w:t>
      </w:r>
      <w:bookmarkEnd w:id="6"/>
      <w:bookmarkEnd w:id="7"/>
    </w:p>
    <w:p w:rsidR="00AF21E4" w:rsidRPr="009D1C91" w:rsidRDefault="00AF21E4"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Both of the law systems have a great effect on how to run a business. The primary difference between the common law and civil law is that the common law is not codified, whereas the civil law is codified. The jurisdictions of common law are based upon case laws, which is set by judges in previous similar cases. Whereas, the jurisdictions of civil law are based upon the core principles which are already written in the form of a document. </w:t>
      </w:r>
      <w:r w:rsidR="00A3795C" w:rsidRPr="009D1C91">
        <w:rPr>
          <w:rFonts w:ascii="Times New Roman" w:hAnsi="Times New Roman" w:cs="Times New Roman"/>
          <w:sz w:val="24"/>
          <w:szCs w:val="24"/>
        </w:rPr>
        <w:t>It can also be observed that both the laws share similarities in terms of having judges, cou</w:t>
      </w:r>
      <w:r w:rsidR="000777A0" w:rsidRPr="009D1C91">
        <w:rPr>
          <w:rFonts w:ascii="Times New Roman" w:hAnsi="Times New Roman" w:cs="Times New Roman"/>
          <w:sz w:val="24"/>
          <w:szCs w:val="24"/>
        </w:rPr>
        <w:t>rts and comparing cases to laws (</w:t>
      </w:r>
      <w:r w:rsidR="000777A0" w:rsidRPr="009D1C91">
        <w:rPr>
          <w:rFonts w:ascii="Times New Roman" w:hAnsi="Times New Roman" w:cs="Times New Roman"/>
          <w:color w:val="222222"/>
          <w:sz w:val="24"/>
          <w:szCs w:val="24"/>
          <w:shd w:val="clear" w:color="auto" w:fill="FFFFFF"/>
        </w:rPr>
        <w:t>Robertson, 2012).</w:t>
      </w:r>
      <w:r w:rsidR="00A3795C" w:rsidRPr="009D1C91">
        <w:rPr>
          <w:rFonts w:ascii="Times New Roman" w:hAnsi="Times New Roman" w:cs="Times New Roman"/>
          <w:sz w:val="24"/>
          <w:szCs w:val="24"/>
        </w:rPr>
        <w:t xml:space="preserve"> </w:t>
      </w:r>
      <w:r w:rsidRPr="009D1C91">
        <w:rPr>
          <w:rFonts w:ascii="Times New Roman" w:hAnsi="Times New Roman" w:cs="Times New Roman"/>
          <w:sz w:val="24"/>
          <w:szCs w:val="24"/>
        </w:rPr>
        <w:t>The comparison between the two laws can be made based on the following factors:</w:t>
      </w:r>
    </w:p>
    <w:p w:rsidR="00AF21E4" w:rsidRPr="009D1C91" w:rsidRDefault="0062471C" w:rsidP="009D1C91">
      <w:pPr>
        <w:pStyle w:val="Heading3"/>
        <w:numPr>
          <w:ilvl w:val="0"/>
          <w:numId w:val="2"/>
        </w:numPr>
        <w:spacing w:line="360" w:lineRule="auto"/>
        <w:rPr>
          <w:rFonts w:ascii="Times New Roman" w:hAnsi="Times New Roman" w:cs="Times New Roman"/>
        </w:rPr>
      </w:pPr>
      <w:bookmarkStart w:id="8" w:name="_Toc129209004"/>
      <w:bookmarkStart w:id="9" w:name="_Toc129209046"/>
      <w:r w:rsidRPr="009D1C91">
        <w:rPr>
          <w:rFonts w:ascii="Times New Roman" w:hAnsi="Times New Roman" w:cs="Times New Roman"/>
        </w:rPr>
        <w:t>The role of judges:</w:t>
      </w:r>
      <w:bookmarkEnd w:id="8"/>
      <w:bookmarkEnd w:id="9"/>
    </w:p>
    <w:p w:rsidR="0062471C" w:rsidRPr="009D1C91" w:rsidRDefault="0062471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In common law, the decision is made by the judge based on the arguments laid down by both the parties. The judge here acts as a third party and considers each and every fact of the case. Whereas, lawyers in common law shape the case of their clients. </w:t>
      </w:r>
    </w:p>
    <w:p w:rsidR="0062471C" w:rsidRPr="009D1C91" w:rsidRDefault="0062471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On the other hand, in civil law, the judge acts as the main investigator of the case and after establishing the case facts, he applies the appropriate code.</w:t>
      </w:r>
    </w:p>
    <w:p w:rsidR="0062471C" w:rsidRPr="009D1C91" w:rsidRDefault="0062471C" w:rsidP="009D1C91">
      <w:pPr>
        <w:pStyle w:val="Heading3"/>
        <w:numPr>
          <w:ilvl w:val="0"/>
          <w:numId w:val="2"/>
        </w:numPr>
        <w:spacing w:line="360" w:lineRule="auto"/>
        <w:rPr>
          <w:rFonts w:ascii="Times New Roman" w:hAnsi="Times New Roman" w:cs="Times New Roman"/>
        </w:rPr>
      </w:pPr>
      <w:bookmarkStart w:id="10" w:name="_Toc129209005"/>
      <w:bookmarkStart w:id="11" w:name="_Toc129209047"/>
      <w:r w:rsidRPr="009D1C91">
        <w:rPr>
          <w:rFonts w:ascii="Times New Roman" w:hAnsi="Times New Roman" w:cs="Times New Roman"/>
        </w:rPr>
        <w:t>The role of lawyers:</w:t>
      </w:r>
      <w:bookmarkEnd w:id="10"/>
      <w:bookmarkEnd w:id="11"/>
    </w:p>
    <w:p w:rsidR="0062471C" w:rsidRPr="009D1C91" w:rsidRDefault="0062471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common law, it is the duty of a lawyer to produce evidence, questions the witnesses, and presents the case on the basis of their gathered evidences. Their role is adversarial in common law.</w:t>
      </w:r>
    </w:p>
    <w:p w:rsidR="0062471C" w:rsidRPr="009D1C91" w:rsidRDefault="0062471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In civil law, the lawyers have an inquisitorial role. It is their duty to present arguments on the basis of evidences found by the court, </w:t>
      </w:r>
      <w:r w:rsidR="00515A20" w:rsidRPr="009D1C91">
        <w:rPr>
          <w:rFonts w:ascii="Times New Roman" w:hAnsi="Times New Roman" w:cs="Times New Roman"/>
          <w:sz w:val="24"/>
          <w:szCs w:val="24"/>
        </w:rPr>
        <w:t xml:space="preserve">to assist the court by building the case of their client and </w:t>
      </w:r>
      <w:r w:rsidRPr="009D1C91">
        <w:rPr>
          <w:rFonts w:ascii="Times New Roman" w:hAnsi="Times New Roman" w:cs="Times New Roman"/>
          <w:sz w:val="24"/>
          <w:szCs w:val="24"/>
        </w:rPr>
        <w:t xml:space="preserve">to answer the </w:t>
      </w:r>
      <w:r w:rsidR="00515A20" w:rsidRPr="009D1C91">
        <w:rPr>
          <w:rFonts w:ascii="Times New Roman" w:hAnsi="Times New Roman" w:cs="Times New Roman"/>
          <w:sz w:val="24"/>
          <w:szCs w:val="24"/>
        </w:rPr>
        <w:t>questions required by the judge.</w:t>
      </w:r>
    </w:p>
    <w:p w:rsidR="00515A20" w:rsidRPr="009D1C91" w:rsidRDefault="00515A20" w:rsidP="009D1C91">
      <w:pPr>
        <w:pStyle w:val="Heading3"/>
        <w:numPr>
          <w:ilvl w:val="0"/>
          <w:numId w:val="2"/>
        </w:numPr>
        <w:spacing w:line="360" w:lineRule="auto"/>
        <w:rPr>
          <w:rFonts w:ascii="Times New Roman" w:hAnsi="Times New Roman" w:cs="Times New Roman"/>
        </w:rPr>
      </w:pPr>
      <w:bookmarkStart w:id="12" w:name="_Toc129209006"/>
      <w:bookmarkStart w:id="13" w:name="_Toc129209048"/>
      <w:r w:rsidRPr="009D1C91">
        <w:rPr>
          <w:rFonts w:ascii="Times New Roman" w:hAnsi="Times New Roman" w:cs="Times New Roman"/>
        </w:rPr>
        <w:t>The role of jury:</w:t>
      </w:r>
      <w:bookmarkEnd w:id="12"/>
      <w:bookmarkEnd w:id="13"/>
    </w:p>
    <w:p w:rsidR="00515A20" w:rsidRPr="009D1C91" w:rsidRDefault="00515A20"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a system of law which is codifies, jury is only involved in criminal cases and not in civil actions. In some jurisdictions, juries are used in both the criminal cases as well as civil cases.</w:t>
      </w:r>
    </w:p>
    <w:p w:rsidR="00515A20" w:rsidRPr="009D1C91" w:rsidRDefault="00515A20" w:rsidP="009D1C91">
      <w:pPr>
        <w:pStyle w:val="Heading3"/>
        <w:numPr>
          <w:ilvl w:val="0"/>
          <w:numId w:val="2"/>
        </w:numPr>
        <w:spacing w:line="360" w:lineRule="auto"/>
        <w:rPr>
          <w:rFonts w:ascii="Times New Roman" w:hAnsi="Times New Roman" w:cs="Times New Roman"/>
        </w:rPr>
      </w:pPr>
      <w:bookmarkStart w:id="14" w:name="_Toc129209007"/>
      <w:bookmarkStart w:id="15" w:name="_Toc129209049"/>
      <w:r w:rsidRPr="009D1C91">
        <w:rPr>
          <w:rFonts w:ascii="Times New Roman" w:hAnsi="Times New Roman" w:cs="Times New Roman"/>
        </w:rPr>
        <w:lastRenderedPageBreak/>
        <w:t>Evidence:</w:t>
      </w:r>
      <w:bookmarkEnd w:id="14"/>
      <w:bookmarkEnd w:id="15"/>
    </w:p>
    <w:p w:rsidR="00515A20" w:rsidRPr="009D1C91" w:rsidRDefault="00515A20"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civil law, as the main investigator is the judge, the investigations ordered by the court can form a major part of trial. Whereas, in common law, tis remains unheard. An expert witness might be designated by the parties which is then cross-examined by the lawyers of the parties.</w:t>
      </w:r>
    </w:p>
    <w:p w:rsidR="00515A20" w:rsidRPr="009D1C91" w:rsidRDefault="00515A20" w:rsidP="009D1C91">
      <w:pPr>
        <w:pStyle w:val="Heading3"/>
        <w:numPr>
          <w:ilvl w:val="0"/>
          <w:numId w:val="2"/>
        </w:numPr>
        <w:spacing w:line="360" w:lineRule="auto"/>
        <w:rPr>
          <w:rFonts w:ascii="Times New Roman" w:hAnsi="Times New Roman" w:cs="Times New Roman"/>
        </w:rPr>
      </w:pPr>
      <w:bookmarkStart w:id="16" w:name="_Toc129209008"/>
      <w:bookmarkStart w:id="17" w:name="_Toc129209050"/>
      <w:r w:rsidRPr="009D1C91">
        <w:rPr>
          <w:rFonts w:ascii="Times New Roman" w:hAnsi="Times New Roman" w:cs="Times New Roman"/>
        </w:rPr>
        <w:t>Precedent:</w:t>
      </w:r>
      <w:bookmarkEnd w:id="16"/>
      <w:bookmarkEnd w:id="17"/>
    </w:p>
    <w:p w:rsidR="00515A20" w:rsidRPr="009D1C91" w:rsidRDefault="00515A20"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common law, generally fairer and more consistent decision are made by the use of precedents</w:t>
      </w:r>
      <w:r w:rsidR="00270950" w:rsidRPr="009D1C91">
        <w:rPr>
          <w:rFonts w:ascii="Times New Roman" w:hAnsi="Times New Roman" w:cs="Times New Roman"/>
          <w:sz w:val="24"/>
          <w:szCs w:val="24"/>
        </w:rPr>
        <w:t>. When the facts of the current and previous cases are similar, and the high court made the decision of the previous case, then a precedent becomes binding.</w:t>
      </w:r>
    </w:p>
    <w:p w:rsidR="00270950" w:rsidRPr="009D1C91" w:rsidRDefault="00270950"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Whereas, in a civil law, the reference point used by the judges to decide the case is the code which is already written.</w:t>
      </w:r>
    </w:p>
    <w:p w:rsidR="00801884" w:rsidRPr="009D1C91" w:rsidRDefault="00A3795C" w:rsidP="009D1C91">
      <w:pPr>
        <w:pStyle w:val="Heading3"/>
        <w:numPr>
          <w:ilvl w:val="0"/>
          <w:numId w:val="2"/>
        </w:numPr>
        <w:spacing w:line="360" w:lineRule="auto"/>
        <w:rPr>
          <w:rFonts w:ascii="Times New Roman" w:hAnsi="Times New Roman" w:cs="Times New Roman"/>
        </w:rPr>
      </w:pPr>
      <w:bookmarkStart w:id="18" w:name="_Toc129209009"/>
      <w:bookmarkStart w:id="19" w:name="_Toc129209051"/>
      <w:r w:rsidRPr="009D1C91">
        <w:rPr>
          <w:rFonts w:ascii="Times New Roman" w:hAnsi="Times New Roman" w:cs="Times New Roman"/>
        </w:rPr>
        <w:t>Sources of law:</w:t>
      </w:r>
      <w:bookmarkEnd w:id="18"/>
      <w:bookmarkEnd w:id="19"/>
    </w:p>
    <w:p w:rsidR="00A3795C" w:rsidRPr="009D1C91" w:rsidRDefault="00A3795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common law, the sources of law include statues, legislation and subsidiary legislation, international law, judicial precedent and convention.</w:t>
      </w:r>
    </w:p>
    <w:p w:rsidR="00A3795C" w:rsidRPr="009D1C91" w:rsidRDefault="00A3795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civil law, the sources of law include constitution, custom, legislation and international law.</w:t>
      </w:r>
    </w:p>
    <w:p w:rsidR="00A3795C" w:rsidRPr="009D1C91" w:rsidRDefault="00A3795C" w:rsidP="009D1C91">
      <w:pPr>
        <w:pStyle w:val="Heading3"/>
        <w:numPr>
          <w:ilvl w:val="0"/>
          <w:numId w:val="2"/>
        </w:numPr>
        <w:spacing w:line="360" w:lineRule="auto"/>
        <w:rPr>
          <w:rFonts w:ascii="Times New Roman" w:hAnsi="Times New Roman" w:cs="Times New Roman"/>
        </w:rPr>
      </w:pPr>
      <w:bookmarkStart w:id="20" w:name="_Toc129209010"/>
      <w:bookmarkStart w:id="21" w:name="_Toc129209052"/>
      <w:r w:rsidRPr="009D1C91">
        <w:rPr>
          <w:rFonts w:ascii="Times New Roman" w:hAnsi="Times New Roman" w:cs="Times New Roman"/>
        </w:rPr>
        <w:t>Type of argument:</w:t>
      </w:r>
      <w:bookmarkEnd w:id="20"/>
      <w:bookmarkEnd w:id="21"/>
    </w:p>
    <w:p w:rsidR="00A3795C" w:rsidRPr="009D1C91" w:rsidRDefault="00A3795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common law, the arguments are adversarial. Questions of witnesses are asked by the lawyer, the evidence is demanded, and such cases are to be presented which are based on the gathered e</w:t>
      </w:r>
      <w:r w:rsidR="000777A0" w:rsidRPr="009D1C91">
        <w:rPr>
          <w:rFonts w:ascii="Times New Roman" w:hAnsi="Times New Roman" w:cs="Times New Roman"/>
          <w:sz w:val="24"/>
          <w:szCs w:val="24"/>
        </w:rPr>
        <w:t>vidences (</w:t>
      </w:r>
      <w:r w:rsidR="000777A0" w:rsidRPr="009D1C91">
        <w:rPr>
          <w:rFonts w:ascii="Times New Roman" w:hAnsi="Times New Roman" w:cs="Times New Roman"/>
          <w:color w:val="222222"/>
          <w:sz w:val="24"/>
          <w:szCs w:val="24"/>
          <w:shd w:val="clear" w:color="auto" w:fill="FFFFFF"/>
        </w:rPr>
        <w:t>McCrudden, 2000).</w:t>
      </w:r>
    </w:p>
    <w:p w:rsidR="00A3795C" w:rsidRPr="009D1C91" w:rsidRDefault="00A3795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In civil law, the arguments are inquisitorial. Only the judges demand evidences and ask questions. Whereas, the arguments presented by the lawyers are based on t</w:t>
      </w:r>
      <w:r w:rsidR="000777A0" w:rsidRPr="009D1C91">
        <w:rPr>
          <w:rFonts w:ascii="Times New Roman" w:hAnsi="Times New Roman" w:cs="Times New Roman"/>
          <w:sz w:val="24"/>
          <w:szCs w:val="24"/>
        </w:rPr>
        <w:t xml:space="preserve">he evidences found by the court </w:t>
      </w:r>
    </w:p>
    <w:p w:rsidR="00A3795C" w:rsidRPr="009D1C91" w:rsidRDefault="00A3795C" w:rsidP="009D1C91">
      <w:pPr>
        <w:pStyle w:val="Heading3"/>
        <w:numPr>
          <w:ilvl w:val="0"/>
          <w:numId w:val="2"/>
        </w:numPr>
        <w:spacing w:line="360" w:lineRule="auto"/>
        <w:rPr>
          <w:rFonts w:ascii="Times New Roman" w:hAnsi="Times New Roman" w:cs="Times New Roman"/>
        </w:rPr>
      </w:pPr>
      <w:bookmarkStart w:id="22" w:name="_Toc129209011"/>
      <w:bookmarkStart w:id="23" w:name="_Toc129209053"/>
      <w:r w:rsidRPr="009D1C91">
        <w:rPr>
          <w:rFonts w:ascii="Times New Roman" w:hAnsi="Times New Roman" w:cs="Times New Roman"/>
        </w:rPr>
        <w:t>Evolution:</w:t>
      </w:r>
      <w:bookmarkEnd w:id="22"/>
      <w:bookmarkEnd w:id="23"/>
    </w:p>
    <w:p w:rsidR="00A3795C" w:rsidRPr="009D1C91" w:rsidRDefault="00A3795C"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The sources of law are similar for both the law systems. They both have case laws, statues and both solve cases </w:t>
      </w:r>
      <w:r w:rsidR="00EF0BFA" w:rsidRPr="009D1C91">
        <w:rPr>
          <w:rFonts w:ascii="Times New Roman" w:hAnsi="Times New Roman" w:cs="Times New Roman"/>
          <w:sz w:val="24"/>
          <w:szCs w:val="24"/>
        </w:rPr>
        <w:t xml:space="preserve">in different manner </w:t>
      </w:r>
      <w:r w:rsidR="000777A0" w:rsidRPr="009D1C91">
        <w:rPr>
          <w:rFonts w:ascii="Times New Roman" w:hAnsi="Times New Roman" w:cs="Times New Roman"/>
          <w:sz w:val="24"/>
          <w:szCs w:val="24"/>
        </w:rPr>
        <w:t>based on different perspectives (</w:t>
      </w:r>
      <w:proofErr w:type="spellStart"/>
      <w:r w:rsidR="000777A0" w:rsidRPr="009D1C91">
        <w:rPr>
          <w:rFonts w:ascii="Times New Roman" w:hAnsi="Times New Roman" w:cs="Times New Roman"/>
          <w:color w:val="222222"/>
          <w:sz w:val="24"/>
          <w:szCs w:val="24"/>
          <w:shd w:val="clear" w:color="auto" w:fill="FFFFFF"/>
        </w:rPr>
        <w:t>Joireman</w:t>
      </w:r>
      <w:proofErr w:type="spellEnd"/>
      <w:r w:rsidR="000777A0" w:rsidRPr="009D1C91">
        <w:rPr>
          <w:rFonts w:ascii="Times New Roman" w:hAnsi="Times New Roman" w:cs="Times New Roman"/>
          <w:color w:val="222222"/>
          <w:sz w:val="24"/>
          <w:szCs w:val="24"/>
          <w:shd w:val="clear" w:color="auto" w:fill="FFFFFF"/>
        </w:rPr>
        <w:t>, 2004)</w:t>
      </w:r>
    </w:p>
    <w:p w:rsidR="00EF0BFA" w:rsidRPr="009D1C91" w:rsidRDefault="00EF0BFA" w:rsidP="009D1C91">
      <w:pPr>
        <w:pStyle w:val="Heading2"/>
        <w:spacing w:line="360" w:lineRule="auto"/>
        <w:rPr>
          <w:rFonts w:ascii="Times New Roman" w:hAnsi="Times New Roman" w:cs="Times New Roman"/>
          <w:sz w:val="24"/>
          <w:szCs w:val="24"/>
        </w:rPr>
      </w:pPr>
      <w:bookmarkStart w:id="24" w:name="_Toc129209012"/>
      <w:bookmarkStart w:id="25" w:name="_Toc129209054"/>
      <w:r w:rsidRPr="009D1C91">
        <w:rPr>
          <w:rFonts w:ascii="Times New Roman" w:hAnsi="Times New Roman" w:cs="Times New Roman"/>
          <w:sz w:val="24"/>
          <w:szCs w:val="24"/>
        </w:rPr>
        <w:t>History of common law:</w:t>
      </w:r>
      <w:bookmarkEnd w:id="24"/>
      <w:bookmarkEnd w:id="25"/>
    </w:p>
    <w:p w:rsidR="00EF0BFA" w:rsidRPr="009D1C91" w:rsidRDefault="00EF0BFA"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The emergence of common law starts from early English Monarchy. In </w:t>
      </w:r>
      <w:r w:rsidR="008A762B" w:rsidRPr="009D1C91">
        <w:rPr>
          <w:rFonts w:ascii="Times New Roman" w:hAnsi="Times New Roman" w:cs="Times New Roman"/>
          <w:sz w:val="24"/>
          <w:szCs w:val="24"/>
        </w:rPr>
        <w:t xml:space="preserve">The year 1066, after the Norman Conquest, the common law began to develop. Before that, the law of Anglo-Saxon was followed. </w:t>
      </w:r>
      <w:r w:rsidR="009F7C0C" w:rsidRPr="009D1C91">
        <w:rPr>
          <w:rFonts w:ascii="Times New Roman" w:hAnsi="Times New Roman" w:cs="Times New Roman"/>
          <w:sz w:val="24"/>
          <w:szCs w:val="24"/>
        </w:rPr>
        <w:t>This law undergoes various transformatio</w:t>
      </w:r>
      <w:r w:rsidR="00471D77" w:rsidRPr="009D1C91">
        <w:rPr>
          <w:rFonts w:ascii="Times New Roman" w:hAnsi="Times New Roman" w:cs="Times New Roman"/>
          <w:sz w:val="24"/>
          <w:szCs w:val="24"/>
        </w:rPr>
        <w:t xml:space="preserve">n with the passage of time. the Normans and </w:t>
      </w:r>
      <w:r w:rsidR="00471D77" w:rsidRPr="009D1C91">
        <w:rPr>
          <w:rFonts w:ascii="Times New Roman" w:hAnsi="Times New Roman" w:cs="Times New Roman"/>
          <w:sz w:val="24"/>
          <w:szCs w:val="24"/>
        </w:rPr>
        <w:lastRenderedPageBreak/>
        <w:t>successors of Anglo-Saxon rulers used to issue writs. Writs were basically legal orders addressing different situations that were issued by courts. These writs helped in creating the English common law system which rely on judicial decisions to make unwritten norms and legal rules. Later on, King Henry II of England issue writs and because of his legal innovations, he was known as “the father of common law”. He promoted strong judicial institu</w:t>
      </w:r>
      <w:r w:rsidR="000777A0" w:rsidRPr="009D1C91">
        <w:rPr>
          <w:rFonts w:ascii="Times New Roman" w:hAnsi="Times New Roman" w:cs="Times New Roman"/>
          <w:sz w:val="24"/>
          <w:szCs w:val="24"/>
        </w:rPr>
        <w:t>tions and expanded court access (</w:t>
      </w:r>
      <w:r w:rsidR="000777A0" w:rsidRPr="009D1C91">
        <w:rPr>
          <w:rFonts w:ascii="Times New Roman" w:hAnsi="Times New Roman" w:cs="Times New Roman"/>
          <w:color w:val="222222"/>
          <w:sz w:val="24"/>
          <w:szCs w:val="24"/>
          <w:shd w:val="clear" w:color="auto" w:fill="FFFFFF"/>
        </w:rPr>
        <w:t>Tetley, 1999).</w:t>
      </w:r>
    </w:p>
    <w:p w:rsidR="00471D77" w:rsidRPr="009D1C91" w:rsidRDefault="00471D77" w:rsidP="009D1C91">
      <w:pPr>
        <w:pStyle w:val="Heading2"/>
        <w:spacing w:line="360" w:lineRule="auto"/>
        <w:rPr>
          <w:rFonts w:ascii="Times New Roman" w:hAnsi="Times New Roman" w:cs="Times New Roman"/>
          <w:sz w:val="24"/>
          <w:szCs w:val="24"/>
        </w:rPr>
      </w:pPr>
      <w:bookmarkStart w:id="26" w:name="_Toc129209013"/>
      <w:bookmarkStart w:id="27" w:name="_Toc129209055"/>
      <w:r w:rsidRPr="009D1C91">
        <w:rPr>
          <w:rFonts w:ascii="Times New Roman" w:hAnsi="Times New Roman" w:cs="Times New Roman"/>
          <w:sz w:val="24"/>
          <w:szCs w:val="24"/>
        </w:rPr>
        <w:t>Examples of common law in practice:</w:t>
      </w:r>
      <w:bookmarkEnd w:id="26"/>
      <w:bookmarkEnd w:id="27"/>
    </w:p>
    <w:p w:rsidR="00B91DAB" w:rsidRPr="009D1C91" w:rsidRDefault="002A6F74"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Common law is mostly practiced in United Kingdom. There existed many cases that are practical examples of common law.</w:t>
      </w:r>
    </w:p>
    <w:p w:rsidR="00D45CD1" w:rsidRPr="009D1C91" w:rsidRDefault="00D45CD1"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For example, when the case of </w:t>
      </w:r>
      <w:r w:rsidRPr="009D1C91">
        <w:rPr>
          <w:rFonts w:ascii="Times New Roman" w:hAnsi="Times New Roman" w:cs="Times New Roman"/>
          <w:b/>
          <w:i/>
          <w:sz w:val="24"/>
          <w:szCs w:val="24"/>
        </w:rPr>
        <w:t>Donoghue v Stevenson (1932)</w:t>
      </w:r>
      <w:r w:rsidRPr="009D1C91">
        <w:rPr>
          <w:rFonts w:ascii="Times New Roman" w:hAnsi="Times New Roman" w:cs="Times New Roman"/>
          <w:sz w:val="24"/>
          <w:szCs w:val="24"/>
        </w:rPr>
        <w:t xml:space="preserve"> was presented in the court, the House of Lords decided that the duty of care to the product consumer was to be owed by the manufacturer. This case set a binding precedent. Later, when the </w:t>
      </w:r>
      <w:r w:rsidRPr="009D1C91">
        <w:rPr>
          <w:rFonts w:ascii="Times New Roman" w:hAnsi="Times New Roman" w:cs="Times New Roman"/>
          <w:b/>
          <w:i/>
          <w:sz w:val="24"/>
          <w:szCs w:val="24"/>
        </w:rPr>
        <w:t>Grant v Australian Knitting Mills (1936)</w:t>
      </w:r>
      <w:r w:rsidRPr="009D1C91">
        <w:rPr>
          <w:rFonts w:ascii="Times New Roman" w:hAnsi="Times New Roman" w:cs="Times New Roman"/>
          <w:sz w:val="24"/>
          <w:szCs w:val="24"/>
        </w:rPr>
        <w:t xml:space="preserve"> case arose, the decision was made on the basis of its precedent case of </w:t>
      </w:r>
      <w:r w:rsidRPr="009D1C91">
        <w:rPr>
          <w:rFonts w:ascii="Times New Roman" w:hAnsi="Times New Roman" w:cs="Times New Roman"/>
          <w:b/>
          <w:i/>
          <w:sz w:val="24"/>
          <w:szCs w:val="24"/>
        </w:rPr>
        <w:t>Donoghue v Stevenson (1932).</w:t>
      </w:r>
    </w:p>
    <w:p w:rsidR="00D45CD1" w:rsidRPr="009D1C91" w:rsidRDefault="00D45CD1"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Another example of the common law in UK is evident from the case of </w:t>
      </w:r>
      <w:r w:rsidRPr="009D1C91">
        <w:rPr>
          <w:rFonts w:ascii="Times New Roman" w:hAnsi="Times New Roman" w:cs="Times New Roman"/>
          <w:b/>
          <w:i/>
          <w:sz w:val="24"/>
          <w:szCs w:val="24"/>
        </w:rPr>
        <w:t>Shaw v DPP (1962).</w:t>
      </w:r>
      <w:r w:rsidRPr="009D1C91">
        <w:rPr>
          <w:rFonts w:ascii="Times New Roman" w:hAnsi="Times New Roman" w:cs="Times New Roman"/>
          <w:sz w:val="24"/>
          <w:szCs w:val="24"/>
        </w:rPr>
        <w:t xml:space="preserve"> When this case was held in the court, the judges decided that there existed a crime of conspiracy for corrupting the public morals. Later </w:t>
      </w:r>
      <w:proofErr w:type="gramStart"/>
      <w:r w:rsidRPr="009D1C91">
        <w:rPr>
          <w:rFonts w:ascii="Times New Roman" w:hAnsi="Times New Roman" w:cs="Times New Roman"/>
          <w:sz w:val="24"/>
          <w:szCs w:val="24"/>
        </w:rPr>
        <w:t>on</w:t>
      </w:r>
      <w:proofErr w:type="gramEnd"/>
      <w:r w:rsidRPr="009D1C91">
        <w:rPr>
          <w:rFonts w:ascii="Times New Roman" w:hAnsi="Times New Roman" w:cs="Times New Roman"/>
          <w:sz w:val="24"/>
          <w:szCs w:val="24"/>
        </w:rPr>
        <w:t xml:space="preserve"> when the </w:t>
      </w:r>
      <w:proofErr w:type="spellStart"/>
      <w:r w:rsidRPr="009D1C91">
        <w:rPr>
          <w:rFonts w:ascii="Times New Roman" w:hAnsi="Times New Roman" w:cs="Times New Roman"/>
          <w:b/>
          <w:i/>
          <w:sz w:val="24"/>
          <w:szCs w:val="24"/>
        </w:rPr>
        <w:t>Knuller</w:t>
      </w:r>
      <w:proofErr w:type="spellEnd"/>
      <w:r w:rsidRPr="009D1C91">
        <w:rPr>
          <w:rFonts w:ascii="Times New Roman" w:hAnsi="Times New Roman" w:cs="Times New Roman"/>
          <w:b/>
          <w:i/>
          <w:sz w:val="24"/>
          <w:szCs w:val="24"/>
        </w:rPr>
        <w:t xml:space="preserve"> v DPP (1973)</w:t>
      </w:r>
      <w:r w:rsidRPr="009D1C91">
        <w:rPr>
          <w:rFonts w:ascii="Times New Roman" w:hAnsi="Times New Roman" w:cs="Times New Roman"/>
          <w:sz w:val="24"/>
          <w:szCs w:val="24"/>
        </w:rPr>
        <w:t xml:space="preserve"> case arose, the decision was made on the basis of its precedent case of </w:t>
      </w:r>
      <w:r w:rsidRPr="009D1C91">
        <w:rPr>
          <w:rFonts w:ascii="Times New Roman" w:hAnsi="Times New Roman" w:cs="Times New Roman"/>
          <w:b/>
          <w:i/>
          <w:sz w:val="24"/>
          <w:szCs w:val="24"/>
        </w:rPr>
        <w:t>Shaw v DPP (1962).</w:t>
      </w:r>
    </w:p>
    <w:p w:rsidR="00F977B2" w:rsidRPr="009D1C91" w:rsidRDefault="00F977B2" w:rsidP="009D1C91">
      <w:pPr>
        <w:pStyle w:val="Heading1"/>
        <w:spacing w:line="360" w:lineRule="auto"/>
        <w:rPr>
          <w:rFonts w:ascii="Times New Roman" w:hAnsi="Times New Roman" w:cs="Times New Roman"/>
          <w:sz w:val="24"/>
          <w:szCs w:val="24"/>
        </w:rPr>
      </w:pPr>
      <w:bookmarkStart w:id="28" w:name="_Toc129209014"/>
      <w:bookmarkStart w:id="29" w:name="_Toc129209056"/>
      <w:r w:rsidRPr="009D1C91">
        <w:rPr>
          <w:rFonts w:ascii="Times New Roman" w:hAnsi="Times New Roman" w:cs="Times New Roman"/>
          <w:sz w:val="24"/>
          <w:szCs w:val="24"/>
        </w:rPr>
        <w:t>Conclusion:</w:t>
      </w:r>
      <w:bookmarkEnd w:id="28"/>
      <w:bookmarkEnd w:id="29"/>
    </w:p>
    <w:p w:rsidR="00C227CD" w:rsidRPr="009D1C91" w:rsidRDefault="00365875" w:rsidP="009D1C91">
      <w:pPr>
        <w:spacing w:line="360" w:lineRule="auto"/>
        <w:rPr>
          <w:rFonts w:ascii="Times New Roman" w:hAnsi="Times New Roman" w:cs="Times New Roman"/>
          <w:sz w:val="24"/>
          <w:szCs w:val="24"/>
        </w:rPr>
      </w:pPr>
      <w:r w:rsidRPr="009D1C91">
        <w:rPr>
          <w:rFonts w:ascii="Times New Roman" w:hAnsi="Times New Roman" w:cs="Times New Roman"/>
          <w:sz w:val="24"/>
          <w:szCs w:val="24"/>
        </w:rPr>
        <w:t xml:space="preserve">In </w:t>
      </w:r>
      <w:r w:rsidR="006A6AE8" w:rsidRPr="009D1C91">
        <w:rPr>
          <w:rFonts w:ascii="Times New Roman" w:hAnsi="Times New Roman" w:cs="Times New Roman"/>
          <w:sz w:val="24"/>
          <w:szCs w:val="24"/>
        </w:rPr>
        <w:t>a nutshell, there are three separate legal systems; one each for Netherland, Ireland, Scotland and England and wales</w:t>
      </w:r>
      <w:r w:rsidRPr="009D1C91">
        <w:rPr>
          <w:rFonts w:ascii="Times New Roman" w:hAnsi="Times New Roman" w:cs="Times New Roman"/>
          <w:sz w:val="24"/>
          <w:szCs w:val="24"/>
        </w:rPr>
        <w:t>.</w:t>
      </w:r>
      <w:r w:rsidR="006A6AE8" w:rsidRPr="009D1C91">
        <w:rPr>
          <w:rFonts w:ascii="Times New Roman" w:hAnsi="Times New Roman" w:cs="Times New Roman"/>
          <w:sz w:val="24"/>
          <w:szCs w:val="24"/>
        </w:rPr>
        <w:t xml:space="preserve"> The UK parliament consists of two different houses, one is the House of Lords and the other is the House of Commons. In common law system, </w:t>
      </w:r>
      <w:r w:rsidR="006E0B5F" w:rsidRPr="009D1C91">
        <w:rPr>
          <w:rFonts w:ascii="Times New Roman" w:hAnsi="Times New Roman" w:cs="Times New Roman"/>
          <w:sz w:val="24"/>
          <w:szCs w:val="24"/>
        </w:rPr>
        <w:t>the law is created by the judges based on the subject matter heard in past cases.</w:t>
      </w:r>
      <w:r w:rsidRPr="009D1C91">
        <w:rPr>
          <w:rFonts w:ascii="Times New Roman" w:hAnsi="Times New Roman" w:cs="Times New Roman"/>
          <w:sz w:val="24"/>
          <w:szCs w:val="24"/>
        </w:rPr>
        <w:t xml:space="preserve"> Despite of few similarities, both of them differ with each other because of many factors which include the role of judges, the role of lawyers, the role of jury, evidence, precedent, sources of law and the type of argument. The primary differences include common law is not codified and civil law is codified, in common law the judicial decisions are binding and it is not binding on the third parties in civil law, there is a very little influence of writings of legal scholars and a significant influence in some civil laws. Also, it is important to note that in common law, the main source of law is judicial </w:t>
      </w:r>
      <w:r w:rsidRPr="009D1C91">
        <w:rPr>
          <w:rFonts w:ascii="Times New Roman" w:hAnsi="Times New Roman" w:cs="Times New Roman"/>
          <w:sz w:val="24"/>
          <w:szCs w:val="24"/>
        </w:rPr>
        <w:lastRenderedPageBreak/>
        <w:t>precedents or case laws, whereas, in civil laws, subsidiary legislations and statues are the main sources of making laws.</w:t>
      </w:r>
    </w:p>
    <w:p w:rsidR="00E91E3C" w:rsidRPr="009D1C91" w:rsidRDefault="00E91E3C" w:rsidP="009D1C91">
      <w:pPr>
        <w:pStyle w:val="Heading1"/>
        <w:spacing w:line="360" w:lineRule="auto"/>
        <w:rPr>
          <w:rFonts w:ascii="Times New Roman" w:hAnsi="Times New Roman" w:cs="Times New Roman"/>
          <w:sz w:val="24"/>
          <w:szCs w:val="24"/>
        </w:rPr>
      </w:pPr>
    </w:p>
    <w:p w:rsidR="00E91E3C" w:rsidRPr="009D1C91" w:rsidRDefault="00E91E3C" w:rsidP="009D1C91">
      <w:pPr>
        <w:pStyle w:val="Heading1"/>
        <w:spacing w:line="360" w:lineRule="auto"/>
        <w:rPr>
          <w:rFonts w:ascii="Times New Roman" w:hAnsi="Times New Roman" w:cs="Times New Roman"/>
          <w:sz w:val="24"/>
          <w:szCs w:val="24"/>
        </w:rPr>
      </w:pPr>
      <w:r w:rsidRPr="009D1C91">
        <w:rPr>
          <w:rFonts w:ascii="Times New Roman" w:hAnsi="Times New Roman" w:cs="Times New Roman"/>
          <w:sz w:val="24"/>
          <w:szCs w:val="24"/>
        </w:rPr>
        <w:t>References:</w:t>
      </w:r>
    </w:p>
    <w:p w:rsidR="000777A0" w:rsidRPr="009D1C91" w:rsidRDefault="000777A0" w:rsidP="009D1C91">
      <w:pPr>
        <w:spacing w:line="360" w:lineRule="auto"/>
        <w:rPr>
          <w:rFonts w:ascii="Times New Roman" w:hAnsi="Times New Roman" w:cs="Times New Roman"/>
          <w:color w:val="222222"/>
          <w:sz w:val="24"/>
          <w:szCs w:val="24"/>
          <w:shd w:val="clear" w:color="auto" w:fill="FFFFFF"/>
        </w:rPr>
      </w:pPr>
      <w:proofErr w:type="spellStart"/>
      <w:r w:rsidRPr="009D1C91">
        <w:rPr>
          <w:rFonts w:ascii="Times New Roman" w:hAnsi="Times New Roman" w:cs="Times New Roman"/>
          <w:color w:val="222222"/>
          <w:sz w:val="24"/>
          <w:szCs w:val="24"/>
          <w:shd w:val="clear" w:color="auto" w:fill="FFFFFF"/>
        </w:rPr>
        <w:t>Dainow</w:t>
      </w:r>
      <w:proofErr w:type="spellEnd"/>
      <w:r w:rsidRPr="009D1C91">
        <w:rPr>
          <w:rFonts w:ascii="Times New Roman" w:hAnsi="Times New Roman" w:cs="Times New Roman"/>
          <w:color w:val="222222"/>
          <w:sz w:val="24"/>
          <w:szCs w:val="24"/>
          <w:shd w:val="clear" w:color="auto" w:fill="FFFFFF"/>
        </w:rPr>
        <w:t>, J., 1966. The civil law and the common law: some points of comparison. </w:t>
      </w:r>
      <w:r w:rsidRPr="009D1C91">
        <w:rPr>
          <w:rFonts w:ascii="Times New Roman" w:hAnsi="Times New Roman" w:cs="Times New Roman"/>
          <w:i/>
          <w:iCs/>
          <w:color w:val="222222"/>
          <w:sz w:val="24"/>
          <w:szCs w:val="24"/>
          <w:shd w:val="clear" w:color="auto" w:fill="FFFFFF"/>
        </w:rPr>
        <w:t>Am. J. Comp. L.</w:t>
      </w:r>
      <w:r w:rsidRPr="009D1C91">
        <w:rPr>
          <w:rFonts w:ascii="Times New Roman" w:hAnsi="Times New Roman" w:cs="Times New Roman"/>
          <w:color w:val="222222"/>
          <w:sz w:val="24"/>
          <w:szCs w:val="24"/>
          <w:shd w:val="clear" w:color="auto" w:fill="FFFFFF"/>
        </w:rPr>
        <w:t>, </w:t>
      </w:r>
      <w:r w:rsidRPr="009D1C91">
        <w:rPr>
          <w:rFonts w:ascii="Times New Roman" w:hAnsi="Times New Roman" w:cs="Times New Roman"/>
          <w:i/>
          <w:iCs/>
          <w:color w:val="222222"/>
          <w:sz w:val="24"/>
          <w:szCs w:val="24"/>
          <w:shd w:val="clear" w:color="auto" w:fill="FFFFFF"/>
        </w:rPr>
        <w:t>15</w:t>
      </w:r>
      <w:r w:rsidRPr="009D1C91">
        <w:rPr>
          <w:rFonts w:ascii="Times New Roman" w:hAnsi="Times New Roman" w:cs="Times New Roman"/>
          <w:color w:val="222222"/>
          <w:sz w:val="24"/>
          <w:szCs w:val="24"/>
          <w:shd w:val="clear" w:color="auto" w:fill="FFFFFF"/>
        </w:rPr>
        <w:t>, p.419.</w:t>
      </w:r>
    </w:p>
    <w:p w:rsidR="000777A0" w:rsidRPr="009D1C91" w:rsidRDefault="000777A0" w:rsidP="009D1C91">
      <w:pPr>
        <w:spacing w:line="360" w:lineRule="auto"/>
        <w:rPr>
          <w:rFonts w:ascii="Times New Roman" w:hAnsi="Times New Roman" w:cs="Times New Roman"/>
          <w:sz w:val="24"/>
          <w:szCs w:val="24"/>
        </w:rPr>
      </w:pPr>
      <w:r w:rsidRPr="009D1C91">
        <w:rPr>
          <w:rFonts w:ascii="Times New Roman" w:hAnsi="Times New Roman" w:cs="Times New Roman"/>
          <w:color w:val="222222"/>
          <w:sz w:val="24"/>
          <w:szCs w:val="24"/>
          <w:shd w:val="clear" w:color="auto" w:fill="FFFFFF"/>
        </w:rPr>
        <w:t xml:space="preserve">Douglas, G., Doe, N., </w:t>
      </w:r>
      <w:proofErr w:type="spellStart"/>
      <w:r w:rsidRPr="009D1C91">
        <w:rPr>
          <w:rFonts w:ascii="Times New Roman" w:hAnsi="Times New Roman" w:cs="Times New Roman"/>
          <w:color w:val="222222"/>
          <w:sz w:val="24"/>
          <w:szCs w:val="24"/>
          <w:shd w:val="clear" w:color="auto" w:fill="FFFFFF"/>
        </w:rPr>
        <w:t>Gilliat</w:t>
      </w:r>
      <w:proofErr w:type="spellEnd"/>
      <w:r w:rsidRPr="009D1C91">
        <w:rPr>
          <w:rFonts w:ascii="Times New Roman" w:hAnsi="Times New Roman" w:cs="Times New Roman"/>
          <w:color w:val="222222"/>
          <w:sz w:val="24"/>
          <w:szCs w:val="24"/>
          <w:shd w:val="clear" w:color="auto" w:fill="FFFFFF"/>
        </w:rPr>
        <w:t>-Ray, S., Sandberg, R. and Khan, A., 2011. Social cohesion and civil law: Marriage, divorce and religious courts. </w:t>
      </w:r>
      <w:r w:rsidRPr="009D1C91">
        <w:rPr>
          <w:rFonts w:ascii="Times New Roman" w:hAnsi="Times New Roman" w:cs="Times New Roman"/>
          <w:i/>
          <w:iCs/>
          <w:color w:val="222222"/>
          <w:sz w:val="24"/>
          <w:szCs w:val="24"/>
          <w:shd w:val="clear" w:color="auto" w:fill="FFFFFF"/>
        </w:rPr>
        <w:t>Divorce and Religious Courts (June 1, 2011)</w:t>
      </w:r>
      <w:r w:rsidRPr="009D1C91">
        <w:rPr>
          <w:rFonts w:ascii="Times New Roman" w:hAnsi="Times New Roman" w:cs="Times New Roman"/>
          <w:color w:val="222222"/>
          <w:sz w:val="24"/>
          <w:szCs w:val="24"/>
          <w:shd w:val="clear" w:color="auto" w:fill="FFFFFF"/>
        </w:rPr>
        <w:t>.</w:t>
      </w:r>
    </w:p>
    <w:p w:rsidR="000777A0" w:rsidRPr="009D1C91" w:rsidRDefault="000777A0" w:rsidP="009D1C91">
      <w:pPr>
        <w:spacing w:line="360" w:lineRule="auto"/>
        <w:rPr>
          <w:rFonts w:ascii="Times New Roman" w:hAnsi="Times New Roman" w:cs="Times New Roman"/>
          <w:color w:val="222222"/>
          <w:sz w:val="24"/>
          <w:szCs w:val="24"/>
          <w:shd w:val="clear" w:color="auto" w:fill="FFFFFF"/>
        </w:rPr>
      </w:pPr>
      <w:proofErr w:type="spellStart"/>
      <w:r w:rsidRPr="009D1C91">
        <w:rPr>
          <w:rFonts w:ascii="Times New Roman" w:hAnsi="Times New Roman" w:cs="Times New Roman"/>
          <w:color w:val="222222"/>
          <w:sz w:val="24"/>
          <w:szCs w:val="24"/>
          <w:shd w:val="clear" w:color="auto" w:fill="FFFFFF"/>
        </w:rPr>
        <w:t>Joireman</w:t>
      </w:r>
      <w:proofErr w:type="spellEnd"/>
      <w:r w:rsidRPr="009D1C91">
        <w:rPr>
          <w:rFonts w:ascii="Times New Roman" w:hAnsi="Times New Roman" w:cs="Times New Roman"/>
          <w:color w:val="222222"/>
          <w:sz w:val="24"/>
          <w:szCs w:val="24"/>
          <w:shd w:val="clear" w:color="auto" w:fill="FFFFFF"/>
        </w:rPr>
        <w:t>, S.F., 2004. Colonization and the rule of law: Comparing the effectiveness of common law and civil law countries. </w:t>
      </w:r>
      <w:r w:rsidRPr="009D1C91">
        <w:rPr>
          <w:rFonts w:ascii="Times New Roman" w:hAnsi="Times New Roman" w:cs="Times New Roman"/>
          <w:i/>
          <w:iCs/>
          <w:color w:val="222222"/>
          <w:sz w:val="24"/>
          <w:szCs w:val="24"/>
          <w:shd w:val="clear" w:color="auto" w:fill="FFFFFF"/>
        </w:rPr>
        <w:t>Constitutional Political Economy</w:t>
      </w:r>
      <w:r w:rsidRPr="009D1C91">
        <w:rPr>
          <w:rFonts w:ascii="Times New Roman" w:hAnsi="Times New Roman" w:cs="Times New Roman"/>
          <w:color w:val="222222"/>
          <w:sz w:val="24"/>
          <w:szCs w:val="24"/>
          <w:shd w:val="clear" w:color="auto" w:fill="FFFFFF"/>
        </w:rPr>
        <w:t>, </w:t>
      </w:r>
      <w:r w:rsidRPr="009D1C91">
        <w:rPr>
          <w:rFonts w:ascii="Times New Roman" w:hAnsi="Times New Roman" w:cs="Times New Roman"/>
          <w:i/>
          <w:iCs/>
          <w:color w:val="222222"/>
          <w:sz w:val="24"/>
          <w:szCs w:val="24"/>
          <w:shd w:val="clear" w:color="auto" w:fill="FFFFFF"/>
        </w:rPr>
        <w:t>15</w:t>
      </w:r>
      <w:r w:rsidRPr="009D1C91">
        <w:rPr>
          <w:rFonts w:ascii="Times New Roman" w:hAnsi="Times New Roman" w:cs="Times New Roman"/>
          <w:color w:val="222222"/>
          <w:sz w:val="24"/>
          <w:szCs w:val="24"/>
          <w:shd w:val="clear" w:color="auto" w:fill="FFFFFF"/>
        </w:rPr>
        <w:t>, pp.315-338.</w:t>
      </w:r>
    </w:p>
    <w:p w:rsidR="000777A0" w:rsidRPr="009D1C91" w:rsidRDefault="000777A0" w:rsidP="009D1C91">
      <w:pPr>
        <w:spacing w:line="360" w:lineRule="auto"/>
        <w:rPr>
          <w:rFonts w:ascii="Times New Roman" w:hAnsi="Times New Roman" w:cs="Times New Roman"/>
          <w:sz w:val="24"/>
          <w:szCs w:val="24"/>
        </w:rPr>
      </w:pPr>
      <w:r w:rsidRPr="009D1C91">
        <w:rPr>
          <w:rFonts w:ascii="Times New Roman" w:hAnsi="Times New Roman" w:cs="Times New Roman"/>
          <w:color w:val="222222"/>
          <w:sz w:val="24"/>
          <w:szCs w:val="24"/>
          <w:shd w:val="clear" w:color="auto" w:fill="FFFFFF"/>
        </w:rPr>
        <w:t xml:space="preserve">McCrudden, C., 2000. Common law of human </w:t>
      </w:r>
      <w:proofErr w:type="gramStart"/>
      <w:r w:rsidRPr="009D1C91">
        <w:rPr>
          <w:rFonts w:ascii="Times New Roman" w:hAnsi="Times New Roman" w:cs="Times New Roman"/>
          <w:color w:val="222222"/>
          <w:sz w:val="24"/>
          <w:szCs w:val="24"/>
          <w:shd w:val="clear" w:color="auto" w:fill="FFFFFF"/>
        </w:rPr>
        <w:t>rights?:</w:t>
      </w:r>
      <w:proofErr w:type="gramEnd"/>
      <w:r w:rsidRPr="009D1C91">
        <w:rPr>
          <w:rFonts w:ascii="Times New Roman" w:hAnsi="Times New Roman" w:cs="Times New Roman"/>
          <w:color w:val="222222"/>
          <w:sz w:val="24"/>
          <w:szCs w:val="24"/>
          <w:shd w:val="clear" w:color="auto" w:fill="FFFFFF"/>
        </w:rPr>
        <w:t xml:space="preserve"> Transnational judicial conversations on constitutional rights. </w:t>
      </w:r>
      <w:r w:rsidRPr="009D1C91">
        <w:rPr>
          <w:rFonts w:ascii="Times New Roman" w:hAnsi="Times New Roman" w:cs="Times New Roman"/>
          <w:i/>
          <w:iCs/>
          <w:color w:val="222222"/>
          <w:sz w:val="24"/>
          <w:szCs w:val="24"/>
          <w:shd w:val="clear" w:color="auto" w:fill="FFFFFF"/>
        </w:rPr>
        <w:t>Oxford journal of legal studies</w:t>
      </w:r>
      <w:r w:rsidRPr="009D1C91">
        <w:rPr>
          <w:rFonts w:ascii="Times New Roman" w:hAnsi="Times New Roman" w:cs="Times New Roman"/>
          <w:color w:val="222222"/>
          <w:sz w:val="24"/>
          <w:szCs w:val="24"/>
          <w:shd w:val="clear" w:color="auto" w:fill="FFFFFF"/>
        </w:rPr>
        <w:t>, </w:t>
      </w:r>
      <w:r w:rsidRPr="009D1C91">
        <w:rPr>
          <w:rFonts w:ascii="Times New Roman" w:hAnsi="Times New Roman" w:cs="Times New Roman"/>
          <w:i/>
          <w:iCs/>
          <w:color w:val="222222"/>
          <w:sz w:val="24"/>
          <w:szCs w:val="24"/>
          <w:shd w:val="clear" w:color="auto" w:fill="FFFFFF"/>
        </w:rPr>
        <w:t>20</w:t>
      </w:r>
      <w:r w:rsidRPr="009D1C91">
        <w:rPr>
          <w:rFonts w:ascii="Times New Roman" w:hAnsi="Times New Roman" w:cs="Times New Roman"/>
          <w:color w:val="222222"/>
          <w:sz w:val="24"/>
          <w:szCs w:val="24"/>
          <w:shd w:val="clear" w:color="auto" w:fill="FFFFFF"/>
        </w:rPr>
        <w:t>(4), pp.499-532.</w:t>
      </w:r>
    </w:p>
    <w:p w:rsidR="000777A0" w:rsidRPr="009D1C91" w:rsidRDefault="000777A0" w:rsidP="009D1C91">
      <w:pPr>
        <w:spacing w:line="360" w:lineRule="auto"/>
        <w:rPr>
          <w:rFonts w:ascii="Times New Roman" w:hAnsi="Times New Roman" w:cs="Times New Roman"/>
          <w:sz w:val="24"/>
          <w:szCs w:val="24"/>
        </w:rPr>
      </w:pPr>
      <w:r w:rsidRPr="009D1C91">
        <w:rPr>
          <w:rFonts w:ascii="Times New Roman" w:hAnsi="Times New Roman" w:cs="Times New Roman"/>
          <w:color w:val="222222"/>
          <w:sz w:val="24"/>
          <w:szCs w:val="24"/>
          <w:shd w:val="clear" w:color="auto" w:fill="FFFFFF"/>
        </w:rPr>
        <w:t>O'Connor, V., 2012. Common law and civil law traditions. </w:t>
      </w:r>
      <w:r w:rsidRPr="009D1C91">
        <w:rPr>
          <w:rFonts w:ascii="Times New Roman" w:hAnsi="Times New Roman" w:cs="Times New Roman"/>
          <w:i/>
          <w:iCs/>
          <w:color w:val="222222"/>
          <w:sz w:val="24"/>
          <w:szCs w:val="24"/>
          <w:shd w:val="clear" w:color="auto" w:fill="FFFFFF"/>
        </w:rPr>
        <w:t>Available at SSRN 2665675</w:t>
      </w:r>
      <w:r w:rsidRPr="009D1C91">
        <w:rPr>
          <w:rFonts w:ascii="Times New Roman" w:hAnsi="Times New Roman" w:cs="Times New Roman"/>
          <w:color w:val="222222"/>
          <w:sz w:val="24"/>
          <w:szCs w:val="24"/>
          <w:shd w:val="clear" w:color="auto" w:fill="FFFFFF"/>
        </w:rPr>
        <w:t>.</w:t>
      </w:r>
    </w:p>
    <w:p w:rsidR="000777A0" w:rsidRPr="009D1C91" w:rsidRDefault="000777A0" w:rsidP="009D1C91">
      <w:pPr>
        <w:spacing w:line="360" w:lineRule="auto"/>
        <w:rPr>
          <w:rFonts w:ascii="Times New Roman" w:hAnsi="Times New Roman" w:cs="Times New Roman"/>
          <w:color w:val="222222"/>
          <w:sz w:val="24"/>
          <w:szCs w:val="24"/>
          <w:shd w:val="clear" w:color="auto" w:fill="FFFFFF"/>
        </w:rPr>
      </w:pPr>
      <w:r w:rsidRPr="009D1C91">
        <w:rPr>
          <w:rFonts w:ascii="Times New Roman" w:hAnsi="Times New Roman" w:cs="Times New Roman"/>
          <w:color w:val="222222"/>
          <w:sz w:val="24"/>
          <w:szCs w:val="24"/>
          <w:shd w:val="clear" w:color="auto" w:fill="FFFFFF"/>
        </w:rPr>
        <w:t>Robertson, C., 2012. EU legal English: common law, civil law, or a new genre. </w:t>
      </w:r>
      <w:r w:rsidRPr="009D1C91">
        <w:rPr>
          <w:rFonts w:ascii="Times New Roman" w:hAnsi="Times New Roman" w:cs="Times New Roman"/>
          <w:i/>
          <w:iCs/>
          <w:color w:val="222222"/>
          <w:sz w:val="24"/>
          <w:szCs w:val="24"/>
          <w:shd w:val="clear" w:color="auto" w:fill="FFFFFF"/>
        </w:rPr>
        <w:t>Eur. Rev. Private L.</w:t>
      </w:r>
      <w:r w:rsidRPr="009D1C91">
        <w:rPr>
          <w:rFonts w:ascii="Times New Roman" w:hAnsi="Times New Roman" w:cs="Times New Roman"/>
          <w:color w:val="222222"/>
          <w:sz w:val="24"/>
          <w:szCs w:val="24"/>
          <w:shd w:val="clear" w:color="auto" w:fill="FFFFFF"/>
        </w:rPr>
        <w:t>, </w:t>
      </w:r>
      <w:r w:rsidRPr="009D1C91">
        <w:rPr>
          <w:rFonts w:ascii="Times New Roman" w:hAnsi="Times New Roman" w:cs="Times New Roman"/>
          <w:i/>
          <w:iCs/>
          <w:color w:val="222222"/>
          <w:sz w:val="24"/>
          <w:szCs w:val="24"/>
          <w:shd w:val="clear" w:color="auto" w:fill="FFFFFF"/>
        </w:rPr>
        <w:t>20</w:t>
      </w:r>
      <w:r w:rsidRPr="009D1C91">
        <w:rPr>
          <w:rFonts w:ascii="Times New Roman" w:hAnsi="Times New Roman" w:cs="Times New Roman"/>
          <w:color w:val="222222"/>
          <w:sz w:val="24"/>
          <w:szCs w:val="24"/>
          <w:shd w:val="clear" w:color="auto" w:fill="FFFFFF"/>
        </w:rPr>
        <w:t>, p.1215.</w:t>
      </w:r>
    </w:p>
    <w:p w:rsidR="000777A0" w:rsidRPr="009D1C91" w:rsidRDefault="000777A0" w:rsidP="009D1C91">
      <w:pPr>
        <w:spacing w:line="360" w:lineRule="auto"/>
        <w:rPr>
          <w:rFonts w:ascii="Times New Roman" w:hAnsi="Times New Roman" w:cs="Times New Roman"/>
          <w:sz w:val="24"/>
          <w:szCs w:val="24"/>
        </w:rPr>
      </w:pPr>
      <w:r w:rsidRPr="009D1C91">
        <w:rPr>
          <w:rFonts w:ascii="Times New Roman" w:hAnsi="Times New Roman" w:cs="Times New Roman"/>
          <w:color w:val="222222"/>
          <w:sz w:val="24"/>
          <w:szCs w:val="24"/>
          <w:shd w:val="clear" w:color="auto" w:fill="FFFFFF"/>
        </w:rPr>
        <w:t>Tetley, W., 1999. Mixed jurisdictions: Common law v. civil law (codified and uncodified). </w:t>
      </w:r>
      <w:r w:rsidRPr="009D1C91">
        <w:rPr>
          <w:rFonts w:ascii="Times New Roman" w:hAnsi="Times New Roman" w:cs="Times New Roman"/>
          <w:i/>
          <w:iCs/>
          <w:color w:val="222222"/>
          <w:sz w:val="24"/>
          <w:szCs w:val="24"/>
          <w:shd w:val="clear" w:color="auto" w:fill="FFFFFF"/>
        </w:rPr>
        <w:t>La. L. Rev.</w:t>
      </w:r>
      <w:r w:rsidRPr="009D1C91">
        <w:rPr>
          <w:rFonts w:ascii="Times New Roman" w:hAnsi="Times New Roman" w:cs="Times New Roman"/>
          <w:color w:val="222222"/>
          <w:sz w:val="24"/>
          <w:szCs w:val="24"/>
          <w:shd w:val="clear" w:color="auto" w:fill="FFFFFF"/>
        </w:rPr>
        <w:t>, </w:t>
      </w:r>
      <w:r w:rsidRPr="009D1C91">
        <w:rPr>
          <w:rFonts w:ascii="Times New Roman" w:hAnsi="Times New Roman" w:cs="Times New Roman"/>
          <w:i/>
          <w:iCs/>
          <w:color w:val="222222"/>
          <w:sz w:val="24"/>
          <w:szCs w:val="24"/>
          <w:shd w:val="clear" w:color="auto" w:fill="FFFFFF"/>
        </w:rPr>
        <w:t>60</w:t>
      </w:r>
      <w:r w:rsidRPr="009D1C91">
        <w:rPr>
          <w:rFonts w:ascii="Times New Roman" w:hAnsi="Times New Roman" w:cs="Times New Roman"/>
          <w:color w:val="222222"/>
          <w:sz w:val="24"/>
          <w:szCs w:val="24"/>
          <w:shd w:val="clear" w:color="auto" w:fill="FFFFFF"/>
        </w:rPr>
        <w:t>, p.677.</w:t>
      </w:r>
    </w:p>
    <w:p w:rsidR="00E91E3C" w:rsidRPr="009D1C91" w:rsidRDefault="00E91E3C" w:rsidP="009D1C91">
      <w:pPr>
        <w:spacing w:line="360" w:lineRule="auto"/>
        <w:rPr>
          <w:rFonts w:ascii="Times New Roman" w:hAnsi="Times New Roman" w:cs="Times New Roman"/>
          <w:b/>
          <w:sz w:val="24"/>
          <w:szCs w:val="24"/>
        </w:rPr>
      </w:pPr>
      <w:r w:rsidRPr="009D1C91">
        <w:rPr>
          <w:rFonts w:ascii="Times New Roman" w:hAnsi="Times New Roman" w:cs="Times New Roman"/>
          <w:b/>
          <w:sz w:val="24"/>
          <w:szCs w:val="24"/>
        </w:rPr>
        <w:t>Case Laws:</w:t>
      </w:r>
    </w:p>
    <w:p w:rsidR="009D1C91" w:rsidRPr="009D1C91" w:rsidRDefault="009D1C91" w:rsidP="009D1C91">
      <w:pPr>
        <w:spacing w:line="360" w:lineRule="auto"/>
        <w:rPr>
          <w:rFonts w:ascii="Times New Roman" w:hAnsi="Times New Roman" w:cs="Times New Roman"/>
          <w:b/>
          <w:sz w:val="24"/>
          <w:szCs w:val="24"/>
        </w:rPr>
      </w:pPr>
      <w:r w:rsidRPr="009D1C91">
        <w:rPr>
          <w:rFonts w:ascii="Times New Roman" w:hAnsi="Times New Roman" w:cs="Times New Roman"/>
          <w:bCs/>
          <w:color w:val="000000"/>
          <w:sz w:val="24"/>
          <w:szCs w:val="24"/>
          <w:shd w:val="clear" w:color="auto" w:fill="FFFFFF"/>
        </w:rPr>
        <w:t>Donoghue</w:t>
      </w:r>
      <w:r w:rsidRPr="009D1C91">
        <w:rPr>
          <w:rFonts w:ascii="Times New Roman" w:hAnsi="Times New Roman" w:cs="Times New Roman"/>
          <w:color w:val="222222"/>
          <w:sz w:val="24"/>
          <w:szCs w:val="24"/>
          <w:shd w:val="clear" w:color="auto" w:fill="FFFFFF"/>
        </w:rPr>
        <w:t> v. </w:t>
      </w:r>
      <w:r w:rsidRPr="009D1C91">
        <w:rPr>
          <w:rFonts w:ascii="Times New Roman" w:hAnsi="Times New Roman" w:cs="Times New Roman"/>
          <w:bCs/>
          <w:color w:val="000000"/>
          <w:sz w:val="24"/>
          <w:szCs w:val="24"/>
          <w:shd w:val="clear" w:color="auto" w:fill="FFFFFF"/>
        </w:rPr>
        <w:t>Stevenson</w:t>
      </w:r>
      <w:r w:rsidRPr="009D1C91">
        <w:rPr>
          <w:rFonts w:ascii="Times New Roman" w:hAnsi="Times New Roman" w:cs="Times New Roman"/>
          <w:color w:val="222222"/>
          <w:sz w:val="24"/>
          <w:szCs w:val="24"/>
          <w:shd w:val="clear" w:color="auto" w:fill="FFFFFF"/>
        </w:rPr>
        <w:t> [</w:t>
      </w:r>
      <w:r w:rsidRPr="009D1C91">
        <w:rPr>
          <w:rFonts w:ascii="Times New Roman" w:hAnsi="Times New Roman" w:cs="Times New Roman"/>
          <w:bCs/>
          <w:color w:val="000000"/>
          <w:sz w:val="24"/>
          <w:szCs w:val="24"/>
          <w:shd w:val="clear" w:color="auto" w:fill="FFFFFF"/>
        </w:rPr>
        <w:t>1932</w:t>
      </w:r>
      <w:r w:rsidRPr="009D1C91">
        <w:rPr>
          <w:rFonts w:ascii="Times New Roman" w:hAnsi="Times New Roman" w:cs="Times New Roman"/>
          <w:color w:val="222222"/>
          <w:sz w:val="24"/>
          <w:szCs w:val="24"/>
          <w:shd w:val="clear" w:color="auto" w:fill="FFFFFF"/>
        </w:rPr>
        <w:t>] AC 562, 576</w:t>
      </w:r>
    </w:p>
    <w:p w:rsidR="00E91E3C" w:rsidRPr="009D1C91" w:rsidRDefault="00E91E3C" w:rsidP="009D1C91">
      <w:pPr>
        <w:spacing w:line="360" w:lineRule="auto"/>
        <w:rPr>
          <w:rFonts w:ascii="Times New Roman" w:hAnsi="Times New Roman" w:cs="Times New Roman"/>
          <w:color w:val="222222"/>
          <w:sz w:val="24"/>
          <w:szCs w:val="24"/>
          <w:shd w:val="clear" w:color="auto" w:fill="FFFFFF"/>
        </w:rPr>
      </w:pPr>
      <w:r w:rsidRPr="009D1C91">
        <w:rPr>
          <w:rFonts w:ascii="Times New Roman" w:hAnsi="Times New Roman" w:cs="Times New Roman"/>
          <w:i/>
          <w:iCs/>
          <w:color w:val="222222"/>
          <w:sz w:val="24"/>
          <w:szCs w:val="24"/>
          <w:shd w:val="clear" w:color="auto" w:fill="FFFFFF"/>
        </w:rPr>
        <w:t>Grant Case</w:t>
      </w:r>
      <w:r w:rsidRPr="009D1C91">
        <w:rPr>
          <w:rFonts w:ascii="Times New Roman" w:hAnsi="Times New Roman" w:cs="Times New Roman"/>
          <w:color w:val="222222"/>
          <w:sz w:val="24"/>
          <w:szCs w:val="24"/>
          <w:shd w:val="clear" w:color="auto" w:fill="FFFFFF"/>
        </w:rPr>
        <w:t>, 1936 A.C. 85 (1936).</w:t>
      </w:r>
    </w:p>
    <w:p w:rsidR="00E91E3C" w:rsidRPr="009D1C91" w:rsidRDefault="00E91E3C" w:rsidP="009D1C91">
      <w:pPr>
        <w:spacing w:line="360" w:lineRule="auto"/>
        <w:rPr>
          <w:rFonts w:ascii="Times New Roman" w:hAnsi="Times New Roman" w:cs="Times New Roman"/>
          <w:color w:val="222222"/>
          <w:sz w:val="24"/>
          <w:szCs w:val="24"/>
          <w:shd w:val="clear" w:color="auto" w:fill="FFFFFF"/>
        </w:rPr>
      </w:pPr>
      <w:proofErr w:type="spellStart"/>
      <w:r w:rsidRPr="009D1C91">
        <w:rPr>
          <w:rFonts w:ascii="Times New Roman" w:hAnsi="Times New Roman" w:cs="Times New Roman"/>
          <w:i/>
          <w:iCs/>
          <w:color w:val="222222"/>
          <w:sz w:val="24"/>
          <w:szCs w:val="24"/>
          <w:shd w:val="clear" w:color="auto" w:fill="FFFFFF"/>
        </w:rPr>
        <w:t>Knuller</w:t>
      </w:r>
      <w:proofErr w:type="spellEnd"/>
      <w:r w:rsidRPr="009D1C91">
        <w:rPr>
          <w:rFonts w:ascii="Times New Roman" w:hAnsi="Times New Roman" w:cs="Times New Roman"/>
          <w:i/>
          <w:iCs/>
          <w:color w:val="222222"/>
          <w:sz w:val="24"/>
          <w:szCs w:val="24"/>
          <w:shd w:val="clear" w:color="auto" w:fill="FFFFFF"/>
        </w:rPr>
        <w:t xml:space="preserve"> v. DPP</w:t>
      </w:r>
      <w:r w:rsidRPr="009D1C91">
        <w:rPr>
          <w:rFonts w:ascii="Times New Roman" w:hAnsi="Times New Roman" w:cs="Times New Roman"/>
          <w:color w:val="222222"/>
          <w:sz w:val="24"/>
          <w:szCs w:val="24"/>
          <w:shd w:val="clear" w:color="auto" w:fill="FFFFFF"/>
        </w:rPr>
        <w:t>, 1973 A.C. 435 (1973).</w:t>
      </w:r>
    </w:p>
    <w:p w:rsidR="00E91E3C" w:rsidRPr="009D1C91" w:rsidRDefault="00E91E3C" w:rsidP="009D1C91">
      <w:pPr>
        <w:spacing w:line="360" w:lineRule="auto"/>
        <w:rPr>
          <w:rFonts w:ascii="Times New Roman" w:hAnsi="Times New Roman" w:cs="Times New Roman"/>
          <w:sz w:val="24"/>
          <w:szCs w:val="24"/>
        </w:rPr>
      </w:pPr>
      <w:r w:rsidRPr="009D1C91">
        <w:rPr>
          <w:rFonts w:ascii="Times New Roman" w:hAnsi="Times New Roman" w:cs="Times New Roman"/>
          <w:i/>
          <w:iCs/>
          <w:color w:val="222222"/>
          <w:sz w:val="24"/>
          <w:szCs w:val="24"/>
          <w:shd w:val="clear" w:color="auto" w:fill="FFFFFF"/>
        </w:rPr>
        <w:t>Shaw v. DPP</w:t>
      </w:r>
      <w:r w:rsidRPr="009D1C91">
        <w:rPr>
          <w:rFonts w:ascii="Times New Roman" w:hAnsi="Times New Roman" w:cs="Times New Roman"/>
          <w:color w:val="222222"/>
          <w:sz w:val="24"/>
          <w:szCs w:val="24"/>
          <w:shd w:val="clear" w:color="auto" w:fill="FFFFFF"/>
        </w:rPr>
        <w:t>, 1962 A.C. 220 (1962).</w:t>
      </w:r>
    </w:p>
    <w:sectPr w:rsidR="00E91E3C" w:rsidRPr="009D1C91" w:rsidSect="00E91E3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C7004"/>
    <w:multiLevelType w:val="hybridMultilevel"/>
    <w:tmpl w:val="4C9C81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F5038C"/>
    <w:multiLevelType w:val="hybridMultilevel"/>
    <w:tmpl w:val="21C85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7B2"/>
    <w:rsid w:val="000777A0"/>
    <w:rsid w:val="000C4FA6"/>
    <w:rsid w:val="00221704"/>
    <w:rsid w:val="00262D07"/>
    <w:rsid w:val="00270950"/>
    <w:rsid w:val="0029040C"/>
    <w:rsid w:val="002A6F74"/>
    <w:rsid w:val="0030734F"/>
    <w:rsid w:val="00365875"/>
    <w:rsid w:val="00397BA0"/>
    <w:rsid w:val="00471D77"/>
    <w:rsid w:val="00515A20"/>
    <w:rsid w:val="0062471C"/>
    <w:rsid w:val="00673819"/>
    <w:rsid w:val="00675F07"/>
    <w:rsid w:val="006A6AE8"/>
    <w:rsid w:val="006B5755"/>
    <w:rsid w:val="006E0B5F"/>
    <w:rsid w:val="00801884"/>
    <w:rsid w:val="008A762B"/>
    <w:rsid w:val="00962575"/>
    <w:rsid w:val="009D1C91"/>
    <w:rsid w:val="009F7C0C"/>
    <w:rsid w:val="00A3795C"/>
    <w:rsid w:val="00AF21E4"/>
    <w:rsid w:val="00B03D71"/>
    <w:rsid w:val="00B640DE"/>
    <w:rsid w:val="00B91DAB"/>
    <w:rsid w:val="00C227CD"/>
    <w:rsid w:val="00C67BF9"/>
    <w:rsid w:val="00D45CD1"/>
    <w:rsid w:val="00E91E3C"/>
    <w:rsid w:val="00EF0BFA"/>
    <w:rsid w:val="00F977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BAEB3"/>
  <w15:chartTrackingRefBased/>
  <w15:docId w15:val="{95A90794-022C-4415-AB68-8078D9D84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7A0"/>
  </w:style>
  <w:style w:type="paragraph" w:styleId="Heading1">
    <w:name w:val="heading 1"/>
    <w:basedOn w:val="Normal"/>
    <w:next w:val="Normal"/>
    <w:link w:val="Heading1Char"/>
    <w:uiPriority w:val="9"/>
    <w:qFormat/>
    <w:rsid w:val="00F977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F21E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F21E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7B2"/>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62575"/>
    <w:pPr>
      <w:ind w:left="720"/>
      <w:contextualSpacing/>
    </w:pPr>
  </w:style>
  <w:style w:type="character" w:customStyle="1" w:styleId="Heading2Char">
    <w:name w:val="Heading 2 Char"/>
    <w:basedOn w:val="DefaultParagraphFont"/>
    <w:link w:val="Heading2"/>
    <w:uiPriority w:val="9"/>
    <w:rsid w:val="00AF21E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F21E4"/>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91E3C"/>
    <w:pPr>
      <w:outlineLvl w:val="9"/>
    </w:pPr>
  </w:style>
  <w:style w:type="paragraph" w:styleId="TOC1">
    <w:name w:val="toc 1"/>
    <w:basedOn w:val="Normal"/>
    <w:next w:val="Normal"/>
    <w:autoRedefine/>
    <w:uiPriority w:val="39"/>
    <w:unhideWhenUsed/>
    <w:rsid w:val="00E91E3C"/>
    <w:pPr>
      <w:spacing w:after="100"/>
    </w:pPr>
  </w:style>
  <w:style w:type="paragraph" w:styleId="TOC2">
    <w:name w:val="toc 2"/>
    <w:basedOn w:val="Normal"/>
    <w:next w:val="Normal"/>
    <w:autoRedefine/>
    <w:uiPriority w:val="39"/>
    <w:unhideWhenUsed/>
    <w:rsid w:val="00E91E3C"/>
    <w:pPr>
      <w:spacing w:after="100"/>
      <w:ind w:left="220"/>
    </w:pPr>
  </w:style>
  <w:style w:type="paragraph" w:styleId="TOC3">
    <w:name w:val="toc 3"/>
    <w:basedOn w:val="Normal"/>
    <w:next w:val="Normal"/>
    <w:autoRedefine/>
    <w:uiPriority w:val="39"/>
    <w:unhideWhenUsed/>
    <w:rsid w:val="00E91E3C"/>
    <w:pPr>
      <w:spacing w:after="100"/>
      <w:ind w:left="440"/>
    </w:pPr>
  </w:style>
  <w:style w:type="character" w:styleId="Hyperlink">
    <w:name w:val="Hyperlink"/>
    <w:basedOn w:val="DefaultParagraphFont"/>
    <w:uiPriority w:val="99"/>
    <w:unhideWhenUsed/>
    <w:rsid w:val="00E91E3C"/>
    <w:rPr>
      <w:color w:val="0563C1" w:themeColor="hyperlink"/>
      <w:u w:val="single"/>
    </w:rPr>
  </w:style>
  <w:style w:type="paragraph" w:styleId="Title">
    <w:name w:val="Title"/>
    <w:basedOn w:val="Normal"/>
    <w:next w:val="Normal"/>
    <w:link w:val="TitleChar"/>
    <w:uiPriority w:val="10"/>
    <w:qFormat/>
    <w:rsid w:val="00E91E3C"/>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E91E3C"/>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E91E3C"/>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E91E3C"/>
    <w:rPr>
      <w:rFonts w:eastAsiaTheme="minorEastAsia" w:cs="Times New Roman"/>
      <w:color w:val="5A5A5A" w:themeColor="text1" w:themeTint="A5"/>
      <w:spacing w:val="15"/>
    </w:rPr>
  </w:style>
  <w:style w:type="paragraph" w:styleId="NoSpacing">
    <w:name w:val="No Spacing"/>
    <w:link w:val="NoSpacingChar"/>
    <w:uiPriority w:val="1"/>
    <w:qFormat/>
    <w:rsid w:val="00C67BF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C67BF9"/>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Legal Process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218C2D6-84F4-48F9-A331-8E899FBAA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7</Pages>
  <Words>1894</Words>
  <Characters>9229</Characters>
  <Application>Microsoft Office Word</Application>
  <DocSecurity>0</DocSecurity>
  <Lines>174</Lines>
  <Paragraphs>88</Paragraphs>
  <ScaleCrop>false</ScaleCrop>
  <HeadingPairs>
    <vt:vector size="2" baseType="variant">
      <vt:variant>
        <vt:lpstr>Title</vt:lpstr>
      </vt:variant>
      <vt:variant>
        <vt:i4>1</vt:i4>
      </vt:variant>
    </vt:vector>
  </HeadingPairs>
  <TitlesOfParts>
    <vt:vector size="1" baseType="lpstr">
      <vt:lpstr>Common Law</vt:lpstr>
    </vt:vector>
  </TitlesOfParts>
  <Company/>
  <LinksUpToDate>false</LinksUpToDate>
  <CharactersWithSpaces>11035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Law</dc:title>
  <dc:subject>Saira BEGUM</dc:subject>
  <dc:creator>Lenovo-Pc</dc:creator>
  <cp:keywords/>
  <dc:description/>
  <cp:lastModifiedBy>Hamza Tufail</cp:lastModifiedBy>
  <cp:revision>16</cp:revision>
  <dcterms:created xsi:type="dcterms:W3CDTF">2023-03-08T10:09:00Z</dcterms:created>
  <dcterms:modified xsi:type="dcterms:W3CDTF">2023-03-10T18:59:00Z</dcterms:modified>
</cp:coreProperties>
</file>