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1920A4" w:rsidRPr="00DF228F" w:rsidRDefault="00240545" w:rsidP="00240545">
      <w:pPr>
        <w:spacing w:line="360" w:lineRule="auto"/>
        <w:jc w:val="both"/>
        <w:rPr>
          <w:rFonts w:ascii="Times New Roman" w:hAnsi="Times New Roman" w:cs="Times New Roman"/>
          <w:b/>
          <w:sz w:val="28"/>
          <w:szCs w:val="24"/>
        </w:rPr>
      </w:pPr>
      <w:r w:rsidRPr="00DF228F">
        <w:rPr>
          <w:rFonts w:ascii="Times New Roman" w:hAnsi="Times New Roman" w:cs="Times New Roman"/>
          <w:b/>
          <w:sz w:val="28"/>
          <w:szCs w:val="24"/>
        </w:rPr>
        <w:t xml:space="preserve">Student ID </w:t>
      </w:r>
      <w:r w:rsidR="00DF228F" w:rsidRPr="00DF228F">
        <w:rPr>
          <w:rFonts w:ascii="Times New Roman" w:hAnsi="Times New Roman" w:cs="Times New Roman"/>
          <w:b/>
          <w:sz w:val="28"/>
          <w:szCs w:val="24"/>
        </w:rPr>
        <w:t>–</w:t>
      </w:r>
      <w:r w:rsidRPr="00DF228F">
        <w:rPr>
          <w:rFonts w:ascii="Times New Roman" w:hAnsi="Times New Roman" w:cs="Times New Roman"/>
          <w:b/>
          <w:sz w:val="28"/>
          <w:szCs w:val="24"/>
        </w:rPr>
        <w:t xml:space="preserve"> </w:t>
      </w:r>
      <w:r w:rsidR="00DF228F" w:rsidRPr="00DF228F">
        <w:rPr>
          <w:rFonts w:ascii="Times New Roman" w:hAnsi="Times New Roman" w:cs="Times New Roman"/>
          <w:b/>
          <w:sz w:val="28"/>
          <w:szCs w:val="24"/>
        </w:rPr>
        <w:t xml:space="preserve">2106684 </w:t>
      </w:r>
    </w:p>
    <w:p w:rsidR="00DF228F" w:rsidRPr="00DF228F" w:rsidRDefault="00DF228F" w:rsidP="00240545">
      <w:pPr>
        <w:spacing w:line="360" w:lineRule="auto"/>
        <w:jc w:val="both"/>
        <w:rPr>
          <w:rFonts w:ascii="Times New Roman" w:hAnsi="Times New Roman" w:cs="Times New Roman"/>
          <w:b/>
          <w:sz w:val="28"/>
          <w:szCs w:val="24"/>
        </w:rPr>
      </w:pPr>
      <w:r w:rsidRPr="00DF228F">
        <w:rPr>
          <w:rFonts w:ascii="Times New Roman" w:hAnsi="Times New Roman" w:cs="Times New Roman"/>
          <w:b/>
          <w:sz w:val="28"/>
          <w:szCs w:val="24"/>
        </w:rPr>
        <w:t xml:space="preserve">Student name – MAULIK DAVE </w:t>
      </w:r>
    </w:p>
    <w:p w:rsidR="00DF228F" w:rsidRPr="00DF228F" w:rsidRDefault="00DF228F" w:rsidP="00240545">
      <w:pPr>
        <w:spacing w:line="360" w:lineRule="auto"/>
        <w:jc w:val="both"/>
        <w:rPr>
          <w:rFonts w:ascii="Times New Roman" w:hAnsi="Times New Roman" w:cs="Times New Roman"/>
          <w:b/>
          <w:sz w:val="28"/>
          <w:szCs w:val="24"/>
        </w:rPr>
      </w:pPr>
    </w:p>
    <w:p w:rsidR="001920A4" w:rsidRPr="00DF228F" w:rsidRDefault="001920A4" w:rsidP="001920A4">
      <w:pPr>
        <w:spacing w:line="360" w:lineRule="auto"/>
        <w:jc w:val="center"/>
        <w:rPr>
          <w:rFonts w:ascii="Times New Roman" w:hAnsi="Times New Roman" w:cs="Times New Roman"/>
          <w:b/>
          <w:sz w:val="28"/>
          <w:szCs w:val="24"/>
        </w:rPr>
      </w:pPr>
    </w:p>
    <w:p w:rsidR="00DF228F" w:rsidRPr="00DF228F" w:rsidRDefault="00DF228F" w:rsidP="00DF228F">
      <w:pPr>
        <w:rPr>
          <w:rStyle w:val="normaltextrun"/>
          <w:rFonts w:ascii="Times New Roman" w:hAnsi="Times New Roman" w:cs="Times New Roman"/>
          <w:bCs/>
          <w:color w:val="000000"/>
          <w:sz w:val="36"/>
          <w:szCs w:val="36"/>
          <w:bdr w:val="none" w:sz="0" w:space="0" w:color="auto" w:frame="1"/>
          <w:lang w:val="en-GB"/>
        </w:rPr>
      </w:pPr>
      <w:r w:rsidRPr="00DF228F">
        <w:rPr>
          <w:rStyle w:val="normaltextrun"/>
          <w:rFonts w:ascii="Times New Roman" w:hAnsi="Times New Roman" w:cs="Times New Roman"/>
          <w:bCs/>
          <w:color w:val="000000"/>
          <w:sz w:val="36"/>
          <w:szCs w:val="36"/>
          <w:shd w:val="clear" w:color="auto" w:fill="FFFFFF"/>
          <w:lang w:val="en-GB"/>
        </w:rPr>
        <w:t>ACEA7013</w:t>
      </w:r>
      <w:r w:rsidRPr="00DF228F">
        <w:rPr>
          <w:rStyle w:val="eop"/>
          <w:rFonts w:ascii="Times New Roman" w:hAnsi="Times New Roman" w:cs="Times New Roman"/>
          <w:color w:val="000000"/>
          <w:sz w:val="36"/>
          <w:szCs w:val="36"/>
          <w:shd w:val="clear" w:color="auto" w:fill="FFFFFF"/>
        </w:rPr>
        <w:t xml:space="preserve">: </w:t>
      </w:r>
      <w:r w:rsidRPr="00DF228F">
        <w:rPr>
          <w:rStyle w:val="normaltextrun"/>
          <w:rFonts w:ascii="Times New Roman" w:hAnsi="Times New Roman" w:cs="Times New Roman"/>
          <w:bCs/>
          <w:color w:val="000000"/>
          <w:sz w:val="36"/>
          <w:szCs w:val="36"/>
          <w:bdr w:val="none" w:sz="0" w:space="0" w:color="auto" w:frame="1"/>
          <w:lang w:val="en-GB"/>
        </w:rPr>
        <w:t>Structural Integrity &amp; Materials Evaluation</w:t>
      </w:r>
    </w:p>
    <w:p w:rsidR="00DF228F" w:rsidRPr="00DF228F" w:rsidRDefault="00DF228F" w:rsidP="00DF228F">
      <w:pPr>
        <w:rPr>
          <w:rStyle w:val="normaltextrun"/>
          <w:rFonts w:ascii="Times New Roman" w:hAnsi="Times New Roman" w:cs="Times New Roman"/>
          <w:sz w:val="36"/>
          <w:szCs w:val="36"/>
        </w:rPr>
      </w:pPr>
      <w:r w:rsidRPr="00DF228F">
        <w:rPr>
          <w:rStyle w:val="normaltextrun"/>
          <w:rFonts w:ascii="Times New Roman" w:hAnsi="Times New Roman" w:cs="Times New Roman"/>
          <w:sz w:val="36"/>
          <w:szCs w:val="36"/>
        </w:rPr>
        <w:t>M.Sc Automotive Engineering</w:t>
      </w:r>
    </w:p>
    <w:p w:rsidR="001920A4" w:rsidRPr="00DF228F" w:rsidRDefault="001920A4" w:rsidP="001920A4">
      <w:pPr>
        <w:spacing w:line="360" w:lineRule="auto"/>
        <w:jc w:val="center"/>
        <w:rPr>
          <w:rFonts w:ascii="Times New Roman" w:hAnsi="Times New Roman" w:cs="Times New Roman"/>
          <w:b/>
          <w:sz w:val="28"/>
          <w:szCs w:val="24"/>
        </w:rPr>
      </w:pPr>
    </w:p>
    <w:p w:rsidR="001920A4" w:rsidRPr="00DF228F" w:rsidRDefault="001920A4" w:rsidP="001920A4">
      <w:pPr>
        <w:spacing w:line="360" w:lineRule="auto"/>
        <w:jc w:val="center"/>
        <w:rPr>
          <w:rFonts w:ascii="Times New Roman" w:hAnsi="Times New Roman" w:cs="Times New Roman"/>
          <w:b/>
          <w:sz w:val="28"/>
          <w:szCs w:val="24"/>
        </w:rPr>
      </w:pPr>
    </w:p>
    <w:p w:rsidR="00DF228F" w:rsidRPr="00DF228F" w:rsidRDefault="00DF228F" w:rsidP="00DF228F">
      <w:pPr>
        <w:rPr>
          <w:rStyle w:val="normaltextrun"/>
          <w:rFonts w:ascii="Times New Roman" w:hAnsi="Times New Roman" w:cs="Times New Roman"/>
          <w:b/>
          <w:bCs/>
          <w:color w:val="000000"/>
          <w:sz w:val="48"/>
          <w:szCs w:val="48"/>
          <w:bdr w:val="none" w:sz="0" w:space="0" w:color="auto" w:frame="1"/>
          <w:lang w:val="en-GB"/>
        </w:rPr>
      </w:pPr>
      <w:r w:rsidRPr="00DF228F">
        <w:rPr>
          <w:rStyle w:val="normaltextrun"/>
          <w:rFonts w:ascii="Times New Roman" w:hAnsi="Times New Roman" w:cs="Times New Roman"/>
          <w:b/>
          <w:bCs/>
          <w:color w:val="000000"/>
          <w:sz w:val="48"/>
          <w:szCs w:val="48"/>
          <w:bdr w:val="none" w:sz="0" w:space="0" w:color="auto" w:frame="1"/>
          <w:lang w:val="en-GB"/>
        </w:rPr>
        <w:t>Probability of Detection and Probability of Sizing Analysis</w:t>
      </w:r>
    </w:p>
    <w:p w:rsidR="001920A4" w:rsidRPr="00DF228F" w:rsidRDefault="001920A4" w:rsidP="001920A4">
      <w:pPr>
        <w:spacing w:line="360" w:lineRule="auto"/>
        <w:jc w:val="center"/>
        <w:rPr>
          <w:rFonts w:ascii="Times New Roman" w:hAnsi="Times New Roman" w:cs="Times New Roman"/>
          <w:b/>
          <w:sz w:val="28"/>
          <w:szCs w:val="24"/>
        </w:rPr>
      </w:pPr>
    </w:p>
    <w:p w:rsidR="001920A4" w:rsidRPr="00DF228F" w:rsidRDefault="001920A4" w:rsidP="001920A4">
      <w:pPr>
        <w:spacing w:line="360" w:lineRule="auto"/>
        <w:jc w:val="center"/>
        <w:rPr>
          <w:rFonts w:ascii="Times New Roman" w:hAnsi="Times New Roman" w:cs="Times New Roman"/>
          <w:b/>
          <w:sz w:val="28"/>
          <w:szCs w:val="24"/>
        </w:rPr>
      </w:pPr>
    </w:p>
    <w:p w:rsidR="00DF228F" w:rsidRPr="00DF228F" w:rsidRDefault="00DF228F" w:rsidP="00DF228F">
      <w:pPr>
        <w:pStyle w:val="paragraph"/>
        <w:spacing w:before="0" w:beforeAutospacing="0" w:after="0" w:afterAutospacing="0"/>
        <w:jc w:val="center"/>
        <w:textAlignment w:val="baseline"/>
        <w:rPr>
          <w:sz w:val="52"/>
          <w:szCs w:val="52"/>
        </w:rPr>
      </w:pPr>
      <w:r w:rsidRPr="00DF228F">
        <w:rPr>
          <w:rStyle w:val="normaltextrun"/>
          <w:b/>
          <w:bCs/>
          <w:sz w:val="52"/>
          <w:szCs w:val="52"/>
        </w:rPr>
        <w:t>University of Wales Trinity Saint David</w:t>
      </w:r>
      <w:r w:rsidRPr="00DF228F">
        <w:rPr>
          <w:rStyle w:val="eop"/>
          <w:sz w:val="52"/>
          <w:szCs w:val="52"/>
        </w:rPr>
        <w:t> </w:t>
      </w:r>
    </w:p>
    <w:p w:rsidR="001920A4" w:rsidRPr="001920A4" w:rsidRDefault="001920A4" w:rsidP="001920A4">
      <w:pPr>
        <w:spacing w:line="360" w:lineRule="auto"/>
        <w:jc w:val="center"/>
        <w:rPr>
          <w:rFonts w:ascii="Times New Roman" w:hAnsi="Times New Roman" w:cs="Times New Roman"/>
          <w:b/>
          <w:sz w:val="28"/>
          <w:szCs w:val="24"/>
        </w:rPr>
      </w:pPr>
    </w:p>
    <w:p w:rsidR="001920A4" w:rsidRPr="001920A4" w:rsidRDefault="001920A4">
      <w:pPr>
        <w:rPr>
          <w:rFonts w:ascii="Times New Roman" w:hAnsi="Times New Roman" w:cs="Times New Roman"/>
          <w:b/>
          <w:sz w:val="32"/>
          <w:szCs w:val="24"/>
        </w:rPr>
      </w:pPr>
      <w:bookmarkStart w:id="0" w:name="_GoBack"/>
      <w:bookmarkEnd w:id="0"/>
      <w:r w:rsidRPr="001920A4">
        <w:rPr>
          <w:rFonts w:ascii="Times New Roman" w:hAnsi="Times New Roman" w:cs="Times New Roman"/>
          <w:b/>
          <w:sz w:val="32"/>
          <w:szCs w:val="24"/>
        </w:rPr>
        <w:br w:type="page"/>
      </w:r>
    </w:p>
    <w:sdt>
      <w:sdtPr>
        <w:rPr>
          <w:rFonts w:ascii="Times New Roman" w:eastAsiaTheme="minorHAnsi" w:hAnsi="Times New Roman" w:cs="Times New Roman"/>
          <w:b w:val="0"/>
          <w:bCs w:val="0"/>
          <w:color w:val="auto"/>
          <w:sz w:val="22"/>
          <w:szCs w:val="22"/>
          <w:lang w:val="en-IN" w:eastAsia="en-US"/>
        </w:rPr>
        <w:id w:val="-838921224"/>
        <w:docPartObj>
          <w:docPartGallery w:val="Table of Contents"/>
          <w:docPartUnique/>
        </w:docPartObj>
      </w:sdtPr>
      <w:sdtEndPr>
        <w:rPr>
          <w:noProof/>
        </w:rPr>
      </w:sdtEndPr>
      <w:sdtContent>
        <w:p w:rsidR="00DF228F" w:rsidRDefault="00DF228F" w:rsidP="00DF228F">
          <w:pPr>
            <w:pStyle w:val="TOCHeading"/>
            <w:jc w:val="center"/>
            <w:rPr>
              <w:rFonts w:ascii="Times New Roman" w:hAnsi="Times New Roman" w:cs="Times New Roman"/>
              <w:color w:val="auto"/>
            </w:rPr>
          </w:pPr>
        </w:p>
        <w:p w:rsidR="00DF228F" w:rsidRDefault="00DF228F" w:rsidP="00DF228F">
          <w:pPr>
            <w:pStyle w:val="TOCHeading"/>
            <w:jc w:val="center"/>
            <w:rPr>
              <w:rFonts w:ascii="Times New Roman" w:hAnsi="Times New Roman" w:cs="Times New Roman"/>
              <w:color w:val="auto"/>
            </w:rPr>
          </w:pPr>
        </w:p>
        <w:p w:rsidR="00DF228F" w:rsidRDefault="00DF228F" w:rsidP="00DF228F">
          <w:pPr>
            <w:pStyle w:val="TOCHeading"/>
            <w:rPr>
              <w:rFonts w:ascii="Times New Roman" w:hAnsi="Times New Roman" w:cs="Times New Roman"/>
              <w:color w:val="auto"/>
            </w:rPr>
          </w:pPr>
          <w:r>
            <w:rPr>
              <w:rFonts w:ascii="Times New Roman" w:hAnsi="Times New Roman" w:cs="Times New Roman"/>
              <w:color w:val="auto"/>
            </w:rPr>
            <w:t>ABSTRACT</w:t>
          </w:r>
        </w:p>
        <w:p w:rsidR="007D6AD8" w:rsidRPr="007D6AD8" w:rsidRDefault="007D6AD8" w:rsidP="007D6AD8">
          <w:pPr>
            <w:rPr>
              <w:rFonts w:ascii="Times New Roman" w:hAnsi="Times New Roman" w:cs="Times New Roman"/>
            </w:rPr>
          </w:pPr>
          <w:r w:rsidRPr="007D6AD8">
            <w:rPr>
              <w:rFonts w:ascii="Times New Roman" w:hAnsi="Times New Roman" w:cs="Times New Roman"/>
            </w:rPr>
            <w:t xml:space="preserve">              The Non-Destructive Test (NDT) methods are used for the detection of the flaw in the metal. The capability of the NDT methods is expressed by the metric called as the Probability of Detection (POD), which is stated as a function of crack size through the POD curve. This manuscript thus deals with introduction and history of the Probability of Detection and Sizing method. Furthermore, considering realistic testing data, which contain 21 defect measurements in total and 10 technicians have used the equipment and procedure to perform measurement. Finally through the statistical data, discus about sizing accuracy of the individual technicians, as well as the equipment and procedure. </w:t>
          </w:r>
        </w:p>
        <w:p w:rsidR="007D6AD8" w:rsidRPr="007D6AD8" w:rsidRDefault="007D6AD8" w:rsidP="007D6AD8">
          <w:pPr>
            <w:ind w:left="1080"/>
            <w:rPr>
              <w:rFonts w:ascii="Times New Roman" w:hAnsi="Times New Roman" w:cs="Times New Roman"/>
            </w:rPr>
          </w:pPr>
        </w:p>
        <w:p w:rsidR="007D6AD8" w:rsidRPr="007D6AD8" w:rsidRDefault="007D6AD8" w:rsidP="007D6AD8">
          <w:pPr>
            <w:ind w:left="1080"/>
            <w:rPr>
              <w:rFonts w:ascii="Times New Roman" w:hAnsi="Times New Roman" w:cs="Times New Roman"/>
            </w:rPr>
          </w:pPr>
        </w:p>
        <w:p w:rsidR="007D6AD8" w:rsidRPr="007D6AD8" w:rsidRDefault="007D6AD8" w:rsidP="007D6AD8">
          <w:pPr>
            <w:ind w:left="1080"/>
            <w:rPr>
              <w:rFonts w:ascii="Times New Roman" w:hAnsi="Times New Roman" w:cs="Times New Roman"/>
            </w:rPr>
          </w:pPr>
        </w:p>
        <w:p w:rsidR="007D6AD8" w:rsidRPr="007D6AD8" w:rsidRDefault="007D6AD8" w:rsidP="007D6AD8">
          <w:pPr>
            <w:ind w:left="720"/>
            <w:rPr>
              <w:rFonts w:ascii="Times New Roman" w:hAnsi="Times New Roman" w:cs="Times New Roman"/>
              <w:b/>
              <w:sz w:val="28"/>
              <w:szCs w:val="28"/>
            </w:rPr>
          </w:pPr>
          <w:r w:rsidRPr="007D6AD8">
            <w:rPr>
              <w:rFonts w:ascii="Times New Roman" w:hAnsi="Times New Roman" w:cs="Times New Roman"/>
              <w:b/>
              <w:sz w:val="28"/>
              <w:szCs w:val="28"/>
            </w:rPr>
            <w:t>Introduction</w:t>
          </w:r>
        </w:p>
        <w:p w:rsidR="007D6AD8" w:rsidRPr="007D6AD8" w:rsidRDefault="007D6AD8" w:rsidP="007D6AD8">
          <w:pPr>
            <w:rPr>
              <w:rFonts w:ascii="Times New Roman" w:hAnsi="Times New Roman" w:cs="Times New Roman"/>
            </w:rPr>
          </w:pPr>
          <w:r w:rsidRPr="007D6AD8">
            <w:rPr>
              <w:rFonts w:ascii="Times New Roman" w:hAnsi="Times New Roman" w:cs="Times New Roman"/>
            </w:rPr>
            <w:t xml:space="preserve">              Ultimate purpose of the course work is through the statistical analysis assess the sizing accuracy of the individual technicians, as well as the equipment and procedure. There are 21 defect measurements of through wall thickness undertaken as part of a larger POD study used to </w:t>
          </w:r>
          <w:r w:rsidRPr="007D6AD8">
            <w:rPr>
              <w:rStyle w:val="normaltextrun"/>
              <w:rFonts w:ascii="Times New Roman" w:hAnsi="Times New Roman" w:cs="Times New Roman"/>
              <w:color w:val="000000"/>
              <w:bdr w:val="none" w:sz="0" w:space="0" w:color="auto" w:frame="1"/>
              <w:lang w:val="en-GB"/>
            </w:rPr>
            <w:t>assess the performance of a new ultrasonic thickness gauging procedure</w:t>
          </w:r>
          <w:r w:rsidRPr="007D6AD8">
            <w:rPr>
              <w:rStyle w:val="normaltextrun"/>
              <w:rFonts w:ascii="Times New Roman" w:hAnsi="Times New Roman" w:cs="Times New Roman"/>
              <w:color w:val="000000"/>
              <w:sz w:val="20"/>
              <w:szCs w:val="20"/>
              <w:bdr w:val="none" w:sz="0" w:space="0" w:color="auto" w:frame="1"/>
              <w:lang w:val="en-GB"/>
            </w:rPr>
            <w:t>.</w:t>
          </w:r>
          <w:r w:rsidRPr="007D6AD8">
            <w:rPr>
              <w:rFonts w:ascii="Times New Roman" w:hAnsi="Times New Roman" w:cs="Times New Roman"/>
            </w:rPr>
            <w:t xml:space="preserve"> These defects are measured by 10 technicians. The statistical flaw data used for generating normal curve graph and as well as estimated measurement graph for individual operators.</w:t>
          </w:r>
        </w:p>
        <w:p w:rsidR="00DF228F" w:rsidRPr="007D6AD8" w:rsidRDefault="00DF228F" w:rsidP="00DF228F">
          <w:pPr>
            <w:rPr>
              <w:rFonts w:ascii="Times New Roman" w:hAnsi="Times New Roman" w:cs="Times New Roman"/>
              <w:lang w:val="en-US" w:eastAsia="ja-JP"/>
            </w:rPr>
          </w:pPr>
        </w:p>
        <w:p w:rsidR="00DF228F" w:rsidRDefault="00DF228F" w:rsidP="00DF228F">
          <w:pPr>
            <w:rPr>
              <w:rFonts w:ascii="Times New Roman" w:hAnsi="Times New Roman" w:cs="Times New Roman"/>
              <w:lang w:val="en-US" w:eastAsia="ja-JP"/>
            </w:rPr>
          </w:pPr>
        </w:p>
        <w:p w:rsidR="007D6AD8" w:rsidRPr="007D6AD8" w:rsidRDefault="007D6AD8" w:rsidP="00DF228F">
          <w:pPr>
            <w:rPr>
              <w:rFonts w:ascii="Times New Roman" w:hAnsi="Times New Roman" w:cs="Times New Roman"/>
              <w:lang w:val="en-US" w:eastAsia="ja-JP"/>
            </w:rPr>
          </w:pPr>
        </w:p>
        <w:p w:rsidR="00DF228F" w:rsidRDefault="00DF228F" w:rsidP="00DF228F">
          <w:pPr>
            <w:pStyle w:val="TOCHeading"/>
            <w:jc w:val="center"/>
            <w:rPr>
              <w:rFonts w:ascii="Times New Roman" w:hAnsi="Times New Roman" w:cs="Times New Roman"/>
              <w:color w:val="auto"/>
            </w:rPr>
          </w:pPr>
        </w:p>
        <w:p w:rsidR="00DF228F" w:rsidRDefault="00DF228F" w:rsidP="00DF228F">
          <w:pPr>
            <w:pStyle w:val="TOCHeading"/>
            <w:jc w:val="center"/>
            <w:rPr>
              <w:rFonts w:ascii="Times New Roman" w:hAnsi="Times New Roman" w:cs="Times New Roman"/>
              <w:color w:val="auto"/>
            </w:rPr>
          </w:pPr>
        </w:p>
        <w:p w:rsidR="007D6AD8" w:rsidRDefault="007D6AD8" w:rsidP="007D6AD8">
          <w:pPr>
            <w:rPr>
              <w:lang w:val="en-US" w:eastAsia="ja-JP"/>
            </w:rPr>
          </w:pPr>
        </w:p>
        <w:p w:rsidR="007D6AD8" w:rsidRPr="007D6AD8" w:rsidRDefault="007D6AD8" w:rsidP="007D6AD8">
          <w:pPr>
            <w:rPr>
              <w:lang w:val="en-US" w:eastAsia="ja-JP"/>
            </w:rPr>
          </w:pPr>
        </w:p>
        <w:p w:rsidR="00DF228F" w:rsidRDefault="00DF228F" w:rsidP="00DF228F">
          <w:pPr>
            <w:pStyle w:val="TOCHeading"/>
            <w:jc w:val="center"/>
            <w:rPr>
              <w:rFonts w:ascii="Times New Roman" w:hAnsi="Times New Roman" w:cs="Times New Roman"/>
              <w:color w:val="auto"/>
            </w:rPr>
          </w:pPr>
        </w:p>
        <w:p w:rsidR="001920A4" w:rsidRPr="001920A4" w:rsidRDefault="00730BDA" w:rsidP="00DF228F">
          <w:pPr>
            <w:pStyle w:val="TOCHeading"/>
            <w:jc w:val="center"/>
            <w:rPr>
              <w:rFonts w:ascii="Times New Roman" w:hAnsi="Times New Roman" w:cs="Times New Roman"/>
              <w:noProof/>
            </w:rPr>
          </w:pPr>
          <w:r w:rsidRPr="00730BDA">
            <w:rPr>
              <w:rFonts w:ascii="Times New Roman" w:hAnsi="Times New Roman" w:cs="Times New Roman"/>
            </w:rPr>
            <w:fldChar w:fldCharType="begin"/>
          </w:r>
          <w:r w:rsidR="001920A4" w:rsidRPr="001920A4">
            <w:rPr>
              <w:rFonts w:ascii="Times New Roman" w:hAnsi="Times New Roman" w:cs="Times New Roman"/>
            </w:rPr>
            <w:instrText xml:space="preserve"> TOC \o "1-3" \h \z \u </w:instrText>
          </w:r>
          <w:r w:rsidRPr="00730BDA">
            <w:rPr>
              <w:rFonts w:ascii="Times New Roman" w:hAnsi="Times New Roman" w:cs="Times New Roman"/>
            </w:rPr>
            <w:fldChar w:fldCharType="separate"/>
          </w:r>
          <w:hyperlink w:anchor="_Toc92828151" w:history="1">
            <w:r w:rsidR="001920A4" w:rsidRPr="001920A4">
              <w:rPr>
                <w:rStyle w:val="Hyperlink"/>
                <w:rFonts w:ascii="Times New Roman" w:hAnsi="Times New Roman" w:cs="Times New Roman"/>
                <w:noProof/>
              </w:rPr>
              <w:t>Develop</w:t>
            </w:r>
            <w:r w:rsidR="001920A4" w:rsidRPr="001920A4">
              <w:rPr>
                <w:rStyle w:val="Hyperlink"/>
                <w:rFonts w:ascii="Times New Roman" w:hAnsi="Times New Roman" w:cs="Times New Roman"/>
                <w:noProof/>
              </w:rPr>
              <w:t>ment and history of probability of detection and sizing methods</w:t>
            </w:r>
            <w:r w:rsidR="001920A4" w:rsidRPr="001920A4">
              <w:rPr>
                <w:rFonts w:ascii="Times New Roman" w:hAnsi="Times New Roman" w:cs="Times New Roman"/>
                <w:noProof/>
                <w:webHidden/>
              </w:rPr>
              <w:tab/>
            </w:r>
            <w:r w:rsidRPr="001920A4">
              <w:rPr>
                <w:rFonts w:ascii="Times New Roman" w:hAnsi="Times New Roman" w:cs="Times New Roman"/>
                <w:noProof/>
                <w:webHidden/>
              </w:rPr>
              <w:fldChar w:fldCharType="begin"/>
            </w:r>
            <w:r w:rsidR="001920A4" w:rsidRPr="001920A4">
              <w:rPr>
                <w:rFonts w:ascii="Times New Roman" w:hAnsi="Times New Roman" w:cs="Times New Roman"/>
                <w:noProof/>
                <w:webHidden/>
              </w:rPr>
              <w:instrText xml:space="preserve"> PAGEREF _Toc92828151 \h </w:instrText>
            </w:r>
            <w:r w:rsidRPr="001920A4">
              <w:rPr>
                <w:rFonts w:ascii="Times New Roman" w:hAnsi="Times New Roman" w:cs="Times New Roman"/>
                <w:noProof/>
                <w:webHidden/>
              </w:rPr>
            </w:r>
            <w:r w:rsidRPr="001920A4">
              <w:rPr>
                <w:rFonts w:ascii="Times New Roman" w:hAnsi="Times New Roman" w:cs="Times New Roman"/>
                <w:noProof/>
                <w:webHidden/>
              </w:rPr>
              <w:fldChar w:fldCharType="separate"/>
            </w:r>
            <w:r w:rsidR="001920A4" w:rsidRPr="001920A4">
              <w:rPr>
                <w:rFonts w:ascii="Times New Roman" w:hAnsi="Times New Roman" w:cs="Times New Roman"/>
                <w:noProof/>
                <w:webHidden/>
              </w:rPr>
              <w:t>3</w:t>
            </w:r>
            <w:r w:rsidRPr="001920A4">
              <w:rPr>
                <w:rFonts w:ascii="Times New Roman" w:hAnsi="Times New Roman" w:cs="Times New Roman"/>
                <w:noProof/>
                <w:webHidden/>
              </w:rPr>
              <w:fldChar w:fldCharType="end"/>
            </w:r>
          </w:hyperlink>
        </w:p>
        <w:p w:rsidR="001920A4" w:rsidRPr="001920A4" w:rsidRDefault="00730BDA">
          <w:pPr>
            <w:pStyle w:val="TOC1"/>
            <w:tabs>
              <w:tab w:val="right" w:leader="dot" w:pos="9016"/>
            </w:tabs>
            <w:rPr>
              <w:rFonts w:ascii="Times New Roman" w:hAnsi="Times New Roman" w:cs="Times New Roman"/>
              <w:noProof/>
            </w:rPr>
          </w:pPr>
          <w:hyperlink w:anchor="_Toc92828152" w:history="1">
            <w:r w:rsidR="001920A4" w:rsidRPr="001920A4">
              <w:rPr>
                <w:rStyle w:val="Hyperlink"/>
                <w:rFonts w:ascii="Times New Roman" w:hAnsi="Times New Roman" w:cs="Times New Roman"/>
                <w:noProof/>
              </w:rPr>
              <w:t>Analysis</w:t>
            </w:r>
            <w:r w:rsidR="001920A4" w:rsidRPr="001920A4">
              <w:rPr>
                <w:rFonts w:ascii="Times New Roman" w:hAnsi="Times New Roman" w:cs="Times New Roman"/>
                <w:noProof/>
                <w:webHidden/>
              </w:rPr>
              <w:tab/>
            </w:r>
            <w:r w:rsidRPr="001920A4">
              <w:rPr>
                <w:rFonts w:ascii="Times New Roman" w:hAnsi="Times New Roman" w:cs="Times New Roman"/>
                <w:noProof/>
                <w:webHidden/>
              </w:rPr>
              <w:fldChar w:fldCharType="begin"/>
            </w:r>
            <w:r w:rsidR="001920A4" w:rsidRPr="001920A4">
              <w:rPr>
                <w:rFonts w:ascii="Times New Roman" w:hAnsi="Times New Roman" w:cs="Times New Roman"/>
                <w:noProof/>
                <w:webHidden/>
              </w:rPr>
              <w:instrText xml:space="preserve"> PAGEREF _Toc92828152 \h </w:instrText>
            </w:r>
            <w:r w:rsidRPr="001920A4">
              <w:rPr>
                <w:rFonts w:ascii="Times New Roman" w:hAnsi="Times New Roman" w:cs="Times New Roman"/>
                <w:noProof/>
                <w:webHidden/>
              </w:rPr>
            </w:r>
            <w:r w:rsidRPr="001920A4">
              <w:rPr>
                <w:rFonts w:ascii="Times New Roman" w:hAnsi="Times New Roman" w:cs="Times New Roman"/>
                <w:noProof/>
                <w:webHidden/>
              </w:rPr>
              <w:fldChar w:fldCharType="separate"/>
            </w:r>
            <w:r w:rsidR="001920A4" w:rsidRPr="001920A4">
              <w:rPr>
                <w:rFonts w:ascii="Times New Roman" w:hAnsi="Times New Roman" w:cs="Times New Roman"/>
                <w:noProof/>
                <w:webHidden/>
              </w:rPr>
              <w:t>6</w:t>
            </w:r>
            <w:r w:rsidRPr="001920A4">
              <w:rPr>
                <w:rFonts w:ascii="Times New Roman" w:hAnsi="Times New Roman" w:cs="Times New Roman"/>
                <w:noProof/>
                <w:webHidden/>
              </w:rPr>
              <w:fldChar w:fldCharType="end"/>
            </w:r>
          </w:hyperlink>
        </w:p>
        <w:p w:rsidR="001920A4" w:rsidRPr="001920A4" w:rsidRDefault="00730BDA">
          <w:pPr>
            <w:pStyle w:val="TOC1"/>
            <w:tabs>
              <w:tab w:val="right" w:leader="dot" w:pos="9016"/>
            </w:tabs>
            <w:rPr>
              <w:rFonts w:ascii="Times New Roman" w:hAnsi="Times New Roman" w:cs="Times New Roman"/>
              <w:noProof/>
            </w:rPr>
          </w:pPr>
          <w:hyperlink w:anchor="_Toc92828153" w:history="1">
            <w:r w:rsidR="001920A4" w:rsidRPr="001920A4">
              <w:rPr>
                <w:rStyle w:val="Hyperlink"/>
                <w:rFonts w:ascii="Times New Roman" w:hAnsi="Times New Roman" w:cs="Times New Roman"/>
                <w:noProof/>
              </w:rPr>
              <w:t>Reference List</w:t>
            </w:r>
            <w:r w:rsidR="001920A4" w:rsidRPr="001920A4">
              <w:rPr>
                <w:rFonts w:ascii="Times New Roman" w:hAnsi="Times New Roman" w:cs="Times New Roman"/>
                <w:noProof/>
                <w:webHidden/>
              </w:rPr>
              <w:tab/>
            </w:r>
            <w:r w:rsidRPr="001920A4">
              <w:rPr>
                <w:rFonts w:ascii="Times New Roman" w:hAnsi="Times New Roman" w:cs="Times New Roman"/>
                <w:noProof/>
                <w:webHidden/>
              </w:rPr>
              <w:fldChar w:fldCharType="begin"/>
            </w:r>
            <w:r w:rsidR="001920A4" w:rsidRPr="001920A4">
              <w:rPr>
                <w:rFonts w:ascii="Times New Roman" w:hAnsi="Times New Roman" w:cs="Times New Roman"/>
                <w:noProof/>
                <w:webHidden/>
              </w:rPr>
              <w:instrText xml:space="preserve"> PAGEREF _Toc92828153 \h </w:instrText>
            </w:r>
            <w:r w:rsidRPr="001920A4">
              <w:rPr>
                <w:rFonts w:ascii="Times New Roman" w:hAnsi="Times New Roman" w:cs="Times New Roman"/>
                <w:noProof/>
                <w:webHidden/>
              </w:rPr>
            </w:r>
            <w:r w:rsidRPr="001920A4">
              <w:rPr>
                <w:rFonts w:ascii="Times New Roman" w:hAnsi="Times New Roman" w:cs="Times New Roman"/>
                <w:noProof/>
                <w:webHidden/>
              </w:rPr>
              <w:fldChar w:fldCharType="separate"/>
            </w:r>
            <w:r w:rsidR="001920A4" w:rsidRPr="001920A4">
              <w:rPr>
                <w:rFonts w:ascii="Times New Roman" w:hAnsi="Times New Roman" w:cs="Times New Roman"/>
                <w:noProof/>
                <w:webHidden/>
              </w:rPr>
              <w:t>10</w:t>
            </w:r>
            <w:r w:rsidRPr="001920A4">
              <w:rPr>
                <w:rFonts w:ascii="Times New Roman" w:hAnsi="Times New Roman" w:cs="Times New Roman"/>
                <w:noProof/>
                <w:webHidden/>
              </w:rPr>
              <w:fldChar w:fldCharType="end"/>
            </w:r>
          </w:hyperlink>
        </w:p>
        <w:p w:rsidR="001920A4" w:rsidRPr="001920A4" w:rsidRDefault="00730BDA">
          <w:pPr>
            <w:rPr>
              <w:rFonts w:ascii="Times New Roman" w:hAnsi="Times New Roman" w:cs="Times New Roman"/>
            </w:rPr>
          </w:pPr>
          <w:r w:rsidRPr="001920A4">
            <w:rPr>
              <w:rFonts w:ascii="Times New Roman" w:hAnsi="Times New Roman" w:cs="Times New Roman"/>
              <w:b/>
              <w:bCs/>
              <w:noProof/>
            </w:rPr>
            <w:fldChar w:fldCharType="end"/>
          </w:r>
        </w:p>
      </w:sdtContent>
    </w:sdt>
    <w:p w:rsidR="007E52CB" w:rsidRPr="001920A4" w:rsidRDefault="007E52CB" w:rsidP="001920A4">
      <w:pPr>
        <w:spacing w:line="360" w:lineRule="auto"/>
        <w:jc w:val="both"/>
        <w:rPr>
          <w:rFonts w:ascii="Times New Roman" w:hAnsi="Times New Roman" w:cs="Times New Roman"/>
          <w:b/>
          <w:sz w:val="28"/>
          <w:szCs w:val="24"/>
        </w:rPr>
      </w:pPr>
      <w:r w:rsidRPr="001920A4">
        <w:rPr>
          <w:rFonts w:ascii="Times New Roman" w:hAnsi="Times New Roman" w:cs="Times New Roman"/>
          <w:b/>
          <w:sz w:val="28"/>
          <w:szCs w:val="24"/>
        </w:rPr>
        <w:br w:type="page"/>
      </w:r>
    </w:p>
    <w:p w:rsidR="007E52CB" w:rsidRPr="001920A4" w:rsidRDefault="007E52CB" w:rsidP="001920A4">
      <w:pPr>
        <w:pStyle w:val="Heading1"/>
      </w:pPr>
      <w:bookmarkStart w:id="1" w:name="_Toc92828151"/>
      <w:r w:rsidRPr="001920A4">
        <w:lastRenderedPageBreak/>
        <w:t>Development and history of probability of detection and sizing methods</w:t>
      </w:r>
      <w:bookmarkEnd w:id="1"/>
    </w:p>
    <w:p w:rsidR="007E52CB" w:rsidRPr="001920A4" w:rsidRDefault="007E52CB" w:rsidP="001920A4">
      <w:pPr>
        <w:spacing w:line="360" w:lineRule="auto"/>
        <w:jc w:val="both"/>
        <w:rPr>
          <w:rFonts w:ascii="Times New Roman" w:hAnsi="Times New Roman" w:cs="Times New Roman"/>
          <w:sz w:val="24"/>
          <w:szCs w:val="24"/>
        </w:rPr>
      </w:pPr>
      <w:r w:rsidRPr="001920A4">
        <w:rPr>
          <w:rFonts w:ascii="Times New Roman" w:hAnsi="Times New Roman" w:cs="Times New Roman"/>
          <w:sz w:val="24"/>
          <w:szCs w:val="24"/>
        </w:rPr>
        <w:t xml:space="preserve">A number of “Non-Destructive Evaluation” (“NDE”) technologies are employed in the o shore industry to identify the flaw in welds. According to the “ASM” Handbook, there is a brief explanation of the aforementioned topics. The “NDE” business categorises “NDE” methods into conventional and advanced categories. “Radiography”, “ultrasonic”, “dye penetrant”, “visual examination”, “Eddy Current” (EC), and other traditional “NDE” procedures are included in the advanced “NDE” techniques such as Acoustic Emission (AE), Thermal Infrared, Phased Array, Time of Flight Diffraction (TOFD), etc. In addition to the “NDE” fee, expenditures for scaffolding, lagging removal, and cleaning/preparation are incurred when completing an “NDE” activity. As a result, considerable consideration must be given to whatever “NDE” approach is used during an in-service inspection. Before picking an “NDE” approach, it is important to understand the situation at hand. UT and RT are recommended “NDE” methods for in-service inspection of welded structures, for example, if the volumetric evaluation of the welded structures is required. </w:t>
      </w:r>
    </w:p>
    <w:p w:rsidR="007E52CB" w:rsidRPr="001920A4" w:rsidRDefault="007E52CB" w:rsidP="001920A4">
      <w:pPr>
        <w:spacing w:line="360" w:lineRule="auto"/>
        <w:jc w:val="both"/>
        <w:rPr>
          <w:rFonts w:ascii="Times New Roman" w:hAnsi="Times New Roman" w:cs="Times New Roman"/>
          <w:b/>
          <w:sz w:val="24"/>
          <w:szCs w:val="24"/>
        </w:rPr>
      </w:pPr>
      <w:r w:rsidRPr="001920A4">
        <w:rPr>
          <w:rFonts w:ascii="Times New Roman" w:hAnsi="Times New Roman" w:cs="Times New Roman"/>
          <w:b/>
          <w:sz w:val="24"/>
          <w:szCs w:val="24"/>
        </w:rPr>
        <w:t>Origin of “POD”</w:t>
      </w:r>
    </w:p>
    <w:p w:rsidR="007E52CB" w:rsidRPr="001920A4" w:rsidRDefault="007E52CB" w:rsidP="001920A4">
      <w:pPr>
        <w:spacing w:line="360" w:lineRule="auto"/>
        <w:jc w:val="both"/>
        <w:rPr>
          <w:rFonts w:ascii="Times New Roman" w:hAnsi="Times New Roman" w:cs="Times New Roman"/>
          <w:sz w:val="24"/>
          <w:szCs w:val="24"/>
        </w:rPr>
      </w:pPr>
      <w:r w:rsidRPr="001920A4">
        <w:rPr>
          <w:rFonts w:ascii="Times New Roman" w:hAnsi="Times New Roman" w:cs="Times New Roman"/>
          <w:sz w:val="24"/>
          <w:szCs w:val="24"/>
        </w:rPr>
        <w:t xml:space="preserve">Late 1960s and early 1970s saw significant advancement in the application of “POD” functions to assess “NDE” capability. The National Aeronautics and Space Administration (NASA) realised in 1969 that the design and manufacture of the space shuttle required “NDE” precise specifications. NASA evaluated “NDE” reliability based on the greatest aw that can be missed rather than the smallest aw that can be detected in order to achieve the damage tolerance criteria. Due to the difficulty and low reliability of “NDE” detection of small aws, this change was made to better identify larger aws that might otherwise go undetected. The hit/miss data is shown in Fig.3 and shows a discrepancy between the smallest problem found and the greatest flaw missed. The US Air Force (USAF) quickly accepted NASA's “NDE” capability quantification technique by releasing MIL A-83444, which integrated NASA's NASA-5009 standard. After that, in 1973, the “POD” idea was included as part of the NASA Space Shuttle program's design criteria. First-of-its-kind efforts to measure “NDE” capabilities were made possible by NASA's “POD” development project. “POD” curves were first plotted by shifting the averages and then manually fitting a line through the data points on the graph. After that, a wide variety of ways were devised for drawing “POD” curves. To compute confidence intervals, binomial statistics were utilised, with “POD” (a) serving as the basic equation. It was still necessary to use extremely large </w:t>
      </w:r>
      <w:r w:rsidRPr="001920A4">
        <w:rPr>
          <w:rFonts w:ascii="Times New Roman" w:hAnsi="Times New Roman" w:cs="Times New Roman"/>
          <w:sz w:val="24"/>
          <w:szCs w:val="24"/>
        </w:rPr>
        <w:lastRenderedPageBreak/>
        <w:t>sample sizes to achieve credible lower confidence bounds on the “POD” using this non-parametric technique, which yielded incoherent findings for a single aw size. As a result of a comprehensive “NDE” reliability study conducted by the United States Air Force and statisticians, a final report was produced in 1978. Experimental data from the software dubbed 'Have Cracks Will Travel' had multiple examples of two cracks of roughly comparable length with a markedly different “POD”. In addition to fracture length, these findings clearly indicated that the “POD” was impacted by several other parameters. In terms of 'hit/miss', the data for "Have-Cracks-Will-Travel" was recorded exclusively. “POD” may be described probabilistically by Berens and Hovey using the data presented here, as "a curve over the averages of detection probability for all cracks of equal length." A regression curve was the name given to this type of curve. A Special Technical Publication of the “American Society for Testing of Materials” (ASTM) described the aforementioned method. That same paper mentions that the non-parametric technique, which uses estimates based on binomial distributions, produces more dispersion in “POD” estimates than do log-odds models.</w:t>
      </w:r>
    </w:p>
    <w:p w:rsidR="007E52CB" w:rsidRPr="001920A4" w:rsidRDefault="007E52CB" w:rsidP="001920A4">
      <w:pPr>
        <w:spacing w:line="360" w:lineRule="auto"/>
        <w:jc w:val="both"/>
        <w:rPr>
          <w:rFonts w:ascii="Times New Roman" w:hAnsi="Times New Roman" w:cs="Times New Roman"/>
          <w:b/>
          <w:sz w:val="24"/>
          <w:szCs w:val="24"/>
        </w:rPr>
      </w:pPr>
      <w:r w:rsidRPr="001920A4">
        <w:rPr>
          <w:rFonts w:ascii="Times New Roman" w:hAnsi="Times New Roman" w:cs="Times New Roman"/>
          <w:b/>
          <w:sz w:val="24"/>
          <w:szCs w:val="24"/>
        </w:rPr>
        <w:t>Further research</w:t>
      </w:r>
    </w:p>
    <w:p w:rsidR="007E52CB" w:rsidRPr="001920A4" w:rsidRDefault="007E52CB" w:rsidP="001920A4">
      <w:pPr>
        <w:spacing w:line="360" w:lineRule="auto"/>
        <w:jc w:val="both"/>
        <w:rPr>
          <w:rFonts w:ascii="Times New Roman" w:hAnsi="Times New Roman" w:cs="Times New Roman"/>
          <w:sz w:val="24"/>
          <w:szCs w:val="24"/>
        </w:rPr>
      </w:pPr>
      <w:r w:rsidRPr="001920A4">
        <w:rPr>
          <w:rFonts w:ascii="Times New Roman" w:hAnsi="Times New Roman" w:cs="Times New Roman"/>
          <w:sz w:val="24"/>
          <w:szCs w:val="24"/>
        </w:rPr>
        <w:t>The automated EC enabled for the recording of signal response data, which may be interpreted as the perceived flaw size (i.e. â versus a" data) in the next stage of “POD”.  Analyses of the signal response data revealed that it was normally distributed around the mean, regardless of fracture size, with data typically being linear on a logarithmic scale. Subsequently, Berens demonstrated that the signal response “NDE” data was best represented as "log-normal" or "Probit". As recently as the late 1990s, the ASM Handbook's work on “POD” assessment by Berens was widely regarded as the gold standard in the field. “POD” studies at the “US Department of Defense” (DOD) were later detailed in the 1999 publication of the DOD Handbook. The most difficult part of creating “POD” was precisely calculating the confidence interval (CI). “POD” CI estimates have undergone a number of modifications since their inception in 2000. Overly conservative CI for "hit/miss" statistics were evaluated since they applied to all locations on the “POD” curve at the same time. The Wald Statistic was used to calculate the CI in this study. A more precise CI calculation approach was then proposed as the likelihood ratio method. MIL-HDBK-1823A (an upgraded version of MIL-HDBK-1823) was issued in 2009 to incorporate these new improvements in “POD” CI calculations. MIL-HDBK-1823A is now being used by the United States Air Force and other industry to undertake “POD” studies.</w:t>
      </w:r>
    </w:p>
    <w:p w:rsidR="007E52CB" w:rsidRPr="001920A4" w:rsidRDefault="007E52CB" w:rsidP="001920A4">
      <w:pPr>
        <w:spacing w:line="360" w:lineRule="auto"/>
        <w:jc w:val="both"/>
        <w:rPr>
          <w:rFonts w:ascii="Times New Roman" w:hAnsi="Times New Roman" w:cs="Times New Roman"/>
          <w:b/>
          <w:sz w:val="24"/>
          <w:szCs w:val="24"/>
        </w:rPr>
      </w:pPr>
      <w:r w:rsidRPr="001920A4">
        <w:rPr>
          <w:rFonts w:ascii="Times New Roman" w:hAnsi="Times New Roman" w:cs="Times New Roman"/>
          <w:b/>
          <w:sz w:val="24"/>
          <w:szCs w:val="24"/>
        </w:rPr>
        <w:lastRenderedPageBreak/>
        <w:t>Transition of “POD”</w:t>
      </w:r>
    </w:p>
    <w:p w:rsidR="007E52CB" w:rsidRPr="001920A4" w:rsidRDefault="007E52CB" w:rsidP="001920A4">
      <w:pPr>
        <w:spacing w:line="360" w:lineRule="auto"/>
        <w:jc w:val="both"/>
        <w:rPr>
          <w:rFonts w:ascii="Times New Roman" w:hAnsi="Times New Roman" w:cs="Times New Roman"/>
          <w:sz w:val="24"/>
          <w:szCs w:val="24"/>
        </w:rPr>
      </w:pPr>
      <w:r w:rsidRPr="001920A4">
        <w:rPr>
          <w:rFonts w:ascii="Times New Roman" w:hAnsi="Times New Roman" w:cs="Times New Roman"/>
          <w:sz w:val="24"/>
          <w:szCs w:val="24"/>
        </w:rPr>
        <w:t>“NDE” inspection's dependability was usually verified by experimental trials until the mid-1990s. This led to a shift in the “POD” curve generating mindset from experimental to computational models, most notably in the UK National NDT Centre and also in the United States [24]. In 1989, Iowa State University researchers Gray and his colleagues released a paper evaluating the dependability of “NDE” models. Researchers found that developing computational models for forecasting “NDE” dependability was necessary for a variety of time and financial considerations. As time went on in 1990, Nakagawa at Iowa State University and Beissner at Southwest Research Institute took a novice approach, replacing theoretical physical modelling techniques for experimental aw signals. To evaluate “POD” for fatigue cracks, the authors determined that computer models may substitute a significant number of EC observations. Researchers at Harwell Laboratory in Oxford were working on computational “POD” models at the same time that Iowa State University researchers were. It is estimated that Ogilvy's theoretical “POD” for planar flaws from conventional ultrasonic pulse-echo inspection was developed in 1993. “NDE” measures' speed, coverage, and reliability were studied in 1994 by Wall and Wedgwood for their potential economic benefits. According to Schmerr and Thompson's research, “NDE” modelling at Iowa State University allowed it to be completely integrated into the design and life cycle performance that year. In 1996, Meeker, et al. explored the physical models based on theory of ultrasonic wave scattering that might be used to predict observations from the flaw signal distributions.</w:t>
      </w:r>
    </w:p>
    <w:p w:rsidR="007E52CB" w:rsidRPr="001920A4" w:rsidRDefault="007E52CB" w:rsidP="001920A4">
      <w:pPr>
        <w:spacing w:line="360" w:lineRule="auto"/>
        <w:jc w:val="both"/>
        <w:rPr>
          <w:rFonts w:ascii="Times New Roman" w:hAnsi="Times New Roman" w:cs="Times New Roman"/>
          <w:b/>
          <w:sz w:val="24"/>
          <w:szCs w:val="24"/>
        </w:rPr>
      </w:pPr>
      <w:r w:rsidRPr="001920A4">
        <w:rPr>
          <w:rFonts w:ascii="Times New Roman" w:hAnsi="Times New Roman" w:cs="Times New Roman"/>
          <w:b/>
          <w:sz w:val="24"/>
          <w:szCs w:val="24"/>
        </w:rPr>
        <w:t>Future of “POD”</w:t>
      </w:r>
    </w:p>
    <w:p w:rsidR="007E52CB" w:rsidRPr="001920A4" w:rsidRDefault="007E52CB" w:rsidP="001920A4">
      <w:pPr>
        <w:spacing w:line="360" w:lineRule="auto"/>
        <w:rPr>
          <w:rFonts w:ascii="Times New Roman" w:hAnsi="Times New Roman" w:cs="Times New Roman"/>
          <w:sz w:val="24"/>
          <w:szCs w:val="24"/>
        </w:rPr>
      </w:pPr>
      <w:r w:rsidRPr="001920A4">
        <w:rPr>
          <w:rFonts w:ascii="Times New Roman" w:hAnsi="Times New Roman" w:cs="Times New Roman"/>
          <w:sz w:val="24"/>
          <w:szCs w:val="24"/>
        </w:rPr>
        <w:t>Both Iowa State University and NNDTC have been developing new models to help explain the findings of the "POD" study. Iowa State University researchers formed the Model Assisted "POD" (MA"POD") working group in 2004 in collaboration with the "United States Air Force Research Lab-oratories" (AFRL), the "Federal Aviation Administration" (FAA), and NASA in order to examine computational "POD" potential. However, the NNDTC has been creating new "POD" models for composites, "magnetic-flux" leakage in floor scanners, and other "POD" applications in the offshore industry, on the other hand.</w:t>
      </w:r>
    </w:p>
    <w:p w:rsidR="007E52CB" w:rsidRPr="001920A4" w:rsidRDefault="007E52CB" w:rsidP="001920A4">
      <w:pPr>
        <w:spacing w:line="360" w:lineRule="auto"/>
        <w:rPr>
          <w:rFonts w:ascii="Times New Roman" w:hAnsi="Times New Roman" w:cs="Times New Roman"/>
          <w:sz w:val="24"/>
          <w:szCs w:val="24"/>
        </w:rPr>
      </w:pPr>
      <w:r w:rsidRPr="001920A4">
        <w:rPr>
          <w:rFonts w:ascii="Times New Roman" w:hAnsi="Times New Roman" w:cs="Times New Roman"/>
          <w:sz w:val="24"/>
          <w:szCs w:val="24"/>
        </w:rPr>
        <w:t>In recent decades, the "POD" concept and technique have been widely accepted as an useful indication for gauging "NDE" capabilities. In the "NDE" industry, the extensive use of "POD" concepts proves their importance.</w:t>
      </w:r>
    </w:p>
    <w:p w:rsidR="007E52CB" w:rsidRPr="001920A4" w:rsidRDefault="007E52CB" w:rsidP="001920A4">
      <w:pPr>
        <w:spacing w:line="360" w:lineRule="auto"/>
        <w:jc w:val="both"/>
        <w:rPr>
          <w:rFonts w:ascii="Times New Roman" w:hAnsi="Times New Roman" w:cs="Times New Roman"/>
          <w:b/>
          <w:sz w:val="28"/>
        </w:rPr>
      </w:pPr>
    </w:p>
    <w:p w:rsidR="00FD5F6F" w:rsidRPr="001920A4" w:rsidRDefault="00541D95" w:rsidP="001920A4">
      <w:pPr>
        <w:pStyle w:val="Heading1"/>
      </w:pPr>
      <w:bookmarkStart w:id="2" w:name="_Toc92828152"/>
      <w:r w:rsidRPr="001920A4">
        <w:t>Analysis</w:t>
      </w:r>
      <w:bookmarkEnd w:id="2"/>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bl>
      <w:tblPr>
        <w:tblW w:w="597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999"/>
        <w:gridCol w:w="1029"/>
        <w:gridCol w:w="1030"/>
        <w:gridCol w:w="1445"/>
        <w:gridCol w:w="1476"/>
      </w:tblGrid>
      <w:tr w:rsidR="00541D95" w:rsidRPr="001920A4">
        <w:trPr>
          <w:cantSplit/>
        </w:trPr>
        <w:tc>
          <w:tcPr>
            <w:tcW w:w="5976" w:type="dxa"/>
            <w:gridSpan w:val="5"/>
            <w:tcBorders>
              <w:top w:val="nil"/>
              <w:left w:val="nil"/>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t>One-Sample Statistics</w:t>
            </w:r>
          </w:p>
        </w:tc>
      </w:tr>
      <w:tr w:rsidR="00541D95" w:rsidRPr="001920A4">
        <w:trPr>
          <w:cantSplit/>
        </w:trPr>
        <w:tc>
          <w:tcPr>
            <w:tcW w:w="999" w:type="dxa"/>
            <w:tcBorders>
              <w:top w:val="nil"/>
              <w:left w:val="nil"/>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nil"/>
              <w:left w:val="nil"/>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N</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Deviation</w:t>
            </w:r>
          </w:p>
        </w:tc>
        <w:tc>
          <w:tcPr>
            <w:tcW w:w="1475" w:type="dxa"/>
            <w:tcBorders>
              <w:top w:val="nil"/>
              <w:left w:val="single" w:sz="8" w:space="0" w:color="E0E0E0"/>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Error Mean</w:t>
            </w:r>
          </w:p>
        </w:tc>
      </w:tr>
      <w:tr w:rsidR="00541D95" w:rsidRPr="001920A4">
        <w:trPr>
          <w:cantSplit/>
        </w:trPr>
        <w:tc>
          <w:tcPr>
            <w:tcW w:w="999" w:type="dxa"/>
            <w:tcBorders>
              <w:top w:val="single" w:sz="8" w:space="0" w:color="152935"/>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true size</w:t>
            </w:r>
          </w:p>
        </w:tc>
        <w:tc>
          <w:tcPr>
            <w:tcW w:w="1029" w:type="dxa"/>
            <w:tcBorders>
              <w:top w:val="single" w:sz="8" w:space="0" w:color="152935"/>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1.7200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1.99897</w:t>
            </w:r>
          </w:p>
        </w:tc>
        <w:tc>
          <w:tcPr>
            <w:tcW w:w="1475" w:type="dxa"/>
            <w:tcBorders>
              <w:top w:val="single" w:sz="8" w:space="0" w:color="152935"/>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.43621</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Op1</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1.862</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1.8258</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.3984</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Op2</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1.5701</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.3426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Op3</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1.795</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1.7671</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.3856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Op4</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2.110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1.6535</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.3608</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Op5</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2.029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1.8953</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.4136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Op6</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2.419</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2.0422</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.4456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Op7</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1.733</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1.6983</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.3706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Op8</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2.224</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2.0042</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.4374</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2.471</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1.7777</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.3879</w:t>
            </w:r>
          </w:p>
        </w:tc>
      </w:tr>
      <w:tr w:rsidR="00541D95" w:rsidRPr="001920A4">
        <w:trPr>
          <w:cantSplit/>
        </w:trPr>
        <w:tc>
          <w:tcPr>
            <w:tcW w:w="999" w:type="dxa"/>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029" w:type="dxa"/>
            <w:tcBorders>
              <w:top w:val="single" w:sz="8" w:space="0" w:color="AEAEAE"/>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2.048</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1.8038</w:t>
            </w:r>
          </w:p>
        </w:tc>
        <w:tc>
          <w:tcPr>
            <w:tcW w:w="1475" w:type="dxa"/>
            <w:tcBorders>
              <w:top w:val="single" w:sz="8" w:space="0" w:color="AEAEAE"/>
              <w:left w:val="single" w:sz="8" w:space="0" w:color="E0E0E0"/>
              <w:bottom w:val="single" w:sz="8" w:space="0" w:color="152935"/>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.3936</w:t>
            </w: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spacing w:line="360" w:lineRule="auto"/>
        <w:jc w:val="both"/>
        <w:rPr>
          <w:rFonts w:ascii="Times New Roman" w:hAnsi="Times New Roman" w:cs="Times New Roman"/>
          <w:sz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bl>
      <w:tblPr>
        <w:tblW w:w="89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999"/>
        <w:gridCol w:w="1029"/>
        <w:gridCol w:w="1029"/>
        <w:gridCol w:w="1415"/>
        <w:gridCol w:w="1476"/>
        <w:gridCol w:w="1476"/>
        <w:gridCol w:w="1476"/>
      </w:tblGrid>
      <w:tr w:rsidR="00541D95" w:rsidRPr="001920A4">
        <w:trPr>
          <w:cantSplit/>
        </w:trPr>
        <w:tc>
          <w:tcPr>
            <w:tcW w:w="8896" w:type="dxa"/>
            <w:gridSpan w:val="7"/>
            <w:tcBorders>
              <w:top w:val="nil"/>
              <w:left w:val="nil"/>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t>One-Sample Test</w:t>
            </w:r>
          </w:p>
        </w:tc>
      </w:tr>
      <w:tr w:rsidR="00541D95" w:rsidRPr="001920A4">
        <w:trPr>
          <w:cantSplit/>
        </w:trPr>
        <w:tc>
          <w:tcPr>
            <w:tcW w:w="999" w:type="dxa"/>
            <w:vMerge w:val="restart"/>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7897" w:type="dxa"/>
            <w:gridSpan w:val="6"/>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Test Value = 0</w:t>
            </w:r>
          </w:p>
        </w:tc>
      </w:tr>
      <w:tr w:rsidR="00541D95" w:rsidRPr="001920A4">
        <w:trPr>
          <w:cantSplit/>
        </w:trPr>
        <w:tc>
          <w:tcPr>
            <w:tcW w:w="999" w:type="dxa"/>
            <w:vMerge/>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029" w:type="dxa"/>
            <w:vMerge w:val="restart"/>
            <w:tcBorders>
              <w:top w:val="nil"/>
              <w:left w:val="nil"/>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w:t>
            </w:r>
          </w:p>
        </w:tc>
        <w:tc>
          <w:tcPr>
            <w:tcW w:w="1029"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df</w:t>
            </w:r>
          </w:p>
        </w:tc>
        <w:tc>
          <w:tcPr>
            <w:tcW w:w="1414"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Sig. (2-tailed)</w:t>
            </w:r>
          </w:p>
        </w:tc>
        <w:tc>
          <w:tcPr>
            <w:tcW w:w="1475"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Mean Difference</w:t>
            </w:r>
          </w:p>
        </w:tc>
        <w:tc>
          <w:tcPr>
            <w:tcW w:w="2950" w:type="dxa"/>
            <w:gridSpan w:val="2"/>
            <w:tcBorders>
              <w:top w:val="nil"/>
              <w:left w:val="single" w:sz="8" w:space="0" w:color="E0E0E0"/>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95% Confidence Interval of the Difference</w:t>
            </w:r>
          </w:p>
        </w:tc>
      </w:tr>
      <w:tr w:rsidR="00541D95" w:rsidRPr="001920A4">
        <w:trPr>
          <w:cantSplit/>
        </w:trPr>
        <w:tc>
          <w:tcPr>
            <w:tcW w:w="999" w:type="dxa"/>
            <w:vMerge/>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029" w:type="dxa"/>
            <w:vMerge/>
            <w:tcBorders>
              <w:top w:val="nil"/>
              <w:left w:val="nil"/>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029"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414"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475"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Lower</w:t>
            </w:r>
          </w:p>
        </w:tc>
        <w:tc>
          <w:tcPr>
            <w:tcW w:w="1475" w:type="dxa"/>
            <w:tcBorders>
              <w:top w:val="nil"/>
              <w:left w:val="single" w:sz="8" w:space="0" w:color="E0E0E0"/>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Upper</w:t>
            </w:r>
          </w:p>
        </w:tc>
      </w:tr>
      <w:tr w:rsidR="00541D95" w:rsidRPr="001920A4">
        <w:trPr>
          <w:cantSplit/>
        </w:trPr>
        <w:tc>
          <w:tcPr>
            <w:tcW w:w="999" w:type="dxa"/>
            <w:tcBorders>
              <w:top w:val="single" w:sz="8" w:space="0" w:color="152935"/>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true size</w:t>
            </w:r>
          </w:p>
        </w:tc>
        <w:tc>
          <w:tcPr>
            <w:tcW w:w="1029" w:type="dxa"/>
            <w:tcBorders>
              <w:top w:val="single" w:sz="8" w:space="0" w:color="152935"/>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3.943</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.001</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1.72000</w:t>
            </w:r>
          </w:p>
        </w:tc>
        <w:tc>
          <w:tcPr>
            <w:tcW w:w="1475"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.8101</w:t>
            </w:r>
          </w:p>
        </w:tc>
        <w:tc>
          <w:tcPr>
            <w:tcW w:w="1475" w:type="dxa"/>
            <w:tcBorders>
              <w:top w:val="single" w:sz="8" w:space="0" w:color="152935"/>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2.6299</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Op1</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4.673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1.8619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1.031</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2.693</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Op2</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5.629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1.9286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1.214</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2.643</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Op3</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4.656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1.7952</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.991</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2.600</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Op4</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5.847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2.1095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1.357</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2.862</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Op5</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4.905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2.0286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1.166</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2.891</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Op6</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5.428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2.4190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1.489</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3.349</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Op7</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4.677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1.7333</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.960</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2.506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Op8</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5.085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2.2238</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1.311</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3.136</w:t>
            </w:r>
          </w:p>
        </w:tc>
      </w:tr>
      <w:tr w:rsidR="00541D95" w:rsidRPr="001920A4">
        <w:trPr>
          <w:cantSplit/>
        </w:trPr>
        <w:tc>
          <w:tcPr>
            <w:tcW w:w="999"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029"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6.371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2.4714</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1.662</w:t>
            </w:r>
          </w:p>
        </w:tc>
        <w:tc>
          <w:tcPr>
            <w:tcW w:w="1475"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3.281</w:t>
            </w:r>
          </w:p>
        </w:tc>
      </w:tr>
      <w:tr w:rsidR="00541D95" w:rsidRPr="001920A4">
        <w:trPr>
          <w:cantSplit/>
        </w:trPr>
        <w:tc>
          <w:tcPr>
            <w:tcW w:w="999" w:type="dxa"/>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029" w:type="dxa"/>
            <w:tcBorders>
              <w:top w:val="single" w:sz="8" w:space="0" w:color="AEAEAE"/>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5.202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2.0476</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1.227</w:t>
            </w:r>
          </w:p>
        </w:tc>
        <w:tc>
          <w:tcPr>
            <w:tcW w:w="1475" w:type="dxa"/>
            <w:tcBorders>
              <w:top w:val="single" w:sz="8" w:space="0" w:color="AEAEAE"/>
              <w:left w:val="single" w:sz="8" w:space="0" w:color="E0E0E0"/>
              <w:bottom w:val="single" w:sz="8" w:space="0" w:color="152935"/>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2.869</w:t>
            </w: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bl>
      <w:tblPr>
        <w:tblW w:w="8424"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6"/>
        <w:gridCol w:w="1707"/>
        <w:gridCol w:w="1476"/>
        <w:gridCol w:w="1030"/>
        <w:gridCol w:w="1415"/>
        <w:gridCol w:w="1030"/>
        <w:gridCol w:w="1030"/>
      </w:tblGrid>
      <w:tr w:rsidR="00541D95" w:rsidRPr="001920A4">
        <w:trPr>
          <w:cantSplit/>
        </w:trPr>
        <w:tc>
          <w:tcPr>
            <w:tcW w:w="8419" w:type="dxa"/>
            <w:gridSpan w:val="7"/>
            <w:tcBorders>
              <w:top w:val="nil"/>
              <w:left w:val="nil"/>
              <w:bottom w:val="nil"/>
              <w:right w:val="nil"/>
            </w:tcBorders>
            <w:shd w:val="clear" w:color="auto" w:fill="FFFFFF"/>
            <w:vAlign w:val="center"/>
          </w:tcPr>
          <w:p w:rsidR="00240545" w:rsidRDefault="00240545" w:rsidP="001920A4">
            <w:pPr>
              <w:autoSpaceDE w:val="0"/>
              <w:autoSpaceDN w:val="0"/>
              <w:adjustRightInd w:val="0"/>
              <w:spacing w:after="0" w:line="360" w:lineRule="auto"/>
              <w:ind w:left="60" w:right="60"/>
              <w:jc w:val="both"/>
              <w:rPr>
                <w:rFonts w:ascii="Times New Roman" w:hAnsi="Times New Roman" w:cs="Times New Roman"/>
                <w:b/>
                <w:bCs/>
                <w:color w:val="010205"/>
              </w:rPr>
            </w:pPr>
          </w:p>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t>ANOVA</w:t>
            </w:r>
          </w:p>
        </w:tc>
      </w:tr>
      <w:tr w:rsidR="00541D95" w:rsidRPr="001920A4">
        <w:trPr>
          <w:cantSplit/>
        </w:trPr>
        <w:tc>
          <w:tcPr>
            <w:tcW w:w="2443" w:type="dxa"/>
            <w:gridSpan w:val="2"/>
            <w:tcBorders>
              <w:top w:val="nil"/>
              <w:left w:val="nil"/>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475" w:type="dxa"/>
            <w:tcBorders>
              <w:top w:val="nil"/>
              <w:left w:val="nil"/>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Sum of Squares</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df</w:t>
            </w:r>
          </w:p>
        </w:tc>
        <w:tc>
          <w:tcPr>
            <w:tcW w:w="1414"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Mean Square</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F</w:t>
            </w:r>
          </w:p>
        </w:tc>
        <w:tc>
          <w:tcPr>
            <w:tcW w:w="1029" w:type="dxa"/>
            <w:tcBorders>
              <w:top w:val="nil"/>
              <w:left w:val="single" w:sz="8" w:space="0" w:color="E0E0E0"/>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Sig.</w:t>
            </w:r>
          </w:p>
        </w:tc>
      </w:tr>
      <w:tr w:rsidR="00541D95" w:rsidRPr="001920A4">
        <w:trPr>
          <w:cantSplit/>
        </w:trPr>
        <w:tc>
          <w:tcPr>
            <w:tcW w:w="737" w:type="dxa"/>
            <w:vMerge w:val="restart"/>
            <w:tcBorders>
              <w:top w:val="single" w:sz="8" w:space="0" w:color="152935"/>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Op1</w:t>
            </w:r>
          </w:p>
        </w:tc>
        <w:tc>
          <w:tcPr>
            <w:tcW w:w="1706" w:type="dxa"/>
            <w:tcBorders>
              <w:top w:val="single" w:sz="8" w:space="0" w:color="152935"/>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152935"/>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66.665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3.509</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701.732</w:t>
            </w:r>
          </w:p>
        </w:tc>
        <w:tc>
          <w:tcPr>
            <w:tcW w:w="1029" w:type="dxa"/>
            <w:tcBorders>
              <w:top w:val="single" w:sz="8" w:space="0" w:color="152935"/>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.030</w:t>
            </w:r>
          </w:p>
        </w:tc>
      </w:tr>
      <w:tr w:rsidR="00541D95" w:rsidRPr="001920A4">
        <w:trPr>
          <w:cantSplit/>
        </w:trPr>
        <w:tc>
          <w:tcPr>
            <w:tcW w:w="737" w:type="dxa"/>
            <w:vMerge/>
            <w:tcBorders>
              <w:top w:val="single" w:sz="8" w:space="0" w:color="152935"/>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152935"/>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66.670</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Op2</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49.058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2.582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10.539</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.239</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49.303</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Op3</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62.450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3.287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62.450</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Op4</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54.673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2.878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575.506</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.033</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54.678</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Op5</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71.843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3.781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71.843</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Op6</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83.392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4.389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219.454</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.053</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83.412</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Op7</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57.607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3.032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37.899</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.127</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57.687</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Op8</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80.338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4.228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80.338</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63.198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3.326</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665.241</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.031</w:t>
            </w: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nil"/>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63.203</w:t>
            </w:r>
          </w:p>
        </w:tc>
        <w:tc>
          <w:tcPr>
            <w:tcW w:w="1029" w:type="dxa"/>
            <w:tcBorders>
              <w:top w:val="single" w:sz="8" w:space="0" w:color="AEAEAE"/>
              <w:left w:val="single" w:sz="8" w:space="0" w:color="E0E0E0"/>
              <w:bottom w:val="nil"/>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val="restart"/>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Between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65.067</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3.425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684.920</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.030</w:t>
            </w:r>
          </w:p>
        </w:tc>
      </w:tr>
      <w:tr w:rsidR="00541D95" w:rsidRPr="001920A4">
        <w:trPr>
          <w:cantSplit/>
        </w:trPr>
        <w:tc>
          <w:tcPr>
            <w:tcW w:w="737" w:type="dxa"/>
            <w:vMerge/>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706"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Within Groups</w:t>
            </w:r>
          </w:p>
        </w:tc>
        <w:tc>
          <w:tcPr>
            <w:tcW w:w="14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w:t>
            </w:r>
          </w:p>
        </w:tc>
        <w:tc>
          <w:tcPr>
            <w:tcW w:w="141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AEAEAE"/>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r w:rsidR="00541D95" w:rsidRPr="001920A4">
        <w:trPr>
          <w:cantSplit/>
        </w:trPr>
        <w:tc>
          <w:tcPr>
            <w:tcW w:w="737" w:type="dxa"/>
            <w:vMerge/>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706" w:type="dxa"/>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Total</w:t>
            </w:r>
          </w:p>
        </w:tc>
        <w:tc>
          <w:tcPr>
            <w:tcW w:w="1475" w:type="dxa"/>
            <w:tcBorders>
              <w:top w:val="single" w:sz="8" w:space="0" w:color="AEAEAE"/>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65.072</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w:t>
            </w:r>
          </w:p>
        </w:tc>
        <w:tc>
          <w:tcPr>
            <w:tcW w:w="1414"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AEAEAE"/>
              <w:left w:val="single" w:sz="8" w:space="0" w:color="E0E0E0"/>
              <w:bottom w:val="single" w:sz="8" w:space="0" w:color="152935"/>
              <w:right w:val="nil"/>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spacing w:line="360" w:lineRule="auto"/>
        <w:jc w:val="both"/>
        <w:rPr>
          <w:rFonts w:ascii="Times New Roman" w:hAnsi="Times New Roman" w:cs="Times New Roman"/>
          <w:sz w:val="24"/>
        </w:rPr>
      </w:pPr>
      <w:r w:rsidRPr="001920A4">
        <w:rPr>
          <w:rFonts w:ascii="Times New Roman" w:hAnsi="Times New Roman" w:cs="Times New Roman"/>
          <w:sz w:val="24"/>
        </w:rPr>
        <w:t>Regression</w:t>
      </w:r>
    </w:p>
    <w:tbl>
      <w:tblPr>
        <w:tblpPr w:leftFromText="180" w:rightFromText="180" w:vertAnchor="text" w:horzAnchor="page" w:tblpX="1" w:tblpY="189"/>
        <w:tblW w:w="12786"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850"/>
        <w:gridCol w:w="1096"/>
        <w:gridCol w:w="1162"/>
        <w:gridCol w:w="1572"/>
        <w:gridCol w:w="1572"/>
        <w:gridCol w:w="1572"/>
        <w:gridCol w:w="1196"/>
        <w:gridCol w:w="1097"/>
        <w:gridCol w:w="1097"/>
        <w:gridCol w:w="1572"/>
      </w:tblGrid>
      <w:tr w:rsidR="00541D95" w:rsidRPr="001920A4" w:rsidTr="00541D95">
        <w:trPr>
          <w:cantSplit/>
        </w:trPr>
        <w:tc>
          <w:tcPr>
            <w:tcW w:w="12786" w:type="dxa"/>
            <w:gridSpan w:val="10"/>
            <w:tcBorders>
              <w:top w:val="nil"/>
              <w:left w:val="nil"/>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lastRenderedPageBreak/>
              <w:t>Model Summary</w:t>
            </w:r>
            <w:r w:rsidRPr="001920A4">
              <w:rPr>
                <w:rFonts w:ascii="Times New Roman" w:hAnsi="Times New Roman" w:cs="Times New Roman"/>
                <w:b/>
                <w:bCs/>
                <w:color w:val="010205"/>
                <w:vertAlign w:val="superscript"/>
              </w:rPr>
              <w:t>b</w:t>
            </w:r>
          </w:p>
        </w:tc>
      </w:tr>
      <w:tr w:rsidR="00541D95" w:rsidRPr="001920A4" w:rsidTr="00541D95">
        <w:trPr>
          <w:cantSplit/>
        </w:trPr>
        <w:tc>
          <w:tcPr>
            <w:tcW w:w="850" w:type="dxa"/>
            <w:vMerge w:val="restart"/>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Model</w:t>
            </w:r>
          </w:p>
        </w:tc>
        <w:tc>
          <w:tcPr>
            <w:tcW w:w="1096" w:type="dxa"/>
            <w:vMerge w:val="restart"/>
            <w:tcBorders>
              <w:top w:val="nil"/>
              <w:left w:val="nil"/>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R</w:t>
            </w:r>
          </w:p>
        </w:tc>
        <w:tc>
          <w:tcPr>
            <w:tcW w:w="1162"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R Square</w:t>
            </w:r>
          </w:p>
        </w:tc>
        <w:tc>
          <w:tcPr>
            <w:tcW w:w="1572"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Adjusted R Square</w:t>
            </w:r>
          </w:p>
        </w:tc>
        <w:tc>
          <w:tcPr>
            <w:tcW w:w="1572"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Error of the Estimate</w:t>
            </w:r>
          </w:p>
        </w:tc>
        <w:tc>
          <w:tcPr>
            <w:tcW w:w="6534" w:type="dxa"/>
            <w:gridSpan w:val="5"/>
            <w:tcBorders>
              <w:top w:val="nil"/>
              <w:left w:val="single" w:sz="8" w:space="0" w:color="E0E0E0"/>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Change Statistics</w:t>
            </w:r>
          </w:p>
        </w:tc>
      </w:tr>
      <w:tr w:rsidR="00541D95" w:rsidRPr="001920A4" w:rsidTr="00541D95">
        <w:trPr>
          <w:cantSplit/>
        </w:trPr>
        <w:tc>
          <w:tcPr>
            <w:tcW w:w="850" w:type="dxa"/>
            <w:vMerge/>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096" w:type="dxa"/>
            <w:vMerge/>
            <w:tcBorders>
              <w:top w:val="nil"/>
              <w:left w:val="nil"/>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162"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572"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572"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572"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R Square Change</w:t>
            </w:r>
          </w:p>
        </w:tc>
        <w:tc>
          <w:tcPr>
            <w:tcW w:w="1196"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F Change</w:t>
            </w:r>
          </w:p>
        </w:tc>
        <w:tc>
          <w:tcPr>
            <w:tcW w:w="1097"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df1</w:t>
            </w:r>
          </w:p>
        </w:tc>
        <w:tc>
          <w:tcPr>
            <w:tcW w:w="1097"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df2</w:t>
            </w:r>
          </w:p>
        </w:tc>
        <w:tc>
          <w:tcPr>
            <w:tcW w:w="1572" w:type="dxa"/>
            <w:tcBorders>
              <w:top w:val="nil"/>
              <w:left w:val="single" w:sz="8" w:space="0" w:color="E0E0E0"/>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Sig. F Change</w:t>
            </w:r>
          </w:p>
        </w:tc>
      </w:tr>
      <w:tr w:rsidR="00541D95" w:rsidRPr="001920A4" w:rsidTr="00541D95">
        <w:trPr>
          <w:cantSplit/>
        </w:trPr>
        <w:tc>
          <w:tcPr>
            <w:tcW w:w="850" w:type="dxa"/>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1</w:t>
            </w:r>
          </w:p>
        </w:tc>
        <w:tc>
          <w:tcPr>
            <w:tcW w:w="1096" w:type="dxa"/>
            <w:tcBorders>
              <w:top w:val="single" w:sz="8" w:space="0" w:color="152935"/>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1.000</w:t>
            </w:r>
            <w:r w:rsidRPr="001920A4">
              <w:rPr>
                <w:rFonts w:ascii="Times New Roman" w:hAnsi="Times New Roman" w:cs="Times New Roman"/>
                <w:color w:val="010205"/>
                <w:sz w:val="18"/>
                <w:szCs w:val="18"/>
                <w:vertAlign w:val="superscript"/>
              </w:rPr>
              <w:t>a</w:t>
            </w:r>
          </w:p>
        </w:tc>
        <w:tc>
          <w:tcPr>
            <w:tcW w:w="1162"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1.000</w:t>
            </w:r>
          </w:p>
        </w:tc>
        <w:tc>
          <w:tcPr>
            <w:tcW w:w="1572"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.999</w:t>
            </w:r>
          </w:p>
        </w:tc>
        <w:tc>
          <w:tcPr>
            <w:tcW w:w="1572"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.06250</w:t>
            </w:r>
          </w:p>
        </w:tc>
        <w:tc>
          <w:tcPr>
            <w:tcW w:w="1572"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1.000</w:t>
            </w:r>
          </w:p>
        </w:tc>
        <w:tc>
          <w:tcPr>
            <w:tcW w:w="1196"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2044.960</w:t>
            </w:r>
          </w:p>
        </w:tc>
        <w:tc>
          <w:tcPr>
            <w:tcW w:w="1097"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w:t>
            </w:r>
          </w:p>
        </w:tc>
        <w:tc>
          <w:tcPr>
            <w:tcW w:w="1097" w:type="dxa"/>
            <w:tcBorders>
              <w:top w:val="single" w:sz="8" w:space="0" w:color="152935"/>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w:t>
            </w:r>
          </w:p>
        </w:tc>
        <w:tc>
          <w:tcPr>
            <w:tcW w:w="1572" w:type="dxa"/>
            <w:tcBorders>
              <w:top w:val="single" w:sz="8" w:space="0" w:color="152935"/>
              <w:left w:val="single" w:sz="8" w:space="0" w:color="E0E0E0"/>
              <w:bottom w:val="single" w:sz="8" w:space="0" w:color="152935"/>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r>
      <w:tr w:rsidR="00541D95" w:rsidRPr="001920A4" w:rsidTr="00541D95">
        <w:trPr>
          <w:cantSplit/>
        </w:trPr>
        <w:tc>
          <w:tcPr>
            <w:tcW w:w="12786" w:type="dxa"/>
            <w:gridSpan w:val="10"/>
            <w:tcBorders>
              <w:top w:val="nil"/>
              <w:left w:val="nil"/>
              <w:bottom w:val="nil"/>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a. Predictors: (Constant), Op9, Op2, Op7, Op4, Op5, Op1, Op3, Op8, Op6, Op9</w:t>
            </w:r>
          </w:p>
        </w:tc>
      </w:tr>
      <w:tr w:rsidR="00541D95" w:rsidRPr="001920A4" w:rsidTr="00541D95">
        <w:trPr>
          <w:cantSplit/>
        </w:trPr>
        <w:tc>
          <w:tcPr>
            <w:tcW w:w="12786" w:type="dxa"/>
            <w:gridSpan w:val="10"/>
            <w:tcBorders>
              <w:top w:val="nil"/>
              <w:left w:val="nil"/>
              <w:bottom w:val="nil"/>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b. Dependent Variable: true size</w:t>
            </w: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r w:rsidRPr="001920A4">
        <w:rPr>
          <w:rFonts w:ascii="Times New Roman" w:hAnsi="Times New Roman" w:cs="Times New Roman"/>
          <w:sz w:val="24"/>
          <w:szCs w:val="24"/>
        </w:rPr>
        <w:t xml:space="preserve">The model gets </w:t>
      </w:r>
      <w:r w:rsidR="00240545" w:rsidRPr="001920A4">
        <w:rPr>
          <w:rFonts w:ascii="Times New Roman" w:hAnsi="Times New Roman" w:cs="Times New Roman"/>
          <w:sz w:val="24"/>
          <w:szCs w:val="24"/>
        </w:rPr>
        <w:t>over fitted</w:t>
      </w:r>
      <w:r w:rsidRPr="001920A4">
        <w:rPr>
          <w:rFonts w:ascii="Times New Roman" w:hAnsi="Times New Roman" w:cs="Times New Roman"/>
          <w:sz w:val="24"/>
          <w:szCs w:val="24"/>
        </w:rPr>
        <w:t xml:space="preserve"> whether the linear regression is applied. </w:t>
      </w:r>
    </w:p>
    <w:p w:rsidR="00541D95" w:rsidRPr="001920A4" w:rsidRDefault="00541D95" w:rsidP="001920A4">
      <w:pPr>
        <w:spacing w:line="360" w:lineRule="auto"/>
        <w:jc w:val="both"/>
        <w:rPr>
          <w:rFonts w:ascii="Times New Roman" w:hAnsi="Times New Roman" w:cs="Times New Roman"/>
          <w:sz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bl>
      <w:tblPr>
        <w:tblW w:w="8132"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736"/>
        <w:gridCol w:w="1184"/>
        <w:gridCol w:w="1338"/>
        <w:gridCol w:w="1338"/>
        <w:gridCol w:w="1476"/>
        <w:gridCol w:w="1030"/>
        <w:gridCol w:w="1030"/>
      </w:tblGrid>
      <w:tr w:rsidR="00541D95" w:rsidRPr="001920A4">
        <w:trPr>
          <w:cantSplit/>
        </w:trPr>
        <w:tc>
          <w:tcPr>
            <w:tcW w:w="8127" w:type="dxa"/>
            <w:gridSpan w:val="7"/>
            <w:tcBorders>
              <w:top w:val="nil"/>
              <w:left w:val="nil"/>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t>Coefficients</w:t>
            </w:r>
            <w:r w:rsidRPr="001920A4">
              <w:rPr>
                <w:rFonts w:ascii="Times New Roman" w:hAnsi="Times New Roman" w:cs="Times New Roman"/>
                <w:b/>
                <w:bCs/>
                <w:color w:val="010205"/>
                <w:vertAlign w:val="superscript"/>
              </w:rPr>
              <w:t>a</w:t>
            </w:r>
          </w:p>
        </w:tc>
      </w:tr>
      <w:tr w:rsidR="00541D95" w:rsidRPr="001920A4">
        <w:trPr>
          <w:cantSplit/>
        </w:trPr>
        <w:tc>
          <w:tcPr>
            <w:tcW w:w="1920" w:type="dxa"/>
            <w:gridSpan w:val="2"/>
            <w:vMerge w:val="restart"/>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Model</w:t>
            </w:r>
          </w:p>
        </w:tc>
        <w:tc>
          <w:tcPr>
            <w:tcW w:w="2674" w:type="dxa"/>
            <w:gridSpan w:val="2"/>
            <w:tcBorders>
              <w:top w:val="nil"/>
              <w:left w:val="nil"/>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Unstandardized Coefficients</w:t>
            </w:r>
          </w:p>
        </w:tc>
        <w:tc>
          <w:tcPr>
            <w:tcW w:w="1475" w:type="dxa"/>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Standardized Coefficients</w:t>
            </w:r>
          </w:p>
        </w:tc>
        <w:tc>
          <w:tcPr>
            <w:tcW w:w="1029" w:type="dxa"/>
            <w:vMerge w:val="restart"/>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t</w:t>
            </w:r>
          </w:p>
        </w:tc>
        <w:tc>
          <w:tcPr>
            <w:tcW w:w="1029" w:type="dxa"/>
            <w:vMerge w:val="restart"/>
            <w:tcBorders>
              <w:top w:val="nil"/>
              <w:left w:val="single" w:sz="8" w:space="0" w:color="E0E0E0"/>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Sig.</w:t>
            </w:r>
          </w:p>
        </w:tc>
      </w:tr>
      <w:tr w:rsidR="00541D95" w:rsidRPr="001920A4">
        <w:trPr>
          <w:cantSplit/>
        </w:trPr>
        <w:tc>
          <w:tcPr>
            <w:tcW w:w="1920" w:type="dxa"/>
            <w:gridSpan w:val="2"/>
            <w:vMerge/>
            <w:tcBorders>
              <w:top w:val="nil"/>
              <w:left w:val="nil"/>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337" w:type="dxa"/>
            <w:tcBorders>
              <w:top w:val="nil"/>
              <w:left w:val="nil"/>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w:t>
            </w:r>
          </w:p>
        </w:tc>
        <w:tc>
          <w:tcPr>
            <w:tcW w:w="1337"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Error</w:t>
            </w:r>
          </w:p>
        </w:tc>
        <w:tc>
          <w:tcPr>
            <w:tcW w:w="1475"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Beta</w:t>
            </w:r>
          </w:p>
        </w:tc>
        <w:tc>
          <w:tcPr>
            <w:tcW w:w="1029" w:type="dxa"/>
            <w:vMerge/>
            <w:tcBorders>
              <w:top w:val="nil"/>
              <w:left w:val="single" w:sz="8" w:space="0" w:color="E0E0E0"/>
              <w:bottom w:val="nil"/>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c>
          <w:tcPr>
            <w:tcW w:w="1029" w:type="dxa"/>
            <w:vMerge/>
            <w:tcBorders>
              <w:top w:val="nil"/>
              <w:left w:val="single" w:sz="8" w:space="0" w:color="E0E0E0"/>
              <w:bottom w:val="nil"/>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264A60"/>
                <w:sz w:val="18"/>
                <w:szCs w:val="18"/>
              </w:rPr>
            </w:pPr>
          </w:p>
        </w:tc>
      </w:tr>
      <w:tr w:rsidR="00541D95" w:rsidRPr="001920A4">
        <w:trPr>
          <w:cantSplit/>
        </w:trPr>
        <w:tc>
          <w:tcPr>
            <w:tcW w:w="737" w:type="dxa"/>
            <w:vMerge w:val="restart"/>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1</w:t>
            </w:r>
          </w:p>
        </w:tc>
        <w:tc>
          <w:tcPr>
            <w:tcW w:w="1183" w:type="dxa"/>
            <w:tcBorders>
              <w:top w:val="single" w:sz="8" w:space="0" w:color="152935"/>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(Constant)</w:t>
            </w:r>
          </w:p>
        </w:tc>
        <w:tc>
          <w:tcPr>
            <w:tcW w:w="1337" w:type="dxa"/>
            <w:tcBorders>
              <w:top w:val="single" w:sz="8" w:space="0" w:color="152935"/>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-.269</w:t>
            </w:r>
          </w:p>
        </w:tc>
        <w:tc>
          <w:tcPr>
            <w:tcW w:w="1337"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.054</w:t>
            </w:r>
          </w:p>
        </w:tc>
        <w:tc>
          <w:tcPr>
            <w:tcW w:w="1475" w:type="dxa"/>
            <w:tcBorders>
              <w:top w:val="single" w:sz="8" w:space="0" w:color="152935"/>
              <w:left w:val="single" w:sz="8" w:space="0" w:color="E0E0E0"/>
              <w:bottom w:val="single" w:sz="8" w:space="0" w:color="AEAEAE"/>
              <w:right w:val="single" w:sz="8" w:space="0" w:color="E0E0E0"/>
            </w:tcBorders>
            <w:shd w:val="clear" w:color="auto" w:fill="FFFFFF"/>
            <w:vAlign w:val="center"/>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-4.991</w:t>
            </w:r>
          </w:p>
        </w:tc>
        <w:tc>
          <w:tcPr>
            <w:tcW w:w="1029" w:type="dxa"/>
            <w:tcBorders>
              <w:top w:val="single" w:sz="8" w:space="0" w:color="152935"/>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.001</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Op1</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-.071</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.056</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-.065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-1.278</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.230</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Op2</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-.355</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.057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-.279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-6.234</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Op3</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-.385</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-.341</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-4.334</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.001</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Op4</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-.108</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.057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-1.902</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.086</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Op5</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-.209</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.077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-2.735</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.021</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Op6</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-.216</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-.220</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-2.548</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.029</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Op7</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-.245</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.085</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-.208</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-2.889</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.016</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Op8</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-.033</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.109</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-.033</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-.302</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.769</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337"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-.572</w:t>
            </w:r>
          </w:p>
        </w:tc>
        <w:tc>
          <w:tcPr>
            <w:tcW w:w="1337"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.107</w:t>
            </w:r>
          </w:p>
        </w:tc>
        <w:tc>
          <w:tcPr>
            <w:tcW w:w="1475"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-.509</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-5.340</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r>
      <w:tr w:rsidR="00541D95" w:rsidRPr="001920A4">
        <w:trPr>
          <w:cantSplit/>
        </w:trPr>
        <w:tc>
          <w:tcPr>
            <w:tcW w:w="737" w:type="dxa"/>
            <w:vMerge/>
            <w:tcBorders>
              <w:top w:val="single" w:sz="8" w:space="0" w:color="152935"/>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jc w:val="both"/>
              <w:rPr>
                <w:rFonts w:ascii="Times New Roman" w:hAnsi="Times New Roman" w:cs="Times New Roman"/>
                <w:color w:val="010205"/>
                <w:sz w:val="18"/>
                <w:szCs w:val="18"/>
              </w:rPr>
            </w:pPr>
          </w:p>
        </w:tc>
        <w:tc>
          <w:tcPr>
            <w:tcW w:w="1183" w:type="dxa"/>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Op9</w:t>
            </w:r>
          </w:p>
        </w:tc>
        <w:tc>
          <w:tcPr>
            <w:tcW w:w="1337" w:type="dxa"/>
            <w:tcBorders>
              <w:top w:val="single" w:sz="8" w:space="0" w:color="AEAEAE"/>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3.215</w:t>
            </w:r>
          </w:p>
        </w:tc>
        <w:tc>
          <w:tcPr>
            <w:tcW w:w="1337"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.599</w:t>
            </w:r>
          </w:p>
        </w:tc>
        <w:tc>
          <w:tcPr>
            <w:tcW w:w="1475"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2.901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5.364</w:t>
            </w:r>
          </w:p>
        </w:tc>
        <w:tc>
          <w:tcPr>
            <w:tcW w:w="1029" w:type="dxa"/>
            <w:tcBorders>
              <w:top w:val="single" w:sz="8" w:space="0" w:color="AEAEAE"/>
              <w:left w:val="single" w:sz="8" w:space="0" w:color="E0E0E0"/>
              <w:bottom w:val="single" w:sz="8" w:space="0" w:color="152935"/>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r>
      <w:tr w:rsidR="00541D95" w:rsidRPr="001920A4">
        <w:trPr>
          <w:cantSplit/>
        </w:trPr>
        <w:tc>
          <w:tcPr>
            <w:tcW w:w="8127" w:type="dxa"/>
            <w:gridSpan w:val="7"/>
            <w:tcBorders>
              <w:top w:val="nil"/>
              <w:left w:val="nil"/>
              <w:bottom w:val="nil"/>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a. Dependent Variable: true size</w:t>
            </w: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bl>
      <w:tblPr>
        <w:tblW w:w="767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CellMar>
          <w:left w:w="0" w:type="dxa"/>
          <w:right w:w="0" w:type="dxa"/>
        </w:tblCellMar>
        <w:tblLook w:val="0000"/>
      </w:tblPr>
      <w:tblGrid>
        <w:gridCol w:w="1982"/>
        <w:gridCol w:w="1076"/>
        <w:gridCol w:w="1107"/>
        <w:gridCol w:w="1030"/>
        <w:gridCol w:w="1445"/>
        <w:gridCol w:w="1030"/>
      </w:tblGrid>
      <w:tr w:rsidR="00541D95" w:rsidRPr="001920A4">
        <w:trPr>
          <w:cantSplit/>
        </w:trPr>
        <w:tc>
          <w:tcPr>
            <w:tcW w:w="7665" w:type="dxa"/>
            <w:gridSpan w:val="6"/>
            <w:tcBorders>
              <w:top w:val="nil"/>
              <w:left w:val="nil"/>
              <w:bottom w:val="nil"/>
              <w:right w:val="nil"/>
            </w:tcBorders>
            <w:shd w:val="clear" w:color="auto" w:fill="FFFFFF"/>
            <w:vAlign w:val="center"/>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rPr>
            </w:pPr>
            <w:r w:rsidRPr="001920A4">
              <w:rPr>
                <w:rFonts w:ascii="Times New Roman" w:hAnsi="Times New Roman" w:cs="Times New Roman"/>
                <w:b/>
                <w:bCs/>
                <w:color w:val="010205"/>
              </w:rPr>
              <w:t>Residuals Statistics</w:t>
            </w:r>
            <w:r w:rsidRPr="001920A4">
              <w:rPr>
                <w:rFonts w:ascii="Times New Roman" w:hAnsi="Times New Roman" w:cs="Times New Roman"/>
                <w:b/>
                <w:bCs/>
                <w:color w:val="010205"/>
                <w:vertAlign w:val="superscript"/>
              </w:rPr>
              <w:t>a</w:t>
            </w:r>
          </w:p>
        </w:tc>
      </w:tr>
      <w:tr w:rsidR="00541D95" w:rsidRPr="001920A4">
        <w:trPr>
          <w:cantSplit/>
        </w:trPr>
        <w:tc>
          <w:tcPr>
            <w:tcW w:w="1982" w:type="dxa"/>
            <w:tcBorders>
              <w:top w:val="nil"/>
              <w:left w:val="nil"/>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tc>
        <w:tc>
          <w:tcPr>
            <w:tcW w:w="1075" w:type="dxa"/>
            <w:tcBorders>
              <w:top w:val="nil"/>
              <w:left w:val="nil"/>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Minimum</w:t>
            </w:r>
          </w:p>
        </w:tc>
        <w:tc>
          <w:tcPr>
            <w:tcW w:w="1106"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Maximum</w:t>
            </w:r>
          </w:p>
        </w:tc>
        <w:tc>
          <w:tcPr>
            <w:tcW w:w="1029"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Mean</w:t>
            </w:r>
          </w:p>
        </w:tc>
        <w:tc>
          <w:tcPr>
            <w:tcW w:w="1444" w:type="dxa"/>
            <w:tcBorders>
              <w:top w:val="nil"/>
              <w:left w:val="single" w:sz="8" w:space="0" w:color="E0E0E0"/>
              <w:bottom w:val="single" w:sz="8" w:space="0" w:color="152935"/>
              <w:right w:val="single" w:sz="8" w:space="0" w:color="E0E0E0"/>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Deviation</w:t>
            </w:r>
          </w:p>
        </w:tc>
        <w:tc>
          <w:tcPr>
            <w:tcW w:w="1029" w:type="dxa"/>
            <w:tcBorders>
              <w:top w:val="nil"/>
              <w:left w:val="single" w:sz="8" w:space="0" w:color="E0E0E0"/>
              <w:bottom w:val="single" w:sz="8" w:space="0" w:color="152935"/>
              <w:right w:val="nil"/>
            </w:tcBorders>
            <w:shd w:val="clear" w:color="auto" w:fill="FFFFFF"/>
            <w:vAlign w:val="bottom"/>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N</w:t>
            </w:r>
          </w:p>
        </w:tc>
      </w:tr>
      <w:tr w:rsidR="00541D95" w:rsidRPr="001920A4">
        <w:trPr>
          <w:cantSplit/>
        </w:trPr>
        <w:tc>
          <w:tcPr>
            <w:tcW w:w="1982" w:type="dxa"/>
            <w:tcBorders>
              <w:top w:val="single" w:sz="8" w:space="0" w:color="152935"/>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Predicted Value</w:t>
            </w:r>
          </w:p>
        </w:tc>
        <w:tc>
          <w:tcPr>
            <w:tcW w:w="1075" w:type="dxa"/>
            <w:tcBorders>
              <w:top w:val="single" w:sz="8" w:space="0" w:color="152935"/>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.2570</w:t>
            </w:r>
          </w:p>
        </w:tc>
        <w:tc>
          <w:tcPr>
            <w:tcW w:w="1106"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7.4805</w:t>
            </w:r>
          </w:p>
        </w:tc>
        <w:tc>
          <w:tcPr>
            <w:tcW w:w="1029"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1.7200</w:t>
            </w:r>
          </w:p>
        </w:tc>
        <w:tc>
          <w:tcPr>
            <w:tcW w:w="1444" w:type="dxa"/>
            <w:tcBorders>
              <w:top w:val="single" w:sz="8" w:space="0" w:color="152935"/>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1.99848</w:t>
            </w:r>
          </w:p>
        </w:tc>
        <w:tc>
          <w:tcPr>
            <w:tcW w:w="1029" w:type="dxa"/>
            <w:tcBorders>
              <w:top w:val="single" w:sz="8" w:space="0" w:color="152935"/>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r>
      <w:tr w:rsidR="00541D95" w:rsidRPr="001920A4">
        <w:trPr>
          <w:cantSplit/>
        </w:trPr>
        <w:tc>
          <w:tcPr>
            <w:tcW w:w="1982"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Residual</w:t>
            </w:r>
          </w:p>
        </w:tc>
        <w:tc>
          <w:tcPr>
            <w:tcW w:w="10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-.08772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.08255</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.04419</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r>
      <w:tr w:rsidR="00541D95" w:rsidRPr="001920A4">
        <w:trPr>
          <w:cantSplit/>
        </w:trPr>
        <w:tc>
          <w:tcPr>
            <w:tcW w:w="1982" w:type="dxa"/>
            <w:tcBorders>
              <w:top w:val="single" w:sz="8" w:space="0" w:color="AEAEAE"/>
              <w:left w:val="nil"/>
              <w:bottom w:val="single" w:sz="8" w:space="0" w:color="AEAEAE"/>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Predicted Value</w:t>
            </w:r>
          </w:p>
        </w:tc>
        <w:tc>
          <w:tcPr>
            <w:tcW w:w="1075" w:type="dxa"/>
            <w:tcBorders>
              <w:top w:val="single" w:sz="8" w:space="0" w:color="AEAEAE"/>
              <w:left w:val="nil"/>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-.732</w:t>
            </w:r>
          </w:p>
        </w:tc>
        <w:tc>
          <w:tcPr>
            <w:tcW w:w="1106"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2.882</w:t>
            </w:r>
          </w:p>
        </w:tc>
        <w:tc>
          <w:tcPr>
            <w:tcW w:w="1029"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44" w:type="dxa"/>
            <w:tcBorders>
              <w:top w:val="single" w:sz="8" w:space="0" w:color="AEAEAE"/>
              <w:left w:val="single" w:sz="8" w:space="0" w:color="E0E0E0"/>
              <w:bottom w:val="single" w:sz="8" w:space="0" w:color="AEAEAE"/>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1.000</w:t>
            </w:r>
          </w:p>
        </w:tc>
        <w:tc>
          <w:tcPr>
            <w:tcW w:w="1029" w:type="dxa"/>
            <w:tcBorders>
              <w:top w:val="single" w:sz="8" w:space="0" w:color="AEAEAE"/>
              <w:left w:val="single" w:sz="8" w:space="0" w:color="E0E0E0"/>
              <w:bottom w:val="single" w:sz="8" w:space="0" w:color="AEAEAE"/>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r>
      <w:tr w:rsidR="00541D95" w:rsidRPr="001920A4">
        <w:trPr>
          <w:cantSplit/>
        </w:trPr>
        <w:tc>
          <w:tcPr>
            <w:tcW w:w="1982" w:type="dxa"/>
            <w:tcBorders>
              <w:top w:val="single" w:sz="8" w:space="0" w:color="AEAEAE"/>
              <w:left w:val="nil"/>
              <w:bottom w:val="single" w:sz="8" w:space="0" w:color="152935"/>
              <w:right w:val="nil"/>
            </w:tcBorders>
            <w:shd w:val="clear" w:color="auto" w:fill="E0E0E0"/>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264A60"/>
                <w:sz w:val="18"/>
                <w:szCs w:val="18"/>
              </w:rPr>
            </w:pPr>
            <w:r w:rsidRPr="001920A4">
              <w:rPr>
                <w:rFonts w:ascii="Times New Roman" w:hAnsi="Times New Roman" w:cs="Times New Roman"/>
                <w:color w:val="264A60"/>
                <w:sz w:val="18"/>
                <w:szCs w:val="18"/>
              </w:rPr>
              <w:t>Std. Residual</w:t>
            </w:r>
          </w:p>
        </w:tc>
        <w:tc>
          <w:tcPr>
            <w:tcW w:w="1075" w:type="dxa"/>
            <w:tcBorders>
              <w:top w:val="single" w:sz="8" w:space="0" w:color="AEAEAE"/>
              <w:left w:val="nil"/>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-1.403</w:t>
            </w:r>
          </w:p>
        </w:tc>
        <w:tc>
          <w:tcPr>
            <w:tcW w:w="1106"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1.321</w:t>
            </w:r>
          </w:p>
        </w:tc>
        <w:tc>
          <w:tcPr>
            <w:tcW w:w="1029"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.000</w:t>
            </w:r>
          </w:p>
        </w:tc>
        <w:tc>
          <w:tcPr>
            <w:tcW w:w="1444" w:type="dxa"/>
            <w:tcBorders>
              <w:top w:val="single" w:sz="8" w:space="0" w:color="AEAEAE"/>
              <w:left w:val="single" w:sz="8" w:space="0" w:color="E0E0E0"/>
              <w:bottom w:val="single" w:sz="8" w:space="0" w:color="152935"/>
              <w:right w:val="single" w:sz="8" w:space="0" w:color="E0E0E0"/>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.707</w:t>
            </w:r>
          </w:p>
        </w:tc>
        <w:tc>
          <w:tcPr>
            <w:tcW w:w="1029" w:type="dxa"/>
            <w:tcBorders>
              <w:top w:val="single" w:sz="8" w:space="0" w:color="AEAEAE"/>
              <w:left w:val="single" w:sz="8" w:space="0" w:color="E0E0E0"/>
              <w:bottom w:val="single" w:sz="8" w:space="0" w:color="152935"/>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21</w:t>
            </w:r>
          </w:p>
        </w:tc>
      </w:tr>
      <w:tr w:rsidR="00541D95" w:rsidRPr="001920A4">
        <w:trPr>
          <w:cantSplit/>
        </w:trPr>
        <w:tc>
          <w:tcPr>
            <w:tcW w:w="7665" w:type="dxa"/>
            <w:gridSpan w:val="6"/>
            <w:tcBorders>
              <w:top w:val="nil"/>
              <w:left w:val="nil"/>
              <w:bottom w:val="nil"/>
              <w:right w:val="nil"/>
            </w:tcBorders>
            <w:shd w:val="clear" w:color="auto" w:fill="FFFFFF"/>
          </w:tcPr>
          <w:p w:rsidR="00541D95" w:rsidRPr="001920A4" w:rsidRDefault="00541D95" w:rsidP="001920A4">
            <w:pPr>
              <w:autoSpaceDE w:val="0"/>
              <w:autoSpaceDN w:val="0"/>
              <w:adjustRightInd w:val="0"/>
              <w:spacing w:after="0" w:line="360" w:lineRule="auto"/>
              <w:ind w:left="60" w:right="60"/>
              <w:jc w:val="both"/>
              <w:rPr>
                <w:rFonts w:ascii="Times New Roman" w:hAnsi="Times New Roman" w:cs="Times New Roman"/>
                <w:color w:val="010205"/>
                <w:sz w:val="18"/>
                <w:szCs w:val="18"/>
              </w:rPr>
            </w:pPr>
            <w:r w:rsidRPr="001920A4">
              <w:rPr>
                <w:rFonts w:ascii="Times New Roman" w:hAnsi="Times New Roman" w:cs="Times New Roman"/>
                <w:color w:val="010205"/>
                <w:sz w:val="18"/>
                <w:szCs w:val="18"/>
              </w:rPr>
              <w:t>a. Dependent Variable: true size</w:t>
            </w:r>
          </w:p>
        </w:tc>
      </w:tr>
    </w:tbl>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r w:rsidRPr="001920A4">
        <w:rPr>
          <w:rFonts w:ascii="Times New Roman" w:hAnsi="Times New Roman" w:cs="Times New Roman"/>
          <w:noProof/>
          <w:sz w:val="24"/>
          <w:szCs w:val="24"/>
          <w:lang w:val="en-US"/>
        </w:rPr>
        <w:lastRenderedPageBreak/>
        <w:drawing>
          <wp:inline distT="0" distB="0" distL="0" distR="0">
            <wp:extent cx="5974080" cy="35128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 xmlns:wpc="http://schemas.microsoft.com/office/word/2010/wordprocessingCanvas" xmlns:mc="http://schemas.openxmlformats.org/markup-compatibility/2006" xmlns:o="urn:schemas-microsoft-com:office:office" xmlns:v="urn:schemas-microsoft-com:vml" xmlns:wp14="http://schemas.microsoft.com/office/word/2010/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ps="http://schemas.microsoft.com/office/word/2010/wordprocessingShape" xmlns:a14="http://schemas.microsoft.com/office/drawing/2010/main" xmlns:arto="http://schemas.microsoft.com/office/word/2006/arto" val="0"/>
                        </a:ext>
                      </a:extLst>
                    </a:blip>
                    <a:srcRect/>
                    <a:stretch>
                      <a:fillRect/>
                    </a:stretch>
                  </pic:blipFill>
                  <pic:spPr bwMode="auto">
                    <a:xfrm>
                      <a:off x="0" y="0"/>
                      <a:ext cx="5974080" cy="3512820"/>
                    </a:xfrm>
                    <a:prstGeom prst="rect">
                      <a:avLst/>
                    </a:prstGeom>
                    <a:noFill/>
                    <a:ln>
                      <a:noFill/>
                    </a:ln>
                  </pic:spPr>
                </pic:pic>
              </a:graphicData>
            </a:graphic>
          </wp:inline>
        </w:drawing>
      </w:r>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541D95" w:rsidP="001920A4">
      <w:pPr>
        <w:spacing w:line="360" w:lineRule="auto"/>
        <w:jc w:val="both"/>
        <w:rPr>
          <w:rFonts w:ascii="Times New Roman" w:hAnsi="Times New Roman" w:cs="Times New Roman"/>
          <w:sz w:val="24"/>
          <w:szCs w:val="24"/>
        </w:rPr>
      </w:pPr>
      <w:r w:rsidRPr="001920A4">
        <w:rPr>
          <w:rFonts w:ascii="Times New Roman" w:hAnsi="Times New Roman" w:cs="Times New Roman"/>
          <w:sz w:val="24"/>
          <w:szCs w:val="24"/>
        </w:rPr>
        <w:br w:type="page"/>
      </w:r>
    </w:p>
    <w:p w:rsidR="00541D95" w:rsidRPr="001920A4" w:rsidRDefault="00541D95" w:rsidP="001920A4">
      <w:pPr>
        <w:pStyle w:val="Heading1"/>
      </w:pPr>
      <w:bookmarkStart w:id="3" w:name="_Toc92828153"/>
      <w:r w:rsidRPr="001920A4">
        <w:lastRenderedPageBreak/>
        <w:t>Reference List</w:t>
      </w:r>
      <w:bookmarkEnd w:id="3"/>
    </w:p>
    <w:p w:rsidR="00541D95" w:rsidRPr="001920A4" w:rsidRDefault="00541D95" w:rsidP="001920A4">
      <w:pPr>
        <w:autoSpaceDE w:val="0"/>
        <w:autoSpaceDN w:val="0"/>
        <w:adjustRightInd w:val="0"/>
        <w:spacing w:after="0" w:line="360" w:lineRule="auto"/>
        <w:jc w:val="both"/>
        <w:rPr>
          <w:rFonts w:ascii="Times New Roman" w:hAnsi="Times New Roman" w:cs="Times New Roman"/>
          <w:sz w:val="24"/>
          <w:szCs w:val="24"/>
        </w:rPr>
      </w:pPr>
    </w:p>
    <w:p w:rsidR="00541D95"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Ochoa, X., 2019. Learning analytics in Latin America present an opportunity not to be missed. </w:t>
      </w:r>
      <w:r w:rsidRPr="001920A4">
        <w:rPr>
          <w:rFonts w:ascii="Times New Roman" w:hAnsi="Times New Roman" w:cs="Times New Roman"/>
          <w:i/>
          <w:iCs/>
          <w:sz w:val="24"/>
        </w:rPr>
        <w:t>Nature human behaviour</w:t>
      </w:r>
      <w:r w:rsidRPr="001920A4">
        <w:rPr>
          <w:rFonts w:ascii="Times New Roman" w:hAnsi="Times New Roman" w:cs="Times New Roman"/>
          <w:sz w:val="24"/>
        </w:rPr>
        <w:t>, </w:t>
      </w:r>
      <w:r w:rsidRPr="001920A4">
        <w:rPr>
          <w:rFonts w:ascii="Times New Roman" w:hAnsi="Times New Roman" w:cs="Times New Roman"/>
          <w:i/>
          <w:iCs/>
          <w:sz w:val="24"/>
        </w:rPr>
        <w:t>3</w:t>
      </w:r>
      <w:r w:rsidRPr="001920A4">
        <w:rPr>
          <w:rFonts w:ascii="Times New Roman" w:hAnsi="Times New Roman" w:cs="Times New Roman"/>
          <w:sz w:val="24"/>
        </w:rPr>
        <w:t>(1), pp.6-7.</w:t>
      </w:r>
    </w:p>
    <w:p w:rsidR="001920A4"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Akanbi, L., Oyedele, L., Delgado, J.M.D., Bilal, M., Akinade, O., Ajayi, A. and Mohammed-Yakub, N., 2018. Reusability analytics tool for end-of-life assessment of building materials in a circular economy. </w:t>
      </w:r>
      <w:r w:rsidRPr="001920A4">
        <w:rPr>
          <w:rFonts w:ascii="Times New Roman" w:hAnsi="Times New Roman" w:cs="Times New Roman"/>
          <w:i/>
          <w:iCs/>
          <w:sz w:val="24"/>
        </w:rPr>
        <w:t>World Journal of Science, Technology and Sustainable Development</w:t>
      </w:r>
      <w:r w:rsidRPr="001920A4">
        <w:rPr>
          <w:rFonts w:ascii="Times New Roman" w:hAnsi="Times New Roman" w:cs="Times New Roman"/>
          <w:sz w:val="24"/>
        </w:rPr>
        <w:t>.</w:t>
      </w:r>
    </w:p>
    <w:p w:rsidR="001920A4"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Wall, E., Blaha, L.M., Paul, C.L., Cook, K. and Endert, A., 2018.Four perspectives on human bias in visual analytics.In </w:t>
      </w:r>
      <w:r w:rsidRPr="001920A4">
        <w:rPr>
          <w:rFonts w:ascii="Times New Roman" w:hAnsi="Times New Roman" w:cs="Times New Roman"/>
          <w:i/>
          <w:iCs/>
          <w:sz w:val="24"/>
        </w:rPr>
        <w:t>Cognitive biases in visualizations</w:t>
      </w:r>
      <w:r w:rsidRPr="001920A4">
        <w:rPr>
          <w:rFonts w:ascii="Times New Roman" w:hAnsi="Times New Roman" w:cs="Times New Roman"/>
          <w:sz w:val="24"/>
        </w:rPr>
        <w:t> (pp. 29-42).Springer, Cham.</w:t>
      </w:r>
    </w:p>
    <w:p w:rsidR="001920A4"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Petrescu, M. and Krishen, A.S., 2020.The importance of high-quality data and analytics during the pandemic. </w:t>
      </w:r>
      <w:r w:rsidRPr="001920A4">
        <w:rPr>
          <w:rFonts w:ascii="Times New Roman" w:hAnsi="Times New Roman" w:cs="Times New Roman"/>
          <w:i/>
          <w:iCs/>
          <w:sz w:val="24"/>
        </w:rPr>
        <w:t>Journal of Marketing Analytics</w:t>
      </w:r>
      <w:r w:rsidRPr="001920A4">
        <w:rPr>
          <w:rFonts w:ascii="Times New Roman" w:hAnsi="Times New Roman" w:cs="Times New Roman"/>
          <w:sz w:val="24"/>
        </w:rPr>
        <w:t>, </w:t>
      </w:r>
      <w:r w:rsidRPr="001920A4">
        <w:rPr>
          <w:rFonts w:ascii="Times New Roman" w:hAnsi="Times New Roman" w:cs="Times New Roman"/>
          <w:i/>
          <w:iCs/>
          <w:sz w:val="24"/>
        </w:rPr>
        <w:t>8</w:t>
      </w:r>
      <w:r w:rsidRPr="001920A4">
        <w:rPr>
          <w:rFonts w:ascii="Times New Roman" w:hAnsi="Times New Roman" w:cs="Times New Roman"/>
          <w:sz w:val="24"/>
        </w:rPr>
        <w:t>, pp.43-44.</w:t>
      </w:r>
    </w:p>
    <w:p w:rsidR="001920A4"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Ryu, M., Truong, H.L. and Kannala, M., 2021. Understanding quality of analytics trade-offs in an end-to-end machine learning-based classification system for building information modeling. </w:t>
      </w:r>
      <w:r w:rsidRPr="001920A4">
        <w:rPr>
          <w:rFonts w:ascii="Times New Roman" w:hAnsi="Times New Roman" w:cs="Times New Roman"/>
          <w:i/>
          <w:iCs/>
          <w:sz w:val="24"/>
        </w:rPr>
        <w:t>Journal of Big Data</w:t>
      </w:r>
      <w:r w:rsidRPr="001920A4">
        <w:rPr>
          <w:rFonts w:ascii="Times New Roman" w:hAnsi="Times New Roman" w:cs="Times New Roman"/>
          <w:sz w:val="24"/>
        </w:rPr>
        <w:t>, </w:t>
      </w:r>
      <w:r w:rsidRPr="001920A4">
        <w:rPr>
          <w:rFonts w:ascii="Times New Roman" w:hAnsi="Times New Roman" w:cs="Times New Roman"/>
          <w:i/>
          <w:iCs/>
          <w:sz w:val="24"/>
        </w:rPr>
        <w:t>8</w:t>
      </w:r>
      <w:r w:rsidRPr="001920A4">
        <w:rPr>
          <w:rFonts w:ascii="Times New Roman" w:hAnsi="Times New Roman" w:cs="Times New Roman"/>
          <w:sz w:val="24"/>
        </w:rPr>
        <w:t>(1), pp.1-30.</w:t>
      </w:r>
    </w:p>
    <w:p w:rsidR="001920A4" w:rsidRPr="001920A4" w:rsidRDefault="001920A4" w:rsidP="001920A4">
      <w:pPr>
        <w:spacing w:line="360" w:lineRule="auto"/>
        <w:jc w:val="both"/>
        <w:rPr>
          <w:rFonts w:ascii="Times New Roman" w:hAnsi="Times New Roman" w:cs="Times New Roman"/>
          <w:sz w:val="24"/>
        </w:rPr>
      </w:pPr>
      <w:r w:rsidRPr="001920A4">
        <w:rPr>
          <w:rFonts w:ascii="Times New Roman" w:hAnsi="Times New Roman" w:cs="Times New Roman"/>
          <w:sz w:val="24"/>
        </w:rPr>
        <w:t>Zhu, K., Joshi, S., Wang, Q.G. and Hsi, J.F.Y., 2019. Guest editorial special section on big data analytics in intelligent manufacturing. </w:t>
      </w:r>
      <w:r w:rsidRPr="001920A4">
        <w:rPr>
          <w:rFonts w:ascii="Times New Roman" w:hAnsi="Times New Roman" w:cs="Times New Roman"/>
          <w:i/>
          <w:iCs/>
          <w:sz w:val="24"/>
        </w:rPr>
        <w:t>IEEE Transactions on Industrial Informatics</w:t>
      </w:r>
      <w:r w:rsidRPr="001920A4">
        <w:rPr>
          <w:rFonts w:ascii="Times New Roman" w:hAnsi="Times New Roman" w:cs="Times New Roman"/>
          <w:sz w:val="24"/>
        </w:rPr>
        <w:t>, </w:t>
      </w:r>
      <w:r w:rsidRPr="001920A4">
        <w:rPr>
          <w:rFonts w:ascii="Times New Roman" w:hAnsi="Times New Roman" w:cs="Times New Roman"/>
          <w:i/>
          <w:iCs/>
          <w:sz w:val="24"/>
        </w:rPr>
        <w:t>15</w:t>
      </w:r>
      <w:r w:rsidRPr="001920A4">
        <w:rPr>
          <w:rFonts w:ascii="Times New Roman" w:hAnsi="Times New Roman" w:cs="Times New Roman"/>
          <w:sz w:val="24"/>
        </w:rPr>
        <w:t>(4), pp.2382-2385.</w:t>
      </w:r>
    </w:p>
    <w:sectPr w:rsidR="001920A4" w:rsidRPr="001920A4" w:rsidSect="001920A4">
      <w:footerReference w:type="default" r:id="rId9"/>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B5EC0" w:rsidRDefault="002B5EC0" w:rsidP="001920A4">
      <w:pPr>
        <w:spacing w:after="0" w:line="240" w:lineRule="auto"/>
      </w:pPr>
      <w:r>
        <w:separator/>
      </w:r>
    </w:p>
  </w:endnote>
  <w:endnote w:type="continuationSeparator" w:id="1">
    <w:p w:rsidR="002B5EC0" w:rsidRDefault="002B5EC0" w:rsidP="001920A4">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76813189"/>
      <w:docPartObj>
        <w:docPartGallery w:val="Page Numbers (Bottom of Page)"/>
        <w:docPartUnique/>
      </w:docPartObj>
    </w:sdtPr>
    <w:sdtEndPr>
      <w:rPr>
        <w:noProof/>
      </w:rPr>
    </w:sdtEndPr>
    <w:sdtContent>
      <w:p w:rsidR="00240545" w:rsidRDefault="00240545">
        <w:pPr>
          <w:pStyle w:val="Footer"/>
          <w:jc w:val="right"/>
        </w:pPr>
        <w:fldSimple w:instr=" PAGE   \* MERGEFORMAT ">
          <w:r w:rsidR="00926B45">
            <w:rPr>
              <w:noProof/>
            </w:rPr>
            <w:t>2</w:t>
          </w:r>
        </w:fldSimple>
      </w:p>
    </w:sdtContent>
  </w:sdt>
  <w:p w:rsidR="00240545" w:rsidRDefault="00240545">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B5EC0" w:rsidRDefault="002B5EC0" w:rsidP="001920A4">
      <w:pPr>
        <w:spacing w:after="0" w:line="240" w:lineRule="auto"/>
      </w:pPr>
      <w:r>
        <w:separator/>
      </w:r>
    </w:p>
  </w:footnote>
  <w:footnote w:type="continuationSeparator" w:id="1">
    <w:p w:rsidR="002B5EC0" w:rsidRDefault="002B5EC0" w:rsidP="001920A4">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7C6F1371"/>
    <w:multiLevelType w:val="multilevel"/>
    <w:tmpl w:val="DFE4C906"/>
    <w:lvl w:ilvl="0">
      <w:start w:val="1"/>
      <w:numFmt w:val="decimal"/>
      <w:lvlText w:val="%1."/>
      <w:lvlJc w:val="left"/>
      <w:pPr>
        <w:ind w:left="1080" w:hanging="360"/>
      </w:pPr>
      <w:rPr>
        <w:rFonts w:hint="default"/>
      </w:rPr>
    </w:lvl>
    <w:lvl w:ilvl="1">
      <w:start w:val="1"/>
      <w:numFmt w:val="decimal"/>
      <w:isLgl/>
      <w:lvlText w:val="%1.%2"/>
      <w:lvlJc w:val="left"/>
      <w:pPr>
        <w:ind w:left="2448" w:hanging="720"/>
      </w:pPr>
      <w:rPr>
        <w:rFonts w:hint="default"/>
      </w:rPr>
    </w:lvl>
    <w:lvl w:ilvl="2">
      <w:start w:val="1"/>
      <w:numFmt w:val="decimal"/>
      <w:isLgl/>
      <w:lvlText w:val="%1.%2.%3"/>
      <w:lvlJc w:val="left"/>
      <w:pPr>
        <w:ind w:left="3456" w:hanging="720"/>
      </w:pPr>
      <w:rPr>
        <w:rFonts w:hint="default"/>
      </w:rPr>
    </w:lvl>
    <w:lvl w:ilvl="3">
      <w:start w:val="1"/>
      <w:numFmt w:val="decimal"/>
      <w:isLgl/>
      <w:lvlText w:val="%1.%2.%3.%4"/>
      <w:lvlJc w:val="left"/>
      <w:pPr>
        <w:ind w:left="4824" w:hanging="1080"/>
      </w:pPr>
      <w:rPr>
        <w:rFonts w:hint="default"/>
      </w:rPr>
    </w:lvl>
    <w:lvl w:ilvl="4">
      <w:start w:val="1"/>
      <w:numFmt w:val="decimal"/>
      <w:isLgl/>
      <w:lvlText w:val="%1.%2.%3.%4.%5"/>
      <w:lvlJc w:val="left"/>
      <w:pPr>
        <w:ind w:left="6192" w:hanging="1440"/>
      </w:pPr>
      <w:rPr>
        <w:rFonts w:hint="default"/>
      </w:rPr>
    </w:lvl>
    <w:lvl w:ilvl="5">
      <w:start w:val="1"/>
      <w:numFmt w:val="decimal"/>
      <w:isLgl/>
      <w:lvlText w:val="%1.%2.%3.%4.%5.%6"/>
      <w:lvlJc w:val="left"/>
      <w:pPr>
        <w:ind w:left="7560" w:hanging="1800"/>
      </w:pPr>
      <w:rPr>
        <w:rFonts w:hint="default"/>
      </w:rPr>
    </w:lvl>
    <w:lvl w:ilvl="6">
      <w:start w:val="1"/>
      <w:numFmt w:val="decimal"/>
      <w:isLgl/>
      <w:lvlText w:val="%1.%2.%3.%4.%5.%6.%7"/>
      <w:lvlJc w:val="left"/>
      <w:pPr>
        <w:ind w:left="8568" w:hanging="1800"/>
      </w:pPr>
      <w:rPr>
        <w:rFonts w:hint="default"/>
      </w:rPr>
    </w:lvl>
    <w:lvl w:ilvl="7">
      <w:start w:val="1"/>
      <w:numFmt w:val="decimal"/>
      <w:isLgl/>
      <w:lvlText w:val="%1.%2.%3.%4.%5.%6.%7.%8"/>
      <w:lvlJc w:val="left"/>
      <w:pPr>
        <w:ind w:left="9936" w:hanging="2160"/>
      </w:pPr>
      <w:rPr>
        <w:rFonts w:hint="default"/>
      </w:rPr>
    </w:lvl>
    <w:lvl w:ilvl="8">
      <w:start w:val="1"/>
      <w:numFmt w:val="decimal"/>
      <w:isLgl/>
      <w:lvlText w:val="%1.%2.%3.%4.%5.%6.%7.%8.%9"/>
      <w:lvlJc w:val="left"/>
      <w:pPr>
        <w:ind w:left="11304" w:hanging="2520"/>
      </w:pPr>
      <w:rPr>
        <w:rFonts w:hint="default"/>
      </w:rPr>
    </w:lvl>
  </w:abstractNum>
  <w:num w:numId="1">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0"/>
    <w:footnote w:id="1"/>
  </w:footnotePr>
  <w:endnotePr>
    <w:endnote w:id="0"/>
    <w:endnote w:id="1"/>
  </w:endnotePr>
  <w:compat/>
  <w:rsids>
    <w:rsidRoot w:val="004B1704"/>
    <w:rsid w:val="001920A4"/>
    <w:rsid w:val="002322ED"/>
    <w:rsid w:val="00240545"/>
    <w:rsid w:val="002B5EC0"/>
    <w:rsid w:val="004B1704"/>
    <w:rsid w:val="00541D95"/>
    <w:rsid w:val="00580AEC"/>
    <w:rsid w:val="00730BDA"/>
    <w:rsid w:val="007D6AD8"/>
    <w:rsid w:val="007E52CB"/>
    <w:rsid w:val="00926B45"/>
    <w:rsid w:val="00A02A8E"/>
    <w:rsid w:val="00DF228F"/>
    <w:rsid w:val="00FD5F6F"/>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30BDA"/>
  </w:style>
  <w:style w:type="paragraph" w:styleId="Heading1">
    <w:name w:val="heading 1"/>
    <w:basedOn w:val="Normal"/>
    <w:next w:val="Normal"/>
    <w:link w:val="Heading1Char"/>
    <w:uiPriority w:val="9"/>
    <w:qFormat/>
    <w:rsid w:val="001920A4"/>
    <w:pPr>
      <w:autoSpaceDE w:val="0"/>
      <w:autoSpaceDN w:val="0"/>
      <w:adjustRightInd w:val="0"/>
      <w:spacing w:after="0" w:line="360" w:lineRule="auto"/>
      <w:jc w:val="both"/>
      <w:outlineLvl w:val="0"/>
    </w:pPr>
    <w:rPr>
      <w:rFonts w:ascii="Times New Roman" w:hAnsi="Times New Roman" w:cs="Times New Roman"/>
      <w:b/>
      <w:sz w:val="28"/>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541D9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1D95"/>
    <w:rPr>
      <w:rFonts w:ascii="Tahoma" w:hAnsi="Tahoma" w:cs="Tahoma"/>
      <w:sz w:val="16"/>
      <w:szCs w:val="16"/>
    </w:rPr>
  </w:style>
  <w:style w:type="character" w:customStyle="1" w:styleId="Heading1Char">
    <w:name w:val="Heading 1 Char"/>
    <w:basedOn w:val="DefaultParagraphFont"/>
    <w:link w:val="Heading1"/>
    <w:uiPriority w:val="9"/>
    <w:rsid w:val="001920A4"/>
    <w:rPr>
      <w:rFonts w:ascii="Times New Roman" w:hAnsi="Times New Roman" w:cs="Times New Roman"/>
      <w:b/>
      <w:sz w:val="28"/>
      <w:szCs w:val="24"/>
    </w:rPr>
  </w:style>
  <w:style w:type="paragraph" w:styleId="TOCHeading">
    <w:name w:val="TOC Heading"/>
    <w:basedOn w:val="Heading1"/>
    <w:next w:val="Normal"/>
    <w:uiPriority w:val="39"/>
    <w:unhideWhenUsed/>
    <w:qFormat/>
    <w:rsid w:val="001920A4"/>
    <w:pPr>
      <w:keepNext/>
      <w:keepLines/>
      <w:autoSpaceDE/>
      <w:autoSpaceDN/>
      <w:adjustRightInd/>
      <w:spacing w:before="48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1920A4"/>
    <w:pPr>
      <w:spacing w:after="100"/>
    </w:pPr>
  </w:style>
  <w:style w:type="character" w:styleId="Hyperlink">
    <w:name w:val="Hyperlink"/>
    <w:basedOn w:val="DefaultParagraphFont"/>
    <w:uiPriority w:val="99"/>
    <w:unhideWhenUsed/>
    <w:rsid w:val="001920A4"/>
    <w:rPr>
      <w:color w:val="0000FF" w:themeColor="hyperlink"/>
      <w:u w:val="single"/>
    </w:rPr>
  </w:style>
  <w:style w:type="paragraph" w:styleId="Header">
    <w:name w:val="header"/>
    <w:basedOn w:val="Normal"/>
    <w:link w:val="HeaderChar"/>
    <w:uiPriority w:val="99"/>
    <w:unhideWhenUsed/>
    <w:rsid w:val="001920A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20A4"/>
  </w:style>
  <w:style w:type="paragraph" w:styleId="Footer">
    <w:name w:val="footer"/>
    <w:basedOn w:val="Normal"/>
    <w:link w:val="FooterChar"/>
    <w:uiPriority w:val="99"/>
    <w:unhideWhenUsed/>
    <w:rsid w:val="001920A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20A4"/>
  </w:style>
  <w:style w:type="character" w:customStyle="1" w:styleId="normaltextrun">
    <w:name w:val="normaltextrun"/>
    <w:basedOn w:val="DefaultParagraphFont"/>
    <w:rsid w:val="00DF228F"/>
  </w:style>
  <w:style w:type="character" w:customStyle="1" w:styleId="eop">
    <w:name w:val="eop"/>
    <w:basedOn w:val="DefaultParagraphFont"/>
    <w:rsid w:val="00DF228F"/>
  </w:style>
  <w:style w:type="paragraph" w:customStyle="1" w:styleId="paragraph">
    <w:name w:val="paragraph"/>
    <w:basedOn w:val="Normal"/>
    <w:rsid w:val="00DF228F"/>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ListParagraph">
    <w:name w:val="List Paragraph"/>
    <w:basedOn w:val="Normal"/>
    <w:uiPriority w:val="34"/>
    <w:qFormat/>
    <w:rsid w:val="007D6AD8"/>
    <w:pPr>
      <w:ind w:left="720"/>
      <w:contextualSpacing/>
    </w:pPr>
    <w:rPr>
      <w:lang w:val="en-US"/>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2FD72FF-8436-4C50-9F8E-0C12117D6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235</TotalTime>
  <Pages>11</Pages>
  <Words>2110</Words>
  <Characters>12027</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14109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rajib gupta</dc:creator>
  <cp:keywords/>
  <dc:description/>
  <cp:lastModifiedBy>Linux</cp:lastModifiedBy>
  <cp:revision>1</cp:revision>
  <dcterms:created xsi:type="dcterms:W3CDTF">2022-01-11T10:15:00Z</dcterms:created>
  <dcterms:modified xsi:type="dcterms:W3CDTF">2022-01-13T17:46:00Z</dcterms:modified>
</cp:coreProperties>
</file>